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Ex1.xml" ContentType="application/vnd.ms-office.chartex+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Ex2.xml" ContentType="application/vnd.ms-office.chartex+xml"/>
  <Override PartName="/word/charts/style26.xml" ContentType="application/vnd.ms-office.chartstyle+xml"/>
  <Override PartName="/word/charts/colors26.xml" ContentType="application/vnd.ms-office.chartcolorstyle+xml"/>
  <Override PartName="/word/charts/chart25.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5.xml" ContentType="application/vnd.openxmlformats-officedocument.themeOverride+xml"/>
  <Override PartName="/word/charts/chartEx3.xml" ContentType="application/vnd.ms-office.chartex+xml"/>
  <Override PartName="/word/charts/style49.xml" ContentType="application/vnd.ms-office.chartstyle+xml"/>
  <Override PartName="/word/charts/colors49.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01E5B" w14:textId="3553E820" w:rsidR="00114563" w:rsidRDefault="00114563" w:rsidP="003B33B4">
      <w:pPr>
        <w:spacing w:before="100" w:beforeAutospacing="1" w:after="100" w:afterAutospacing="1"/>
        <w:jc w:val="center"/>
        <w:rPr>
          <w:rFonts w:ascii="TimesNewRomanPSMT" w:hAnsi="TimesNewRomanPSMT" w:cs="TimesNewRomanPSMT"/>
        </w:rPr>
      </w:pPr>
    </w:p>
    <w:p w14:paraId="3C8638C4" w14:textId="043C9CA9" w:rsidR="00114563" w:rsidRDefault="00114563" w:rsidP="003B33B4">
      <w:pPr>
        <w:spacing w:before="100" w:beforeAutospacing="1" w:after="100" w:afterAutospacing="1"/>
        <w:jc w:val="center"/>
        <w:rPr>
          <w:rFonts w:ascii="TimesNewRomanPSMT" w:hAnsi="TimesNewRomanPSMT" w:cs="TimesNewRomanPSMT"/>
        </w:rPr>
      </w:pPr>
    </w:p>
    <w:p w14:paraId="2452B0A0" w14:textId="134EAA91" w:rsidR="00114563" w:rsidRDefault="00114563" w:rsidP="003B33B4">
      <w:pPr>
        <w:spacing w:before="100" w:beforeAutospacing="1" w:after="100" w:afterAutospacing="1"/>
        <w:jc w:val="center"/>
        <w:rPr>
          <w:rFonts w:ascii="TimesNewRomanPSMT" w:hAnsi="TimesNewRomanPSMT" w:cs="TimesNewRomanPSMT"/>
        </w:rPr>
      </w:pPr>
    </w:p>
    <w:p w14:paraId="4BF2383E" w14:textId="26648BE0" w:rsidR="00114563" w:rsidRDefault="00114563" w:rsidP="003B33B4">
      <w:pPr>
        <w:spacing w:before="100" w:beforeAutospacing="1" w:after="100" w:afterAutospacing="1"/>
        <w:jc w:val="center"/>
        <w:rPr>
          <w:rFonts w:ascii="TimesNewRomanPSMT" w:hAnsi="TimesNewRomanPSMT" w:cs="TimesNewRomanPSMT"/>
        </w:rPr>
      </w:pPr>
    </w:p>
    <w:p w14:paraId="7A56D2AF" w14:textId="6FDD7A42" w:rsidR="00114563" w:rsidRDefault="00114563" w:rsidP="003B33B4">
      <w:pPr>
        <w:spacing w:before="100" w:beforeAutospacing="1" w:after="100" w:afterAutospacing="1"/>
        <w:jc w:val="center"/>
        <w:rPr>
          <w:rFonts w:ascii="TimesNewRomanPSMT" w:hAnsi="TimesNewRomanPSMT" w:cs="TimesNewRomanPSMT"/>
        </w:rPr>
      </w:pPr>
    </w:p>
    <w:p w14:paraId="1EA82B64" w14:textId="34956715" w:rsidR="00114563" w:rsidRDefault="00114563" w:rsidP="003B33B4">
      <w:pPr>
        <w:spacing w:before="100" w:beforeAutospacing="1" w:after="100" w:afterAutospacing="1"/>
        <w:jc w:val="center"/>
        <w:rPr>
          <w:rFonts w:ascii="TimesNewRomanPSMT" w:hAnsi="TimesNewRomanPSMT" w:cs="TimesNewRomanPSMT"/>
        </w:rPr>
      </w:pPr>
    </w:p>
    <w:p w14:paraId="62A05C9B" w14:textId="3D0D8731" w:rsidR="00114563" w:rsidRDefault="00114563" w:rsidP="003B33B4">
      <w:pPr>
        <w:spacing w:before="100" w:beforeAutospacing="1" w:after="100" w:afterAutospacing="1"/>
        <w:jc w:val="center"/>
        <w:rPr>
          <w:rFonts w:ascii="TimesNewRomanPSMT" w:hAnsi="TimesNewRomanPSMT" w:cs="TimesNewRomanPSMT"/>
        </w:rPr>
      </w:pPr>
    </w:p>
    <w:p w14:paraId="4B083752" w14:textId="153F1A6F" w:rsidR="00114563" w:rsidRDefault="00114563" w:rsidP="003B33B4">
      <w:pPr>
        <w:spacing w:before="100" w:beforeAutospacing="1" w:after="100" w:afterAutospacing="1"/>
        <w:jc w:val="center"/>
        <w:rPr>
          <w:rFonts w:ascii="TimesNewRomanPSMT" w:hAnsi="TimesNewRomanPSMT" w:cs="TimesNewRomanPSMT"/>
        </w:rPr>
      </w:pPr>
    </w:p>
    <w:p w14:paraId="30E5DF67" w14:textId="77777777" w:rsidR="00114563" w:rsidRDefault="00114563" w:rsidP="003B33B4">
      <w:pPr>
        <w:spacing w:before="100" w:beforeAutospacing="1" w:after="100" w:afterAutospacing="1"/>
        <w:jc w:val="center"/>
        <w:rPr>
          <w:rFonts w:ascii="TimesNewRomanPSMT" w:hAnsi="TimesNewRomanPSMT" w:cs="TimesNewRomanPSMT"/>
        </w:rPr>
      </w:pPr>
    </w:p>
    <w:p w14:paraId="27E491F9" w14:textId="0E25BBF2" w:rsidR="00114563" w:rsidRPr="00114563" w:rsidRDefault="00114563" w:rsidP="00114563">
      <w:pPr>
        <w:jc w:val="center"/>
        <w:rPr>
          <w:b/>
        </w:rPr>
      </w:pPr>
      <w:r w:rsidRPr="00114563">
        <w:rPr>
          <w:b/>
        </w:rPr>
        <w:t>CHILDHOOD FEEDING PRACTICES IN IRON AGE SOUTH ITALY</w:t>
      </w:r>
    </w:p>
    <w:p w14:paraId="6629BA79" w14:textId="77777777" w:rsidR="00DF7844" w:rsidRDefault="00DF7844">
      <w:pPr>
        <w:rPr>
          <w:rFonts w:ascii="TimesNewRomanPSMT" w:hAnsi="TimesNewRomanPSMT" w:cs="TimesNewRomanPSMT"/>
        </w:rPr>
      </w:pPr>
      <w:r>
        <w:rPr>
          <w:rFonts w:ascii="TimesNewRomanPSMT" w:hAnsi="TimesNewRomanPSMT" w:cs="TimesNewRomanPSMT"/>
        </w:rPr>
        <w:br w:type="page"/>
      </w:r>
    </w:p>
    <w:p w14:paraId="69E39A88" w14:textId="77777777" w:rsidR="00DF7844" w:rsidRPr="00846D00" w:rsidRDefault="00DF7844" w:rsidP="00DF7844">
      <w:pPr>
        <w:spacing w:before="100" w:beforeAutospacing="1" w:after="100" w:afterAutospacing="1"/>
        <w:jc w:val="center"/>
      </w:pPr>
      <w:r w:rsidRPr="00846D00">
        <w:rPr>
          <w:rFonts w:ascii="TimesNewRomanPSMT" w:hAnsi="TimesNewRomanPSMT" w:cs="TimesNewRomanPSMT"/>
        </w:rPr>
        <w:lastRenderedPageBreak/>
        <w:t xml:space="preserve">INDIVIDUAL BREASTFEEDING AND WEANING HISTORIES IN </w:t>
      </w:r>
      <w:r>
        <w:rPr>
          <w:rFonts w:ascii="TimesNewRomanPSMT" w:hAnsi="TimesNewRomanPSMT" w:cs="TimesNewRomanPSMT"/>
        </w:rPr>
        <w:t>IRON AGE SOUTH ITALY</w:t>
      </w:r>
      <w:r w:rsidRPr="00846D00">
        <w:rPr>
          <w:rFonts w:ascii="TimesNewRomanPSMT" w:hAnsi="TimesNewRomanPSMT" w:cs="TimesNewRomanPSMT"/>
        </w:rPr>
        <w:t xml:space="preserve"> USING STABLE ISOTOPE ANALYSIS OF INCREMENTAL DENTINE SECTIONS </w:t>
      </w:r>
      <w:r>
        <w:rPr>
          <w:rFonts w:ascii="TimesNewRomanPSMT" w:hAnsi="TimesNewRomanPSMT" w:cs="TimesNewRomanPSMT"/>
        </w:rPr>
        <w:t>AND BONE COLLAGEN</w:t>
      </w:r>
    </w:p>
    <w:p w14:paraId="5BAC46CB" w14:textId="77777777" w:rsidR="00DF7844" w:rsidRDefault="00DF7844" w:rsidP="00DF7844">
      <w:pPr>
        <w:spacing w:before="100" w:beforeAutospacing="1" w:after="100" w:afterAutospacing="1"/>
        <w:jc w:val="center"/>
        <w:rPr>
          <w:rFonts w:ascii="TimesNewRomanPSMT" w:hAnsi="TimesNewRomanPSMT" w:cs="TimesNewRomanPSMT"/>
        </w:rPr>
      </w:pPr>
    </w:p>
    <w:p w14:paraId="7B24CF75" w14:textId="77777777" w:rsidR="00DF7844" w:rsidRDefault="00DF7844" w:rsidP="00DF7844">
      <w:pPr>
        <w:spacing w:before="100" w:beforeAutospacing="1" w:after="100" w:afterAutospacing="1"/>
        <w:jc w:val="center"/>
        <w:rPr>
          <w:rFonts w:ascii="TimesNewRomanPSMT" w:hAnsi="TimesNewRomanPSMT" w:cs="TimesNewRomanPSMT"/>
        </w:rPr>
      </w:pPr>
    </w:p>
    <w:p w14:paraId="4E37A30E" w14:textId="77777777" w:rsidR="00DF7844" w:rsidRDefault="00DF7844" w:rsidP="00DF7844">
      <w:pPr>
        <w:spacing w:before="100" w:beforeAutospacing="1" w:after="100" w:afterAutospacing="1"/>
        <w:jc w:val="center"/>
        <w:rPr>
          <w:rFonts w:ascii="TimesNewRomanPSMT" w:hAnsi="TimesNewRomanPSMT" w:cs="TimesNewRomanPSMT"/>
        </w:rPr>
      </w:pPr>
    </w:p>
    <w:p w14:paraId="47772B20" w14:textId="77777777" w:rsidR="00DF7844" w:rsidRDefault="00DF7844" w:rsidP="00DF7844">
      <w:pPr>
        <w:spacing w:before="100" w:beforeAutospacing="1" w:after="100" w:afterAutospacing="1"/>
        <w:jc w:val="center"/>
        <w:rPr>
          <w:rFonts w:ascii="TimesNewRomanPSMT" w:hAnsi="TimesNewRomanPSMT" w:cs="TimesNewRomanPSMT"/>
        </w:rPr>
      </w:pPr>
    </w:p>
    <w:p w14:paraId="41BE38B3" w14:textId="77777777" w:rsidR="00DF7844" w:rsidRDefault="00DF7844" w:rsidP="00DF7844">
      <w:pPr>
        <w:spacing w:before="100" w:beforeAutospacing="1" w:after="100" w:afterAutospacing="1"/>
        <w:jc w:val="center"/>
        <w:rPr>
          <w:rFonts w:ascii="TimesNewRomanPSMT" w:hAnsi="TimesNewRomanPSMT" w:cs="TimesNewRomanPSMT"/>
        </w:rPr>
      </w:pPr>
    </w:p>
    <w:p w14:paraId="39920F35" w14:textId="77777777" w:rsidR="00DF7844" w:rsidRPr="00846D00" w:rsidRDefault="00DF7844" w:rsidP="00DF7844">
      <w:pPr>
        <w:spacing w:before="100" w:beforeAutospacing="1" w:after="100" w:afterAutospacing="1"/>
        <w:jc w:val="center"/>
      </w:pPr>
      <w:r w:rsidRPr="00846D00">
        <w:rPr>
          <w:rFonts w:ascii="TimesNewRomanPSMT" w:hAnsi="TimesNewRomanPSMT" w:cs="TimesNewRomanPSMT"/>
        </w:rPr>
        <w:t xml:space="preserve">BY </w:t>
      </w:r>
      <w:r>
        <w:rPr>
          <w:rFonts w:ascii="TimesNewRomanPSMT" w:hAnsi="TimesNewRomanPSMT" w:cs="TimesNewRomanPSMT"/>
        </w:rPr>
        <w:t>HANA SALAHUDDIN</w:t>
      </w:r>
      <w:r w:rsidRPr="00846D00">
        <w:rPr>
          <w:rFonts w:ascii="TimesNewRomanPSMT" w:hAnsi="TimesNewRomanPSMT" w:cs="TimesNewRomanPSMT"/>
        </w:rPr>
        <w:t>, B.A.</w:t>
      </w:r>
    </w:p>
    <w:p w14:paraId="335E3879" w14:textId="77777777" w:rsidR="00DF7844" w:rsidRDefault="00DF7844" w:rsidP="00DF7844">
      <w:pPr>
        <w:spacing w:before="100" w:beforeAutospacing="1" w:after="100" w:afterAutospacing="1"/>
        <w:jc w:val="center"/>
        <w:rPr>
          <w:rFonts w:ascii="TimesNewRomanPSMT" w:hAnsi="TimesNewRomanPSMT" w:cs="TimesNewRomanPSMT"/>
        </w:rPr>
      </w:pPr>
    </w:p>
    <w:p w14:paraId="40A95A17" w14:textId="77777777" w:rsidR="00DF7844" w:rsidRDefault="00DF7844" w:rsidP="00DF7844">
      <w:pPr>
        <w:spacing w:before="100" w:beforeAutospacing="1" w:after="100" w:afterAutospacing="1"/>
        <w:jc w:val="center"/>
        <w:rPr>
          <w:rFonts w:ascii="TimesNewRomanPSMT" w:hAnsi="TimesNewRomanPSMT" w:cs="TimesNewRomanPSMT"/>
        </w:rPr>
      </w:pPr>
    </w:p>
    <w:p w14:paraId="3BF1FFEB" w14:textId="77777777" w:rsidR="00DF7844" w:rsidRDefault="00DF7844" w:rsidP="00DF7844">
      <w:pPr>
        <w:spacing w:before="100" w:beforeAutospacing="1" w:after="100" w:afterAutospacing="1"/>
        <w:rPr>
          <w:rFonts w:ascii="TimesNewRomanPSMT" w:hAnsi="TimesNewRomanPSMT" w:cs="TimesNewRomanPSMT"/>
        </w:rPr>
      </w:pPr>
    </w:p>
    <w:p w14:paraId="4DF3B2DC" w14:textId="77777777" w:rsidR="00DF7844" w:rsidRDefault="00DF7844" w:rsidP="00DF7844">
      <w:pPr>
        <w:spacing w:before="100" w:beforeAutospacing="1" w:after="100" w:afterAutospacing="1"/>
        <w:jc w:val="center"/>
        <w:rPr>
          <w:rFonts w:ascii="TimesNewRomanPSMT" w:hAnsi="TimesNewRomanPSMT" w:cs="TimesNewRomanPSMT"/>
        </w:rPr>
      </w:pPr>
    </w:p>
    <w:p w14:paraId="19218F9F" w14:textId="77777777" w:rsidR="00DF7844" w:rsidRDefault="00DF7844" w:rsidP="00DF7844">
      <w:pPr>
        <w:spacing w:before="100" w:beforeAutospacing="1" w:after="100" w:afterAutospacing="1"/>
        <w:rPr>
          <w:rFonts w:ascii="TimesNewRomanPSMT" w:hAnsi="TimesNewRomanPSMT" w:cs="TimesNewRomanPSMT"/>
        </w:rPr>
      </w:pPr>
    </w:p>
    <w:p w14:paraId="378F773E" w14:textId="77777777" w:rsidR="00DF7844" w:rsidRPr="00846D00" w:rsidRDefault="00DF7844" w:rsidP="00DF7844">
      <w:pPr>
        <w:spacing w:before="100" w:beforeAutospacing="1" w:after="100" w:afterAutospacing="1"/>
        <w:jc w:val="center"/>
      </w:pPr>
      <w:r w:rsidRPr="00846D00">
        <w:rPr>
          <w:rFonts w:ascii="TimesNewRomanPSMT" w:hAnsi="TimesNewRomanPSMT" w:cs="TimesNewRomanPSMT"/>
        </w:rPr>
        <w:t>Thesis Submitted to the School of Graduate Studies in Partial Fulfillment of the Requirements for the Degree Master of Arts</w:t>
      </w:r>
    </w:p>
    <w:p w14:paraId="15DE4D02" w14:textId="77777777" w:rsidR="00DF7844" w:rsidRDefault="00DF7844" w:rsidP="00DF7844">
      <w:pPr>
        <w:spacing w:before="100" w:beforeAutospacing="1" w:after="100" w:afterAutospacing="1"/>
        <w:rPr>
          <w:rFonts w:ascii="TimesNewRomanPSMT" w:hAnsi="TimesNewRomanPSMT" w:cs="TimesNewRomanPSMT"/>
        </w:rPr>
      </w:pPr>
    </w:p>
    <w:p w14:paraId="0C3D0425" w14:textId="77777777" w:rsidR="00DF7844" w:rsidRDefault="00DF7844" w:rsidP="00DF7844">
      <w:pPr>
        <w:spacing w:before="100" w:beforeAutospacing="1" w:after="100" w:afterAutospacing="1"/>
        <w:rPr>
          <w:rFonts w:ascii="TimesNewRomanPSMT" w:hAnsi="TimesNewRomanPSMT" w:cs="TimesNewRomanPSMT"/>
        </w:rPr>
      </w:pPr>
    </w:p>
    <w:p w14:paraId="1BD4BEAF" w14:textId="77777777" w:rsidR="00DF7844" w:rsidRDefault="00DF7844" w:rsidP="00DF7844">
      <w:pPr>
        <w:spacing w:before="100" w:beforeAutospacing="1" w:after="100" w:afterAutospacing="1"/>
        <w:rPr>
          <w:rFonts w:ascii="TimesNewRomanPSMT" w:hAnsi="TimesNewRomanPSMT" w:cs="TimesNewRomanPSMT"/>
        </w:rPr>
      </w:pPr>
    </w:p>
    <w:p w14:paraId="4BA3FEBD" w14:textId="77777777" w:rsidR="00DF7844" w:rsidRDefault="00DF7844" w:rsidP="00DF7844">
      <w:pPr>
        <w:spacing w:before="100" w:beforeAutospacing="1" w:after="100" w:afterAutospacing="1"/>
        <w:rPr>
          <w:rFonts w:ascii="TimesNewRomanPSMT" w:hAnsi="TimesNewRomanPSMT" w:cs="TimesNewRomanPSMT"/>
        </w:rPr>
      </w:pPr>
    </w:p>
    <w:p w14:paraId="6D707738" w14:textId="77777777" w:rsidR="00DF7844" w:rsidRDefault="00DF7844" w:rsidP="00DF7844">
      <w:pPr>
        <w:spacing w:before="100" w:beforeAutospacing="1" w:after="100" w:afterAutospacing="1"/>
        <w:jc w:val="center"/>
        <w:rPr>
          <w:rFonts w:ascii="TimesNewRomanPSMT" w:hAnsi="TimesNewRomanPSMT" w:cs="TimesNewRomanPSMT"/>
        </w:rPr>
      </w:pPr>
    </w:p>
    <w:p w14:paraId="0E9A8207" w14:textId="77777777" w:rsidR="00DF7844" w:rsidRDefault="00DF7844" w:rsidP="00DF7844">
      <w:pPr>
        <w:spacing w:before="100" w:beforeAutospacing="1" w:after="100" w:afterAutospacing="1"/>
        <w:jc w:val="center"/>
        <w:rPr>
          <w:rFonts w:ascii="TimesNewRomanPSMT" w:hAnsi="TimesNewRomanPSMT" w:cs="TimesNewRomanPSMT"/>
        </w:rPr>
      </w:pPr>
    </w:p>
    <w:p w14:paraId="347BD633" w14:textId="375C1DE0" w:rsidR="00846D00" w:rsidRPr="00DF7844" w:rsidRDefault="00DF7844" w:rsidP="00DF7844">
      <w:pPr>
        <w:jc w:val="center"/>
        <w:rPr>
          <w:rFonts w:ascii="TimesNewRomanPSMT" w:hAnsi="TimesNewRomanPSMT" w:cs="TimesNewRomanPSMT"/>
        </w:rPr>
      </w:pPr>
      <w:r w:rsidRPr="00846D00">
        <w:rPr>
          <w:rFonts w:ascii="TimesNewRomanPSMT" w:hAnsi="TimesNewRomanPSMT" w:cs="TimesNewRomanPSMT"/>
        </w:rPr>
        <w:t xml:space="preserve">McMaster University © Copyright by </w:t>
      </w:r>
      <w:r>
        <w:rPr>
          <w:rFonts w:ascii="TimesNewRomanPSMT" w:hAnsi="TimesNewRomanPSMT" w:cs="TimesNewRomanPSMT"/>
        </w:rPr>
        <w:t>Hana Salahuddin</w:t>
      </w:r>
      <w:r w:rsidRPr="00846D00">
        <w:rPr>
          <w:rFonts w:ascii="TimesNewRomanPSMT" w:hAnsi="TimesNewRomanPSMT" w:cs="TimesNewRomanPSMT"/>
        </w:rPr>
        <w:t xml:space="preserve">, </w:t>
      </w:r>
      <w:r w:rsidR="00A638BF">
        <w:rPr>
          <w:rFonts w:ascii="TimesNewRomanPSMT" w:hAnsi="TimesNewRomanPSMT" w:cs="TimesNewRomanPSMT"/>
        </w:rPr>
        <w:t>Ju</w:t>
      </w:r>
      <w:r w:rsidR="00940391">
        <w:rPr>
          <w:rFonts w:ascii="TimesNewRomanPSMT" w:hAnsi="TimesNewRomanPSMT" w:cs="TimesNewRomanPSMT"/>
        </w:rPr>
        <w:t xml:space="preserve">ly </w:t>
      </w:r>
      <w:r w:rsidRPr="00846D00">
        <w:rPr>
          <w:rFonts w:ascii="TimesNewRomanPSMT" w:hAnsi="TimesNewRomanPSMT" w:cs="TimesNewRomanPSMT"/>
        </w:rPr>
        <w:t>201</w:t>
      </w:r>
      <w:r>
        <w:rPr>
          <w:rFonts w:ascii="TimesNewRomanPSMT" w:hAnsi="TimesNewRomanPSMT" w:cs="TimesNewRomanPSMT"/>
        </w:rPr>
        <w:t>9</w:t>
      </w:r>
      <w:r w:rsidR="00846D00">
        <w:rPr>
          <w:rFonts w:ascii="TimesNewRomanPSMT" w:hAnsi="TimesNewRomanPSMT" w:cs="TimesNewRomanPSMT"/>
        </w:rPr>
        <w:br w:type="page"/>
      </w:r>
    </w:p>
    <w:p w14:paraId="0F98C5DF" w14:textId="77777777" w:rsidR="00DF7844" w:rsidRDefault="00DF7844" w:rsidP="00846D00">
      <w:pPr>
        <w:spacing w:before="100" w:beforeAutospacing="1" w:after="100" w:afterAutospacing="1"/>
        <w:ind w:right="20"/>
        <w:contextualSpacing/>
        <w:rPr>
          <w:rFonts w:ascii="TimesNewRomanPSMT" w:hAnsi="TimesNewRomanPSMT" w:cs="TimesNewRomanPSMT"/>
        </w:rPr>
        <w:sectPr w:rsidR="00DF7844" w:rsidSect="001A193A">
          <w:footerReference w:type="even" r:id="rId8"/>
          <w:footerReference w:type="default" r:id="rId9"/>
          <w:headerReference w:type="first" r:id="rId10"/>
          <w:footerReference w:type="first" r:id="rId11"/>
          <w:pgSz w:w="12240" w:h="15840"/>
          <w:pgMar w:top="2155" w:right="1418" w:bottom="1418" w:left="2155" w:header="709" w:footer="709" w:gutter="0"/>
          <w:pgNumType w:fmt="lowerRoman" w:start="1"/>
          <w:cols w:space="708"/>
          <w:docGrid w:linePitch="360"/>
        </w:sectPr>
      </w:pPr>
    </w:p>
    <w:p w14:paraId="15082FB4" w14:textId="77D7099D" w:rsidR="00846D00" w:rsidRDefault="00846D00" w:rsidP="00846D00">
      <w:pPr>
        <w:spacing w:before="100" w:beforeAutospacing="1" w:after="100" w:afterAutospacing="1"/>
        <w:ind w:right="20"/>
        <w:contextualSpacing/>
        <w:rPr>
          <w:rFonts w:ascii="TimesNewRomanPSMT" w:hAnsi="TimesNewRomanPSMT" w:cs="TimesNewRomanPSMT"/>
        </w:rPr>
      </w:pPr>
      <w:r w:rsidRPr="00846D00">
        <w:rPr>
          <w:rFonts w:ascii="TimesNewRomanPSMT" w:hAnsi="TimesNewRomanPSMT" w:cs="TimesNewRomanPSMT"/>
        </w:rPr>
        <w:lastRenderedPageBreak/>
        <w:t>MASTER OF ARTS (201</w:t>
      </w:r>
      <w:r>
        <w:rPr>
          <w:rFonts w:ascii="TimesNewRomanPSMT" w:hAnsi="TimesNewRomanPSMT" w:cs="TimesNewRomanPSMT"/>
        </w:rPr>
        <w:t>9</w:t>
      </w:r>
      <w:r w:rsidRPr="00846D00">
        <w:rPr>
          <w:rFonts w:ascii="TimesNewRomanPSMT" w:hAnsi="TimesNewRomanPSMT" w:cs="TimesNewRomanPSMT"/>
        </w:rPr>
        <w:t xml:space="preserve">) </w:t>
      </w:r>
      <w:r>
        <w:rPr>
          <w:rFonts w:ascii="TimesNewRomanPSMT" w:hAnsi="TimesNewRomanPSMT" w:cs="TimesNewRomanPSMT"/>
        </w:rPr>
        <w:t xml:space="preserve">                                                               McMaster University   </w:t>
      </w:r>
    </w:p>
    <w:p w14:paraId="5429DC94" w14:textId="5B4E84FC" w:rsidR="00846D00" w:rsidRDefault="00846D00" w:rsidP="00846D00">
      <w:pPr>
        <w:spacing w:before="100" w:beforeAutospacing="1" w:after="100" w:afterAutospacing="1"/>
        <w:contextualSpacing/>
        <w:rPr>
          <w:rFonts w:ascii="TimesNewRomanPSMT" w:hAnsi="TimesNewRomanPSMT" w:cs="TimesNewRomanPSMT"/>
        </w:rPr>
      </w:pPr>
      <w:r>
        <w:rPr>
          <w:rFonts w:ascii="TimesNewRomanPSMT" w:hAnsi="TimesNewRomanPSMT" w:cs="TimesNewRomanPSMT"/>
        </w:rPr>
        <w:t>(Anthropology)                                                                                         Hamilton, Ontario</w:t>
      </w:r>
    </w:p>
    <w:p w14:paraId="55225D97" w14:textId="77777777" w:rsidR="00846D00" w:rsidRPr="00846D00" w:rsidRDefault="00846D00" w:rsidP="00846D00">
      <w:pPr>
        <w:spacing w:before="100" w:beforeAutospacing="1" w:after="100" w:afterAutospacing="1"/>
        <w:rPr>
          <w:rFonts w:ascii="TimesNewRomanPSMT" w:hAnsi="TimesNewRomanPSMT" w:cs="TimesNewRomanPSMT"/>
        </w:rPr>
      </w:pPr>
    </w:p>
    <w:p w14:paraId="761ACA6E" w14:textId="4942EAC4" w:rsidR="00846D00" w:rsidRPr="00846D00" w:rsidRDefault="00846D00" w:rsidP="00846D00">
      <w:pPr>
        <w:spacing w:before="100" w:beforeAutospacing="1" w:after="100" w:afterAutospacing="1"/>
      </w:pPr>
      <w:r w:rsidRPr="00846D00">
        <w:rPr>
          <w:rFonts w:ascii="TimesNewRomanPSMT" w:hAnsi="TimesNewRomanPSMT" w:cs="TimesNewRomanPSMT"/>
        </w:rPr>
        <w:t xml:space="preserve">TITLE: Individual breastfeeding and weaning histories in </w:t>
      </w:r>
      <w:r>
        <w:rPr>
          <w:rFonts w:ascii="TimesNewRomanPSMT" w:hAnsi="TimesNewRomanPSMT" w:cs="TimesNewRomanPSMT"/>
        </w:rPr>
        <w:t>Iron Age South Italy</w:t>
      </w:r>
      <w:r w:rsidRPr="00846D00">
        <w:rPr>
          <w:rFonts w:ascii="TimesNewRomanPSMT" w:hAnsi="TimesNewRomanPSMT" w:cs="TimesNewRomanPSMT"/>
        </w:rPr>
        <w:t xml:space="preserve"> using stable isotope analysis of incremental dentine sections </w:t>
      </w:r>
      <w:r>
        <w:rPr>
          <w:rFonts w:ascii="TimesNewRomanPSMT" w:hAnsi="TimesNewRomanPSMT" w:cs="TimesNewRomanPSMT"/>
        </w:rPr>
        <w:t>and bone collagen</w:t>
      </w:r>
    </w:p>
    <w:p w14:paraId="57255771" w14:textId="77777777" w:rsidR="00846D00" w:rsidRDefault="00846D00" w:rsidP="00846D00">
      <w:pPr>
        <w:spacing w:before="100" w:beforeAutospacing="1" w:after="100" w:afterAutospacing="1" w:line="480" w:lineRule="auto"/>
        <w:rPr>
          <w:rFonts w:ascii="TimesNewRomanPSMT" w:hAnsi="TimesNewRomanPSMT" w:cs="TimesNewRomanPSMT"/>
        </w:rPr>
      </w:pPr>
      <w:r w:rsidRPr="00846D00">
        <w:rPr>
          <w:rFonts w:ascii="TimesNewRomanPSMT" w:hAnsi="TimesNewRomanPSMT" w:cs="TimesNewRomanPSMT"/>
        </w:rPr>
        <w:t xml:space="preserve">AUTHOR: </w:t>
      </w:r>
      <w:r>
        <w:rPr>
          <w:rFonts w:ascii="TimesNewRomanPSMT" w:hAnsi="TimesNewRomanPSMT" w:cs="TimesNewRomanPSMT"/>
        </w:rPr>
        <w:t>Hana Salahuddin</w:t>
      </w:r>
      <w:r w:rsidRPr="00846D00">
        <w:rPr>
          <w:rFonts w:ascii="TimesNewRomanPSMT" w:hAnsi="TimesNewRomanPSMT" w:cs="TimesNewRomanPSMT"/>
        </w:rPr>
        <w:t xml:space="preserve">, B.A., Hon (University of </w:t>
      </w:r>
      <w:r>
        <w:rPr>
          <w:rFonts w:ascii="TimesNewRomanPSMT" w:hAnsi="TimesNewRomanPSMT" w:cs="TimesNewRomanPSMT"/>
        </w:rPr>
        <w:t>Toronto at Mississauga</w:t>
      </w:r>
      <w:r w:rsidRPr="00846D00">
        <w:rPr>
          <w:rFonts w:ascii="TimesNewRomanPSMT" w:hAnsi="TimesNewRomanPSMT" w:cs="TimesNewRomanPSMT"/>
        </w:rPr>
        <w:t xml:space="preserve">) </w:t>
      </w:r>
    </w:p>
    <w:p w14:paraId="47D82C84" w14:textId="07F19671" w:rsidR="00846D00" w:rsidRDefault="00846D00" w:rsidP="00846D00">
      <w:pPr>
        <w:spacing w:before="100" w:beforeAutospacing="1" w:after="100" w:afterAutospacing="1" w:line="480" w:lineRule="auto"/>
        <w:rPr>
          <w:rFonts w:ascii="TimesNewRomanPSMT" w:hAnsi="TimesNewRomanPSMT" w:cs="TimesNewRomanPSMT"/>
        </w:rPr>
      </w:pPr>
      <w:r w:rsidRPr="00846D00">
        <w:rPr>
          <w:rFonts w:ascii="TimesNewRomanPSMT" w:hAnsi="TimesNewRomanPSMT" w:cs="TimesNewRomanPSMT"/>
        </w:rPr>
        <w:t>SUPERVISOR: Dr. Tracy Prowse</w:t>
      </w:r>
    </w:p>
    <w:p w14:paraId="63786F2B" w14:textId="15B888B3" w:rsidR="00DF7844" w:rsidRPr="0004751B" w:rsidRDefault="00846D00" w:rsidP="0004751B">
      <w:pPr>
        <w:spacing w:before="100" w:beforeAutospacing="1" w:after="100" w:afterAutospacing="1" w:line="480" w:lineRule="auto"/>
        <w:sectPr w:rsidR="00DF7844" w:rsidRPr="0004751B" w:rsidSect="001A193A">
          <w:headerReference w:type="default" r:id="rId12"/>
          <w:pgSz w:w="12240" w:h="15840"/>
          <w:pgMar w:top="2155" w:right="1418" w:bottom="1418" w:left="2155" w:header="709" w:footer="709" w:gutter="0"/>
          <w:pgNumType w:fmt="lowerRoman" w:start="2"/>
          <w:cols w:space="708"/>
          <w:docGrid w:linePitch="360"/>
        </w:sectPr>
      </w:pPr>
      <w:r w:rsidRPr="00846D00">
        <w:rPr>
          <w:rFonts w:ascii="TimesNewRomanPSMT" w:hAnsi="TimesNewRomanPSMT" w:cs="TimesNewRomanPSMT"/>
        </w:rPr>
        <w:t xml:space="preserve">NUMBER OF PAGES: </w:t>
      </w:r>
      <w:r w:rsidR="006655A6">
        <w:rPr>
          <w:rFonts w:ascii="TimesNewRomanPSMT" w:hAnsi="TimesNewRomanPSMT" w:cs="TimesNewRomanPSMT"/>
        </w:rPr>
        <w:t xml:space="preserve">  x</w:t>
      </w:r>
      <w:r w:rsidR="009C515B">
        <w:rPr>
          <w:rFonts w:ascii="TimesNewRomanPSMT" w:hAnsi="TimesNewRomanPSMT" w:cs="TimesNewRomanPSMT"/>
        </w:rPr>
        <w:t>i</w:t>
      </w:r>
      <w:r w:rsidR="00153232">
        <w:rPr>
          <w:rFonts w:ascii="TimesNewRomanPSMT" w:hAnsi="TimesNewRomanPSMT" w:cs="TimesNewRomanPSMT"/>
        </w:rPr>
        <w:t>i</w:t>
      </w:r>
      <w:r w:rsidR="006655A6">
        <w:rPr>
          <w:rFonts w:ascii="TimesNewRomanPSMT" w:hAnsi="TimesNewRomanPSMT" w:cs="TimesNewRomanPSMT"/>
        </w:rPr>
        <w:t xml:space="preserve"> - </w:t>
      </w:r>
      <w:r w:rsidR="00ED74F0">
        <w:rPr>
          <w:rFonts w:ascii="TimesNewRomanPSMT" w:hAnsi="TimesNewRomanPSMT" w:cs="TimesNewRomanPSMT"/>
        </w:rPr>
        <w:t>198</w:t>
      </w:r>
    </w:p>
    <w:p w14:paraId="3815CAF5" w14:textId="6E4EE372" w:rsidR="002E72E6" w:rsidRPr="00E81BFE" w:rsidRDefault="002E72E6" w:rsidP="000C758D">
      <w:pPr>
        <w:rPr>
          <w:b/>
        </w:rPr>
      </w:pPr>
      <w:r w:rsidRPr="00E81BFE">
        <w:rPr>
          <w:b/>
        </w:rPr>
        <w:lastRenderedPageBreak/>
        <w:t>Abstract</w:t>
      </w:r>
    </w:p>
    <w:p w14:paraId="04F93D59" w14:textId="65EACFC5" w:rsidR="0028507E" w:rsidRPr="00DF6371" w:rsidRDefault="002E72E6" w:rsidP="00DF6371">
      <w:pPr>
        <w:spacing w:before="100" w:beforeAutospacing="1" w:after="100" w:afterAutospacing="1" w:line="480" w:lineRule="auto"/>
        <w:ind w:firstLine="720"/>
      </w:pPr>
      <w:r>
        <w:t>This thesis investigates breastfeeding and weaning patterns in an Iron Age</w:t>
      </w:r>
      <w:r w:rsidR="0045478E">
        <w:t xml:space="preserve"> (7</w:t>
      </w:r>
      <w:r w:rsidR="0045478E" w:rsidRPr="0045478E">
        <w:rPr>
          <w:vertAlign w:val="superscript"/>
        </w:rPr>
        <w:t>th</w:t>
      </w:r>
      <w:r w:rsidR="0045478E">
        <w:t xml:space="preserve"> – 4</w:t>
      </w:r>
      <w:r w:rsidR="0045478E" w:rsidRPr="0045478E">
        <w:rPr>
          <w:vertAlign w:val="superscript"/>
        </w:rPr>
        <w:t>th</w:t>
      </w:r>
      <w:r w:rsidR="0045478E">
        <w:t xml:space="preserve"> century BCE) </w:t>
      </w:r>
      <w:r>
        <w:t>sample of subadults (</w:t>
      </w:r>
      <w:r w:rsidRPr="002E72E6">
        <w:rPr>
          <w:i/>
        </w:rPr>
        <w:t>n</w:t>
      </w:r>
      <w:r>
        <w:t>=12) and adults (</w:t>
      </w:r>
      <w:r w:rsidRPr="002E72E6">
        <w:rPr>
          <w:i/>
        </w:rPr>
        <w:t>n</w:t>
      </w:r>
      <w:r>
        <w:t>=9)</w:t>
      </w:r>
      <w:r w:rsidR="0045478E">
        <w:t xml:space="preserve"> buried at the sites</w:t>
      </w:r>
      <w:r w:rsidR="005422D8">
        <w:t xml:space="preserve"> of </w:t>
      </w:r>
      <w:r w:rsidR="0045478E">
        <w:t>Botromagno, Parco San Stefano and Padreterno in</w:t>
      </w:r>
      <w:r w:rsidR="00D27B5E">
        <w:t xml:space="preserve"> </w:t>
      </w:r>
      <w:r w:rsidR="0045478E">
        <w:t>southern Italy. S</w:t>
      </w:r>
      <w:r>
        <w:t xml:space="preserve">table isotope analysis of </w:t>
      </w:r>
      <w:r w:rsidR="001577DF">
        <w:t xml:space="preserve">both </w:t>
      </w:r>
      <w:r>
        <w:t>human tooth dentine and bone collagen</w:t>
      </w:r>
      <w:r w:rsidR="0045478E">
        <w:t xml:space="preserve"> </w:t>
      </w:r>
      <w:r w:rsidR="001577DF">
        <w:t>for</w:t>
      </w:r>
      <w:r w:rsidR="0045478E">
        <w:t xml:space="preserve"> each subadult, and tooth dentine for adults, </w:t>
      </w:r>
      <w:r w:rsidR="005422D8">
        <w:t xml:space="preserve">was undertaken </w:t>
      </w:r>
      <w:r w:rsidR="0045478E">
        <w:t>to create early</w:t>
      </w:r>
      <w:r w:rsidR="00CB29A8">
        <w:t>-</w:t>
      </w:r>
      <w:r w:rsidR="0045478E">
        <w:t>life feeding historie</w:t>
      </w:r>
      <w:r w:rsidR="00CB29A8">
        <w:t>s</w:t>
      </w:r>
      <w:r w:rsidR="001577DF">
        <w:t xml:space="preserve">. </w:t>
      </w:r>
      <w:r w:rsidR="00CB29A8">
        <w:t xml:space="preserve">The </w:t>
      </w:r>
      <w:r w:rsidR="00206409">
        <w:t xml:space="preserve">dentine serial </w:t>
      </w:r>
      <w:r w:rsidR="005422D8">
        <w:t xml:space="preserve">sections </w:t>
      </w:r>
      <w:r w:rsidR="00102556">
        <w:t xml:space="preserve">were </w:t>
      </w:r>
      <w:r w:rsidR="005422D8">
        <w:t xml:space="preserve">used </w:t>
      </w:r>
      <w:r w:rsidR="00E95E69">
        <w:t xml:space="preserve">to </w:t>
      </w:r>
      <w:r w:rsidR="00E81BFE">
        <w:t xml:space="preserve">determine the onset and completion of weaning </w:t>
      </w:r>
      <w:r w:rsidR="001577DF">
        <w:t>for each individual</w:t>
      </w:r>
      <w:r w:rsidR="005422D8">
        <w:t>,</w:t>
      </w:r>
      <w:r w:rsidR="00E81BFE">
        <w:t xml:space="preserve"> as well as </w:t>
      </w:r>
      <w:r w:rsidR="001577DF">
        <w:t xml:space="preserve">distinguish </w:t>
      </w:r>
      <w:r w:rsidR="00E81BFE">
        <w:t xml:space="preserve">general trends in </w:t>
      </w:r>
      <w:r w:rsidR="001577DF">
        <w:t>early</w:t>
      </w:r>
      <w:r w:rsidR="00E81BFE">
        <w:t xml:space="preserve"> feeding practices </w:t>
      </w:r>
      <w:r w:rsidR="0004751B">
        <w:t>at these</w:t>
      </w:r>
      <w:r w:rsidR="00E81BFE">
        <w:t xml:space="preserve"> Iron Age </w:t>
      </w:r>
      <w:r w:rsidR="0004751B">
        <w:t>sites</w:t>
      </w:r>
      <w:r w:rsidR="00E81BFE">
        <w:t>.</w:t>
      </w:r>
      <w:r w:rsidR="0004751B">
        <w:t xml:space="preserve"> </w:t>
      </w:r>
      <w:r w:rsidR="005422D8">
        <w:t xml:space="preserve">Results indicate that </w:t>
      </w:r>
      <w:r w:rsidR="006B5C18">
        <w:t>the</w:t>
      </w:r>
      <w:r w:rsidR="005422D8">
        <w:t xml:space="preserve"> average onset of weaning in subadults</w:t>
      </w:r>
      <w:r w:rsidR="006B5C18">
        <w:t xml:space="preserve"> occurred</w:t>
      </w:r>
      <w:r w:rsidR="005422D8">
        <w:t xml:space="preserve"> at 8 ± 3.4 months and weaning </w:t>
      </w:r>
      <w:r w:rsidR="001356D3">
        <w:t xml:space="preserve">was </w:t>
      </w:r>
      <w:r w:rsidR="005422D8">
        <w:t xml:space="preserve">completed by 4 years </w:t>
      </w:r>
      <w:r w:rsidR="001356D3">
        <w:t xml:space="preserve">of age at the latest </w:t>
      </w:r>
      <w:r w:rsidR="005422D8">
        <w:t>for all individuals</w:t>
      </w:r>
      <w:r w:rsidR="001356D3">
        <w:t>; however,</w:t>
      </w:r>
      <w:r w:rsidR="006B5C18">
        <w:t xml:space="preserve"> the patterns of breastfeeding and weaning were variable</w:t>
      </w:r>
      <w:r w:rsidR="001356D3">
        <w:t xml:space="preserve"> in this sample.</w:t>
      </w:r>
      <w:r w:rsidR="005422D8">
        <w:t xml:space="preserve"> This study also</w:t>
      </w:r>
      <w:r w:rsidR="0004751B">
        <w:t xml:space="preserve"> explore</w:t>
      </w:r>
      <w:r w:rsidR="006B5C18">
        <w:t>s</w:t>
      </w:r>
      <w:r w:rsidR="0004751B">
        <w:t xml:space="preserve"> variation in early childhood diet between survivors</w:t>
      </w:r>
      <w:r w:rsidR="009D10D9">
        <w:t xml:space="preserve"> </w:t>
      </w:r>
      <w:r w:rsidR="0004751B">
        <w:t xml:space="preserve">and non-survivors </w:t>
      </w:r>
      <w:r w:rsidR="00940391">
        <w:t>(</w:t>
      </w:r>
      <w:r w:rsidR="0028507E">
        <w:t xml:space="preserve">i.e., </w:t>
      </w:r>
      <w:r w:rsidR="005422D8">
        <w:t>&lt;</w:t>
      </w:r>
      <w:r w:rsidR="006B5C18">
        <w:t xml:space="preserve"> </w:t>
      </w:r>
      <w:r w:rsidR="0028507E">
        <w:t>4</w:t>
      </w:r>
      <w:r w:rsidR="00702425">
        <w:t xml:space="preserve"> </w:t>
      </w:r>
      <w:r w:rsidR="0028507E">
        <w:t>years of age)</w:t>
      </w:r>
      <w:r w:rsidR="005422D8">
        <w:t>.</w:t>
      </w:r>
      <w:r w:rsidR="005422D8" w:rsidRPr="005422D8">
        <w:t xml:space="preserve"> </w:t>
      </w:r>
      <w:r w:rsidR="005422D8">
        <w:t>Non-survivors were weaned more rapidly</w:t>
      </w:r>
      <w:r w:rsidR="009D10D9">
        <w:t xml:space="preserve"> than survivors</w:t>
      </w:r>
      <w:r w:rsidR="005422D8">
        <w:t xml:space="preserve"> – possibly contributing to their earlier death – and some</w:t>
      </w:r>
      <w:r w:rsidR="009D10D9">
        <w:t xml:space="preserve"> non-survivors </w:t>
      </w:r>
      <w:r w:rsidR="005422D8">
        <w:t xml:space="preserve">demonstrated elevated </w:t>
      </w:r>
      <w:r w:rsidR="005422D8" w:rsidRPr="00C850F5">
        <w:rPr>
          <w:rFonts w:ascii="TimesNewRomanPSMT" w:hAnsi="TimesNewRomanPSMT" w:cs="TimesNewRomanPSMT"/>
        </w:rPr>
        <w:t>δ</w:t>
      </w:r>
      <w:r w:rsidR="005422D8" w:rsidRPr="00C850F5">
        <w:rPr>
          <w:rFonts w:ascii="TimesNewRomanPSMT" w:hAnsi="TimesNewRomanPSMT" w:cs="TimesNewRomanPSMT"/>
          <w:position w:val="10"/>
          <w:sz w:val="16"/>
          <w:szCs w:val="16"/>
        </w:rPr>
        <w:t>15</w:t>
      </w:r>
      <w:r w:rsidR="005422D8" w:rsidRPr="00C850F5">
        <w:rPr>
          <w:rFonts w:ascii="TimesNewRomanPSMT" w:hAnsi="TimesNewRomanPSMT" w:cs="TimesNewRomanPSMT"/>
        </w:rPr>
        <w:t>N</w:t>
      </w:r>
      <w:r w:rsidR="005422D8">
        <w:rPr>
          <w:rFonts w:ascii="TimesNewRomanPSMT" w:hAnsi="TimesNewRomanPSMT" w:cs="TimesNewRomanPSMT"/>
        </w:rPr>
        <w:t xml:space="preserve"> values </w:t>
      </w:r>
      <w:r w:rsidR="00747C44">
        <w:rPr>
          <w:rFonts w:ascii="TimesNewRomanPSMT" w:hAnsi="TimesNewRomanPSMT" w:cs="TimesNewRomanPSMT"/>
        </w:rPr>
        <w:t xml:space="preserve">that may </w:t>
      </w:r>
      <w:r w:rsidR="00102556">
        <w:rPr>
          <w:rFonts w:ascii="TimesNewRomanPSMT" w:hAnsi="TimesNewRomanPSMT" w:cs="TimesNewRomanPSMT"/>
        </w:rPr>
        <w:t>have been a</w:t>
      </w:r>
      <w:r w:rsidR="005422D8">
        <w:rPr>
          <w:rFonts w:ascii="TimesNewRomanPSMT" w:hAnsi="TimesNewRomanPSMT" w:cs="TimesNewRomanPSMT"/>
        </w:rPr>
        <w:t xml:space="preserve"> result of physiological stress. </w:t>
      </w:r>
      <w:r w:rsidR="006216A6">
        <w:t xml:space="preserve"> </w:t>
      </w:r>
      <w:r w:rsidR="009D10D9">
        <w:t xml:space="preserve">It is, however, difficult to distinguish signals of breastfeeding versus stress in young children who were still likely </w:t>
      </w:r>
      <w:r w:rsidR="00102556">
        <w:t>consuming breast milk</w:t>
      </w:r>
      <w:r w:rsidR="009D10D9">
        <w:t xml:space="preserve">. </w:t>
      </w:r>
      <w:r w:rsidR="008A0C98">
        <w:t xml:space="preserve">Finally, </w:t>
      </w:r>
      <w:r w:rsidR="0004751B" w:rsidRPr="0004751B">
        <w:t>differences</w:t>
      </w:r>
      <w:r w:rsidR="008A0C98">
        <w:t xml:space="preserve"> in isotope data</w:t>
      </w:r>
      <w:r w:rsidR="0004751B" w:rsidRPr="0004751B">
        <w:t xml:space="preserve"> </w:t>
      </w:r>
      <w:r w:rsidR="008A0C98">
        <w:t xml:space="preserve">between </w:t>
      </w:r>
      <w:r w:rsidR="006216A6">
        <w:t xml:space="preserve">dentine </w:t>
      </w:r>
      <w:r w:rsidR="00102556">
        <w:t>serial</w:t>
      </w:r>
      <w:r w:rsidR="0004751B" w:rsidRPr="0004751B">
        <w:t xml:space="preserve"> </w:t>
      </w:r>
      <w:r w:rsidR="0028507E">
        <w:t xml:space="preserve">sampling </w:t>
      </w:r>
      <w:r w:rsidR="006216A6">
        <w:t>and</w:t>
      </w:r>
      <w:r w:rsidR="0004751B" w:rsidRPr="0004751B">
        <w:t xml:space="preserve"> bul</w:t>
      </w:r>
      <w:r w:rsidR="006216A6">
        <w:t xml:space="preserve">k-bone </w:t>
      </w:r>
      <w:r w:rsidR="0004751B" w:rsidRPr="0004751B">
        <w:t xml:space="preserve">sampling of </w:t>
      </w:r>
      <w:r w:rsidR="0004751B">
        <w:t>rib and fem</w:t>
      </w:r>
      <w:r w:rsidR="006216A6">
        <w:t>oral collagen</w:t>
      </w:r>
      <w:r w:rsidR="008A0C98">
        <w:t xml:space="preserve"> from the same individuals </w:t>
      </w:r>
      <w:r w:rsidR="00D823BB">
        <w:t xml:space="preserve">were </w:t>
      </w:r>
      <w:r w:rsidR="008A0C98">
        <w:t>investigated</w:t>
      </w:r>
      <w:r w:rsidR="0004751B">
        <w:t xml:space="preserve">. </w:t>
      </w:r>
      <w:r w:rsidR="000D4E4B">
        <w:rPr>
          <w:rFonts w:ascii="TimesNewRomanPSMT" w:hAnsi="TimesNewRomanPSMT" w:cs="TimesNewRomanPSMT"/>
        </w:rPr>
        <w:t xml:space="preserve">The results show that the combined use of dentine and bone data </w:t>
      </w:r>
      <w:r w:rsidR="000F4E44">
        <w:rPr>
          <w:rFonts w:ascii="TimesNewRomanPSMT" w:hAnsi="TimesNewRomanPSMT" w:cs="TimesNewRomanPSMT"/>
        </w:rPr>
        <w:t>contribute to</w:t>
      </w:r>
      <w:r w:rsidR="008A0C98">
        <w:rPr>
          <w:rFonts w:ascii="TimesNewRomanPSMT" w:hAnsi="TimesNewRomanPSMT" w:cs="TimesNewRomanPSMT"/>
        </w:rPr>
        <w:t xml:space="preserve"> more </w:t>
      </w:r>
      <w:r w:rsidR="000D4E4B">
        <w:rPr>
          <w:rFonts w:ascii="TimesNewRomanPSMT" w:hAnsi="TimesNewRomanPSMT" w:cs="TimesNewRomanPSMT"/>
        </w:rPr>
        <w:t xml:space="preserve">nuanced interpretations of </w:t>
      </w:r>
      <w:r w:rsidR="00216B4C">
        <w:rPr>
          <w:rFonts w:ascii="TimesNewRomanPSMT" w:hAnsi="TimesNewRomanPSMT" w:cs="TimesNewRomanPSMT"/>
        </w:rPr>
        <w:t>weaning</w:t>
      </w:r>
      <w:r w:rsidR="0004183A">
        <w:rPr>
          <w:rFonts w:ascii="TimesNewRomanPSMT" w:hAnsi="TimesNewRomanPSMT" w:cs="TimesNewRomanPSMT"/>
        </w:rPr>
        <w:t>. Further,</w:t>
      </w:r>
      <w:r w:rsidR="000D4E4B">
        <w:rPr>
          <w:rFonts w:ascii="TimesNewRomanPSMT" w:hAnsi="TimesNewRomanPSMT" w:cs="TimesNewRomanPSMT"/>
        </w:rPr>
        <w:t xml:space="preserve"> rib samples represent diet </w:t>
      </w:r>
      <w:r w:rsidR="008A0C98">
        <w:rPr>
          <w:rFonts w:ascii="TimesNewRomanPSMT" w:hAnsi="TimesNewRomanPSMT" w:cs="TimesNewRomanPSMT"/>
        </w:rPr>
        <w:t xml:space="preserve">closer </w:t>
      </w:r>
      <w:r w:rsidR="000D4E4B">
        <w:rPr>
          <w:rFonts w:ascii="TimesNewRomanPSMT" w:hAnsi="TimesNewRomanPSMT" w:cs="TimesNewRomanPSMT"/>
        </w:rPr>
        <w:t xml:space="preserve">to the time of death than femoral samples, as faster bone turnover rate in ribs allow for the incorporation of </w:t>
      </w:r>
      <w:r w:rsidR="006E5C48">
        <w:rPr>
          <w:rFonts w:ascii="TimesNewRomanPSMT" w:hAnsi="TimesNewRomanPSMT" w:cs="TimesNewRomanPSMT"/>
        </w:rPr>
        <w:t xml:space="preserve">more </w:t>
      </w:r>
      <w:r w:rsidR="000D4E4B">
        <w:rPr>
          <w:rFonts w:ascii="TimesNewRomanPSMT" w:hAnsi="TimesNewRomanPSMT" w:cs="TimesNewRomanPSMT"/>
        </w:rPr>
        <w:t xml:space="preserve">recent dietary </w:t>
      </w:r>
      <w:r w:rsidR="006E5C48">
        <w:rPr>
          <w:rFonts w:ascii="TimesNewRomanPSMT" w:hAnsi="TimesNewRomanPSMT" w:cs="TimesNewRomanPSMT"/>
        </w:rPr>
        <w:t>changes</w:t>
      </w:r>
      <w:r w:rsidR="000D4E4B">
        <w:rPr>
          <w:rFonts w:ascii="TimesNewRomanPSMT" w:hAnsi="TimesNewRomanPSMT" w:cs="TimesNewRomanPSMT"/>
        </w:rPr>
        <w:t xml:space="preserve">. </w:t>
      </w:r>
    </w:p>
    <w:p w14:paraId="5B559AEC" w14:textId="7E252AB2" w:rsidR="003910B5" w:rsidRPr="00E81BFE" w:rsidRDefault="00E81BFE" w:rsidP="003910B5">
      <w:pPr>
        <w:spacing w:before="100" w:beforeAutospacing="1" w:after="100" w:afterAutospacing="1"/>
        <w:rPr>
          <w:rFonts w:ascii="TimesNewRomanPSMT" w:hAnsi="TimesNewRomanPSMT" w:cs="TimesNewRomanPSMT"/>
          <w:b/>
        </w:rPr>
      </w:pPr>
      <w:r w:rsidRPr="00E81BFE">
        <w:rPr>
          <w:rFonts w:ascii="TimesNewRomanPSMT" w:hAnsi="TimesNewRomanPSMT" w:cs="TimesNewRomanPSMT"/>
          <w:b/>
        </w:rPr>
        <w:lastRenderedPageBreak/>
        <w:t>Acknowledgements</w:t>
      </w:r>
    </w:p>
    <w:p w14:paraId="2F7BDAF3" w14:textId="659BD952" w:rsidR="00176AF3" w:rsidRDefault="00176AF3" w:rsidP="00176AF3">
      <w:pPr>
        <w:pStyle w:val="NormalWeb"/>
        <w:spacing w:line="480" w:lineRule="auto"/>
        <w:ind w:firstLine="720"/>
      </w:pPr>
      <w:r w:rsidRPr="00673679">
        <w:t xml:space="preserve">I would first like to thank my supervisor, Dr. Tracy Prowse, for her patience and </w:t>
      </w:r>
      <w:r>
        <w:t>careful</w:t>
      </w:r>
      <w:r w:rsidRPr="00673679">
        <w:t xml:space="preserve"> guidance throughout </w:t>
      </w:r>
      <w:r>
        <w:t xml:space="preserve">my graduate school experience. </w:t>
      </w:r>
      <w:r w:rsidRPr="00673679">
        <w:t>This thesis would not have been possible without her</w:t>
      </w:r>
      <w:r>
        <w:t xml:space="preserve"> invaluable training and knowledge of stable isotope analysis</w:t>
      </w:r>
      <w:r w:rsidRPr="00673679">
        <w:t xml:space="preserve">. I am also thankful </w:t>
      </w:r>
      <w:r>
        <w:t>to</w:t>
      </w:r>
      <w:r w:rsidRPr="00673679">
        <w:t xml:space="preserve"> my committee member, Dr. Megan Brickley</w:t>
      </w:r>
      <w:r w:rsidR="00096908">
        <w:t>,</w:t>
      </w:r>
      <w:r w:rsidRPr="00673679">
        <w:t xml:space="preserve"> for lending me </w:t>
      </w:r>
      <w:r w:rsidR="00096908">
        <w:t>her</w:t>
      </w:r>
      <w:r w:rsidR="00096908" w:rsidRPr="00673679">
        <w:t xml:space="preserve"> </w:t>
      </w:r>
      <w:r w:rsidRPr="00673679">
        <w:t>expertise</w:t>
      </w:r>
      <w:r>
        <w:t xml:space="preserve"> </w:t>
      </w:r>
      <w:r w:rsidRPr="00673679">
        <w:t>to shape this thesi</w:t>
      </w:r>
      <w:r>
        <w:t>s</w:t>
      </w:r>
      <w:r w:rsidRPr="00673679">
        <w:t xml:space="preserve">. </w:t>
      </w:r>
      <w:r w:rsidR="00096908">
        <w:t xml:space="preserve">Thank-you to Dr. Tina Moffat for serving as the third reader on my thesis. </w:t>
      </w:r>
      <w:r w:rsidRPr="00673679">
        <w:t xml:space="preserve">My appreciation also extends to all the helpful individuals at </w:t>
      </w:r>
      <w:r w:rsidRPr="00F873EB">
        <w:t>Ján Veizer Stable Isotope Laboratory (formerly G.G. Hatch)</w:t>
      </w:r>
      <w:r>
        <w:t xml:space="preserve"> </w:t>
      </w:r>
      <w:r w:rsidRPr="00673679">
        <w:t xml:space="preserve">at the University of Ottawa </w:t>
      </w:r>
      <w:r>
        <w:t xml:space="preserve">where these samples were analyzed. </w:t>
      </w:r>
    </w:p>
    <w:p w14:paraId="3146A6A2" w14:textId="77777777" w:rsidR="00176AF3" w:rsidRDefault="00176AF3" w:rsidP="00176AF3">
      <w:pPr>
        <w:pStyle w:val="NormalWeb"/>
        <w:ind w:firstLine="720"/>
      </w:pPr>
    </w:p>
    <w:p w14:paraId="3D8B66C2" w14:textId="54B10510" w:rsidR="00176AF3" w:rsidRDefault="00176AF3" w:rsidP="00176AF3">
      <w:pPr>
        <w:pStyle w:val="NormalWeb"/>
        <w:spacing w:line="480" w:lineRule="auto"/>
        <w:ind w:firstLine="720"/>
      </w:pPr>
      <w:r>
        <w:t>I would like to thank my colleagues and friends in the Anthropology department at McMaster. Movie nights with Aaron Cathers, Madeline Tapson, Taylor Peacock</w:t>
      </w:r>
      <w:r w:rsidR="00096908">
        <w:t>,</w:t>
      </w:r>
      <w:r>
        <w:t xml:space="preserve"> and Meghan Macleod made this a manageable and wonderful journey. I am also fortunate to have met Bonnie Kahlon, who has taught me valuable skills within the lab as well as in university, allowing me to develop professionally. Special thanks </w:t>
      </w:r>
      <w:r w:rsidR="00096908">
        <w:t>go</w:t>
      </w:r>
      <w:r>
        <w:t xml:space="preserve"> out to my friend (and soon to be a very successful lawyer), Ramandeep Gill, whose daily words of inspiration and much needed distractions continue to motivate me.  </w:t>
      </w:r>
    </w:p>
    <w:p w14:paraId="2A2013DE" w14:textId="77777777" w:rsidR="00176AF3" w:rsidRDefault="00176AF3" w:rsidP="00176AF3">
      <w:pPr>
        <w:pStyle w:val="NormalWeb"/>
        <w:ind w:firstLine="720"/>
      </w:pPr>
    </w:p>
    <w:p w14:paraId="32F868CB" w14:textId="37A9A4CF" w:rsidR="002E72E6" w:rsidRPr="00257E9D" w:rsidRDefault="00176AF3" w:rsidP="00257E9D">
      <w:pPr>
        <w:pStyle w:val="NormalWeb"/>
        <w:spacing w:line="480" w:lineRule="auto"/>
        <w:ind w:firstLine="720"/>
      </w:pPr>
      <w:r>
        <w:t xml:space="preserve">I would also like to extend the deepest gratitude to my parents, Salahuddin Yousuf and Amtul Jameel, for their unconditional support and encouragement throughout my academic career. Last but not least, I would also like to thank my sister, Bushra, for her relentless confidence in me and for all the times she provided me with meals I so desperately needed to continuously work and finish this degree. </w:t>
      </w:r>
    </w:p>
    <w:p w14:paraId="7FD68064" w14:textId="1B849E85" w:rsidR="00055320" w:rsidRPr="00E81BFE" w:rsidRDefault="00055320" w:rsidP="000C758D">
      <w:pPr>
        <w:rPr>
          <w:b/>
        </w:rPr>
      </w:pPr>
      <w:r w:rsidRPr="00E81BFE">
        <w:rPr>
          <w:b/>
        </w:rPr>
        <w:lastRenderedPageBreak/>
        <w:t>Table of Contents</w:t>
      </w:r>
    </w:p>
    <w:p w14:paraId="63086BAB" w14:textId="77777777" w:rsidR="00055320" w:rsidRPr="00A1165B" w:rsidRDefault="00055320" w:rsidP="00AE572D">
      <w:pPr>
        <w:rPr>
          <w:b/>
        </w:rPr>
      </w:pPr>
    </w:p>
    <w:p w14:paraId="0450D414" w14:textId="5709F174" w:rsidR="00F0418D" w:rsidRPr="00E81BFE" w:rsidRDefault="00F0418D" w:rsidP="00234047">
      <w:pPr>
        <w:jc w:val="right"/>
      </w:pPr>
      <w:r w:rsidRPr="00E81BFE">
        <w:t>Abstract</w:t>
      </w:r>
      <w:r w:rsidR="005933DD">
        <w:t>…………………………………………………………………………………</w:t>
      </w:r>
      <w:r w:rsidR="00994CB0">
        <w:t>…ii</w:t>
      </w:r>
    </w:p>
    <w:p w14:paraId="2BE4C235" w14:textId="0C0C9C3E" w:rsidR="00F0418D" w:rsidRPr="00E81BFE" w:rsidRDefault="00F0418D" w:rsidP="00234047">
      <w:pPr>
        <w:ind w:right="20"/>
        <w:jc w:val="right"/>
      </w:pPr>
      <w:r w:rsidRPr="00E81BFE">
        <w:t>Acknowledgements</w:t>
      </w:r>
      <w:r w:rsidR="00AE572D">
        <w:t>………………………………………………………</w:t>
      </w:r>
      <w:r w:rsidR="00393CBF">
        <w:t>..</w:t>
      </w:r>
      <w:r w:rsidR="00AE572D">
        <w:t>…………...</w:t>
      </w:r>
      <w:r w:rsidR="00994CB0">
        <w:t>....iv</w:t>
      </w:r>
    </w:p>
    <w:p w14:paraId="01FB34EA" w14:textId="061B4B8C" w:rsidR="00F0418D" w:rsidRPr="00E81BFE" w:rsidRDefault="00F0418D" w:rsidP="00234047">
      <w:pPr>
        <w:jc w:val="right"/>
      </w:pPr>
      <w:r w:rsidRPr="00E81BFE">
        <w:t>Table of Contents</w:t>
      </w:r>
      <w:r w:rsidR="00AE572D">
        <w:t>……………………………………………………………………</w:t>
      </w:r>
      <w:r w:rsidR="00994CB0">
        <w:t>...</w:t>
      </w:r>
      <w:r w:rsidR="00AE572D">
        <w:t>…..</w:t>
      </w:r>
      <w:r w:rsidR="00994CB0">
        <w:t>v</w:t>
      </w:r>
    </w:p>
    <w:p w14:paraId="1D299754" w14:textId="21A8D850" w:rsidR="00F0418D" w:rsidRPr="00E81BFE" w:rsidRDefault="00F0418D" w:rsidP="00234047">
      <w:pPr>
        <w:ind w:right="20"/>
        <w:jc w:val="right"/>
      </w:pPr>
      <w:r w:rsidRPr="00E81BFE">
        <w:t>List of Tables</w:t>
      </w:r>
      <w:r w:rsidR="00AE572D">
        <w:t>…………………………………………………</w:t>
      </w:r>
      <w:r w:rsidR="00393CBF">
        <w:t>…..</w:t>
      </w:r>
      <w:r w:rsidR="00AE572D">
        <w:t>……………………</w:t>
      </w:r>
      <w:r w:rsidR="00273756">
        <w:t>...vii</w:t>
      </w:r>
    </w:p>
    <w:p w14:paraId="5F9F2C56" w14:textId="201E4311" w:rsidR="00F0418D" w:rsidRPr="00E81BFE" w:rsidRDefault="00F0418D" w:rsidP="00234047">
      <w:pPr>
        <w:jc w:val="right"/>
      </w:pPr>
      <w:r w:rsidRPr="00E81BFE">
        <w:t>List of Figures</w:t>
      </w:r>
      <w:r w:rsidR="00AE572D">
        <w:t>…………………………………………………………………………...</w:t>
      </w:r>
      <w:r w:rsidR="00273756">
        <w:t>viii</w:t>
      </w:r>
    </w:p>
    <w:p w14:paraId="7874C045" w14:textId="7319B1A0" w:rsidR="00F0418D" w:rsidRDefault="00F0418D" w:rsidP="00234047">
      <w:pPr>
        <w:jc w:val="right"/>
      </w:pPr>
      <w:r w:rsidRPr="00E81BFE">
        <w:t>List of Equations</w:t>
      </w:r>
      <w:r w:rsidR="00AE572D">
        <w:t>……………………………………………………………………...…</w:t>
      </w:r>
      <w:r w:rsidR="00273756">
        <w:t>..xi</w:t>
      </w:r>
    </w:p>
    <w:p w14:paraId="3DF8AEF4" w14:textId="4CE0424B" w:rsidR="000F4E44" w:rsidRPr="00E81BFE" w:rsidRDefault="000F4E44" w:rsidP="00234047">
      <w:pPr>
        <w:jc w:val="right"/>
      </w:pPr>
      <w:r>
        <w:t>Declaration of Academic Achievement</w:t>
      </w:r>
      <w:r w:rsidR="00AE572D">
        <w:t>…………………………………………………</w:t>
      </w:r>
      <w:r w:rsidR="00273756">
        <w:t>.xii</w:t>
      </w:r>
    </w:p>
    <w:p w14:paraId="32011FE3" w14:textId="77777777" w:rsidR="00F0418D" w:rsidRPr="00E81BFE" w:rsidRDefault="00F0418D" w:rsidP="00234047">
      <w:pPr>
        <w:jc w:val="right"/>
      </w:pPr>
    </w:p>
    <w:p w14:paraId="70311503" w14:textId="6D4D392E" w:rsidR="00F0418D" w:rsidRPr="00A1165B" w:rsidRDefault="00F0418D" w:rsidP="00234047">
      <w:pPr>
        <w:jc w:val="right"/>
        <w:rPr>
          <w:b/>
        </w:rPr>
      </w:pPr>
      <w:r w:rsidRPr="00E81BFE">
        <w:t>Chapter 1: Introduction</w:t>
      </w:r>
      <w:r w:rsidR="00AE572D">
        <w:t>…………………………………………………………………</w:t>
      </w:r>
      <w:r w:rsidR="00273756">
        <w:t>…1</w:t>
      </w:r>
    </w:p>
    <w:p w14:paraId="26001438" w14:textId="10613D62" w:rsidR="00F0418D" w:rsidRDefault="00F0418D" w:rsidP="00234047">
      <w:pPr>
        <w:pStyle w:val="ListParagraph"/>
        <w:numPr>
          <w:ilvl w:val="1"/>
          <w:numId w:val="12"/>
        </w:numPr>
        <w:jc w:val="right"/>
        <w:rPr>
          <w:rFonts w:ascii="Times New Roman" w:hAnsi="Times New Roman" w:cs="Times New Roman"/>
          <w:lang w:val="en-CA"/>
        </w:rPr>
      </w:pPr>
      <w:r w:rsidRPr="00A1165B">
        <w:rPr>
          <w:rFonts w:ascii="Times New Roman" w:hAnsi="Times New Roman" w:cs="Times New Roman"/>
          <w:lang w:val="en-CA"/>
        </w:rPr>
        <w:t>Research O</w:t>
      </w:r>
      <w:r>
        <w:rPr>
          <w:rFonts w:ascii="Times New Roman" w:hAnsi="Times New Roman" w:cs="Times New Roman"/>
          <w:lang w:val="en-CA"/>
        </w:rPr>
        <w:t>vervie</w:t>
      </w:r>
      <w:r w:rsidR="00AE572D">
        <w:rPr>
          <w:rFonts w:ascii="Times New Roman" w:hAnsi="Times New Roman" w:cs="Times New Roman"/>
          <w:lang w:val="en-CA"/>
        </w:rPr>
        <w:t>w</w:t>
      </w:r>
      <w:r>
        <w:rPr>
          <w:rFonts w:ascii="Times New Roman" w:hAnsi="Times New Roman" w:cs="Times New Roman"/>
          <w:lang w:val="en-CA"/>
        </w:rPr>
        <w:t xml:space="preserve"> </w:t>
      </w:r>
      <w:r w:rsidR="00AE572D">
        <w:rPr>
          <w:rFonts w:ascii="Times New Roman" w:hAnsi="Times New Roman" w:cs="Times New Roman"/>
          <w:lang w:val="en-CA"/>
        </w:rPr>
        <w:t>…………………………………………………………………</w:t>
      </w:r>
      <w:r w:rsidR="00273756">
        <w:rPr>
          <w:rFonts w:ascii="Times New Roman" w:hAnsi="Times New Roman" w:cs="Times New Roman"/>
          <w:lang w:val="en-CA"/>
        </w:rPr>
        <w:t>…1</w:t>
      </w:r>
    </w:p>
    <w:p w14:paraId="6C147332" w14:textId="37ECDF6C" w:rsidR="00F0418D" w:rsidRPr="00A1165B" w:rsidRDefault="00F0418D" w:rsidP="00234047">
      <w:pPr>
        <w:pStyle w:val="ListParagraph"/>
        <w:numPr>
          <w:ilvl w:val="1"/>
          <w:numId w:val="12"/>
        </w:numPr>
        <w:jc w:val="right"/>
        <w:rPr>
          <w:rFonts w:ascii="Times New Roman" w:hAnsi="Times New Roman" w:cs="Times New Roman"/>
          <w:lang w:val="en-CA"/>
        </w:rPr>
      </w:pPr>
      <w:r w:rsidRPr="00A1165B">
        <w:rPr>
          <w:rFonts w:ascii="Times New Roman" w:hAnsi="Times New Roman" w:cs="Times New Roman"/>
          <w:lang w:val="en-CA"/>
        </w:rPr>
        <w:t xml:space="preserve">Thesis </w:t>
      </w:r>
      <w:r>
        <w:rPr>
          <w:rFonts w:ascii="Times New Roman" w:hAnsi="Times New Roman" w:cs="Times New Roman"/>
          <w:lang w:val="en-CA"/>
        </w:rPr>
        <w:t>Structure</w:t>
      </w:r>
      <w:r w:rsidR="00AE572D">
        <w:rPr>
          <w:rFonts w:ascii="Times New Roman" w:hAnsi="Times New Roman" w:cs="Times New Roman"/>
          <w:lang w:val="en-CA"/>
        </w:rPr>
        <w:t>……………………………………………………………………</w:t>
      </w:r>
      <w:r w:rsidR="00273756">
        <w:rPr>
          <w:rFonts w:ascii="Times New Roman" w:hAnsi="Times New Roman" w:cs="Times New Roman"/>
          <w:lang w:val="en-CA"/>
        </w:rPr>
        <w:t>…..3</w:t>
      </w:r>
    </w:p>
    <w:p w14:paraId="6794309C" w14:textId="77777777" w:rsidR="00F0418D" w:rsidRPr="00A1165B" w:rsidRDefault="00F0418D" w:rsidP="00234047">
      <w:pPr>
        <w:pStyle w:val="ListParagraph"/>
        <w:ind w:left="360"/>
        <w:jc w:val="right"/>
        <w:rPr>
          <w:rFonts w:ascii="Times New Roman" w:hAnsi="Times New Roman" w:cs="Times New Roman"/>
          <w:lang w:val="en-CA"/>
        </w:rPr>
      </w:pPr>
    </w:p>
    <w:p w14:paraId="3B19BCCB" w14:textId="5DDF3452" w:rsidR="00F0418D" w:rsidRPr="00E81BFE" w:rsidRDefault="00F0418D" w:rsidP="00234047">
      <w:pPr>
        <w:ind w:right="20"/>
        <w:jc w:val="right"/>
      </w:pPr>
      <w:r w:rsidRPr="00E81BFE">
        <w:t>Chapter 2: Breastfeeding and Weaning</w:t>
      </w:r>
      <w:r w:rsidR="00AE572D">
        <w:t>…………</w:t>
      </w:r>
      <w:r w:rsidR="00393CBF">
        <w:t>….</w:t>
      </w:r>
      <w:r w:rsidR="00AE572D">
        <w:t>…………………………………</w:t>
      </w:r>
      <w:r w:rsidR="002D5B65">
        <w:t>..</w:t>
      </w:r>
      <w:r w:rsidR="00AE572D">
        <w:t>…</w:t>
      </w:r>
      <w:r w:rsidR="002D5B65">
        <w:t>5</w:t>
      </w:r>
    </w:p>
    <w:p w14:paraId="656C95B4" w14:textId="5C50156A" w:rsidR="00F0418D" w:rsidRDefault="00F0418D" w:rsidP="00234047">
      <w:pPr>
        <w:jc w:val="right"/>
      </w:pPr>
      <w:r w:rsidRPr="00A1165B">
        <w:t>2.1 Introduction</w:t>
      </w:r>
      <w:r w:rsidR="00AE572D">
        <w:t>…………………………………………………………………………</w:t>
      </w:r>
      <w:r w:rsidR="002D5B65">
        <w:t>…5</w:t>
      </w:r>
    </w:p>
    <w:p w14:paraId="11B8120E" w14:textId="750E6D5A" w:rsidR="00F0418D" w:rsidRPr="00DF67EE" w:rsidRDefault="00F0418D" w:rsidP="00234047">
      <w:pPr>
        <w:jc w:val="right"/>
      </w:pPr>
      <w:r w:rsidRPr="00DF67EE">
        <w:t>2.2 Theoretical Framework</w:t>
      </w:r>
      <w:r w:rsidR="00AE572D">
        <w:t>…………………………………</w:t>
      </w:r>
      <w:r w:rsidR="00393CBF">
        <w:t>…</w:t>
      </w:r>
      <w:r w:rsidR="00AE572D">
        <w:t>…………………………..</w:t>
      </w:r>
      <w:r w:rsidR="002D5B65">
        <w:t>6</w:t>
      </w:r>
    </w:p>
    <w:p w14:paraId="5D9959A2" w14:textId="2736B8A4" w:rsidR="00F0418D" w:rsidRPr="00A1165B" w:rsidRDefault="00F0418D" w:rsidP="00234047">
      <w:pPr>
        <w:jc w:val="right"/>
      </w:pPr>
      <w:r w:rsidRPr="00A1165B">
        <w:t>2.</w:t>
      </w:r>
      <w:r>
        <w:t>3</w:t>
      </w:r>
      <w:r w:rsidRPr="00A1165B">
        <w:t xml:space="preserve"> Infant and Young Child Feeding Practices (IYCF) </w:t>
      </w:r>
      <w:r w:rsidR="00AE572D">
        <w:t>……</w:t>
      </w:r>
      <w:r w:rsidR="00393CBF">
        <w:t>…</w:t>
      </w:r>
      <w:r w:rsidR="00AE572D">
        <w:t>…………………..……….</w:t>
      </w:r>
      <w:r w:rsidR="003509C3">
        <w:t>8</w:t>
      </w:r>
    </w:p>
    <w:p w14:paraId="5F107EAE" w14:textId="7D758E41" w:rsidR="00F0418D" w:rsidRPr="00A1165B" w:rsidRDefault="00F0418D" w:rsidP="00234047">
      <w:pPr>
        <w:pStyle w:val="ListParagraph"/>
        <w:ind w:left="360" w:firstLine="360"/>
        <w:jc w:val="center"/>
        <w:rPr>
          <w:rFonts w:ascii="Times New Roman" w:hAnsi="Times New Roman" w:cs="Times New Roman"/>
          <w:lang w:val="en-CA"/>
        </w:rPr>
      </w:pPr>
      <w:r w:rsidRPr="00A1165B">
        <w:rPr>
          <w:rFonts w:ascii="Times New Roman" w:hAnsi="Times New Roman" w:cs="Times New Roman"/>
          <w:lang w:val="en-CA"/>
        </w:rPr>
        <w:t>2.</w:t>
      </w:r>
      <w:r>
        <w:rPr>
          <w:rFonts w:ascii="Times New Roman" w:hAnsi="Times New Roman" w:cs="Times New Roman"/>
          <w:lang w:val="en-CA"/>
        </w:rPr>
        <w:t>3</w:t>
      </w:r>
      <w:r w:rsidRPr="00A1165B">
        <w:rPr>
          <w:rFonts w:ascii="Times New Roman" w:hAnsi="Times New Roman" w:cs="Times New Roman"/>
          <w:lang w:val="en-CA"/>
        </w:rPr>
        <w:t>.1 Age Categories and Terminology</w:t>
      </w:r>
      <w:r w:rsidR="00AE572D" w:rsidRPr="00AE572D">
        <w:rPr>
          <w:rFonts w:ascii="Times New Roman" w:hAnsi="Times New Roman" w:cs="Times New Roman"/>
        </w:rPr>
        <w:t>……</w:t>
      </w:r>
      <w:r w:rsidR="00AE572D">
        <w:rPr>
          <w:rFonts w:ascii="Times New Roman" w:hAnsi="Times New Roman" w:cs="Times New Roman"/>
        </w:rPr>
        <w:t>………………………</w:t>
      </w:r>
      <w:r w:rsidR="00234047">
        <w:rPr>
          <w:rFonts w:ascii="Times New Roman" w:hAnsi="Times New Roman" w:cs="Times New Roman"/>
        </w:rPr>
        <w:t>…</w:t>
      </w:r>
      <w:r w:rsidR="00AE572D">
        <w:rPr>
          <w:rFonts w:ascii="Times New Roman" w:hAnsi="Times New Roman" w:cs="Times New Roman"/>
        </w:rPr>
        <w:t>…...</w:t>
      </w:r>
      <w:r w:rsidR="00AE572D" w:rsidRPr="00AE572D">
        <w:rPr>
          <w:rFonts w:ascii="Times New Roman" w:hAnsi="Times New Roman" w:cs="Times New Roman"/>
        </w:rPr>
        <w:t>……….</w:t>
      </w:r>
      <w:r w:rsidR="003509C3">
        <w:rPr>
          <w:rFonts w:ascii="Times New Roman" w:hAnsi="Times New Roman" w:cs="Times New Roman"/>
        </w:rPr>
        <w:t>8</w:t>
      </w:r>
    </w:p>
    <w:p w14:paraId="16D8C975" w14:textId="0A335903" w:rsidR="00F0418D" w:rsidRPr="00A1165B" w:rsidRDefault="00F0418D" w:rsidP="00CA4E09">
      <w:pPr>
        <w:pStyle w:val="ListParagraph"/>
        <w:ind w:left="360" w:right="-122" w:firstLine="360"/>
        <w:rPr>
          <w:rFonts w:ascii="Times New Roman" w:hAnsi="Times New Roman" w:cs="Times New Roman"/>
          <w:lang w:val="en-CA"/>
        </w:rPr>
      </w:pPr>
      <w:r w:rsidRPr="00A1165B">
        <w:rPr>
          <w:rFonts w:ascii="Times New Roman" w:hAnsi="Times New Roman" w:cs="Times New Roman"/>
          <w:lang w:val="en-CA"/>
        </w:rPr>
        <w:t>2.</w:t>
      </w:r>
      <w:r>
        <w:rPr>
          <w:rFonts w:ascii="Times New Roman" w:hAnsi="Times New Roman" w:cs="Times New Roman"/>
          <w:lang w:val="en-CA"/>
        </w:rPr>
        <w:t>3</w:t>
      </w:r>
      <w:r w:rsidRPr="00A1165B">
        <w:rPr>
          <w:rFonts w:ascii="Times New Roman" w:hAnsi="Times New Roman" w:cs="Times New Roman"/>
          <w:lang w:val="en-CA"/>
        </w:rPr>
        <w:t>.2 Juvenile Feeding and Maternal Reproductive</w:t>
      </w:r>
      <w:r w:rsidR="00234047">
        <w:rPr>
          <w:rFonts w:ascii="Times New Roman" w:hAnsi="Times New Roman" w:cs="Times New Roman"/>
          <w:lang w:val="en-CA"/>
        </w:rPr>
        <w:t xml:space="preserve"> </w:t>
      </w:r>
      <w:r w:rsidRPr="00A1165B">
        <w:rPr>
          <w:rFonts w:ascii="Times New Roman" w:hAnsi="Times New Roman" w:cs="Times New Roman"/>
          <w:lang w:val="en-CA"/>
        </w:rPr>
        <w:t>Ecology</w:t>
      </w:r>
      <w:r w:rsidR="00AE572D" w:rsidRPr="00AE572D">
        <w:rPr>
          <w:rFonts w:ascii="Times New Roman" w:hAnsi="Times New Roman" w:cs="Times New Roman"/>
        </w:rPr>
        <w:t>……</w:t>
      </w:r>
      <w:r w:rsidR="00234047">
        <w:rPr>
          <w:rFonts w:ascii="Times New Roman" w:hAnsi="Times New Roman" w:cs="Times New Roman"/>
        </w:rPr>
        <w:t>………..</w:t>
      </w:r>
      <w:r w:rsidR="00AE572D">
        <w:rPr>
          <w:rFonts w:ascii="Times New Roman" w:hAnsi="Times New Roman" w:cs="Times New Roman"/>
        </w:rPr>
        <w:t>…</w:t>
      </w:r>
      <w:r w:rsidR="00234047">
        <w:rPr>
          <w:rFonts w:ascii="Times New Roman" w:hAnsi="Times New Roman" w:cs="Times New Roman"/>
        </w:rPr>
        <w:t>.</w:t>
      </w:r>
      <w:r w:rsidR="00AE572D">
        <w:rPr>
          <w:rFonts w:ascii="Times New Roman" w:hAnsi="Times New Roman" w:cs="Times New Roman"/>
        </w:rPr>
        <w:t>.</w:t>
      </w:r>
      <w:r w:rsidR="00234047">
        <w:rPr>
          <w:rFonts w:ascii="Times New Roman" w:hAnsi="Times New Roman" w:cs="Times New Roman"/>
        </w:rPr>
        <w:t>.</w:t>
      </w:r>
      <w:r w:rsidR="00AE572D" w:rsidRPr="00AE572D">
        <w:rPr>
          <w:rFonts w:ascii="Times New Roman" w:hAnsi="Times New Roman" w:cs="Times New Roman"/>
        </w:rPr>
        <w:t>…</w:t>
      </w:r>
      <w:r w:rsidR="00D823BB">
        <w:rPr>
          <w:rFonts w:ascii="Times New Roman" w:hAnsi="Times New Roman" w:cs="Times New Roman"/>
        </w:rPr>
        <w:t>.</w:t>
      </w:r>
      <w:r w:rsidR="00AE572D" w:rsidRPr="00AE572D">
        <w:rPr>
          <w:rFonts w:ascii="Times New Roman" w:hAnsi="Times New Roman" w:cs="Times New Roman"/>
        </w:rPr>
        <w:t>.</w:t>
      </w:r>
      <w:r w:rsidR="002D5B65">
        <w:rPr>
          <w:rFonts w:ascii="Times New Roman" w:hAnsi="Times New Roman" w:cs="Times New Roman"/>
        </w:rPr>
        <w:t>9</w:t>
      </w:r>
    </w:p>
    <w:p w14:paraId="15B544BB" w14:textId="33EAC7C0" w:rsidR="00F0418D" w:rsidRPr="00A1165B" w:rsidRDefault="00F0418D" w:rsidP="00234047">
      <w:r w:rsidRPr="00A1165B">
        <w:t>2.</w:t>
      </w:r>
      <w:r>
        <w:t>4</w:t>
      </w:r>
      <w:r w:rsidRPr="00A1165B">
        <w:t xml:space="preserve"> Bioarchaeological Approaches to Studying Breastfeeding and Weaning</w:t>
      </w:r>
      <w:r w:rsidR="00AE572D">
        <w:t>….……</w:t>
      </w:r>
      <w:r w:rsidR="00234047">
        <w:t>..</w:t>
      </w:r>
      <w:r w:rsidR="00AE572D">
        <w:t>….</w:t>
      </w:r>
      <w:r w:rsidR="002D5B65">
        <w:t>13</w:t>
      </w:r>
    </w:p>
    <w:p w14:paraId="661A6863" w14:textId="1D236AAF" w:rsidR="00F0418D" w:rsidRPr="00A1165B" w:rsidRDefault="00F0418D" w:rsidP="00234047">
      <w:r w:rsidRPr="00A1165B">
        <w:t>2.</w:t>
      </w:r>
      <w:r>
        <w:t>5</w:t>
      </w:r>
      <w:r w:rsidRPr="00A1165B">
        <w:t xml:space="preserve"> Evidence for Breastfeeding and Weaning in Pre-Roman and Roman Southern</w:t>
      </w:r>
      <w:r w:rsidR="00393CBF">
        <w:t xml:space="preserve"> </w:t>
      </w:r>
      <w:r w:rsidRPr="00A1165B">
        <w:t>Italy</w:t>
      </w:r>
      <w:r w:rsidR="00482159">
        <w:t>……………</w:t>
      </w:r>
      <w:r w:rsidR="00393CBF">
        <w:t>…………………</w:t>
      </w:r>
      <w:r w:rsidR="00482159">
        <w:t>………………………………………………</w:t>
      </w:r>
      <w:r w:rsidR="00AA0229">
        <w:t>..</w:t>
      </w:r>
      <w:r w:rsidR="00482159">
        <w:t>……...</w:t>
      </w:r>
      <w:r w:rsidR="001A61E9">
        <w:t>20</w:t>
      </w:r>
    </w:p>
    <w:p w14:paraId="1E238F7C" w14:textId="0D9FFE28" w:rsidR="00F0418D" w:rsidRPr="00A1165B" w:rsidRDefault="00F0418D" w:rsidP="00234047">
      <w:pPr>
        <w:jc w:val="right"/>
      </w:pPr>
      <w:r w:rsidRPr="00A1165B">
        <w:tab/>
        <w:t>2.</w:t>
      </w:r>
      <w:r>
        <w:t>5</w:t>
      </w:r>
      <w:r w:rsidRPr="00A1165B">
        <w:t xml:space="preserve">.1 </w:t>
      </w:r>
      <w:r>
        <w:t>Archaeological Evidence</w:t>
      </w:r>
      <w:r w:rsidR="00AE572D">
        <w:t>…………</w:t>
      </w:r>
      <w:r w:rsidR="00393CBF">
        <w:t>...</w:t>
      </w:r>
      <w:r w:rsidR="00AE572D">
        <w:t>……………………………</w:t>
      </w:r>
      <w:r w:rsidR="00AA0229">
        <w:t>..</w:t>
      </w:r>
      <w:r w:rsidR="00AE572D">
        <w:t>……….</w:t>
      </w:r>
      <w:r w:rsidR="001A61E9">
        <w:t>20</w:t>
      </w:r>
    </w:p>
    <w:p w14:paraId="554442A4" w14:textId="0C1D22BF" w:rsidR="00F0418D" w:rsidRDefault="00F0418D" w:rsidP="00234047">
      <w:pPr>
        <w:jc w:val="right"/>
      </w:pPr>
      <w:r w:rsidRPr="00A1165B">
        <w:t>2.</w:t>
      </w:r>
      <w:r>
        <w:t>5</w:t>
      </w:r>
      <w:r w:rsidRPr="00A1165B">
        <w:t xml:space="preserve">.2 </w:t>
      </w:r>
      <w:r>
        <w:t>Literary Sources from the Roman Period</w:t>
      </w:r>
      <w:r w:rsidR="00AE572D">
        <w:t>…………………………</w:t>
      </w:r>
      <w:r w:rsidR="00AA0229">
        <w:t>.</w:t>
      </w:r>
      <w:r w:rsidR="00AE572D">
        <w:t>………</w:t>
      </w:r>
      <w:r w:rsidR="002D5B65">
        <w:t>2</w:t>
      </w:r>
      <w:r w:rsidR="001A61E9">
        <w:t>6</w:t>
      </w:r>
    </w:p>
    <w:p w14:paraId="36BD6911" w14:textId="7C624275" w:rsidR="00F0418D" w:rsidRPr="00A1165B" w:rsidRDefault="00F0418D" w:rsidP="00234047">
      <w:pPr>
        <w:ind w:firstLine="709"/>
        <w:jc w:val="right"/>
      </w:pPr>
      <w:r>
        <w:t>2.5.3 Stable Isotope Studies</w:t>
      </w:r>
      <w:r w:rsidR="00AE572D">
        <w:t>…………………………………………………</w:t>
      </w:r>
      <w:r w:rsidR="00AA0229">
        <w:t>.</w:t>
      </w:r>
      <w:r w:rsidR="00AE572D">
        <w:t>…..</w:t>
      </w:r>
      <w:r w:rsidR="002D5B65">
        <w:t>3</w:t>
      </w:r>
      <w:r w:rsidR="001A61E9">
        <w:t>1</w:t>
      </w:r>
    </w:p>
    <w:p w14:paraId="1B7482B3" w14:textId="6D77C0B5" w:rsidR="00F0418D" w:rsidRPr="00A1165B" w:rsidRDefault="00F0418D" w:rsidP="00234047">
      <w:pPr>
        <w:jc w:val="right"/>
      </w:pPr>
      <w:r w:rsidRPr="00A1165B">
        <w:t>2.</w:t>
      </w:r>
      <w:r>
        <w:t>6</w:t>
      </w:r>
      <w:r w:rsidRPr="00A1165B">
        <w:t xml:space="preserve"> </w:t>
      </w:r>
      <w:r w:rsidR="00454C2D">
        <w:t>Summary</w:t>
      </w:r>
      <w:r w:rsidR="00AE572D">
        <w:t>………………………………………………………………………</w:t>
      </w:r>
      <w:r w:rsidR="00AA0229">
        <w:t>….</w:t>
      </w:r>
      <w:r w:rsidR="00AE572D">
        <w:t>….</w:t>
      </w:r>
      <w:r w:rsidR="002D5B65">
        <w:t>3</w:t>
      </w:r>
      <w:r w:rsidR="001A61E9">
        <w:t>4</w:t>
      </w:r>
    </w:p>
    <w:p w14:paraId="5FC6D87B" w14:textId="77777777" w:rsidR="00F0418D" w:rsidRPr="00A1165B" w:rsidRDefault="00F0418D" w:rsidP="00234047">
      <w:pPr>
        <w:jc w:val="right"/>
      </w:pPr>
    </w:p>
    <w:p w14:paraId="6A6BBD26" w14:textId="07EB39ED" w:rsidR="00F0418D" w:rsidRPr="00E81BFE" w:rsidRDefault="00F0418D" w:rsidP="00234047">
      <w:pPr>
        <w:jc w:val="right"/>
      </w:pPr>
      <w:r w:rsidRPr="00E81BFE">
        <w:t>Chapter 3: Stable Isotope Analysis</w:t>
      </w:r>
      <w:r w:rsidR="00AE572D">
        <w:t>……………………………………………</w:t>
      </w:r>
      <w:r w:rsidR="00AA0229">
        <w:t>…</w:t>
      </w:r>
      <w:r w:rsidR="00AE572D">
        <w:t>………</w:t>
      </w:r>
      <w:r w:rsidR="00B963E8">
        <w:t>3</w:t>
      </w:r>
      <w:r w:rsidR="001A61E9">
        <w:t>6</w:t>
      </w:r>
    </w:p>
    <w:p w14:paraId="42444C2C" w14:textId="0BEEB112" w:rsidR="00F0418D" w:rsidRPr="00E81BFE" w:rsidRDefault="00F0418D" w:rsidP="00234047">
      <w:pPr>
        <w:jc w:val="right"/>
      </w:pPr>
      <w:r w:rsidRPr="00E81BFE">
        <w:t>3.1 Introduction</w:t>
      </w:r>
      <w:r w:rsidR="00B963E8">
        <w:t>…………………………………………………………………</w:t>
      </w:r>
      <w:r w:rsidR="00AA0229">
        <w:t>..</w:t>
      </w:r>
      <w:r w:rsidR="00B963E8">
        <w:t>………3</w:t>
      </w:r>
      <w:r w:rsidR="001A61E9">
        <w:t>6</w:t>
      </w:r>
    </w:p>
    <w:p w14:paraId="512B0701" w14:textId="5CE868C1" w:rsidR="00F0418D" w:rsidRPr="00A1165B" w:rsidRDefault="00F0418D" w:rsidP="00234047">
      <w:pPr>
        <w:jc w:val="right"/>
      </w:pPr>
      <w:r w:rsidRPr="00A1165B">
        <w:t>3.2 Biogeochemical Background</w:t>
      </w:r>
      <w:r w:rsidR="00AE572D">
        <w:t>……………………………</w:t>
      </w:r>
      <w:r w:rsidR="00234047">
        <w:t>…</w:t>
      </w:r>
      <w:r w:rsidR="00AE572D">
        <w:t>……………</w:t>
      </w:r>
      <w:r w:rsidR="00AA0229">
        <w:t>..</w:t>
      </w:r>
      <w:r w:rsidR="00AE572D">
        <w:t>………….</w:t>
      </w:r>
      <w:r w:rsidR="00B963E8">
        <w:t>3</w:t>
      </w:r>
      <w:r w:rsidR="001A61E9">
        <w:t>6</w:t>
      </w:r>
    </w:p>
    <w:p w14:paraId="7AB89517" w14:textId="50640732" w:rsidR="00F0418D" w:rsidRPr="00A1165B" w:rsidRDefault="00F0418D" w:rsidP="00234047">
      <w:pPr>
        <w:jc w:val="right"/>
      </w:pPr>
      <w:r w:rsidRPr="00A1165B">
        <w:t>3.3 Applications</w:t>
      </w:r>
      <w:r w:rsidR="00AE572D">
        <w:t>………………………………………………</w:t>
      </w:r>
      <w:r w:rsidR="00234047">
        <w:t>...</w:t>
      </w:r>
      <w:r w:rsidR="00AE572D">
        <w:t>………………</w:t>
      </w:r>
      <w:r w:rsidR="00AA0229">
        <w:t>..</w:t>
      </w:r>
      <w:r w:rsidR="00AE572D">
        <w:t>………</w:t>
      </w:r>
      <w:r w:rsidR="00B963E8">
        <w:t>3</w:t>
      </w:r>
      <w:r w:rsidR="001A61E9">
        <w:t>8</w:t>
      </w:r>
    </w:p>
    <w:p w14:paraId="163C8A7F" w14:textId="2577E315" w:rsidR="00F0418D" w:rsidRPr="00A1165B" w:rsidRDefault="00F0418D" w:rsidP="00234047">
      <w:pPr>
        <w:ind w:firstLine="720"/>
        <w:jc w:val="right"/>
      </w:pPr>
      <w:r w:rsidRPr="00A1165B">
        <w:t>3.3.</w:t>
      </w:r>
      <w:r>
        <w:t>1</w:t>
      </w:r>
      <w:r w:rsidRPr="00A1165B">
        <w:t xml:space="preserve"> Nitrogen</w:t>
      </w:r>
      <w:r w:rsidR="00AE572D">
        <w:t>……………………………………………</w:t>
      </w:r>
      <w:r w:rsidR="00234047">
        <w:t>..</w:t>
      </w:r>
      <w:r w:rsidR="00AE572D">
        <w:t>………</w:t>
      </w:r>
      <w:r w:rsidR="00AA0229">
        <w:t>..</w:t>
      </w:r>
      <w:r w:rsidR="00AE572D">
        <w:t>…………...</w:t>
      </w:r>
      <w:r w:rsidR="00B963E8">
        <w:t>3</w:t>
      </w:r>
      <w:r w:rsidR="001A61E9">
        <w:t>9</w:t>
      </w:r>
    </w:p>
    <w:p w14:paraId="2B99D66C" w14:textId="186CE332" w:rsidR="00F0418D" w:rsidRPr="00A1165B" w:rsidRDefault="00F0418D" w:rsidP="00234047">
      <w:pPr>
        <w:ind w:firstLine="720"/>
        <w:jc w:val="right"/>
      </w:pPr>
      <w:r w:rsidRPr="00A1165B">
        <w:t>3.3.</w:t>
      </w:r>
      <w:r>
        <w:t>2</w:t>
      </w:r>
      <w:r w:rsidRPr="00A1165B">
        <w:t xml:space="preserve"> Carbon</w:t>
      </w:r>
      <w:r w:rsidR="00AE572D">
        <w:t>………………………………………………</w:t>
      </w:r>
      <w:r w:rsidR="00234047">
        <w:t>...</w:t>
      </w:r>
      <w:r w:rsidR="00AE572D">
        <w:t>…………</w:t>
      </w:r>
      <w:r w:rsidR="00AA0229">
        <w:t>..</w:t>
      </w:r>
      <w:r w:rsidR="00AE572D">
        <w:t>……….</w:t>
      </w:r>
      <w:r w:rsidR="00B963E8">
        <w:t>4</w:t>
      </w:r>
      <w:r w:rsidR="001A61E9">
        <w:t>2</w:t>
      </w:r>
    </w:p>
    <w:p w14:paraId="47C3AE1F" w14:textId="5E0A6D6F" w:rsidR="00F0418D" w:rsidRPr="00A1165B" w:rsidRDefault="00F0418D" w:rsidP="00234047">
      <w:pPr>
        <w:ind w:firstLine="720"/>
        <w:jc w:val="right"/>
      </w:pPr>
      <w:r w:rsidRPr="00A1165B">
        <w:t>3.3.</w:t>
      </w:r>
      <w:r>
        <w:t xml:space="preserve">3 </w:t>
      </w:r>
      <w:r w:rsidRPr="00A1165B">
        <w:t>Oxygen</w:t>
      </w:r>
      <w:r w:rsidR="00AE572D">
        <w:t>…………</w:t>
      </w:r>
      <w:r w:rsidR="005B5E41">
        <w:t>……………………………………</w:t>
      </w:r>
      <w:r w:rsidR="00234047">
        <w:t>.</w:t>
      </w:r>
      <w:r w:rsidR="005B5E41">
        <w:t>……………………</w:t>
      </w:r>
      <w:r w:rsidR="00B963E8">
        <w:t>4</w:t>
      </w:r>
      <w:r w:rsidR="001A61E9">
        <w:t>3</w:t>
      </w:r>
    </w:p>
    <w:p w14:paraId="38FBC0A4" w14:textId="330764D7" w:rsidR="00F0418D" w:rsidRPr="00A1165B" w:rsidRDefault="00F0418D" w:rsidP="00234047">
      <w:pPr>
        <w:jc w:val="right"/>
      </w:pPr>
      <w:r w:rsidRPr="00A1165B">
        <w:t>3.4 Sampling for Stable Isotopes Analysis in IYCF Archaeological Studies</w:t>
      </w:r>
      <w:r w:rsidR="005B5E41">
        <w:t>…</w:t>
      </w:r>
      <w:r w:rsidR="00234047">
        <w:t>.</w:t>
      </w:r>
      <w:r w:rsidR="005B5E41">
        <w:t>………..</w:t>
      </w:r>
      <w:r w:rsidR="00B963E8">
        <w:t>4</w:t>
      </w:r>
      <w:r w:rsidR="001A61E9">
        <w:t>4</w:t>
      </w:r>
    </w:p>
    <w:p w14:paraId="2D1A2434" w14:textId="4D923CC2" w:rsidR="00F0418D" w:rsidRPr="00A1165B" w:rsidRDefault="00F0418D" w:rsidP="00234047">
      <w:pPr>
        <w:ind w:firstLine="720"/>
        <w:jc w:val="right"/>
      </w:pPr>
      <w:r>
        <w:t xml:space="preserve">3.4.1 </w:t>
      </w:r>
      <w:r w:rsidRPr="00A1165B">
        <w:t>Structure of Dentine</w:t>
      </w:r>
      <w:r w:rsidR="005B5E41">
        <w:t>……………………………………………………….</w:t>
      </w:r>
      <w:r w:rsidR="00B963E8">
        <w:t>4</w:t>
      </w:r>
      <w:r w:rsidR="001A61E9">
        <w:t>9</w:t>
      </w:r>
    </w:p>
    <w:p w14:paraId="5EEBA373" w14:textId="3313EAEF" w:rsidR="00F0418D" w:rsidRPr="00A1165B" w:rsidRDefault="00F0418D" w:rsidP="00234047">
      <w:pPr>
        <w:ind w:firstLine="720"/>
        <w:jc w:val="right"/>
      </w:pPr>
      <w:r>
        <w:t>3.4.2</w:t>
      </w:r>
      <w:r w:rsidRPr="00A1165B">
        <w:t xml:space="preserve"> Dentine Microsampling</w:t>
      </w:r>
      <w:r w:rsidR="005B5E41">
        <w:t>……………………...……………………………</w:t>
      </w:r>
      <w:r w:rsidR="001A61E9">
        <w:t>50</w:t>
      </w:r>
    </w:p>
    <w:p w14:paraId="10EA5456" w14:textId="18DF4E28" w:rsidR="00F0418D" w:rsidRPr="00A1165B" w:rsidRDefault="00F0418D" w:rsidP="00234047">
      <w:pPr>
        <w:ind w:firstLine="720"/>
        <w:jc w:val="right"/>
      </w:pPr>
      <w:r>
        <w:t xml:space="preserve">3.4.3 </w:t>
      </w:r>
      <w:r w:rsidRPr="00A1165B">
        <w:t>Bone Collagen versus Tooth Dentine</w:t>
      </w:r>
      <w:r w:rsidR="005B5E41">
        <w:t>……………………………………..</w:t>
      </w:r>
      <w:r w:rsidR="00B963E8">
        <w:t>5</w:t>
      </w:r>
      <w:r w:rsidR="001A61E9">
        <w:t>5</w:t>
      </w:r>
    </w:p>
    <w:p w14:paraId="08B22DC1" w14:textId="61D3EA6D" w:rsidR="00F0418D" w:rsidRPr="00A1165B" w:rsidRDefault="00F0418D" w:rsidP="00234047">
      <w:pPr>
        <w:jc w:val="right"/>
      </w:pPr>
      <w:r w:rsidRPr="00A1165B">
        <w:t xml:space="preserve">3.5 </w:t>
      </w:r>
      <w:r w:rsidR="00454C2D">
        <w:t>Summary</w:t>
      </w:r>
      <w:r w:rsidR="005B5E41">
        <w:t>……………………………………………………</w:t>
      </w:r>
      <w:r w:rsidR="00234047">
        <w:t>….</w:t>
      </w:r>
      <w:r w:rsidR="005B5E41">
        <w:t>……………………</w:t>
      </w:r>
      <w:r w:rsidR="00BD4967">
        <w:t>59</w:t>
      </w:r>
      <w:bookmarkStart w:id="0" w:name="_GoBack"/>
      <w:bookmarkEnd w:id="0"/>
    </w:p>
    <w:p w14:paraId="3691F5AB" w14:textId="77777777" w:rsidR="00F0418D" w:rsidRPr="00A1165B" w:rsidRDefault="00F0418D" w:rsidP="00234047">
      <w:pPr>
        <w:jc w:val="right"/>
      </w:pPr>
    </w:p>
    <w:p w14:paraId="188A6F93" w14:textId="305FAD6D" w:rsidR="00F0418D" w:rsidRPr="00E81BFE" w:rsidRDefault="00F0418D" w:rsidP="00234047">
      <w:pPr>
        <w:jc w:val="right"/>
      </w:pPr>
      <w:r w:rsidRPr="00E81BFE">
        <w:t>Chapter 4:  Materials and Methods</w:t>
      </w:r>
      <w:r w:rsidR="005B5E41">
        <w:t>……………………</w:t>
      </w:r>
      <w:r w:rsidR="00393CBF">
        <w:t>...</w:t>
      </w:r>
      <w:r w:rsidR="005B5E41">
        <w:t>……………………………….</w:t>
      </w:r>
      <w:r w:rsidR="00B963E8">
        <w:t>6</w:t>
      </w:r>
      <w:r w:rsidR="001A61E9">
        <w:t>1</w:t>
      </w:r>
    </w:p>
    <w:p w14:paraId="11E714B3" w14:textId="78EE74DA" w:rsidR="00F0418D" w:rsidRPr="00A1165B" w:rsidRDefault="00F0418D" w:rsidP="00234047">
      <w:pPr>
        <w:jc w:val="right"/>
      </w:pPr>
      <w:r w:rsidRPr="00A1165B">
        <w:t xml:space="preserve">4.1 Study Site </w:t>
      </w:r>
      <w:r w:rsidR="005B5E41">
        <w:t>……………………………</w:t>
      </w:r>
      <w:r w:rsidR="00393CBF">
        <w:t>...</w:t>
      </w:r>
      <w:r w:rsidR="005B5E41">
        <w:t>…………………………………………….</w:t>
      </w:r>
      <w:r w:rsidR="00B963E8">
        <w:t>6</w:t>
      </w:r>
      <w:r w:rsidR="001A61E9">
        <w:t>1</w:t>
      </w:r>
    </w:p>
    <w:p w14:paraId="6911D6A4" w14:textId="681E0A1F" w:rsidR="00F0418D" w:rsidRPr="00A1165B" w:rsidRDefault="00F0418D" w:rsidP="00234047">
      <w:pPr>
        <w:ind w:firstLine="720"/>
        <w:jc w:val="right"/>
      </w:pPr>
      <w:r>
        <w:t>4.1.1</w:t>
      </w:r>
      <w:r w:rsidRPr="00A1165B">
        <w:t xml:space="preserve"> Historical Background</w:t>
      </w:r>
      <w:r w:rsidR="005B5E41">
        <w:t>……………………………………………………</w:t>
      </w:r>
      <w:r w:rsidR="00B963E8">
        <w:t>6</w:t>
      </w:r>
      <w:r w:rsidR="003509C3">
        <w:t>2</w:t>
      </w:r>
    </w:p>
    <w:p w14:paraId="6C643395" w14:textId="6CADCF12" w:rsidR="00F0418D" w:rsidRPr="00A1165B" w:rsidRDefault="00F0418D" w:rsidP="00234047">
      <w:pPr>
        <w:ind w:firstLine="720"/>
        <w:jc w:val="right"/>
      </w:pPr>
      <w:r>
        <w:lastRenderedPageBreak/>
        <w:t>4.1.2</w:t>
      </w:r>
      <w:r w:rsidRPr="00A1165B">
        <w:t xml:space="preserve"> Archaeological Sites</w:t>
      </w:r>
      <w:r w:rsidR="005B5E41">
        <w:t>…………………………………………</w:t>
      </w:r>
      <w:r w:rsidR="00AA0229">
        <w:t>..</w:t>
      </w:r>
      <w:r w:rsidR="005B5E41">
        <w:t>……………</w:t>
      </w:r>
      <w:r w:rsidR="00B963E8">
        <w:t>6</w:t>
      </w:r>
      <w:r w:rsidR="003509C3">
        <w:t>5</w:t>
      </w:r>
    </w:p>
    <w:p w14:paraId="5B1BCB72" w14:textId="60CE89EF" w:rsidR="00F0418D" w:rsidRPr="00A1165B" w:rsidRDefault="00F0418D" w:rsidP="003509C3">
      <w:pPr>
        <w:ind w:right="-122"/>
      </w:pPr>
      <w:r w:rsidRPr="00A1165B">
        <w:t>4.2 Sample Collection</w:t>
      </w:r>
      <w:r w:rsidR="005B5E41">
        <w:t>…………………………</w:t>
      </w:r>
      <w:r w:rsidR="003509C3">
        <w:t>..</w:t>
      </w:r>
      <w:r w:rsidR="005B5E41">
        <w:t>……………………………</w:t>
      </w:r>
      <w:r w:rsidR="00AA0229">
        <w:t>…</w:t>
      </w:r>
      <w:r w:rsidR="005B5E41">
        <w:t>………...</w:t>
      </w:r>
      <w:r w:rsidR="003509C3">
        <w:t>69</w:t>
      </w:r>
    </w:p>
    <w:p w14:paraId="5458B90B" w14:textId="6A449415" w:rsidR="00F0418D" w:rsidRPr="00A1165B" w:rsidRDefault="00F0418D" w:rsidP="00234047">
      <w:pPr>
        <w:jc w:val="right"/>
      </w:pPr>
      <w:r w:rsidRPr="00A1165B">
        <w:t>4.3 Stable Isotope Methodology</w:t>
      </w:r>
      <w:r w:rsidR="005B5E41">
        <w:t>……</w:t>
      </w:r>
      <w:r w:rsidR="00393CBF">
        <w:t>…</w:t>
      </w:r>
      <w:r w:rsidR="005B5E41">
        <w:t>………………………………………</w:t>
      </w:r>
      <w:r w:rsidR="00AA0229">
        <w:t>…</w:t>
      </w:r>
      <w:r w:rsidR="005B5E41">
        <w:t>……….</w:t>
      </w:r>
      <w:r w:rsidR="00B963E8">
        <w:t>7</w:t>
      </w:r>
      <w:r w:rsidR="003509C3">
        <w:t>6</w:t>
      </w:r>
    </w:p>
    <w:p w14:paraId="6ABFB2A9" w14:textId="4F2F09E2" w:rsidR="00F0418D" w:rsidRPr="00A1165B" w:rsidRDefault="00F0418D" w:rsidP="00F10A68">
      <w:pPr>
        <w:ind w:firstLine="709"/>
        <w:jc w:val="center"/>
      </w:pPr>
      <w:r>
        <w:t>4.3.1</w:t>
      </w:r>
      <w:r w:rsidRPr="00A1165B">
        <w:t xml:space="preserve"> Bone Collagen Stable Isotope Analysis</w:t>
      </w:r>
      <w:r w:rsidR="005B5E41">
        <w:t>……………………</w:t>
      </w:r>
      <w:r w:rsidR="00AA0229">
        <w:t>...</w:t>
      </w:r>
      <w:r w:rsidR="005B5E41">
        <w:t>…………….</w:t>
      </w:r>
      <w:r w:rsidR="00B963E8">
        <w:t>7</w:t>
      </w:r>
      <w:r w:rsidR="003509C3">
        <w:t>6</w:t>
      </w:r>
    </w:p>
    <w:p w14:paraId="58BBE9CC" w14:textId="74C75C02" w:rsidR="00055320" w:rsidRPr="00A1165B" w:rsidRDefault="002D5B65" w:rsidP="00234047">
      <w:pPr>
        <w:ind w:firstLine="720"/>
        <w:jc w:val="right"/>
      </w:pPr>
      <w:r>
        <w:t>4.3.2</w:t>
      </w:r>
      <w:r w:rsidR="00055320" w:rsidRPr="00A1165B">
        <w:t xml:space="preserve"> Dentine</w:t>
      </w:r>
      <w:r>
        <w:t xml:space="preserve"> </w:t>
      </w:r>
      <w:r w:rsidR="00055320" w:rsidRPr="00A1165B">
        <w:t>Microsampling</w:t>
      </w:r>
      <w:r w:rsidR="005B5E41">
        <w:t>………………………………………</w:t>
      </w:r>
      <w:r w:rsidR="00AA0229">
        <w:t>…….</w:t>
      </w:r>
      <w:r w:rsidR="005B5E41">
        <w:t>………</w:t>
      </w:r>
      <w:r w:rsidR="003509C3">
        <w:t>79</w:t>
      </w:r>
    </w:p>
    <w:p w14:paraId="3C0522EF" w14:textId="6C950AA3" w:rsidR="00055320" w:rsidRPr="00A1165B" w:rsidRDefault="00055320" w:rsidP="00234047">
      <w:pPr>
        <w:jc w:val="right"/>
      </w:pPr>
      <w:r w:rsidRPr="00A1165B">
        <w:t>4.4 Statistical Methods for Data Analysis</w:t>
      </w:r>
      <w:r w:rsidR="005B5E41">
        <w:t>…………</w:t>
      </w:r>
      <w:r w:rsidR="00393CBF">
        <w:t>..</w:t>
      </w:r>
      <w:r w:rsidR="005B5E41">
        <w:t>……………………………………</w:t>
      </w:r>
      <w:r w:rsidR="00B963E8">
        <w:t>8</w:t>
      </w:r>
      <w:r w:rsidR="003509C3">
        <w:t>2</w:t>
      </w:r>
    </w:p>
    <w:p w14:paraId="4B48D343" w14:textId="77777777" w:rsidR="00930AFD" w:rsidRDefault="00930AFD" w:rsidP="00234047">
      <w:pPr>
        <w:jc w:val="right"/>
      </w:pPr>
    </w:p>
    <w:p w14:paraId="1C7FF542" w14:textId="40CF6125" w:rsidR="00F0418D" w:rsidRPr="00E81BFE" w:rsidRDefault="00F0418D" w:rsidP="00234047">
      <w:pPr>
        <w:jc w:val="right"/>
      </w:pPr>
      <w:r w:rsidRPr="00E81BFE">
        <w:t>Chapter 5:  Results</w:t>
      </w:r>
      <w:r w:rsidR="005B5E41">
        <w:t>………………………………………………………………………</w:t>
      </w:r>
      <w:r w:rsidR="00B963E8">
        <w:t>8</w:t>
      </w:r>
      <w:r w:rsidR="003509C3">
        <w:t>3</w:t>
      </w:r>
    </w:p>
    <w:p w14:paraId="73F0A9E8" w14:textId="07571FCA" w:rsidR="00F0418D" w:rsidRPr="00A1165B" w:rsidRDefault="00F0418D" w:rsidP="00234047">
      <w:pPr>
        <w:jc w:val="right"/>
      </w:pPr>
      <w:r w:rsidRPr="00A1165B">
        <w:t>5.1 Introduction</w:t>
      </w:r>
      <w:r w:rsidR="005B5E41">
        <w:t>…………………………</w:t>
      </w:r>
      <w:r w:rsidR="00393CBF">
        <w:t>.</w:t>
      </w:r>
      <w:r w:rsidR="005B5E41">
        <w:t>………………………………………………</w:t>
      </w:r>
      <w:r w:rsidR="00B963E8">
        <w:t>8</w:t>
      </w:r>
      <w:r w:rsidR="003509C3">
        <w:t>3</w:t>
      </w:r>
    </w:p>
    <w:p w14:paraId="72B32DAD" w14:textId="12656744" w:rsidR="00F0418D" w:rsidRPr="00A1165B" w:rsidRDefault="00F0418D" w:rsidP="00234047">
      <w:pPr>
        <w:jc w:val="right"/>
      </w:pPr>
      <w:r w:rsidRPr="00A1165B">
        <w:t>5.2 Sample Integrity</w:t>
      </w:r>
      <w:r w:rsidR="005B5E41">
        <w:t>………………………</w:t>
      </w:r>
      <w:r w:rsidR="00393CBF">
        <w:t>.</w:t>
      </w:r>
      <w:r w:rsidR="005B5E41">
        <w:t>…………………………………………….</w:t>
      </w:r>
      <w:r w:rsidR="00B963E8">
        <w:t>8</w:t>
      </w:r>
      <w:r w:rsidR="003509C3">
        <w:t>3</w:t>
      </w:r>
    </w:p>
    <w:p w14:paraId="5EEC448D" w14:textId="034F4212" w:rsidR="00F0418D" w:rsidRPr="00A1165B" w:rsidRDefault="00F0418D" w:rsidP="00234047">
      <w:pPr>
        <w:jc w:val="right"/>
      </w:pPr>
      <w:r w:rsidRPr="00A1165B">
        <w:t>5.3 Stable Isotope Results</w:t>
      </w:r>
      <w:r w:rsidR="005B5E41">
        <w:t>………………</w:t>
      </w:r>
      <w:r w:rsidR="00393CBF">
        <w:t>…</w:t>
      </w:r>
      <w:r w:rsidR="005B5E41">
        <w:t>…………………………………………….</w:t>
      </w:r>
      <w:r w:rsidR="00B963E8">
        <w:t>8</w:t>
      </w:r>
      <w:r w:rsidR="003509C3">
        <w:t>5</w:t>
      </w:r>
    </w:p>
    <w:p w14:paraId="290EB50F" w14:textId="37066040" w:rsidR="00F0418D" w:rsidRPr="00A1165B" w:rsidRDefault="00F0418D" w:rsidP="00F10A68">
      <w:pPr>
        <w:tabs>
          <w:tab w:val="left" w:pos="8364"/>
        </w:tabs>
        <w:ind w:right="20" w:firstLine="709"/>
        <w:jc w:val="both"/>
      </w:pPr>
      <w:r w:rsidRPr="00A1165B">
        <w:t>5.3.1 Subadult Serial Dentine Samples</w:t>
      </w:r>
      <w:r w:rsidR="005B5E41">
        <w:t>……………</w:t>
      </w:r>
      <w:r w:rsidR="00F10A68">
        <w:t>.</w:t>
      </w:r>
      <w:r w:rsidR="009A7987">
        <w:t>…</w:t>
      </w:r>
      <w:r w:rsidR="005B5E41">
        <w:t>………………</w:t>
      </w:r>
      <w:r w:rsidR="00393CBF">
        <w:t>..</w:t>
      </w:r>
      <w:r w:rsidR="005B5E41">
        <w:t>…………</w:t>
      </w:r>
      <w:r w:rsidR="00B963E8">
        <w:t>8</w:t>
      </w:r>
      <w:r w:rsidR="003509C3">
        <w:t>5</w:t>
      </w:r>
    </w:p>
    <w:p w14:paraId="3444C024" w14:textId="5F3525B2" w:rsidR="00F0418D" w:rsidRPr="00A1165B" w:rsidRDefault="00F0418D" w:rsidP="004B64BA">
      <w:pPr>
        <w:ind w:firstLine="709"/>
      </w:pPr>
      <w:r w:rsidRPr="00A1165B">
        <w:t xml:space="preserve">5.3.2 </w:t>
      </w:r>
      <w:r>
        <w:t>General Trends in Subadult Dentine</w:t>
      </w:r>
      <w:r w:rsidR="004B64BA">
        <w:t xml:space="preserve"> </w:t>
      </w:r>
      <w:r>
        <w:t>Data</w:t>
      </w:r>
      <w:r w:rsidR="005B5E41">
        <w:t>……………</w:t>
      </w:r>
      <w:r w:rsidR="00234047">
        <w:t>…</w:t>
      </w:r>
      <w:r w:rsidR="005B5E41">
        <w:t>…</w:t>
      </w:r>
      <w:r w:rsidR="009A7987">
        <w:t>.</w:t>
      </w:r>
      <w:r w:rsidR="005B5E41">
        <w:t>……</w:t>
      </w:r>
      <w:r w:rsidR="004B64BA">
        <w:t>....</w:t>
      </w:r>
      <w:r w:rsidR="005B5E41">
        <w:t>……</w:t>
      </w:r>
      <w:r w:rsidR="003509C3">
        <w:t>..</w:t>
      </w:r>
      <w:r w:rsidR="005B5E41">
        <w:t>..</w:t>
      </w:r>
      <w:r w:rsidR="003509C3">
        <w:t>99</w:t>
      </w:r>
    </w:p>
    <w:p w14:paraId="4C8BE7B0" w14:textId="0AA75B35" w:rsidR="00F0418D" w:rsidRDefault="00F0418D" w:rsidP="00F10A68">
      <w:pPr>
        <w:ind w:firstLine="720"/>
        <w:jc w:val="both"/>
      </w:pPr>
      <w:r w:rsidRPr="00A1165B">
        <w:t xml:space="preserve">5.3.3 </w:t>
      </w:r>
      <w:r>
        <w:t>Adult Serial Dentine Samples</w:t>
      </w:r>
      <w:r w:rsidR="005B5E41">
        <w:t>………………………………</w:t>
      </w:r>
      <w:r w:rsidR="00F10A68">
        <w:t>.</w:t>
      </w:r>
      <w:r w:rsidR="005B5E41">
        <w:t>…………….</w:t>
      </w:r>
      <w:r w:rsidR="00B963E8">
        <w:t>10</w:t>
      </w:r>
      <w:r w:rsidR="003509C3">
        <w:t>0</w:t>
      </w:r>
    </w:p>
    <w:p w14:paraId="2E443723" w14:textId="7FF4AFC3" w:rsidR="00F0418D" w:rsidRDefault="00F0418D" w:rsidP="009A7987">
      <w:pPr>
        <w:ind w:firstLine="720"/>
        <w:jc w:val="center"/>
      </w:pPr>
      <w:r>
        <w:t>5.3.4 General Trends in Adult Dentine Data</w:t>
      </w:r>
      <w:r w:rsidR="005B5E41">
        <w:t>…………………………………</w:t>
      </w:r>
      <w:r w:rsidR="00B963E8">
        <w:t>…11</w:t>
      </w:r>
      <w:r w:rsidR="00251B57">
        <w:t>2</w:t>
      </w:r>
    </w:p>
    <w:p w14:paraId="0A03F849" w14:textId="6BD2632B" w:rsidR="00F0418D" w:rsidRPr="00A1165B" w:rsidRDefault="00F0418D" w:rsidP="009A7987">
      <w:pPr>
        <w:ind w:firstLine="720"/>
        <w:jc w:val="center"/>
      </w:pPr>
      <w:r>
        <w:t>5.3.5 Subadult Bone Collagen</w:t>
      </w:r>
      <w:r w:rsidR="005B5E41">
        <w:t>…………………………………………………..</w:t>
      </w:r>
      <w:r w:rsidR="00B963E8">
        <w:t>11</w:t>
      </w:r>
      <w:r w:rsidR="00251B57">
        <w:t>6</w:t>
      </w:r>
    </w:p>
    <w:p w14:paraId="5558AF55" w14:textId="2231C7E5" w:rsidR="00F0418D" w:rsidRPr="00A1165B" w:rsidRDefault="00F0418D" w:rsidP="00234047">
      <w:pPr>
        <w:jc w:val="center"/>
      </w:pPr>
      <w:r w:rsidRPr="00A1165B">
        <w:t>5.4 Subadult Serial Dentine versus Bulk Bone Collagen</w:t>
      </w:r>
      <w:r w:rsidR="005B5E41">
        <w:t>……………</w:t>
      </w:r>
      <w:r w:rsidR="00234047">
        <w:t>.</w:t>
      </w:r>
      <w:r w:rsidR="005B5E41">
        <w:t>…………………</w:t>
      </w:r>
      <w:r w:rsidR="00B963E8">
        <w:t>1</w:t>
      </w:r>
      <w:r w:rsidR="009A7987">
        <w:t>19</w:t>
      </w:r>
    </w:p>
    <w:p w14:paraId="464B2D2A" w14:textId="5C79E99B" w:rsidR="00F0418D" w:rsidRPr="00A1165B" w:rsidRDefault="00F0418D" w:rsidP="00234047">
      <w:pPr>
        <w:jc w:val="center"/>
      </w:pPr>
      <w:r w:rsidRPr="00A1165B">
        <w:t>5.5 Survivors versus Non-Survivors</w:t>
      </w:r>
      <w:r w:rsidR="005B5E41">
        <w:t>……………………………………………………</w:t>
      </w:r>
      <w:r w:rsidR="00B963E8">
        <w:t>1</w:t>
      </w:r>
      <w:r w:rsidR="009A7987">
        <w:t>29</w:t>
      </w:r>
    </w:p>
    <w:p w14:paraId="4D108391" w14:textId="719FBA6D" w:rsidR="00F0418D" w:rsidRPr="00A1165B" w:rsidRDefault="00F0418D" w:rsidP="00234047">
      <w:pPr>
        <w:jc w:val="center"/>
      </w:pPr>
      <w:r w:rsidRPr="00A1165B">
        <w:t xml:space="preserve">5.6 </w:t>
      </w:r>
      <w:r w:rsidR="00454C2D">
        <w:t>Summary</w:t>
      </w:r>
      <w:r w:rsidR="005B5E41">
        <w:t>……………………………………………………………………………</w:t>
      </w:r>
      <w:r w:rsidR="00B963E8">
        <w:t>13</w:t>
      </w:r>
      <w:r w:rsidR="009A7987">
        <w:t>1</w:t>
      </w:r>
    </w:p>
    <w:p w14:paraId="0D942D51" w14:textId="77777777" w:rsidR="00F0418D" w:rsidRDefault="00F0418D" w:rsidP="00234047">
      <w:pPr>
        <w:jc w:val="right"/>
      </w:pPr>
    </w:p>
    <w:p w14:paraId="089B3586" w14:textId="393D8902" w:rsidR="00F0418D" w:rsidRPr="00E81BFE" w:rsidRDefault="00F0418D" w:rsidP="00234047">
      <w:pPr>
        <w:jc w:val="center"/>
      </w:pPr>
      <w:r w:rsidRPr="00E81BFE">
        <w:t>Chapter 6:  Discussion</w:t>
      </w:r>
      <w:r w:rsidR="005B5E41">
        <w:t>……………</w:t>
      </w:r>
      <w:r w:rsidR="00234047">
        <w:t>.</w:t>
      </w:r>
      <w:r w:rsidR="005B5E41">
        <w:t>…………………………………………………….</w:t>
      </w:r>
      <w:r w:rsidR="00B963E8">
        <w:t>13</w:t>
      </w:r>
      <w:r w:rsidR="009A7987">
        <w:t>3</w:t>
      </w:r>
    </w:p>
    <w:p w14:paraId="456118E4" w14:textId="79DA81A5" w:rsidR="00F0418D" w:rsidRPr="00A1165B" w:rsidRDefault="00F0418D" w:rsidP="00234047">
      <w:pPr>
        <w:jc w:val="center"/>
      </w:pPr>
      <w:r w:rsidRPr="00A1165B">
        <w:t>6.1 Introduction</w:t>
      </w:r>
      <w:r w:rsidR="005B5E41">
        <w:t>…………………………………………………………………………</w:t>
      </w:r>
      <w:r w:rsidR="00B963E8">
        <w:t>13</w:t>
      </w:r>
      <w:r w:rsidR="009A7987">
        <w:t>3</w:t>
      </w:r>
    </w:p>
    <w:p w14:paraId="3904BA0C" w14:textId="4DCA9CA4" w:rsidR="00F0418D" w:rsidRDefault="00F0418D" w:rsidP="00234047">
      <w:pPr>
        <w:jc w:val="right"/>
      </w:pPr>
      <w:r w:rsidRPr="00A1165B">
        <w:t xml:space="preserve">6.2 </w:t>
      </w:r>
      <w:r>
        <w:t>Weaning Trends at Botromagno</w:t>
      </w:r>
      <w:r w:rsidR="005B5E41">
        <w:t>…………………………………………………….</w:t>
      </w:r>
      <w:r w:rsidR="00B963E8">
        <w:t>13</w:t>
      </w:r>
      <w:r w:rsidR="009A7987">
        <w:t>3</w:t>
      </w:r>
    </w:p>
    <w:p w14:paraId="05622253" w14:textId="11B1203B" w:rsidR="00F0418D" w:rsidRDefault="00F0418D" w:rsidP="00234047">
      <w:pPr>
        <w:ind w:firstLine="709"/>
        <w:jc w:val="right"/>
      </w:pPr>
      <w:r>
        <w:t>6.2.1 Intra-sample variation</w:t>
      </w:r>
      <w:r w:rsidR="005B5E41">
        <w:t>……………………………………………………..</w:t>
      </w:r>
      <w:r w:rsidR="00B963E8">
        <w:t>13</w:t>
      </w:r>
      <w:r w:rsidR="009A7987">
        <w:t>3</w:t>
      </w:r>
    </w:p>
    <w:p w14:paraId="20CB73F7" w14:textId="5064AA56" w:rsidR="00F0418D" w:rsidRDefault="00F0418D" w:rsidP="00234047">
      <w:pPr>
        <w:ind w:firstLine="709"/>
        <w:jc w:val="right"/>
      </w:pPr>
      <w:r>
        <w:t>6.2.2 Relationship between weaning and mortality</w:t>
      </w:r>
      <w:r w:rsidR="005B5E41">
        <w:t>……………………………..</w:t>
      </w:r>
      <w:r w:rsidR="00B963E8">
        <w:t>1</w:t>
      </w:r>
      <w:r w:rsidR="009A7987">
        <w:t>38</w:t>
      </w:r>
    </w:p>
    <w:p w14:paraId="382C8BD8" w14:textId="52B0E984" w:rsidR="00F0418D" w:rsidRDefault="00F0418D" w:rsidP="00234047">
      <w:pPr>
        <w:ind w:firstLine="709"/>
        <w:jc w:val="right"/>
      </w:pPr>
      <w:r>
        <w:t>6.2.3 Sex-based differences in Breastfeeding and Weaning Practices</w:t>
      </w:r>
      <w:r w:rsidR="005B5E41">
        <w:t>………….</w:t>
      </w:r>
      <w:r w:rsidR="00B963E8">
        <w:t>1</w:t>
      </w:r>
      <w:r w:rsidR="009A7987">
        <w:t>43</w:t>
      </w:r>
    </w:p>
    <w:p w14:paraId="1FFDB164" w14:textId="70277B47" w:rsidR="00F0418D" w:rsidRDefault="00F0418D" w:rsidP="00234047">
      <w:pPr>
        <w:ind w:firstLine="709"/>
        <w:jc w:val="right"/>
      </w:pPr>
      <w:r>
        <w:t>6.2.4 Variation in Isotopic Signals of Adult Permanent Dentition</w:t>
      </w:r>
      <w:r w:rsidR="005B5E41">
        <w:t>……………...</w:t>
      </w:r>
      <w:r w:rsidR="00B963E8">
        <w:t>14</w:t>
      </w:r>
      <w:r w:rsidR="009A7987">
        <w:t>7</w:t>
      </w:r>
    </w:p>
    <w:p w14:paraId="628B0D96" w14:textId="6C402F9C" w:rsidR="00F0418D" w:rsidRDefault="00F0418D" w:rsidP="00234047">
      <w:pPr>
        <w:jc w:val="right"/>
      </w:pPr>
      <w:r>
        <w:t xml:space="preserve">6.3 </w:t>
      </w:r>
      <w:r w:rsidRPr="00A1165B">
        <w:t>Stable Isotope Analysis of Bulk Bone Collagen and Dentine Microsamples</w:t>
      </w:r>
      <w:r w:rsidR="00393CBF">
        <w:t>…</w:t>
      </w:r>
      <w:r w:rsidR="005B5E41">
        <w:t>……</w:t>
      </w:r>
      <w:r w:rsidR="00B963E8">
        <w:t>15</w:t>
      </w:r>
      <w:r w:rsidR="009A7987">
        <w:t>1</w:t>
      </w:r>
    </w:p>
    <w:p w14:paraId="0B951F8B" w14:textId="4C8FAEA5" w:rsidR="00F0418D" w:rsidRDefault="00F0418D" w:rsidP="00234047">
      <w:pPr>
        <w:jc w:val="right"/>
      </w:pPr>
      <w:r>
        <w:t>6.4 Patterns of Breastfeeding and Weaning in Roman Italy</w:t>
      </w:r>
      <w:r w:rsidR="005B5E41">
        <w:t>……</w:t>
      </w:r>
      <w:r w:rsidR="00393CBF">
        <w:t>…</w:t>
      </w:r>
      <w:r w:rsidR="005B5E41">
        <w:t>……………………</w:t>
      </w:r>
      <w:r w:rsidR="00B963E8">
        <w:t>15</w:t>
      </w:r>
      <w:r w:rsidR="009A7987">
        <w:t>6</w:t>
      </w:r>
    </w:p>
    <w:p w14:paraId="72E7C81F" w14:textId="0B231510" w:rsidR="00F0418D" w:rsidRPr="00A1165B" w:rsidRDefault="00234047" w:rsidP="00234047">
      <w:r>
        <w:t xml:space="preserve"> </w:t>
      </w:r>
      <w:r w:rsidR="00F0418D" w:rsidRPr="00A1165B">
        <w:t xml:space="preserve">6.5 </w:t>
      </w:r>
      <w:r w:rsidR="00400327">
        <w:t>Research</w:t>
      </w:r>
      <w:r w:rsidR="00F0418D" w:rsidRPr="00A1165B">
        <w:t xml:space="preserve"> Limitations</w:t>
      </w:r>
      <w:r w:rsidR="005B5E41">
        <w:t>……………………</w:t>
      </w:r>
      <w:r>
        <w:t>...</w:t>
      </w:r>
      <w:r w:rsidR="005B5E41">
        <w:t>…………</w:t>
      </w:r>
      <w:r w:rsidR="00393CBF">
        <w:t>..</w:t>
      </w:r>
      <w:r w:rsidR="005B5E41">
        <w:t>……………………………</w:t>
      </w:r>
      <w:r w:rsidR="00B963E8">
        <w:t>1</w:t>
      </w:r>
      <w:r w:rsidR="009A7987">
        <w:t>59</w:t>
      </w:r>
    </w:p>
    <w:p w14:paraId="40F5490B" w14:textId="7EE8E872" w:rsidR="00F0418D" w:rsidRDefault="00F0418D" w:rsidP="00234047">
      <w:pPr>
        <w:jc w:val="right"/>
      </w:pPr>
      <w:r w:rsidRPr="00A1165B">
        <w:t xml:space="preserve">6.6 </w:t>
      </w:r>
      <w:r w:rsidR="00D60DD9">
        <w:t>Summary</w:t>
      </w:r>
      <w:r w:rsidR="005B5E41">
        <w:t>……………………………………………………………………………</w:t>
      </w:r>
      <w:r w:rsidR="00B963E8">
        <w:t>16</w:t>
      </w:r>
      <w:r w:rsidR="009A7987">
        <w:t>1</w:t>
      </w:r>
    </w:p>
    <w:p w14:paraId="1D000789" w14:textId="77777777" w:rsidR="00F0418D" w:rsidRDefault="00F0418D" w:rsidP="00234047">
      <w:pPr>
        <w:jc w:val="right"/>
        <w:rPr>
          <w:b/>
        </w:rPr>
      </w:pPr>
    </w:p>
    <w:p w14:paraId="252DD2C3" w14:textId="1C0B8B83" w:rsidR="00F0418D" w:rsidRPr="00846D00" w:rsidRDefault="00F0418D" w:rsidP="00234047">
      <w:pPr>
        <w:jc w:val="center"/>
      </w:pPr>
      <w:r w:rsidRPr="00846D00">
        <w:t>Chapter 7:  Conclusion</w:t>
      </w:r>
      <w:r w:rsidR="005B5E41">
        <w:t>…………………………………………</w:t>
      </w:r>
      <w:r w:rsidR="00CA4E09">
        <w:t>.</w:t>
      </w:r>
      <w:r w:rsidR="005B5E41">
        <w:t>………………………</w:t>
      </w:r>
      <w:r w:rsidR="00B963E8">
        <w:t>16</w:t>
      </w:r>
      <w:r w:rsidR="009A7987">
        <w:t>2</w:t>
      </w:r>
    </w:p>
    <w:p w14:paraId="69FB3AF5" w14:textId="01E4C44F" w:rsidR="00F0418D" w:rsidRDefault="00F0418D" w:rsidP="00234047">
      <w:pPr>
        <w:jc w:val="center"/>
      </w:pPr>
      <w:r>
        <w:t>7.1 Summary of Findings</w:t>
      </w:r>
      <w:r w:rsidR="005B5E41">
        <w:t>………………………………………</w:t>
      </w:r>
      <w:r w:rsidR="00CA4E09">
        <w:t>.</w:t>
      </w:r>
      <w:r w:rsidR="005B5E41">
        <w:t>………………………</w:t>
      </w:r>
      <w:r w:rsidR="00B963E8">
        <w:t>16</w:t>
      </w:r>
      <w:r w:rsidR="009A7987">
        <w:t>2</w:t>
      </w:r>
    </w:p>
    <w:p w14:paraId="6611CB14" w14:textId="34F6CB14" w:rsidR="00F0418D" w:rsidRDefault="00F0418D" w:rsidP="00234047">
      <w:pPr>
        <w:jc w:val="right"/>
      </w:pPr>
      <w:r>
        <w:t>7.2 Future Directions</w:t>
      </w:r>
      <w:r w:rsidR="005B5E41">
        <w:t>…………</w:t>
      </w:r>
      <w:r w:rsidR="00393CBF">
        <w:t>…</w:t>
      </w:r>
      <w:r w:rsidR="005B5E41">
        <w:t>………………………………………………………</w:t>
      </w:r>
      <w:r w:rsidR="00B963E8">
        <w:t>16</w:t>
      </w:r>
      <w:r w:rsidR="009A7987">
        <w:t>4</w:t>
      </w:r>
    </w:p>
    <w:p w14:paraId="53A8A4B1" w14:textId="77777777" w:rsidR="00F0418D" w:rsidRPr="00846D00" w:rsidRDefault="00F0418D" w:rsidP="00234047">
      <w:pPr>
        <w:jc w:val="right"/>
      </w:pPr>
    </w:p>
    <w:p w14:paraId="07C2FFC2" w14:textId="0856D95D" w:rsidR="00F0418D" w:rsidRPr="00846D00" w:rsidRDefault="00F0418D" w:rsidP="00234047">
      <w:pPr>
        <w:jc w:val="right"/>
      </w:pPr>
      <w:r w:rsidRPr="00846D00">
        <w:t>References</w:t>
      </w:r>
      <w:r w:rsidR="005B5E41">
        <w:t>………………………………………………………………………………</w:t>
      </w:r>
      <w:r w:rsidR="00B963E8">
        <w:t>16</w:t>
      </w:r>
      <w:r w:rsidR="009A7987">
        <w:t>6</w:t>
      </w:r>
    </w:p>
    <w:p w14:paraId="5EDA66B4" w14:textId="25DFC2E2" w:rsidR="00F0418D" w:rsidRDefault="00F0418D" w:rsidP="00234047">
      <w:pPr>
        <w:jc w:val="right"/>
      </w:pPr>
      <w:r w:rsidRPr="00846D00">
        <w:t>Appendi</w:t>
      </w:r>
      <w:r>
        <w:t>x A</w:t>
      </w:r>
      <w:r w:rsidR="005B5E41">
        <w:t>………………………………………………………………………</w:t>
      </w:r>
      <w:r w:rsidR="00B963E8">
        <w:t>..</w:t>
      </w:r>
      <w:r w:rsidR="005B5E41">
        <w:t>……</w:t>
      </w:r>
      <w:r w:rsidR="00B963E8">
        <w:t>1</w:t>
      </w:r>
      <w:r w:rsidR="009A7987">
        <w:t>88</w:t>
      </w:r>
    </w:p>
    <w:p w14:paraId="7BA2EE30" w14:textId="16AA22D2" w:rsidR="00F0418D" w:rsidRPr="00846D00" w:rsidRDefault="00F0418D" w:rsidP="00234047">
      <w:pPr>
        <w:jc w:val="right"/>
      </w:pPr>
      <w:r>
        <w:t>Appendix B</w:t>
      </w:r>
      <w:r w:rsidR="005B5E41">
        <w:t>……………………………………………………………</w:t>
      </w:r>
      <w:r w:rsidR="00AA0229">
        <w:t>...</w:t>
      </w:r>
      <w:r w:rsidR="005B5E41">
        <w:t>………………</w:t>
      </w:r>
      <w:r w:rsidR="00B963E8">
        <w:t>19</w:t>
      </w:r>
      <w:r w:rsidR="009A7987">
        <w:t>5</w:t>
      </w:r>
    </w:p>
    <w:p w14:paraId="7BA528C3" w14:textId="6F400EBD" w:rsidR="00D1276A" w:rsidRPr="00846D00" w:rsidRDefault="00D1276A" w:rsidP="00393CBF">
      <w:pPr>
        <w:jc w:val="right"/>
      </w:pPr>
    </w:p>
    <w:p w14:paraId="07826C9D" w14:textId="318D7191" w:rsidR="00055320" w:rsidRPr="00A1165B" w:rsidRDefault="00055320" w:rsidP="00393CBF">
      <w:pPr>
        <w:jc w:val="right"/>
        <w:rPr>
          <w:b/>
        </w:rPr>
      </w:pPr>
    </w:p>
    <w:p w14:paraId="1A4A99CD" w14:textId="3AFB03F2" w:rsidR="00055320" w:rsidRPr="00A1165B" w:rsidRDefault="00055320" w:rsidP="00393CBF">
      <w:pPr>
        <w:jc w:val="right"/>
        <w:rPr>
          <w:b/>
        </w:rPr>
      </w:pPr>
    </w:p>
    <w:p w14:paraId="4AD336C7" w14:textId="77777777" w:rsidR="00055320" w:rsidRPr="00A1165B" w:rsidRDefault="00055320" w:rsidP="00D1276A">
      <w:pPr>
        <w:rPr>
          <w:b/>
        </w:rPr>
      </w:pPr>
    </w:p>
    <w:p w14:paraId="609A825B" w14:textId="77777777" w:rsidR="00F0418D" w:rsidRDefault="00F0418D" w:rsidP="00D1276A">
      <w:pPr>
        <w:rPr>
          <w:b/>
        </w:rPr>
      </w:pPr>
    </w:p>
    <w:p w14:paraId="022C591F" w14:textId="77777777" w:rsidR="00CD0C41" w:rsidRPr="00231DD6" w:rsidRDefault="00CD0C41" w:rsidP="00CD0C41">
      <w:pPr>
        <w:rPr>
          <w:b/>
        </w:rPr>
      </w:pPr>
      <w:r w:rsidRPr="00231DD6">
        <w:rPr>
          <w:b/>
        </w:rPr>
        <w:lastRenderedPageBreak/>
        <w:t xml:space="preserve">List of Tables </w:t>
      </w:r>
    </w:p>
    <w:p w14:paraId="7A63BA79" w14:textId="77777777" w:rsidR="00CD0C41" w:rsidRPr="00231DD6" w:rsidRDefault="00CD0C41" w:rsidP="00CD0C41"/>
    <w:p w14:paraId="5EF5A759" w14:textId="38D34A89" w:rsidR="00CD0C41" w:rsidRPr="00231DD6" w:rsidRDefault="00CD0C41" w:rsidP="00CA4E09">
      <w:pPr>
        <w:ind w:right="20"/>
        <w:jc w:val="both"/>
      </w:pPr>
      <w:r w:rsidRPr="00231DD6">
        <w:rPr>
          <w:b/>
        </w:rPr>
        <w:t>Table 4.1</w:t>
      </w:r>
      <w:r>
        <w:rPr>
          <w:b/>
        </w:rPr>
        <w:t>:</w:t>
      </w:r>
      <w:r w:rsidRPr="00231DD6">
        <w:t xml:space="preserve"> </w:t>
      </w:r>
      <w:r w:rsidRPr="00825774">
        <w:rPr>
          <w:lang w:val="en-US"/>
        </w:rPr>
        <w:t xml:space="preserve">Subadult </w:t>
      </w:r>
      <w:r w:rsidR="00B32EED">
        <w:rPr>
          <w:lang w:val="en-US"/>
        </w:rPr>
        <w:t>t</w:t>
      </w:r>
      <w:r w:rsidR="00AE0048">
        <w:rPr>
          <w:lang w:val="en-US"/>
        </w:rPr>
        <w:t>oo</w:t>
      </w:r>
      <w:r w:rsidRPr="00825774">
        <w:rPr>
          <w:lang w:val="en-US"/>
        </w:rPr>
        <w:t xml:space="preserve">th </w:t>
      </w:r>
      <w:r w:rsidR="00B32EED">
        <w:rPr>
          <w:lang w:val="en-US"/>
        </w:rPr>
        <w:t>s</w:t>
      </w:r>
      <w:r w:rsidRPr="00825774">
        <w:rPr>
          <w:lang w:val="en-US"/>
        </w:rPr>
        <w:t xml:space="preserve">amples from </w:t>
      </w:r>
      <w:r w:rsidR="00B32EED">
        <w:rPr>
          <w:lang w:val="en-US"/>
        </w:rPr>
        <w:t>B</w:t>
      </w:r>
      <w:r w:rsidRPr="00825774">
        <w:rPr>
          <w:lang w:val="en-US"/>
        </w:rPr>
        <w:t>otromagno and Parco San Stefano</w:t>
      </w:r>
      <w:r w:rsidR="005B5E41">
        <w:rPr>
          <w:lang w:val="en-US"/>
        </w:rPr>
        <w:t>…</w:t>
      </w:r>
      <w:r w:rsidR="00B32EED">
        <w:rPr>
          <w:lang w:val="en-US"/>
        </w:rPr>
        <w:t>.</w:t>
      </w:r>
      <w:r w:rsidR="00393CBF">
        <w:rPr>
          <w:lang w:val="en-US"/>
        </w:rPr>
        <w:t>…</w:t>
      </w:r>
      <w:r w:rsidR="00B32EED">
        <w:rPr>
          <w:lang w:val="en-US"/>
        </w:rPr>
        <w:t>.</w:t>
      </w:r>
      <w:r w:rsidR="005B5E41">
        <w:rPr>
          <w:lang w:val="en-US"/>
        </w:rPr>
        <w:t>……</w:t>
      </w:r>
      <w:r w:rsidR="00B963E8" w:rsidRPr="00CA4E09">
        <w:rPr>
          <w:b/>
          <w:lang w:val="en-US"/>
        </w:rPr>
        <w:t>7</w:t>
      </w:r>
      <w:r w:rsidR="009A7987">
        <w:rPr>
          <w:b/>
          <w:lang w:val="en-US"/>
        </w:rPr>
        <w:t>1</w:t>
      </w:r>
    </w:p>
    <w:p w14:paraId="1121E7C3" w14:textId="3DAFD825" w:rsidR="00CD0C41" w:rsidRPr="00F77000" w:rsidRDefault="00CD0C41" w:rsidP="00CA4E09">
      <w:pPr>
        <w:ind w:right="20"/>
        <w:contextualSpacing/>
        <w:jc w:val="both"/>
        <w:rPr>
          <w:color w:val="C00000"/>
          <w:lang w:val="en-US"/>
        </w:rPr>
      </w:pPr>
      <w:r w:rsidRPr="00231DD6">
        <w:rPr>
          <w:b/>
        </w:rPr>
        <w:t>Table 4.2</w:t>
      </w:r>
      <w:r>
        <w:rPr>
          <w:b/>
        </w:rPr>
        <w:t>:</w:t>
      </w:r>
      <w:r w:rsidRPr="00231DD6">
        <w:t xml:space="preserve"> </w:t>
      </w:r>
      <w:r w:rsidRPr="00825774">
        <w:rPr>
          <w:lang w:val="en-US"/>
        </w:rPr>
        <w:t xml:space="preserve">Subadult </w:t>
      </w:r>
      <w:r w:rsidR="00B32EED">
        <w:rPr>
          <w:lang w:val="en-US"/>
        </w:rPr>
        <w:t>b</w:t>
      </w:r>
      <w:r w:rsidRPr="00825774">
        <w:rPr>
          <w:lang w:val="en-US"/>
        </w:rPr>
        <w:t xml:space="preserve">urial </w:t>
      </w:r>
      <w:r w:rsidR="00B32EED">
        <w:rPr>
          <w:lang w:val="en-US"/>
        </w:rPr>
        <w:t>i</w:t>
      </w:r>
      <w:r w:rsidRPr="00825774">
        <w:rPr>
          <w:lang w:val="en-US"/>
        </w:rPr>
        <w:t>nformation</w:t>
      </w:r>
      <w:r w:rsidR="005B5E41">
        <w:rPr>
          <w:lang w:val="en-US"/>
        </w:rPr>
        <w:t>……………………………………………</w:t>
      </w:r>
      <w:r w:rsidR="00B32EED">
        <w:rPr>
          <w:lang w:val="en-US"/>
        </w:rPr>
        <w:t>.</w:t>
      </w:r>
      <w:r w:rsidR="00234047">
        <w:rPr>
          <w:lang w:val="en-US"/>
        </w:rPr>
        <w:t>….</w:t>
      </w:r>
      <w:r w:rsidR="005B5E41">
        <w:rPr>
          <w:lang w:val="en-US"/>
        </w:rPr>
        <w:t>…</w:t>
      </w:r>
      <w:r w:rsidR="00B963E8" w:rsidRPr="00CA4E09">
        <w:rPr>
          <w:b/>
          <w:lang w:val="en-US"/>
        </w:rPr>
        <w:t>7</w:t>
      </w:r>
      <w:r w:rsidR="009A7987">
        <w:rPr>
          <w:b/>
          <w:lang w:val="en-US"/>
        </w:rPr>
        <w:t>3</w:t>
      </w:r>
    </w:p>
    <w:p w14:paraId="5CC4E2EE" w14:textId="1395189E" w:rsidR="00CD0C41" w:rsidRPr="00231DD6" w:rsidRDefault="00CD0C41" w:rsidP="00CA4E09">
      <w:pPr>
        <w:ind w:right="20"/>
        <w:jc w:val="both"/>
      </w:pPr>
      <w:r w:rsidRPr="00231DD6">
        <w:rPr>
          <w:b/>
        </w:rPr>
        <w:t>Table 4.3</w:t>
      </w:r>
      <w:r>
        <w:rPr>
          <w:b/>
        </w:rPr>
        <w:t>:</w:t>
      </w:r>
      <w:r w:rsidRPr="00231DD6">
        <w:t xml:space="preserve"> </w:t>
      </w:r>
      <w:r w:rsidRPr="00825774">
        <w:rPr>
          <w:lang w:val="en-US"/>
        </w:rPr>
        <w:t xml:space="preserve">Adult </w:t>
      </w:r>
      <w:r w:rsidR="00B32EED">
        <w:rPr>
          <w:lang w:val="en-US"/>
        </w:rPr>
        <w:t>t</w:t>
      </w:r>
      <w:r w:rsidR="006551BF">
        <w:rPr>
          <w:lang w:val="en-US"/>
        </w:rPr>
        <w:t>oo</w:t>
      </w:r>
      <w:r w:rsidRPr="00825774">
        <w:rPr>
          <w:lang w:val="en-US"/>
        </w:rPr>
        <w:t xml:space="preserve">th </w:t>
      </w:r>
      <w:r w:rsidR="00B32EED">
        <w:rPr>
          <w:lang w:val="en-US"/>
        </w:rPr>
        <w:t>s</w:t>
      </w:r>
      <w:r w:rsidRPr="00825774">
        <w:rPr>
          <w:lang w:val="en-US"/>
        </w:rPr>
        <w:t>amples</w:t>
      </w:r>
      <w:r w:rsidR="005B5E41">
        <w:rPr>
          <w:lang w:val="en-US"/>
        </w:rPr>
        <w:t>…………………………………………</w:t>
      </w:r>
      <w:r w:rsidR="00393CBF">
        <w:rPr>
          <w:lang w:val="en-US"/>
        </w:rPr>
        <w:t>…</w:t>
      </w:r>
      <w:r w:rsidR="005B5E41">
        <w:rPr>
          <w:lang w:val="en-US"/>
        </w:rPr>
        <w:t>………</w:t>
      </w:r>
      <w:r w:rsidR="00B32EED">
        <w:rPr>
          <w:lang w:val="en-US"/>
        </w:rPr>
        <w:t>..</w:t>
      </w:r>
      <w:r w:rsidR="00234047">
        <w:rPr>
          <w:lang w:val="en-US"/>
        </w:rPr>
        <w:t>…</w:t>
      </w:r>
      <w:r w:rsidR="005B5E41">
        <w:rPr>
          <w:lang w:val="en-US"/>
        </w:rPr>
        <w:t>…</w:t>
      </w:r>
      <w:r w:rsidR="00B963E8" w:rsidRPr="00CA4E09">
        <w:rPr>
          <w:b/>
          <w:lang w:val="en-US"/>
        </w:rPr>
        <w:t>7</w:t>
      </w:r>
      <w:r w:rsidR="009A7987">
        <w:rPr>
          <w:b/>
          <w:lang w:val="en-US"/>
        </w:rPr>
        <w:t>5</w:t>
      </w:r>
    </w:p>
    <w:p w14:paraId="72A474E5" w14:textId="3ADCDEFC" w:rsidR="00B963E8" w:rsidRPr="00F77000" w:rsidRDefault="00CD0C41" w:rsidP="00CA4E09">
      <w:pPr>
        <w:ind w:right="20"/>
        <w:jc w:val="both"/>
        <w:rPr>
          <w:lang w:val="en-US"/>
        </w:rPr>
      </w:pPr>
      <w:r w:rsidRPr="00231DD6">
        <w:rPr>
          <w:b/>
        </w:rPr>
        <w:t>Table 4.4</w:t>
      </w:r>
      <w:r>
        <w:rPr>
          <w:b/>
        </w:rPr>
        <w:t>:</w:t>
      </w:r>
      <w:r w:rsidRPr="00231DD6">
        <w:t xml:space="preserve"> </w:t>
      </w:r>
      <w:r w:rsidRPr="00825774">
        <w:rPr>
          <w:lang w:val="en-US"/>
        </w:rPr>
        <w:t xml:space="preserve">Adult </w:t>
      </w:r>
      <w:r w:rsidR="00B32EED">
        <w:rPr>
          <w:lang w:val="en-US"/>
        </w:rPr>
        <w:t>b</w:t>
      </w:r>
      <w:r w:rsidRPr="00825774">
        <w:rPr>
          <w:lang w:val="en-US"/>
        </w:rPr>
        <w:t xml:space="preserve">urial </w:t>
      </w:r>
      <w:r w:rsidR="00B32EED">
        <w:rPr>
          <w:lang w:val="en-US"/>
        </w:rPr>
        <w:t>i</w:t>
      </w:r>
      <w:r w:rsidRPr="00825774">
        <w:rPr>
          <w:lang w:val="en-US"/>
        </w:rPr>
        <w:t>nformation</w:t>
      </w:r>
      <w:r w:rsidR="00716155">
        <w:rPr>
          <w:lang w:val="en-US"/>
        </w:rPr>
        <w:t xml:space="preserve"> ………………………………………………</w:t>
      </w:r>
      <w:r w:rsidR="00CA4E09">
        <w:rPr>
          <w:lang w:val="en-US"/>
        </w:rPr>
        <w:t>.</w:t>
      </w:r>
      <w:r w:rsidR="00B32EED">
        <w:rPr>
          <w:lang w:val="en-US"/>
        </w:rPr>
        <w:t>.</w:t>
      </w:r>
      <w:r w:rsidR="00716155">
        <w:rPr>
          <w:lang w:val="en-US"/>
        </w:rPr>
        <w:t>……</w:t>
      </w:r>
      <w:r w:rsidR="00B963E8" w:rsidRPr="00CA4E09">
        <w:rPr>
          <w:b/>
          <w:lang w:val="en-US"/>
        </w:rPr>
        <w:t>7</w:t>
      </w:r>
      <w:r w:rsidR="009A7987">
        <w:rPr>
          <w:b/>
          <w:lang w:val="en-US"/>
        </w:rPr>
        <w:t>6</w:t>
      </w:r>
    </w:p>
    <w:p w14:paraId="7E698585" w14:textId="56992978" w:rsidR="00CD0C41" w:rsidRPr="00C73804" w:rsidRDefault="00CD0C41" w:rsidP="00F10A68">
      <w:pPr>
        <w:ind w:right="20"/>
        <w:jc w:val="both"/>
        <w:rPr>
          <w:rFonts w:eastAsiaTheme="minorHAnsi"/>
          <w:lang w:val="en-US"/>
        </w:rPr>
      </w:pPr>
      <w:r>
        <w:rPr>
          <w:rFonts w:eastAsiaTheme="minorHAnsi"/>
          <w:b/>
          <w:lang w:val="en-US"/>
        </w:rPr>
        <w:t>Table 5.1</w:t>
      </w:r>
      <w:r>
        <w:rPr>
          <w:rFonts w:eastAsiaTheme="minorHAnsi"/>
          <w:lang w:val="en-US"/>
        </w:rPr>
        <w:t xml:space="preserve">: Stable </w:t>
      </w:r>
      <w:r w:rsidR="00B32EED">
        <w:rPr>
          <w:rFonts w:eastAsiaTheme="minorHAnsi"/>
          <w:lang w:val="en-US"/>
        </w:rPr>
        <w:t>c</w:t>
      </w:r>
      <w:r>
        <w:rPr>
          <w:rFonts w:eastAsiaTheme="minorHAnsi"/>
          <w:lang w:val="en-US"/>
        </w:rPr>
        <w:t xml:space="preserve">arbon and nitrogen isotope data for subadult dentine </w:t>
      </w:r>
      <w:r w:rsidR="00096908">
        <w:rPr>
          <w:rFonts w:eastAsiaTheme="minorHAnsi"/>
          <w:lang w:val="en-US"/>
        </w:rPr>
        <w:t>……….………</w:t>
      </w:r>
      <w:r w:rsidR="00096908" w:rsidRPr="00CA4E09">
        <w:rPr>
          <w:rFonts w:eastAsiaTheme="minorHAnsi"/>
          <w:b/>
          <w:lang w:val="en-US"/>
        </w:rPr>
        <w:t>8</w:t>
      </w:r>
      <w:r w:rsidR="009A7987">
        <w:rPr>
          <w:rFonts w:eastAsiaTheme="minorHAnsi"/>
          <w:b/>
          <w:lang w:val="en-US"/>
        </w:rPr>
        <w:t>5</w:t>
      </w:r>
      <w:r w:rsidR="00096908">
        <w:rPr>
          <w:rFonts w:eastAsiaTheme="minorHAnsi"/>
          <w:lang w:val="en-US"/>
        </w:rPr>
        <w:br/>
        <w:t xml:space="preserve">serial samples </w:t>
      </w:r>
      <w:r>
        <w:rPr>
          <w:rFonts w:eastAsiaTheme="minorHAnsi"/>
          <w:lang w:val="en-US"/>
        </w:rPr>
        <w:t>(n=62)</w:t>
      </w:r>
      <w:r w:rsidR="00716155">
        <w:rPr>
          <w:rFonts w:eastAsiaTheme="minorHAnsi"/>
          <w:lang w:val="en-US"/>
        </w:rPr>
        <w:t xml:space="preserve"> </w:t>
      </w:r>
    </w:p>
    <w:p w14:paraId="787DDD85" w14:textId="2F50D088" w:rsidR="00716155" w:rsidRDefault="00CD0C41" w:rsidP="00F10A68">
      <w:pPr>
        <w:ind w:right="20"/>
        <w:jc w:val="both"/>
        <w:rPr>
          <w:rFonts w:eastAsiaTheme="minorHAnsi"/>
          <w:lang w:val="en-US"/>
        </w:rPr>
      </w:pPr>
      <w:r>
        <w:rPr>
          <w:rFonts w:eastAsiaTheme="minorHAnsi"/>
          <w:b/>
          <w:lang w:val="en-US"/>
        </w:rPr>
        <w:t>Table 5.2</w:t>
      </w:r>
      <w:r>
        <w:rPr>
          <w:rFonts w:eastAsiaTheme="minorHAnsi"/>
          <w:lang w:val="en-US"/>
        </w:rPr>
        <w:t>: Stable carbon and nitrogen isotope data for adult dentine</w:t>
      </w:r>
      <w:r w:rsidR="00F10A68">
        <w:rPr>
          <w:rFonts w:eastAsiaTheme="minorHAnsi"/>
          <w:lang w:val="en-US"/>
        </w:rPr>
        <w:t>………………</w:t>
      </w:r>
      <w:r w:rsidR="00096908">
        <w:rPr>
          <w:rFonts w:eastAsiaTheme="minorHAnsi"/>
          <w:lang w:val="en-US"/>
        </w:rPr>
        <w:t>…..</w:t>
      </w:r>
      <w:r w:rsidR="00096908" w:rsidRPr="00CA4E09">
        <w:rPr>
          <w:rFonts w:eastAsiaTheme="minorHAnsi"/>
          <w:b/>
          <w:lang w:val="en-US"/>
        </w:rPr>
        <w:t>10</w:t>
      </w:r>
      <w:r w:rsidR="009A7987">
        <w:rPr>
          <w:rFonts w:eastAsiaTheme="minorHAnsi"/>
          <w:b/>
          <w:lang w:val="en-US"/>
        </w:rPr>
        <w:t>1</w:t>
      </w:r>
      <w:r w:rsidR="00096908">
        <w:rPr>
          <w:rFonts w:eastAsiaTheme="minorHAnsi"/>
          <w:lang w:val="en-US"/>
        </w:rPr>
        <w:br/>
      </w:r>
      <w:r>
        <w:rPr>
          <w:rFonts w:eastAsiaTheme="minorHAnsi"/>
          <w:lang w:val="en-US"/>
        </w:rPr>
        <w:t xml:space="preserve">subsamples </w:t>
      </w:r>
      <w:r w:rsidR="00096908">
        <w:rPr>
          <w:rFonts w:eastAsiaTheme="minorHAnsi"/>
          <w:lang w:val="en-US"/>
        </w:rPr>
        <w:t xml:space="preserve">(n=69) </w:t>
      </w:r>
    </w:p>
    <w:p w14:paraId="3DAC1519" w14:textId="294B4334" w:rsidR="00CD0C41" w:rsidRDefault="00CD0C41" w:rsidP="00F10A68">
      <w:pPr>
        <w:ind w:right="20"/>
        <w:jc w:val="both"/>
        <w:rPr>
          <w:rFonts w:eastAsiaTheme="minorHAnsi"/>
          <w:lang w:val="en-US"/>
        </w:rPr>
      </w:pPr>
      <w:r>
        <w:rPr>
          <w:rFonts w:eastAsiaTheme="minorHAnsi"/>
          <w:b/>
          <w:lang w:val="en-US"/>
        </w:rPr>
        <w:t>Table 5.3:</w:t>
      </w:r>
      <w:r>
        <w:rPr>
          <w:rFonts w:eastAsiaTheme="minorHAnsi"/>
          <w:lang w:val="en-US"/>
        </w:rPr>
        <w:t xml:space="preserve"> Stable carbon and nitrogen isotope data of subadult bone samples</w:t>
      </w:r>
      <w:r w:rsidR="00257E9D">
        <w:rPr>
          <w:rFonts w:eastAsiaTheme="minorHAnsi"/>
          <w:lang w:val="en-US"/>
        </w:rPr>
        <w:t>..</w:t>
      </w:r>
      <w:r w:rsidR="00716155">
        <w:rPr>
          <w:rFonts w:eastAsiaTheme="minorHAnsi"/>
          <w:lang w:val="en-US"/>
        </w:rPr>
        <w:t>…</w:t>
      </w:r>
      <w:r w:rsidR="00F10A68">
        <w:rPr>
          <w:rFonts w:eastAsiaTheme="minorHAnsi"/>
          <w:lang w:val="en-US"/>
        </w:rPr>
        <w:t>….</w:t>
      </w:r>
      <w:r w:rsidR="00716155">
        <w:rPr>
          <w:rFonts w:eastAsiaTheme="minorHAnsi"/>
          <w:lang w:val="en-US"/>
        </w:rPr>
        <w:t>…</w:t>
      </w:r>
      <w:r w:rsidR="00393CBF">
        <w:rPr>
          <w:rFonts w:eastAsiaTheme="minorHAnsi"/>
          <w:lang w:val="en-US"/>
        </w:rPr>
        <w:t>..</w:t>
      </w:r>
      <w:r w:rsidR="00B963E8" w:rsidRPr="00CA4E09">
        <w:rPr>
          <w:rFonts w:eastAsiaTheme="minorHAnsi"/>
          <w:b/>
          <w:lang w:val="en-US"/>
        </w:rPr>
        <w:t>11</w:t>
      </w:r>
      <w:r w:rsidR="009A7987">
        <w:rPr>
          <w:rFonts w:eastAsiaTheme="minorHAnsi"/>
          <w:b/>
          <w:lang w:val="en-US"/>
        </w:rPr>
        <w:t>7</w:t>
      </w:r>
    </w:p>
    <w:p w14:paraId="0DB2295E" w14:textId="0699BADA" w:rsidR="00CD0C41" w:rsidRDefault="00CD0C41" w:rsidP="00F10A68">
      <w:pPr>
        <w:ind w:right="20"/>
        <w:jc w:val="both"/>
        <w:rPr>
          <w:rFonts w:eastAsiaTheme="minorHAnsi"/>
          <w:lang w:val="en-US"/>
        </w:rPr>
      </w:pPr>
      <w:r>
        <w:rPr>
          <w:rFonts w:eastAsiaTheme="minorHAnsi"/>
          <w:b/>
          <w:lang w:val="en-US"/>
        </w:rPr>
        <w:t>Table 5.4:</w:t>
      </w:r>
      <w:r>
        <w:rPr>
          <w:rFonts w:eastAsiaTheme="minorHAnsi"/>
          <w:lang w:val="en-US"/>
        </w:rPr>
        <w:t xml:space="preserve"> Mean stable nitrogen and carbon isotope data for adult males (n=5)</w:t>
      </w:r>
      <w:r w:rsidR="00257E9D">
        <w:rPr>
          <w:rFonts w:eastAsiaTheme="minorHAnsi"/>
          <w:lang w:val="en-US"/>
        </w:rPr>
        <w:t>.</w:t>
      </w:r>
      <w:r w:rsidR="00096908">
        <w:rPr>
          <w:rFonts w:eastAsiaTheme="minorHAnsi"/>
          <w:lang w:val="en-US"/>
        </w:rPr>
        <w:t>…..….</w:t>
      </w:r>
      <w:r w:rsidR="00096908" w:rsidRPr="00CA4E09">
        <w:rPr>
          <w:rFonts w:eastAsiaTheme="minorHAnsi"/>
          <w:b/>
          <w:lang w:val="en-US"/>
        </w:rPr>
        <w:t>11</w:t>
      </w:r>
      <w:r w:rsidR="009A7987">
        <w:rPr>
          <w:rFonts w:eastAsiaTheme="minorHAnsi"/>
          <w:b/>
          <w:lang w:val="en-US"/>
        </w:rPr>
        <w:t>4</w:t>
      </w:r>
      <w:r w:rsidR="00096908">
        <w:rPr>
          <w:rFonts w:eastAsiaTheme="minorHAnsi"/>
          <w:lang w:val="en-US"/>
        </w:rPr>
        <w:br/>
      </w:r>
      <w:r>
        <w:rPr>
          <w:rFonts w:eastAsiaTheme="minorHAnsi"/>
          <w:lang w:val="en-US"/>
        </w:rPr>
        <w:t>and</w:t>
      </w:r>
      <w:r w:rsidR="00716155">
        <w:rPr>
          <w:rFonts w:eastAsiaTheme="minorHAnsi"/>
          <w:lang w:val="en-US"/>
        </w:rPr>
        <w:t xml:space="preserve"> </w:t>
      </w:r>
      <w:r>
        <w:rPr>
          <w:rFonts w:eastAsiaTheme="minorHAnsi"/>
          <w:lang w:val="en-US"/>
        </w:rPr>
        <w:t>females (n=3)</w:t>
      </w:r>
      <w:r w:rsidR="00716155">
        <w:rPr>
          <w:rFonts w:eastAsiaTheme="minorHAnsi"/>
          <w:lang w:val="en-US"/>
        </w:rPr>
        <w:t xml:space="preserve"> </w:t>
      </w:r>
    </w:p>
    <w:p w14:paraId="06E9A0FE" w14:textId="0EF2C47D" w:rsidR="00CD0C41" w:rsidRDefault="00CD0C41" w:rsidP="00F10A68">
      <w:pPr>
        <w:ind w:right="20"/>
        <w:jc w:val="both"/>
        <w:rPr>
          <w:rFonts w:eastAsiaTheme="minorHAnsi"/>
          <w:lang w:val="en-US"/>
        </w:rPr>
      </w:pPr>
      <w:r>
        <w:rPr>
          <w:rFonts w:eastAsiaTheme="minorHAnsi"/>
          <w:b/>
          <w:lang w:val="en-US"/>
        </w:rPr>
        <w:t xml:space="preserve">Table 5.5: </w:t>
      </w:r>
      <w:r>
        <w:rPr>
          <w:rFonts w:eastAsiaTheme="minorHAnsi"/>
          <w:lang w:val="en-US"/>
        </w:rPr>
        <w:t>Non-survivors and survivors of weaning (n=21)</w:t>
      </w:r>
      <w:r w:rsidR="00716155">
        <w:rPr>
          <w:rFonts w:eastAsiaTheme="minorHAnsi"/>
          <w:lang w:val="en-US"/>
        </w:rPr>
        <w:t xml:space="preserve"> ……………</w:t>
      </w:r>
      <w:r w:rsidR="00393CBF">
        <w:rPr>
          <w:rFonts w:eastAsiaTheme="minorHAnsi"/>
          <w:lang w:val="en-US"/>
        </w:rPr>
        <w:t>..</w:t>
      </w:r>
      <w:r w:rsidR="00716155">
        <w:rPr>
          <w:rFonts w:eastAsiaTheme="minorHAnsi"/>
          <w:lang w:val="en-US"/>
        </w:rPr>
        <w:t>………</w:t>
      </w:r>
      <w:r w:rsidR="00F10A68">
        <w:rPr>
          <w:rFonts w:eastAsiaTheme="minorHAnsi"/>
          <w:lang w:val="en-US"/>
        </w:rPr>
        <w:t>.</w:t>
      </w:r>
      <w:r w:rsidR="00716155">
        <w:rPr>
          <w:rFonts w:eastAsiaTheme="minorHAnsi"/>
          <w:lang w:val="en-US"/>
        </w:rPr>
        <w:t>…</w:t>
      </w:r>
      <w:r w:rsidR="00CA4E09">
        <w:rPr>
          <w:rFonts w:eastAsiaTheme="minorHAnsi"/>
          <w:lang w:val="en-US"/>
        </w:rPr>
        <w:t>.</w:t>
      </w:r>
      <w:r w:rsidR="00716155">
        <w:rPr>
          <w:rFonts w:eastAsiaTheme="minorHAnsi"/>
          <w:lang w:val="en-US"/>
        </w:rPr>
        <w:t>…</w:t>
      </w:r>
      <w:r w:rsidR="00B963E8" w:rsidRPr="00CA4E09">
        <w:rPr>
          <w:rFonts w:eastAsiaTheme="minorHAnsi"/>
          <w:b/>
          <w:lang w:val="en-US"/>
        </w:rPr>
        <w:t>1</w:t>
      </w:r>
      <w:r w:rsidR="009A7987">
        <w:rPr>
          <w:rFonts w:eastAsiaTheme="minorHAnsi"/>
          <w:b/>
          <w:lang w:val="en-US"/>
        </w:rPr>
        <w:t>29</w:t>
      </w:r>
    </w:p>
    <w:p w14:paraId="4BD1D955" w14:textId="3C5E33AB" w:rsidR="00CD0C41" w:rsidRDefault="00CD0C41" w:rsidP="00F10A68">
      <w:pPr>
        <w:ind w:right="20"/>
        <w:jc w:val="both"/>
        <w:rPr>
          <w:rFonts w:eastAsiaTheme="minorHAnsi"/>
          <w:lang w:val="en-US"/>
        </w:rPr>
      </w:pPr>
      <w:r>
        <w:rPr>
          <w:rFonts w:eastAsiaTheme="minorHAnsi"/>
          <w:b/>
          <w:lang w:val="en-US"/>
        </w:rPr>
        <w:t>Table 5.6:</w:t>
      </w:r>
      <w:r>
        <w:rPr>
          <w:rFonts w:eastAsiaTheme="minorHAnsi"/>
          <w:lang w:val="en-US"/>
        </w:rPr>
        <w:t xml:space="preserve"> Mean stable nitrogen and carbon isotope data for survivors (&gt; 4 years)</w:t>
      </w:r>
      <w:r w:rsidR="00096908">
        <w:rPr>
          <w:rFonts w:eastAsiaTheme="minorHAnsi"/>
          <w:lang w:val="en-US"/>
        </w:rPr>
        <w:t>…</w:t>
      </w:r>
      <w:r w:rsidR="00F10A68">
        <w:rPr>
          <w:rFonts w:eastAsiaTheme="minorHAnsi"/>
          <w:lang w:val="en-US"/>
        </w:rPr>
        <w:t>…</w:t>
      </w:r>
      <w:r w:rsidR="00096908">
        <w:rPr>
          <w:rFonts w:eastAsiaTheme="minorHAnsi"/>
          <w:lang w:val="en-US"/>
        </w:rPr>
        <w:t>.</w:t>
      </w:r>
      <w:r w:rsidR="00096908" w:rsidRPr="00CA4E09">
        <w:rPr>
          <w:rFonts w:eastAsiaTheme="minorHAnsi"/>
          <w:b/>
          <w:lang w:val="en-US"/>
        </w:rPr>
        <w:t>13</w:t>
      </w:r>
      <w:r w:rsidR="009A7987">
        <w:rPr>
          <w:rFonts w:eastAsiaTheme="minorHAnsi"/>
          <w:b/>
          <w:lang w:val="en-US"/>
        </w:rPr>
        <w:t>0</w:t>
      </w:r>
      <w:r w:rsidR="00096908">
        <w:rPr>
          <w:rFonts w:eastAsiaTheme="minorHAnsi"/>
          <w:lang w:val="en-US"/>
        </w:rPr>
        <w:br/>
        <w:t>and non-</w:t>
      </w:r>
      <w:r>
        <w:rPr>
          <w:rFonts w:eastAsiaTheme="minorHAnsi"/>
          <w:lang w:val="en-US"/>
        </w:rPr>
        <w:t>survivors (&lt; 4 years) between 0 to 4 years</w:t>
      </w:r>
      <w:r w:rsidR="00716155">
        <w:rPr>
          <w:rFonts w:eastAsiaTheme="minorHAnsi"/>
          <w:lang w:val="en-US"/>
        </w:rPr>
        <w:t xml:space="preserve"> </w:t>
      </w:r>
    </w:p>
    <w:p w14:paraId="4C8B8066" w14:textId="77777777" w:rsidR="00CD0C41" w:rsidRPr="00231DD6" w:rsidRDefault="00CD0C41" w:rsidP="00CA4E09">
      <w:pPr>
        <w:ind w:right="20"/>
        <w:jc w:val="both"/>
      </w:pPr>
    </w:p>
    <w:p w14:paraId="57F2D83E" w14:textId="5746B227" w:rsidR="00231DD6" w:rsidRPr="00231DD6" w:rsidRDefault="00231DD6" w:rsidP="00393CBF">
      <w:pPr>
        <w:jc w:val="right"/>
      </w:pPr>
    </w:p>
    <w:p w14:paraId="7BE913CE" w14:textId="37A9C930" w:rsidR="00D1276A" w:rsidRPr="00A1165B" w:rsidRDefault="00D1276A" w:rsidP="00D1276A">
      <w:pPr>
        <w:rPr>
          <w:b/>
        </w:rPr>
      </w:pPr>
    </w:p>
    <w:p w14:paraId="173BC7CD" w14:textId="01652397" w:rsidR="00D1276A" w:rsidRDefault="00D1276A" w:rsidP="00D1276A">
      <w:pPr>
        <w:rPr>
          <w:b/>
        </w:rPr>
      </w:pPr>
    </w:p>
    <w:p w14:paraId="20131A05" w14:textId="17D9F435" w:rsidR="00930AFD" w:rsidRDefault="00930AFD" w:rsidP="00D1276A">
      <w:pPr>
        <w:rPr>
          <w:b/>
        </w:rPr>
      </w:pPr>
    </w:p>
    <w:p w14:paraId="1F7A51B0" w14:textId="329C8027" w:rsidR="00930AFD" w:rsidRDefault="00930AFD" w:rsidP="00D1276A">
      <w:pPr>
        <w:rPr>
          <w:b/>
        </w:rPr>
      </w:pPr>
    </w:p>
    <w:p w14:paraId="38ED24A2" w14:textId="7CA32F7B" w:rsidR="00930AFD" w:rsidRDefault="00930AFD" w:rsidP="00D1276A">
      <w:pPr>
        <w:rPr>
          <w:b/>
        </w:rPr>
      </w:pPr>
    </w:p>
    <w:p w14:paraId="1B6174ED" w14:textId="04CF69AA" w:rsidR="00930AFD" w:rsidRDefault="00930AFD" w:rsidP="00D1276A">
      <w:pPr>
        <w:rPr>
          <w:b/>
        </w:rPr>
      </w:pPr>
    </w:p>
    <w:p w14:paraId="24154FC3" w14:textId="60A1BDBC" w:rsidR="00930AFD" w:rsidRDefault="00930AFD" w:rsidP="00D1276A">
      <w:pPr>
        <w:rPr>
          <w:b/>
        </w:rPr>
      </w:pPr>
    </w:p>
    <w:p w14:paraId="37F8C398" w14:textId="5D746014" w:rsidR="00930AFD" w:rsidRDefault="00930AFD" w:rsidP="00D1276A">
      <w:pPr>
        <w:rPr>
          <w:b/>
        </w:rPr>
      </w:pPr>
    </w:p>
    <w:p w14:paraId="5496D281" w14:textId="391686A4" w:rsidR="00930AFD" w:rsidRDefault="00930AFD" w:rsidP="00D1276A">
      <w:pPr>
        <w:rPr>
          <w:b/>
        </w:rPr>
      </w:pPr>
    </w:p>
    <w:p w14:paraId="30380B02" w14:textId="710B25DD" w:rsidR="00930AFD" w:rsidRDefault="00930AFD" w:rsidP="00D1276A">
      <w:pPr>
        <w:rPr>
          <w:b/>
        </w:rPr>
      </w:pPr>
    </w:p>
    <w:p w14:paraId="53B87CD4" w14:textId="6799C06F" w:rsidR="00930AFD" w:rsidRDefault="00930AFD" w:rsidP="00D1276A">
      <w:pPr>
        <w:rPr>
          <w:b/>
        </w:rPr>
      </w:pPr>
    </w:p>
    <w:p w14:paraId="10783FFD" w14:textId="703B8255" w:rsidR="00930AFD" w:rsidRDefault="00930AFD" w:rsidP="00D1276A">
      <w:pPr>
        <w:rPr>
          <w:b/>
        </w:rPr>
      </w:pPr>
    </w:p>
    <w:p w14:paraId="3603E446" w14:textId="4E5932C3" w:rsidR="00930AFD" w:rsidRDefault="00930AFD" w:rsidP="00D1276A">
      <w:pPr>
        <w:rPr>
          <w:b/>
        </w:rPr>
      </w:pPr>
    </w:p>
    <w:p w14:paraId="4EFD3ACE" w14:textId="63C5D41D" w:rsidR="00930AFD" w:rsidRDefault="00930AFD" w:rsidP="00D1276A">
      <w:pPr>
        <w:rPr>
          <w:b/>
        </w:rPr>
      </w:pPr>
    </w:p>
    <w:p w14:paraId="3767503A" w14:textId="117D85EF" w:rsidR="00930AFD" w:rsidRDefault="00930AFD" w:rsidP="00D1276A">
      <w:pPr>
        <w:rPr>
          <w:b/>
        </w:rPr>
      </w:pPr>
    </w:p>
    <w:p w14:paraId="1787D288" w14:textId="50A4616E" w:rsidR="00930AFD" w:rsidRDefault="00930AFD" w:rsidP="00D1276A">
      <w:pPr>
        <w:rPr>
          <w:b/>
        </w:rPr>
      </w:pPr>
    </w:p>
    <w:p w14:paraId="4D3A9160" w14:textId="5AE7F69A" w:rsidR="00930AFD" w:rsidRDefault="00930AFD" w:rsidP="00D1276A">
      <w:pPr>
        <w:rPr>
          <w:b/>
        </w:rPr>
      </w:pPr>
    </w:p>
    <w:p w14:paraId="0FEC4CE9" w14:textId="774F4DC0" w:rsidR="00930AFD" w:rsidRDefault="00930AFD" w:rsidP="00D1276A">
      <w:pPr>
        <w:rPr>
          <w:b/>
        </w:rPr>
      </w:pPr>
    </w:p>
    <w:p w14:paraId="3866A70D" w14:textId="55237191" w:rsidR="00930AFD" w:rsidRDefault="00930AFD" w:rsidP="00D1276A">
      <w:pPr>
        <w:rPr>
          <w:b/>
        </w:rPr>
      </w:pPr>
    </w:p>
    <w:p w14:paraId="4BC8AB54" w14:textId="6C61A5AE" w:rsidR="00930AFD" w:rsidRDefault="00930AFD" w:rsidP="00D1276A">
      <w:pPr>
        <w:rPr>
          <w:b/>
        </w:rPr>
      </w:pPr>
    </w:p>
    <w:p w14:paraId="6EEA7CE0" w14:textId="5B5C5595" w:rsidR="00930AFD" w:rsidRDefault="00930AFD" w:rsidP="00D1276A">
      <w:pPr>
        <w:rPr>
          <w:b/>
        </w:rPr>
      </w:pPr>
    </w:p>
    <w:p w14:paraId="004C1C02" w14:textId="02DB3B44" w:rsidR="002E72E6" w:rsidRDefault="002E72E6" w:rsidP="00D1276A">
      <w:pPr>
        <w:rPr>
          <w:b/>
        </w:rPr>
      </w:pPr>
    </w:p>
    <w:p w14:paraId="2F7D5E92" w14:textId="77A1D819" w:rsidR="002E72E6" w:rsidRDefault="002E72E6" w:rsidP="00D1276A">
      <w:pPr>
        <w:rPr>
          <w:b/>
        </w:rPr>
      </w:pPr>
    </w:p>
    <w:p w14:paraId="0F2A0B0A" w14:textId="3F85E060" w:rsidR="00216B4C" w:rsidRDefault="00216B4C" w:rsidP="00D1276A">
      <w:pPr>
        <w:rPr>
          <w:b/>
        </w:rPr>
      </w:pPr>
    </w:p>
    <w:p w14:paraId="0DFD8A23" w14:textId="77777777" w:rsidR="002D5B65" w:rsidRDefault="002D5B65" w:rsidP="00D1276A">
      <w:pPr>
        <w:rPr>
          <w:b/>
        </w:rPr>
      </w:pPr>
    </w:p>
    <w:p w14:paraId="2CBEF17E" w14:textId="77777777" w:rsidR="003910B5" w:rsidRDefault="003910B5" w:rsidP="00CD0C41">
      <w:pPr>
        <w:rPr>
          <w:b/>
        </w:rPr>
      </w:pPr>
    </w:p>
    <w:p w14:paraId="64F9D98F" w14:textId="34C60BC9" w:rsidR="00CD0C41" w:rsidRPr="00363B59" w:rsidRDefault="00CD0C41" w:rsidP="00CD0C41">
      <w:pPr>
        <w:rPr>
          <w:b/>
        </w:rPr>
      </w:pPr>
      <w:r w:rsidRPr="00363B59">
        <w:rPr>
          <w:b/>
        </w:rPr>
        <w:lastRenderedPageBreak/>
        <w:t>List of Figures</w:t>
      </w:r>
    </w:p>
    <w:p w14:paraId="601C39A2" w14:textId="77777777" w:rsidR="00CD0C41" w:rsidRDefault="00CD0C41" w:rsidP="00CD0C41">
      <w:pPr>
        <w:rPr>
          <w:b/>
        </w:rPr>
      </w:pPr>
    </w:p>
    <w:p w14:paraId="35DBF144" w14:textId="64967E98" w:rsidR="00CD0C41" w:rsidRPr="00363B59" w:rsidRDefault="00CD0C41" w:rsidP="00330679">
      <w:pPr>
        <w:jc w:val="both"/>
      </w:pPr>
      <w:r w:rsidRPr="00363B59">
        <w:rPr>
          <w:b/>
        </w:rPr>
        <w:t xml:space="preserve">Figure 2.1: </w:t>
      </w:r>
      <w:r w:rsidRPr="00363B59">
        <w:t>Biochrom</w:t>
      </w:r>
      <w:r w:rsidRPr="00363B59">
        <w:rPr>
          <w:b/>
        </w:rPr>
        <w:t xml:space="preserve">e </w:t>
      </w:r>
      <w:r w:rsidRPr="00363B59">
        <w:t>feeding bottle from Tomb 12 at Botromagno, 5</w:t>
      </w:r>
      <w:r w:rsidRPr="00363B59">
        <w:rPr>
          <w:vertAlign w:val="superscript"/>
        </w:rPr>
        <w:t>th</w:t>
      </w:r>
      <w:r w:rsidRPr="00363B59">
        <w:t xml:space="preserve"> century BCE</w:t>
      </w:r>
      <w:r w:rsidRPr="00363B59">
        <w:rPr>
          <w:b/>
        </w:rPr>
        <w:t xml:space="preserve"> </w:t>
      </w:r>
      <w:r w:rsidRPr="00363B59">
        <w:t>(from Whitehouse et al. 2000, p.</w:t>
      </w:r>
      <w:r>
        <w:t>1</w:t>
      </w:r>
      <w:r w:rsidRPr="00363B59">
        <w:t>81)</w:t>
      </w:r>
      <w:r w:rsidR="00716155">
        <w:t xml:space="preserve"> ………………………………………</w:t>
      </w:r>
      <w:r w:rsidR="00234047">
        <w:t>…</w:t>
      </w:r>
      <w:r w:rsidR="00716155">
        <w:t>…………</w:t>
      </w:r>
      <w:r w:rsidR="00B963E8" w:rsidRPr="00CA4E09">
        <w:rPr>
          <w:b/>
        </w:rPr>
        <w:t>2</w:t>
      </w:r>
      <w:r w:rsidR="001A61E9">
        <w:rPr>
          <w:b/>
        </w:rPr>
        <w:t>3</w:t>
      </w:r>
    </w:p>
    <w:p w14:paraId="51C38961" w14:textId="59DBA7B0" w:rsidR="00CD0C41" w:rsidRPr="00363B59" w:rsidRDefault="00CD0C41" w:rsidP="00330679">
      <w:pPr>
        <w:jc w:val="both"/>
        <w:rPr>
          <w:color w:val="000000" w:themeColor="text1"/>
        </w:rPr>
      </w:pPr>
      <w:r w:rsidRPr="00363B59">
        <w:rPr>
          <w:b/>
        </w:rPr>
        <w:t xml:space="preserve">Figure 2.2: </w:t>
      </w:r>
      <w:r w:rsidRPr="00363B59">
        <w:rPr>
          <w:color w:val="000000" w:themeColor="text1"/>
        </w:rPr>
        <w:t>Black glaze baby feeder from Burial 1 at Botromagno, late 4</w:t>
      </w:r>
      <w:r w:rsidRPr="00363B59">
        <w:rPr>
          <w:color w:val="000000" w:themeColor="text1"/>
          <w:vertAlign w:val="superscript"/>
        </w:rPr>
        <w:t>th</w:t>
      </w:r>
      <w:r w:rsidRPr="00363B59">
        <w:rPr>
          <w:color w:val="000000" w:themeColor="text1"/>
        </w:rPr>
        <w:t xml:space="preserve"> century BCE (from Whitehouse et al. 2000, </w:t>
      </w:r>
      <w:r>
        <w:rPr>
          <w:color w:val="000000" w:themeColor="text1"/>
        </w:rPr>
        <w:t>p.</w:t>
      </w:r>
      <w:r w:rsidRPr="00363B59">
        <w:rPr>
          <w:color w:val="000000" w:themeColor="text1"/>
        </w:rPr>
        <w:t>219)</w:t>
      </w:r>
      <w:r w:rsidR="00716155">
        <w:rPr>
          <w:color w:val="000000" w:themeColor="text1"/>
        </w:rPr>
        <w:t xml:space="preserve"> ………………………………………</w:t>
      </w:r>
      <w:r w:rsidR="00234047">
        <w:rPr>
          <w:color w:val="000000" w:themeColor="text1"/>
        </w:rPr>
        <w:t>…</w:t>
      </w:r>
      <w:r w:rsidR="00716155">
        <w:rPr>
          <w:color w:val="000000" w:themeColor="text1"/>
        </w:rPr>
        <w:t>…………</w:t>
      </w:r>
      <w:r w:rsidR="00B963E8" w:rsidRPr="00CA4E09">
        <w:rPr>
          <w:b/>
          <w:color w:val="000000" w:themeColor="text1"/>
        </w:rPr>
        <w:t>2</w:t>
      </w:r>
      <w:r w:rsidR="001A61E9">
        <w:rPr>
          <w:b/>
          <w:color w:val="000000" w:themeColor="text1"/>
        </w:rPr>
        <w:t>3</w:t>
      </w:r>
    </w:p>
    <w:p w14:paraId="557A399C" w14:textId="1BB876EF" w:rsidR="00CD0C41" w:rsidRPr="00363B59" w:rsidRDefault="00CD0C41" w:rsidP="00330679">
      <w:pPr>
        <w:jc w:val="both"/>
      </w:pPr>
      <w:r w:rsidRPr="00363B59">
        <w:rPr>
          <w:b/>
        </w:rPr>
        <w:t>Figure 2.3</w:t>
      </w:r>
      <w:r w:rsidRPr="00363B59">
        <w:t xml:space="preserve"> Greek terracotta figurine of the fifth century BC, depicting a mother holding a spouted cup to the lips of a baby on her lap. Drawing by Irene de Luis from Carroll</w:t>
      </w:r>
      <w:r w:rsidR="00330679">
        <w:t xml:space="preserve"> </w:t>
      </w:r>
      <w:r w:rsidRPr="00363B59">
        <w:t>2018</w:t>
      </w:r>
      <w:r>
        <w:t xml:space="preserve">, </w:t>
      </w:r>
      <w:r w:rsidRPr="00363B59">
        <w:t>p.27</w:t>
      </w:r>
      <w:r w:rsidR="00716155">
        <w:t>……………………………………………………………………</w:t>
      </w:r>
      <w:r w:rsidR="00234047">
        <w:t>……….</w:t>
      </w:r>
      <w:r w:rsidR="00716155">
        <w:t>…………</w:t>
      </w:r>
      <w:r w:rsidR="00B963E8" w:rsidRPr="00CA4E09">
        <w:rPr>
          <w:b/>
        </w:rPr>
        <w:t>2</w:t>
      </w:r>
      <w:r w:rsidR="001A61E9">
        <w:rPr>
          <w:b/>
        </w:rPr>
        <w:t>5</w:t>
      </w:r>
    </w:p>
    <w:p w14:paraId="1BB09187" w14:textId="6C4E1AF9" w:rsidR="001A61E9" w:rsidRPr="001A1463" w:rsidRDefault="00CD0C41" w:rsidP="001A1463">
      <w:pPr>
        <w:pStyle w:val="NormalWeb"/>
        <w:rPr>
          <w:rFonts w:ascii="TimesNewRomanPSMT" w:hAnsi="TimesNewRomanPSMT" w:cs="TimesNewRomanPSMT"/>
          <w:lang w:val="en-US"/>
        </w:rPr>
      </w:pPr>
      <w:r w:rsidRPr="00825774">
        <w:rPr>
          <w:rFonts w:ascii="TimesNewRomanPSMT" w:hAnsi="TimesNewRomanPSMT" w:cs="TimesNewRomanPSMT"/>
          <w:b/>
          <w:lang w:val="en-US"/>
        </w:rPr>
        <w:t>Figure 4.1</w:t>
      </w:r>
      <w:r w:rsidRPr="00825774">
        <w:rPr>
          <w:rFonts w:ascii="TimesNewRomanPSMT" w:hAnsi="TimesNewRomanPSMT" w:cs="TimesNewRomanPSMT"/>
          <w:lang w:val="en-US"/>
        </w:rPr>
        <w:t xml:space="preserve"> Map of settlements located in the territory of Gravina in Puglia, south Italy</w:t>
      </w:r>
      <w:r w:rsidR="00716155">
        <w:rPr>
          <w:rFonts w:ascii="TimesNewRomanPSMT" w:hAnsi="TimesNewRomanPSMT" w:cs="TimesNewRomanPSMT"/>
          <w:lang w:val="en-US"/>
        </w:rPr>
        <w:t>.</w:t>
      </w:r>
      <w:r w:rsidRPr="00825774">
        <w:rPr>
          <w:rFonts w:ascii="TimesNewRomanPSMT" w:hAnsi="TimesNewRomanPSMT" w:cs="TimesNewRomanPSMT"/>
          <w:lang w:val="en-US"/>
        </w:rPr>
        <w:t xml:space="preserve"> </w:t>
      </w:r>
      <w:r>
        <w:rPr>
          <w:rFonts w:ascii="TimesNewRomanPSMT" w:hAnsi="TimesNewRomanPSMT" w:cs="TimesNewRomanPSMT"/>
          <w:lang w:val="en-US"/>
        </w:rPr>
        <w:t>Modified</w:t>
      </w:r>
      <w:r w:rsidR="00234047">
        <w:rPr>
          <w:rFonts w:ascii="TimesNewRomanPSMT" w:hAnsi="TimesNewRomanPSMT" w:cs="TimesNewRomanPSMT"/>
          <w:lang w:val="en-US"/>
        </w:rPr>
        <w:t xml:space="preserve"> </w:t>
      </w:r>
      <w:r>
        <w:rPr>
          <w:rFonts w:ascii="TimesNewRomanPSMT" w:hAnsi="TimesNewRomanPSMT" w:cs="TimesNewRomanPSMT"/>
          <w:lang w:val="en-US"/>
        </w:rPr>
        <w:t xml:space="preserve">map from </w:t>
      </w:r>
      <w:r w:rsidRPr="0016114B">
        <w:rPr>
          <w:rFonts w:ascii="TimesNewRomanPSMT" w:hAnsi="TimesNewRomanPSMT" w:cs="TimesNewRomanPSMT"/>
        </w:rPr>
        <w:t>https://www.ed.ac.uk/history-classics</w:t>
      </w:r>
      <w:r w:rsidR="00234047">
        <w:rPr>
          <w:rFonts w:ascii="TimesNewRomanPSMT" w:hAnsi="TimesNewRomanPSMT" w:cs="TimesNewRomanPSMT"/>
        </w:rPr>
        <w:t>-</w:t>
      </w:r>
      <w:r w:rsidRPr="0016114B">
        <w:rPr>
          <w:rFonts w:ascii="TimesNewRomanPSMT" w:hAnsi="TimesNewRomanPSMT" w:cs="TimesNewRomanPSMT"/>
        </w:rPr>
        <w:t>archaeology/classics/research/research-projects/vagnari</w:t>
      </w:r>
      <w:r>
        <w:rPr>
          <w:rFonts w:ascii="TimesNewRomanPSMT" w:hAnsi="TimesNewRomanPSMT" w:cs="TimesNewRomanPSMT"/>
          <w:lang w:val="en-US"/>
        </w:rPr>
        <w:t>, accessed May 11, 2019</w:t>
      </w:r>
      <w:r w:rsidR="00D823BB">
        <w:rPr>
          <w:rFonts w:ascii="TimesNewRomanPSMT" w:hAnsi="TimesNewRomanPSMT" w:cs="TimesNewRomanPSMT"/>
          <w:lang w:val="en-US"/>
        </w:rPr>
        <w:t>………</w:t>
      </w:r>
      <w:r w:rsidR="00D823BB" w:rsidRPr="005F7C36">
        <w:rPr>
          <w:rFonts w:ascii="TimesNewRomanPSMT" w:hAnsi="TimesNewRomanPSMT" w:cs="TimesNewRomanPSMT"/>
          <w:b/>
          <w:bCs/>
          <w:lang w:val="en-US"/>
        </w:rPr>
        <w:t>6</w:t>
      </w:r>
      <w:r w:rsidR="001A61E9">
        <w:rPr>
          <w:rFonts w:ascii="TimesNewRomanPSMT" w:hAnsi="TimesNewRomanPSMT" w:cs="TimesNewRomanPSMT"/>
          <w:b/>
          <w:bCs/>
          <w:lang w:val="en-US"/>
        </w:rPr>
        <w:t>2</w:t>
      </w:r>
    </w:p>
    <w:p w14:paraId="6D1CF370" w14:textId="602E879A" w:rsidR="00CD0C41" w:rsidRPr="00D0199B" w:rsidRDefault="00CD0C41" w:rsidP="005F7C36">
      <w:pPr>
        <w:pStyle w:val="NormalWeb"/>
      </w:pPr>
      <w:r w:rsidRPr="00825774">
        <w:rPr>
          <w:b/>
          <w:lang w:val="en-US"/>
        </w:rPr>
        <w:t>Figure 4.2</w:t>
      </w:r>
      <w:r w:rsidRPr="00825774">
        <w:rPr>
          <w:lang w:val="en-US"/>
        </w:rPr>
        <w:t xml:space="preserve"> Map of Iron Age Communities in Southern Italy.</w:t>
      </w:r>
      <w:r>
        <w:rPr>
          <w:lang w:val="en-US"/>
        </w:rPr>
        <w:t xml:space="preserve"> Edited from </w:t>
      </w:r>
      <w:r w:rsidRPr="00D0199B">
        <w:t>https://www.calascio.com/culture-and-history/abruzzo-history</w:t>
      </w:r>
      <w:r>
        <w:rPr>
          <w:lang w:val="en-US"/>
        </w:rPr>
        <w:t>, accessed May 11, 2019</w:t>
      </w:r>
      <w:r w:rsidR="00482159">
        <w:rPr>
          <w:lang w:val="en-US"/>
        </w:rPr>
        <w:t>……………………………………………………………………………</w:t>
      </w:r>
      <w:r w:rsidR="00234047">
        <w:rPr>
          <w:lang w:val="en-US"/>
        </w:rPr>
        <w:t>…</w:t>
      </w:r>
      <w:r w:rsidR="00482159">
        <w:rPr>
          <w:lang w:val="en-US"/>
        </w:rPr>
        <w:t>………</w:t>
      </w:r>
      <w:r w:rsidR="00AA0229" w:rsidRPr="00CA4E09">
        <w:rPr>
          <w:b/>
          <w:lang w:val="en-US"/>
        </w:rPr>
        <w:t>6</w:t>
      </w:r>
      <w:r w:rsidR="00B8154D">
        <w:rPr>
          <w:b/>
          <w:lang w:val="en-US"/>
        </w:rPr>
        <w:t>3</w:t>
      </w:r>
    </w:p>
    <w:p w14:paraId="08AFB637" w14:textId="66F1A226" w:rsidR="00CD0C41" w:rsidRPr="00E911B0" w:rsidRDefault="001A1463" w:rsidP="00330679">
      <w:pPr>
        <w:jc w:val="both"/>
        <w:rPr>
          <w:lang w:val="en-US"/>
        </w:rPr>
      </w:pPr>
      <w:r w:rsidRPr="001A1463">
        <w:rPr>
          <w:b/>
          <w:lang w:val="en-US"/>
        </w:rPr>
        <w:t>Figure 4.</w:t>
      </w:r>
      <w:r>
        <w:rPr>
          <w:b/>
          <w:lang w:val="en-US"/>
        </w:rPr>
        <w:t>3</w:t>
      </w:r>
      <w:r w:rsidRPr="001A1463">
        <w:rPr>
          <w:b/>
          <w:lang w:val="en-US"/>
        </w:rPr>
        <w:t>:</w:t>
      </w:r>
      <w:r w:rsidRPr="001A1463">
        <w:rPr>
          <w:lang w:val="en-US"/>
        </w:rPr>
        <w:t xml:space="preserve"> Diagram illustrating the ages at which dentine development reach crown initiation, crown completion and apical completion, for upper permanent first molar (demonstrated by the red solid lines) and sectioning of the demineralized mandibular permanent first molar for individual No label #3 (box 6) from this study (shown by the black dashed</w:t>
      </w:r>
      <w:r>
        <w:rPr>
          <w:lang w:val="en-US"/>
        </w:rPr>
        <w:t xml:space="preserve"> </w:t>
      </w:r>
      <w:r w:rsidRPr="001A1463">
        <w:rPr>
          <w:lang w:val="en-US"/>
        </w:rPr>
        <w:t>lines).</w:t>
      </w:r>
      <w:r w:rsidR="00716155">
        <w:rPr>
          <w:lang w:val="en-US"/>
        </w:rPr>
        <w:t>…………………………………………………………</w:t>
      </w:r>
      <w:r w:rsidR="00234047">
        <w:rPr>
          <w:lang w:val="en-US"/>
        </w:rPr>
        <w:t>…</w:t>
      </w:r>
      <w:r>
        <w:rPr>
          <w:lang w:val="en-US"/>
        </w:rPr>
        <w:t>….</w:t>
      </w:r>
      <w:r w:rsidR="00716155">
        <w:rPr>
          <w:lang w:val="en-US"/>
        </w:rPr>
        <w:t>………</w:t>
      </w:r>
      <w:r w:rsidR="00AA0229" w:rsidRPr="00CA4E09">
        <w:rPr>
          <w:b/>
          <w:lang w:val="en-US"/>
        </w:rPr>
        <w:t>8</w:t>
      </w:r>
      <w:r w:rsidR="00B8154D">
        <w:rPr>
          <w:b/>
          <w:lang w:val="en-US"/>
        </w:rPr>
        <w:t>2</w:t>
      </w:r>
    </w:p>
    <w:p w14:paraId="57EE1CF1" w14:textId="4D737BF3" w:rsidR="00CD0C41" w:rsidRPr="0018752B" w:rsidRDefault="00CD0C41" w:rsidP="00330679">
      <w:pPr>
        <w:jc w:val="both"/>
        <w:rPr>
          <w:rFonts w:eastAsiaTheme="minorHAnsi"/>
          <w:lang w:val="en-US"/>
        </w:rPr>
      </w:pPr>
      <w:r w:rsidRPr="0018752B">
        <w:rPr>
          <w:rFonts w:eastAsiaTheme="minorHAnsi"/>
          <w:b/>
          <w:lang w:val="en-US"/>
        </w:rPr>
        <w:t>Figure 5.1</w:t>
      </w:r>
      <w:r>
        <w:rPr>
          <w:rFonts w:eastAsiaTheme="minorHAnsi"/>
          <w:b/>
          <w:lang w:val="en-US"/>
        </w:rPr>
        <w:t>:</w:t>
      </w:r>
      <w:r w:rsidRPr="0018752B">
        <w:rPr>
          <w:rFonts w:eastAsiaTheme="minorHAnsi"/>
          <w:lang w:val="en-US"/>
        </w:rPr>
        <w:t xml:space="preserve"> G67/I p3 e2 S4 = Tomb 4 (T1). Age at death: 4 years </w:t>
      </w:r>
      <w:r w:rsidRPr="0018752B">
        <w:rPr>
          <w:rFonts w:eastAsiaTheme="minorHAnsi"/>
          <w:lang w:val="en-US"/>
        </w:rPr>
        <w:sym w:font="Symbol" w:char="F0B1"/>
      </w:r>
      <w:r w:rsidRPr="0018752B">
        <w:rPr>
          <w:rFonts w:eastAsiaTheme="minorHAnsi"/>
          <w:lang w:val="en-US"/>
        </w:rPr>
        <w:t xml:space="preserve"> 12 months</w:t>
      </w:r>
      <w:r w:rsidR="00716155">
        <w:rPr>
          <w:rFonts w:eastAsiaTheme="minorHAnsi"/>
          <w:lang w:val="en-US"/>
        </w:rPr>
        <w:t xml:space="preserve"> …</w:t>
      </w:r>
      <w:r w:rsidR="00234047">
        <w:rPr>
          <w:rFonts w:eastAsiaTheme="minorHAnsi"/>
          <w:lang w:val="en-US"/>
        </w:rPr>
        <w:t>…..</w:t>
      </w:r>
      <w:r w:rsidR="00716155">
        <w:rPr>
          <w:rFonts w:eastAsiaTheme="minorHAnsi"/>
          <w:lang w:val="en-US"/>
        </w:rPr>
        <w:t>……</w:t>
      </w:r>
      <w:r w:rsidR="00AA0229" w:rsidRPr="00CA4E09">
        <w:rPr>
          <w:rFonts w:eastAsiaTheme="minorHAnsi"/>
          <w:b/>
          <w:lang w:val="en-US"/>
        </w:rPr>
        <w:t>8</w:t>
      </w:r>
      <w:r w:rsidR="00B8154D">
        <w:rPr>
          <w:rFonts w:eastAsiaTheme="minorHAnsi"/>
          <w:b/>
          <w:lang w:val="en-US"/>
        </w:rPr>
        <w:t>7</w:t>
      </w:r>
    </w:p>
    <w:p w14:paraId="64D935E5" w14:textId="2421C535" w:rsidR="00CD0C41" w:rsidRPr="0018752B" w:rsidRDefault="00CD0C41" w:rsidP="00330679">
      <w:pPr>
        <w:jc w:val="both"/>
        <w:rPr>
          <w:rFonts w:eastAsiaTheme="minorHAnsi"/>
          <w:szCs w:val="20"/>
          <w:lang w:val="en-US"/>
        </w:rPr>
      </w:pPr>
      <w:r w:rsidRPr="0018752B">
        <w:rPr>
          <w:rFonts w:eastAsiaTheme="minorHAnsi"/>
          <w:b/>
          <w:szCs w:val="20"/>
          <w:lang w:val="en-US"/>
        </w:rPr>
        <w:t>Figure 5.2</w:t>
      </w:r>
      <w:r>
        <w:rPr>
          <w:rFonts w:eastAsiaTheme="minorHAnsi"/>
          <w:szCs w:val="20"/>
          <w:lang w:val="en-US"/>
        </w:rPr>
        <w:t xml:space="preserve">: </w:t>
      </w:r>
      <w:r w:rsidRPr="0018752B">
        <w:rPr>
          <w:rFonts w:eastAsiaTheme="minorHAnsi"/>
          <w:szCs w:val="20"/>
          <w:lang w:val="en-US"/>
        </w:rPr>
        <w:t xml:space="preserve">22/5/67 Tomba 30 (T2). Age at death: 8 years </w:t>
      </w:r>
      <w:r w:rsidRPr="0018752B">
        <w:rPr>
          <w:rFonts w:eastAsiaTheme="minorHAnsi"/>
          <w:szCs w:val="20"/>
          <w:lang w:val="en-US"/>
        </w:rPr>
        <w:sym w:font="Symbol" w:char="F0B1"/>
      </w:r>
      <w:r w:rsidRPr="0018752B">
        <w:rPr>
          <w:rFonts w:eastAsiaTheme="minorHAnsi"/>
          <w:szCs w:val="20"/>
          <w:lang w:val="en-US"/>
        </w:rPr>
        <w:t xml:space="preserve"> 24 months</w:t>
      </w:r>
      <w:r w:rsidR="00716155">
        <w:rPr>
          <w:rFonts w:eastAsiaTheme="minorHAnsi"/>
          <w:szCs w:val="20"/>
          <w:lang w:val="en-US"/>
        </w:rPr>
        <w:t xml:space="preserve"> ………</w:t>
      </w:r>
      <w:r w:rsidR="00234047">
        <w:rPr>
          <w:rFonts w:eastAsiaTheme="minorHAnsi"/>
          <w:szCs w:val="20"/>
          <w:lang w:val="en-US"/>
        </w:rPr>
        <w:t>…</w:t>
      </w:r>
      <w:r w:rsidR="00716155">
        <w:rPr>
          <w:rFonts w:eastAsiaTheme="minorHAnsi"/>
          <w:szCs w:val="20"/>
          <w:lang w:val="en-US"/>
        </w:rPr>
        <w:t>………</w:t>
      </w:r>
      <w:r w:rsidR="00AA0229" w:rsidRPr="00CA4E09">
        <w:rPr>
          <w:rFonts w:eastAsiaTheme="minorHAnsi"/>
          <w:b/>
          <w:szCs w:val="20"/>
          <w:lang w:val="en-US"/>
        </w:rPr>
        <w:t>9</w:t>
      </w:r>
      <w:r w:rsidR="00B8154D">
        <w:rPr>
          <w:rFonts w:eastAsiaTheme="minorHAnsi"/>
          <w:b/>
          <w:szCs w:val="20"/>
          <w:lang w:val="en-US"/>
        </w:rPr>
        <w:t>8</w:t>
      </w:r>
    </w:p>
    <w:p w14:paraId="7BF5850E" w14:textId="16522C7F" w:rsidR="00CD0C41" w:rsidRPr="0018752B" w:rsidRDefault="00CD0C41" w:rsidP="00330679">
      <w:pPr>
        <w:jc w:val="both"/>
        <w:rPr>
          <w:rFonts w:eastAsiaTheme="minorHAnsi"/>
          <w:szCs w:val="20"/>
          <w:lang w:val="en-US"/>
        </w:rPr>
      </w:pPr>
      <w:r w:rsidRPr="0018752B">
        <w:rPr>
          <w:rFonts w:eastAsiaTheme="minorHAnsi"/>
          <w:b/>
          <w:szCs w:val="20"/>
          <w:lang w:val="en-US"/>
        </w:rPr>
        <w:t>Figure 5.3</w:t>
      </w:r>
      <w:r>
        <w:rPr>
          <w:rFonts w:eastAsiaTheme="minorHAnsi"/>
          <w:b/>
          <w:szCs w:val="20"/>
          <w:lang w:val="en-US"/>
        </w:rPr>
        <w:t>:</w:t>
      </w:r>
      <w:r w:rsidRPr="0018752B">
        <w:rPr>
          <w:rFonts w:eastAsiaTheme="minorHAnsi"/>
          <w:szCs w:val="20"/>
          <w:lang w:val="en-US"/>
        </w:rPr>
        <w:t xml:space="preserve"> G67/II P4 S17 Infill 3 (T3). Age at death: 7 – 8 years </w:t>
      </w:r>
      <w:r w:rsidRPr="0018752B">
        <w:rPr>
          <w:rFonts w:eastAsiaTheme="minorHAnsi"/>
          <w:szCs w:val="20"/>
          <w:lang w:val="en-US"/>
        </w:rPr>
        <w:sym w:font="Symbol" w:char="F0B1"/>
      </w:r>
      <w:r w:rsidRPr="0018752B">
        <w:rPr>
          <w:rFonts w:eastAsiaTheme="minorHAnsi"/>
          <w:szCs w:val="20"/>
          <w:lang w:val="en-US"/>
        </w:rPr>
        <w:t xml:space="preserve"> 24 months</w:t>
      </w:r>
      <w:r w:rsidR="00716155">
        <w:rPr>
          <w:rFonts w:eastAsiaTheme="minorHAnsi"/>
          <w:szCs w:val="20"/>
          <w:lang w:val="en-US"/>
        </w:rPr>
        <w:t xml:space="preserve"> ……</w:t>
      </w:r>
      <w:r w:rsidR="00234047">
        <w:rPr>
          <w:rFonts w:eastAsiaTheme="minorHAnsi"/>
          <w:szCs w:val="20"/>
          <w:lang w:val="en-US"/>
        </w:rPr>
        <w:t>…..</w:t>
      </w:r>
      <w:r w:rsidR="00716155">
        <w:rPr>
          <w:rFonts w:eastAsiaTheme="minorHAnsi"/>
          <w:szCs w:val="20"/>
          <w:lang w:val="en-US"/>
        </w:rPr>
        <w:t>…</w:t>
      </w:r>
      <w:r w:rsidR="00B8154D">
        <w:rPr>
          <w:rFonts w:eastAsiaTheme="minorHAnsi"/>
          <w:b/>
          <w:szCs w:val="20"/>
          <w:lang w:val="en-US"/>
        </w:rPr>
        <w:t>89</w:t>
      </w:r>
    </w:p>
    <w:p w14:paraId="14FE5563" w14:textId="311A4BF3" w:rsidR="00CD0C41" w:rsidRPr="0018752B" w:rsidRDefault="00CD0C41" w:rsidP="00330679">
      <w:pPr>
        <w:jc w:val="both"/>
        <w:rPr>
          <w:rFonts w:eastAsiaTheme="minorHAnsi"/>
          <w:lang w:val="en-US"/>
        </w:rPr>
      </w:pPr>
      <w:r w:rsidRPr="0018752B">
        <w:rPr>
          <w:rFonts w:eastAsiaTheme="minorHAnsi"/>
          <w:b/>
          <w:color w:val="000000" w:themeColor="text1"/>
          <w:lang w:val="it-IT"/>
        </w:rPr>
        <w:t>Figure 5.4</w:t>
      </w:r>
      <w:r>
        <w:rPr>
          <w:rFonts w:eastAsiaTheme="minorHAnsi"/>
          <w:b/>
          <w:color w:val="000000" w:themeColor="text1"/>
          <w:lang w:val="it-IT"/>
        </w:rPr>
        <w:t>:</w:t>
      </w:r>
      <w:r w:rsidRPr="0018752B">
        <w:rPr>
          <w:rFonts w:eastAsiaTheme="minorHAnsi"/>
          <w:color w:val="000000" w:themeColor="text1"/>
          <w:lang w:val="it-IT"/>
        </w:rPr>
        <w:t xml:space="preserve"> </w:t>
      </w:r>
      <w:r w:rsidRPr="0018752B">
        <w:rPr>
          <w:rFonts w:eastAsiaTheme="minorHAnsi"/>
          <w:lang w:val="it-IT"/>
        </w:rPr>
        <w:t xml:space="preserve">21/12/71 Tomba di bambino Ind. 1 (T4). </w:t>
      </w:r>
      <w:r w:rsidRPr="0018752B">
        <w:rPr>
          <w:rFonts w:eastAsiaTheme="minorHAnsi"/>
          <w:lang w:val="en-US"/>
        </w:rPr>
        <w:t xml:space="preserve">Age at death: 2 years </w:t>
      </w:r>
      <w:r w:rsidRPr="0018752B">
        <w:rPr>
          <w:rFonts w:eastAsiaTheme="minorHAnsi"/>
          <w:lang w:val="en-US"/>
        </w:rPr>
        <w:sym w:font="Symbol" w:char="F0B1"/>
      </w:r>
      <w:r w:rsidRPr="0018752B">
        <w:rPr>
          <w:rFonts w:eastAsiaTheme="minorHAnsi"/>
          <w:lang w:val="en-US"/>
        </w:rPr>
        <w:t xml:space="preserve"> 8 months</w:t>
      </w:r>
      <w:r w:rsidR="00482159">
        <w:rPr>
          <w:rFonts w:eastAsiaTheme="minorHAnsi"/>
          <w:lang w:val="en-US"/>
        </w:rPr>
        <w:t>………………………………………………………………………</w:t>
      </w:r>
      <w:r w:rsidR="00234047">
        <w:rPr>
          <w:rFonts w:eastAsiaTheme="minorHAnsi"/>
          <w:lang w:val="en-US"/>
        </w:rPr>
        <w:t>…</w:t>
      </w:r>
      <w:r w:rsidR="00482159">
        <w:rPr>
          <w:rFonts w:eastAsiaTheme="minorHAnsi"/>
          <w:lang w:val="en-US"/>
        </w:rPr>
        <w:t>…………</w:t>
      </w:r>
      <w:r w:rsidR="00AA0229" w:rsidRPr="00CA4E09">
        <w:rPr>
          <w:rFonts w:eastAsiaTheme="minorHAnsi"/>
          <w:b/>
          <w:lang w:val="en-US"/>
        </w:rPr>
        <w:t>9</w:t>
      </w:r>
      <w:r w:rsidR="00B8154D">
        <w:rPr>
          <w:rFonts w:eastAsiaTheme="minorHAnsi"/>
          <w:b/>
          <w:lang w:val="en-US"/>
        </w:rPr>
        <w:t>0</w:t>
      </w:r>
    </w:p>
    <w:p w14:paraId="357245D5" w14:textId="381B8FFF" w:rsidR="00B8154D" w:rsidRPr="00B8154D" w:rsidRDefault="00CD0C41" w:rsidP="00330679">
      <w:pPr>
        <w:jc w:val="both"/>
        <w:rPr>
          <w:rFonts w:eastAsiaTheme="minorHAnsi"/>
          <w:b/>
          <w:lang w:val="en-US"/>
        </w:rPr>
      </w:pPr>
      <w:r w:rsidRPr="0018752B">
        <w:rPr>
          <w:rFonts w:eastAsiaTheme="minorHAnsi"/>
          <w:b/>
        </w:rPr>
        <w:t>Figure 5.5</w:t>
      </w:r>
      <w:r>
        <w:rPr>
          <w:rFonts w:eastAsiaTheme="minorHAnsi"/>
          <w:b/>
        </w:rPr>
        <w:t>:</w:t>
      </w:r>
      <w:r w:rsidRPr="0018752B">
        <w:rPr>
          <w:rFonts w:eastAsiaTheme="minorHAnsi"/>
        </w:rPr>
        <w:t xml:space="preserve"> GS70 F25 (T5). </w:t>
      </w:r>
      <w:r w:rsidRPr="0018752B">
        <w:rPr>
          <w:rFonts w:eastAsiaTheme="minorHAnsi"/>
          <w:lang w:val="en-US"/>
        </w:rPr>
        <w:t xml:space="preserve">Age at death: 4 years </w:t>
      </w:r>
      <w:r w:rsidRPr="0018752B">
        <w:rPr>
          <w:rFonts w:eastAsiaTheme="minorHAnsi"/>
          <w:lang w:val="en-US"/>
        </w:rPr>
        <w:sym w:font="Symbol" w:char="F0B1"/>
      </w:r>
      <w:r w:rsidRPr="0018752B">
        <w:rPr>
          <w:rFonts w:eastAsiaTheme="minorHAnsi"/>
          <w:lang w:val="en-US"/>
        </w:rPr>
        <w:t xml:space="preserve"> 12 months</w:t>
      </w:r>
      <w:r w:rsidR="00716155">
        <w:rPr>
          <w:rFonts w:eastAsiaTheme="minorHAnsi"/>
          <w:lang w:val="en-US"/>
        </w:rPr>
        <w:t xml:space="preserve"> ……………</w:t>
      </w:r>
      <w:r w:rsidR="00234047">
        <w:rPr>
          <w:rFonts w:eastAsiaTheme="minorHAnsi"/>
          <w:lang w:val="en-US"/>
        </w:rPr>
        <w:t>….</w:t>
      </w:r>
      <w:r w:rsidR="00716155">
        <w:rPr>
          <w:rFonts w:eastAsiaTheme="minorHAnsi"/>
          <w:lang w:val="en-US"/>
        </w:rPr>
        <w:t>…………</w:t>
      </w:r>
      <w:r w:rsidR="00AA0229" w:rsidRPr="00CA4E09">
        <w:rPr>
          <w:rFonts w:eastAsiaTheme="minorHAnsi"/>
          <w:b/>
          <w:lang w:val="en-US"/>
        </w:rPr>
        <w:t>9</w:t>
      </w:r>
      <w:r w:rsidR="00B8154D">
        <w:rPr>
          <w:rFonts w:eastAsiaTheme="minorHAnsi"/>
          <w:b/>
          <w:lang w:val="en-US"/>
        </w:rPr>
        <w:t>1</w:t>
      </w:r>
    </w:p>
    <w:p w14:paraId="36873B7B" w14:textId="6018EB43" w:rsidR="00CD0C41" w:rsidRDefault="00CD0C41" w:rsidP="00330679">
      <w:pPr>
        <w:jc w:val="both"/>
        <w:rPr>
          <w:rFonts w:eastAsiaTheme="minorHAnsi"/>
          <w:lang w:val="en-US"/>
        </w:rPr>
      </w:pPr>
      <w:r w:rsidRPr="0018752B">
        <w:rPr>
          <w:rFonts w:eastAsiaTheme="minorHAnsi"/>
          <w:b/>
          <w:lang w:val="en-US"/>
        </w:rPr>
        <w:t>Figure</w:t>
      </w:r>
      <w:r w:rsidR="00B8154D">
        <w:rPr>
          <w:rFonts w:eastAsiaTheme="minorHAnsi"/>
          <w:b/>
          <w:lang w:val="en-US"/>
        </w:rPr>
        <w:t xml:space="preserve"> </w:t>
      </w:r>
      <w:r w:rsidRPr="0018752B">
        <w:rPr>
          <w:rFonts w:eastAsiaTheme="minorHAnsi"/>
          <w:b/>
          <w:lang w:val="en-US"/>
        </w:rPr>
        <w:t>5.6</w:t>
      </w:r>
      <w:r>
        <w:rPr>
          <w:rFonts w:eastAsiaTheme="minorHAnsi"/>
          <w:b/>
          <w:lang w:val="en-US"/>
        </w:rPr>
        <w:t>:</w:t>
      </w:r>
      <w:r w:rsidR="00B8154D">
        <w:rPr>
          <w:rFonts w:eastAsiaTheme="minorHAnsi"/>
          <w:b/>
          <w:lang w:val="en-US"/>
        </w:rPr>
        <w:t xml:space="preserve"> </w:t>
      </w:r>
      <w:r w:rsidRPr="0018752B">
        <w:rPr>
          <w:rFonts w:eastAsiaTheme="minorHAnsi"/>
          <w:lang w:val="en-US"/>
        </w:rPr>
        <w:t xml:space="preserve">1968 DB 1 Contents of Sarcophagus (T6). Age at death: 4 – 5 years </w:t>
      </w:r>
      <w:r w:rsidRPr="0018752B">
        <w:rPr>
          <w:rFonts w:eastAsiaTheme="minorHAnsi"/>
          <w:lang w:val="en-US"/>
        </w:rPr>
        <w:sym w:font="Symbol" w:char="F0B1"/>
      </w:r>
      <w:r w:rsidRPr="0018752B">
        <w:rPr>
          <w:rFonts w:eastAsiaTheme="minorHAnsi"/>
          <w:lang w:val="en-US"/>
        </w:rPr>
        <w:t xml:space="preserve"> 12 month</w:t>
      </w:r>
      <w:r w:rsidR="00D823BB">
        <w:rPr>
          <w:rFonts w:eastAsiaTheme="minorHAnsi"/>
          <w:lang w:val="en-US"/>
        </w:rPr>
        <w:t>s</w:t>
      </w:r>
      <w:r w:rsidR="00D13C6E">
        <w:rPr>
          <w:rFonts w:eastAsiaTheme="minorHAnsi"/>
          <w:lang w:val="en-US"/>
        </w:rPr>
        <w:t>.</w:t>
      </w:r>
      <w:r w:rsidR="00716155">
        <w:rPr>
          <w:rFonts w:eastAsiaTheme="minorHAnsi"/>
          <w:lang w:val="en-US"/>
        </w:rPr>
        <w:t>…………………………</w:t>
      </w:r>
      <w:r w:rsidR="00D823BB">
        <w:rPr>
          <w:rFonts w:eastAsiaTheme="minorHAnsi"/>
          <w:lang w:val="en-US"/>
        </w:rPr>
        <w:t>……...</w:t>
      </w:r>
      <w:r w:rsidR="00716155">
        <w:rPr>
          <w:rFonts w:eastAsiaTheme="minorHAnsi"/>
          <w:lang w:val="en-US"/>
        </w:rPr>
        <w:t>………………………………</w:t>
      </w:r>
      <w:r w:rsidR="00234047">
        <w:rPr>
          <w:rFonts w:eastAsiaTheme="minorHAnsi"/>
          <w:lang w:val="en-US"/>
        </w:rPr>
        <w:t>………</w:t>
      </w:r>
      <w:r w:rsidR="00716155">
        <w:rPr>
          <w:rFonts w:eastAsiaTheme="minorHAnsi"/>
          <w:lang w:val="en-US"/>
        </w:rPr>
        <w:t>…………</w:t>
      </w:r>
      <w:r w:rsidR="00AA0229" w:rsidRPr="00CA4E09">
        <w:rPr>
          <w:rFonts w:eastAsiaTheme="minorHAnsi"/>
          <w:b/>
          <w:lang w:val="en-US"/>
        </w:rPr>
        <w:t>9</w:t>
      </w:r>
      <w:r w:rsidR="00B8154D">
        <w:rPr>
          <w:rFonts w:eastAsiaTheme="minorHAnsi"/>
          <w:b/>
          <w:lang w:val="en-US"/>
        </w:rPr>
        <w:t>2</w:t>
      </w:r>
    </w:p>
    <w:p w14:paraId="7D01B69F" w14:textId="2D3EAB42" w:rsidR="00CD0C41" w:rsidRPr="00A30AAD" w:rsidRDefault="00CD0C41" w:rsidP="00330679">
      <w:pPr>
        <w:jc w:val="both"/>
        <w:rPr>
          <w:rFonts w:eastAsiaTheme="minorHAnsi"/>
          <w:szCs w:val="20"/>
          <w:lang w:val="en-US"/>
        </w:rPr>
      </w:pPr>
      <w:r w:rsidRPr="00A30AAD">
        <w:rPr>
          <w:rFonts w:eastAsiaTheme="minorHAnsi"/>
          <w:b/>
          <w:szCs w:val="20"/>
          <w:lang w:val="en-US"/>
        </w:rPr>
        <w:t>Figure 5.7:</w:t>
      </w:r>
      <w:r w:rsidRPr="00A30AAD">
        <w:rPr>
          <w:rFonts w:eastAsiaTheme="minorHAnsi"/>
          <w:szCs w:val="20"/>
          <w:lang w:val="en-US"/>
        </w:rPr>
        <w:t xml:space="preserve"> G67/I S5 small tomb (T7). Age at death: 3 years </w:t>
      </w:r>
      <w:r w:rsidRPr="00A30AAD">
        <w:rPr>
          <w:rFonts w:eastAsiaTheme="minorHAnsi"/>
          <w:szCs w:val="20"/>
          <w:lang w:val="en-US"/>
        </w:rPr>
        <w:sym w:font="Symbol" w:char="F0B1"/>
      </w:r>
      <w:r w:rsidRPr="00A30AAD">
        <w:rPr>
          <w:rFonts w:eastAsiaTheme="minorHAnsi"/>
          <w:szCs w:val="20"/>
          <w:lang w:val="en-US"/>
        </w:rPr>
        <w:t xml:space="preserve"> 12 months</w:t>
      </w:r>
      <w:r w:rsidR="00716155">
        <w:rPr>
          <w:rFonts w:eastAsiaTheme="minorHAnsi"/>
          <w:szCs w:val="20"/>
          <w:lang w:val="en-US"/>
        </w:rPr>
        <w:t xml:space="preserve"> ……</w:t>
      </w:r>
      <w:r w:rsidR="00234047">
        <w:rPr>
          <w:rFonts w:eastAsiaTheme="minorHAnsi"/>
          <w:szCs w:val="20"/>
          <w:lang w:val="en-US"/>
        </w:rPr>
        <w:t>..</w:t>
      </w:r>
      <w:r w:rsidR="00716155">
        <w:rPr>
          <w:rFonts w:eastAsiaTheme="minorHAnsi"/>
          <w:szCs w:val="20"/>
          <w:lang w:val="en-US"/>
        </w:rPr>
        <w:t>………</w:t>
      </w:r>
      <w:r w:rsidR="00AA0229" w:rsidRPr="00CA4E09">
        <w:rPr>
          <w:rFonts w:eastAsiaTheme="minorHAnsi"/>
          <w:b/>
          <w:szCs w:val="20"/>
          <w:lang w:val="en-US"/>
        </w:rPr>
        <w:t>9</w:t>
      </w:r>
      <w:r w:rsidR="00B8154D">
        <w:rPr>
          <w:rFonts w:eastAsiaTheme="minorHAnsi"/>
          <w:b/>
          <w:szCs w:val="20"/>
          <w:lang w:val="en-US"/>
        </w:rPr>
        <w:t>3</w:t>
      </w:r>
    </w:p>
    <w:p w14:paraId="45C7E2E7" w14:textId="30F037B2" w:rsidR="00CD0C41" w:rsidRPr="0018752B" w:rsidRDefault="00CD0C41" w:rsidP="00F10A68">
      <w:pPr>
        <w:rPr>
          <w:rFonts w:eastAsiaTheme="minorHAnsi"/>
          <w:color w:val="000000" w:themeColor="text1"/>
          <w:lang w:val="en-US"/>
        </w:rPr>
      </w:pPr>
      <w:r w:rsidRPr="0018752B">
        <w:rPr>
          <w:rFonts w:eastAsiaTheme="minorHAnsi"/>
          <w:b/>
          <w:lang w:val="en-US"/>
        </w:rPr>
        <w:t>Figure 5.8:</w:t>
      </w:r>
      <w:r w:rsidRPr="0018752B">
        <w:rPr>
          <w:rFonts w:eastAsiaTheme="minorHAnsi"/>
          <w:lang w:val="en-US"/>
        </w:rPr>
        <w:t xml:space="preserve"> 1967 G67/I SG-Tomb 6(2) Infill 1 (T8). </w:t>
      </w:r>
      <w:r w:rsidRPr="0018752B">
        <w:rPr>
          <w:rFonts w:eastAsiaTheme="minorHAnsi"/>
          <w:color w:val="000000" w:themeColor="text1"/>
          <w:lang w:val="en-US"/>
        </w:rPr>
        <w:t xml:space="preserve">Age at death: 3 years </w:t>
      </w:r>
      <w:r w:rsidRPr="0018752B">
        <w:rPr>
          <w:rFonts w:eastAsiaTheme="minorHAnsi"/>
          <w:color w:val="000000" w:themeColor="text1"/>
          <w:lang w:val="en-US"/>
        </w:rPr>
        <w:sym w:font="Symbol" w:char="F0B1"/>
      </w:r>
      <w:r w:rsidRPr="0018752B">
        <w:rPr>
          <w:rFonts w:eastAsiaTheme="minorHAnsi"/>
          <w:color w:val="000000" w:themeColor="text1"/>
          <w:lang w:val="en-US"/>
        </w:rPr>
        <w:t xml:space="preserve"> 8 month</w:t>
      </w:r>
      <w:r w:rsidR="00B8154D">
        <w:rPr>
          <w:rFonts w:eastAsiaTheme="minorHAnsi"/>
          <w:color w:val="000000" w:themeColor="text1"/>
          <w:lang w:val="en-US"/>
        </w:rPr>
        <w:t>s</w:t>
      </w:r>
      <w:r w:rsidR="00F10A68">
        <w:rPr>
          <w:rFonts w:eastAsiaTheme="minorHAnsi"/>
          <w:color w:val="000000" w:themeColor="text1"/>
          <w:lang w:val="en-US"/>
        </w:rPr>
        <w:t xml:space="preserve"> …………………………………………………………………………………………..</w:t>
      </w:r>
      <w:r w:rsidR="00482159">
        <w:rPr>
          <w:rFonts w:eastAsiaTheme="minorHAnsi"/>
          <w:color w:val="000000" w:themeColor="text1"/>
          <w:lang w:val="en-US"/>
        </w:rPr>
        <w:t>.</w:t>
      </w:r>
      <w:r w:rsidR="00482159" w:rsidRPr="00CA4E09">
        <w:rPr>
          <w:rFonts w:eastAsiaTheme="minorHAnsi"/>
          <w:color w:val="000000" w:themeColor="text1"/>
          <w:lang w:val="en-US"/>
        </w:rPr>
        <w:t>.</w:t>
      </w:r>
      <w:r w:rsidR="00AA0229" w:rsidRPr="00CA4E09">
        <w:rPr>
          <w:rFonts w:eastAsiaTheme="minorHAnsi"/>
          <w:b/>
          <w:color w:val="000000" w:themeColor="text1"/>
          <w:lang w:val="en-US"/>
        </w:rPr>
        <w:t>9</w:t>
      </w:r>
      <w:r w:rsidR="00B8154D">
        <w:rPr>
          <w:rFonts w:eastAsiaTheme="minorHAnsi"/>
          <w:b/>
          <w:color w:val="000000" w:themeColor="text1"/>
          <w:lang w:val="en-US"/>
        </w:rPr>
        <w:t>4</w:t>
      </w:r>
    </w:p>
    <w:p w14:paraId="20589C8D" w14:textId="04C75D35" w:rsidR="00CD0C41" w:rsidRPr="0018752B" w:rsidRDefault="00CD0C41" w:rsidP="00330679">
      <w:pPr>
        <w:jc w:val="both"/>
        <w:rPr>
          <w:rFonts w:eastAsiaTheme="minorHAnsi"/>
          <w:lang w:val="en-US"/>
        </w:rPr>
      </w:pPr>
      <w:r w:rsidRPr="0018752B">
        <w:rPr>
          <w:rFonts w:eastAsiaTheme="minorHAnsi"/>
          <w:b/>
        </w:rPr>
        <w:t>Figure 5.9:</w:t>
      </w:r>
      <w:r w:rsidRPr="0018752B">
        <w:rPr>
          <w:rFonts w:eastAsiaTheme="minorHAnsi"/>
        </w:rPr>
        <w:t xml:space="preserve"> No Label #2 (T9). </w:t>
      </w:r>
      <w:r w:rsidRPr="0018752B">
        <w:rPr>
          <w:rFonts w:eastAsiaTheme="minorHAnsi"/>
          <w:lang w:val="en-US"/>
        </w:rPr>
        <w:t xml:space="preserve">Age at death: 5 – 6 years </w:t>
      </w:r>
      <w:r w:rsidRPr="0018752B">
        <w:rPr>
          <w:rFonts w:eastAsiaTheme="minorHAnsi"/>
          <w:lang w:val="en-US"/>
        </w:rPr>
        <w:sym w:font="Symbol" w:char="F0B1"/>
      </w:r>
      <w:r w:rsidRPr="0018752B">
        <w:rPr>
          <w:rFonts w:eastAsiaTheme="minorHAnsi"/>
          <w:lang w:val="en-US"/>
        </w:rPr>
        <w:t xml:space="preserve"> 12 months</w:t>
      </w:r>
      <w:r w:rsidR="00716155">
        <w:rPr>
          <w:rFonts w:eastAsiaTheme="minorHAnsi"/>
          <w:lang w:val="en-US"/>
        </w:rPr>
        <w:t xml:space="preserve"> ………</w:t>
      </w:r>
      <w:r w:rsidR="00330679">
        <w:rPr>
          <w:rFonts w:eastAsiaTheme="minorHAnsi"/>
          <w:lang w:val="en-US"/>
        </w:rPr>
        <w:t>…</w:t>
      </w:r>
      <w:r w:rsidR="00716155">
        <w:rPr>
          <w:rFonts w:eastAsiaTheme="minorHAnsi"/>
          <w:lang w:val="en-US"/>
        </w:rPr>
        <w:t>………</w:t>
      </w:r>
      <w:r w:rsidR="00AA0229">
        <w:rPr>
          <w:rFonts w:eastAsiaTheme="minorHAnsi"/>
          <w:lang w:val="en-US"/>
        </w:rPr>
        <w:t>..</w:t>
      </w:r>
      <w:r w:rsidR="00AA0229" w:rsidRPr="00CA4E09">
        <w:rPr>
          <w:rFonts w:eastAsiaTheme="minorHAnsi"/>
          <w:b/>
          <w:lang w:val="en-US"/>
        </w:rPr>
        <w:t>9</w:t>
      </w:r>
      <w:r w:rsidR="00B8154D">
        <w:rPr>
          <w:rFonts w:eastAsiaTheme="minorHAnsi"/>
          <w:b/>
          <w:lang w:val="en-US"/>
        </w:rPr>
        <w:t>5</w:t>
      </w:r>
    </w:p>
    <w:p w14:paraId="027A7E88" w14:textId="578195F7" w:rsidR="00CD0C41" w:rsidRPr="0018752B" w:rsidRDefault="00CD0C41" w:rsidP="00330679">
      <w:pPr>
        <w:jc w:val="both"/>
        <w:rPr>
          <w:rFonts w:eastAsiaTheme="minorHAnsi"/>
          <w:lang w:val="en-US"/>
        </w:rPr>
      </w:pPr>
      <w:r w:rsidRPr="0018752B">
        <w:rPr>
          <w:rFonts w:eastAsiaTheme="minorHAnsi"/>
          <w:b/>
          <w:lang w:val="en-US"/>
        </w:rPr>
        <w:t>Figure 5.10:</w:t>
      </w:r>
      <w:r w:rsidRPr="0018752B">
        <w:rPr>
          <w:rFonts w:eastAsiaTheme="minorHAnsi"/>
          <w:lang w:val="en-US"/>
        </w:rPr>
        <w:t xml:space="preserve"> 1972 Area NA Burial 1 of A-1 (T10). Age at death: 4 years </w:t>
      </w:r>
      <w:r w:rsidRPr="0018752B">
        <w:rPr>
          <w:rFonts w:eastAsiaTheme="minorHAnsi"/>
          <w:lang w:val="en-US"/>
        </w:rPr>
        <w:sym w:font="Symbol" w:char="F0B1"/>
      </w:r>
      <w:r w:rsidRPr="0018752B">
        <w:rPr>
          <w:rFonts w:eastAsiaTheme="minorHAnsi"/>
          <w:lang w:val="en-US"/>
        </w:rPr>
        <w:t xml:space="preserve"> 12 months</w:t>
      </w:r>
      <w:r w:rsidR="00482159">
        <w:rPr>
          <w:rFonts w:eastAsiaTheme="minorHAnsi"/>
          <w:lang w:val="en-US"/>
        </w:rPr>
        <w:t>……………………………………………………………</w:t>
      </w:r>
      <w:r w:rsidR="00330679">
        <w:rPr>
          <w:rFonts w:eastAsiaTheme="minorHAnsi"/>
          <w:lang w:val="en-US"/>
        </w:rPr>
        <w:t>.</w:t>
      </w:r>
      <w:r w:rsidR="00482159">
        <w:rPr>
          <w:rFonts w:eastAsiaTheme="minorHAnsi"/>
          <w:lang w:val="en-US"/>
        </w:rPr>
        <w:t>……………………...</w:t>
      </w:r>
      <w:r w:rsidR="00AA0229" w:rsidRPr="00CA4E09">
        <w:rPr>
          <w:rFonts w:eastAsiaTheme="minorHAnsi"/>
          <w:b/>
          <w:lang w:val="en-US"/>
        </w:rPr>
        <w:t>9</w:t>
      </w:r>
      <w:r w:rsidR="00B8154D">
        <w:rPr>
          <w:rFonts w:eastAsiaTheme="minorHAnsi"/>
          <w:b/>
          <w:lang w:val="en-US"/>
        </w:rPr>
        <w:t>6</w:t>
      </w:r>
    </w:p>
    <w:p w14:paraId="3054C873" w14:textId="6CFE0205" w:rsidR="00CD0C41" w:rsidRPr="0018752B" w:rsidRDefault="00CD0C41" w:rsidP="00330679">
      <w:pPr>
        <w:jc w:val="both"/>
        <w:rPr>
          <w:rFonts w:eastAsiaTheme="minorHAnsi"/>
          <w:lang w:val="en-US"/>
        </w:rPr>
      </w:pPr>
      <w:r w:rsidRPr="0018752B">
        <w:rPr>
          <w:rFonts w:eastAsiaTheme="minorHAnsi"/>
          <w:b/>
          <w:lang w:val="en-US"/>
        </w:rPr>
        <w:t>Figure 5.11:</w:t>
      </w:r>
      <w:r w:rsidRPr="0018752B">
        <w:rPr>
          <w:rFonts w:eastAsiaTheme="minorHAnsi"/>
          <w:lang w:val="en-US"/>
        </w:rPr>
        <w:t xml:space="preserve"> G67/I P15 S19 (T11). Age at death: 7 – 8 years </w:t>
      </w:r>
      <w:r w:rsidRPr="0018752B">
        <w:rPr>
          <w:rFonts w:eastAsiaTheme="minorHAnsi"/>
          <w:lang w:val="en-US"/>
        </w:rPr>
        <w:sym w:font="Symbol" w:char="F0B1"/>
      </w:r>
      <w:r w:rsidRPr="0018752B">
        <w:rPr>
          <w:rFonts w:eastAsiaTheme="minorHAnsi"/>
          <w:lang w:val="en-US"/>
        </w:rPr>
        <w:t xml:space="preserve"> 24 months</w:t>
      </w:r>
      <w:r w:rsidR="00716155">
        <w:rPr>
          <w:rFonts w:eastAsiaTheme="minorHAnsi"/>
          <w:lang w:val="en-US"/>
        </w:rPr>
        <w:t xml:space="preserve"> ………</w:t>
      </w:r>
      <w:r w:rsidR="00330679">
        <w:rPr>
          <w:rFonts w:eastAsiaTheme="minorHAnsi"/>
          <w:lang w:val="en-US"/>
        </w:rPr>
        <w:t>.</w:t>
      </w:r>
      <w:r w:rsidR="00716155">
        <w:rPr>
          <w:rFonts w:eastAsiaTheme="minorHAnsi"/>
          <w:lang w:val="en-US"/>
        </w:rPr>
        <w:t>……</w:t>
      </w:r>
      <w:r w:rsidR="00AA0229" w:rsidRPr="00CA4E09">
        <w:rPr>
          <w:rFonts w:eastAsiaTheme="minorHAnsi"/>
          <w:b/>
          <w:lang w:val="en-US"/>
        </w:rPr>
        <w:t>9</w:t>
      </w:r>
      <w:r w:rsidR="00B8154D">
        <w:rPr>
          <w:rFonts w:eastAsiaTheme="minorHAnsi"/>
          <w:b/>
          <w:lang w:val="en-US"/>
        </w:rPr>
        <w:t>7</w:t>
      </w:r>
    </w:p>
    <w:p w14:paraId="3F9AC197" w14:textId="0BF6EF20" w:rsidR="00CD0C41" w:rsidRDefault="00CD0C41" w:rsidP="00330679">
      <w:pPr>
        <w:jc w:val="both"/>
        <w:rPr>
          <w:rFonts w:eastAsiaTheme="minorHAnsi"/>
          <w:lang w:val="en-US"/>
        </w:rPr>
      </w:pPr>
      <w:r w:rsidRPr="0018752B">
        <w:rPr>
          <w:rFonts w:eastAsiaTheme="minorHAnsi"/>
          <w:b/>
          <w:lang w:val="en-US"/>
        </w:rPr>
        <w:t>Figure 5.12:</w:t>
      </w:r>
      <w:r w:rsidRPr="0018752B">
        <w:rPr>
          <w:rFonts w:eastAsiaTheme="minorHAnsi"/>
          <w:lang w:val="en-US"/>
        </w:rPr>
        <w:t xml:space="preserve"> G67 Site C RZ3 Pit 3 tomb infill (T12). Age at death: 9 years </w:t>
      </w:r>
      <w:r w:rsidRPr="0018752B">
        <w:rPr>
          <w:rFonts w:eastAsiaTheme="minorHAnsi"/>
          <w:lang w:val="en-US"/>
        </w:rPr>
        <w:sym w:font="Symbol" w:char="F0B1"/>
      </w:r>
      <w:r w:rsidRPr="0018752B">
        <w:rPr>
          <w:rFonts w:eastAsiaTheme="minorHAnsi"/>
          <w:lang w:val="en-US"/>
        </w:rPr>
        <w:t xml:space="preserve"> 24 months</w:t>
      </w:r>
      <w:r w:rsidR="00482159">
        <w:rPr>
          <w:rFonts w:eastAsiaTheme="minorHAnsi"/>
          <w:lang w:val="en-US"/>
        </w:rPr>
        <w:t>………………………………………………………………………</w:t>
      </w:r>
      <w:r w:rsidR="00330679">
        <w:rPr>
          <w:rFonts w:eastAsiaTheme="minorHAnsi"/>
          <w:lang w:val="en-US"/>
        </w:rPr>
        <w:t>..</w:t>
      </w:r>
      <w:r w:rsidR="00482159">
        <w:rPr>
          <w:rFonts w:eastAsiaTheme="minorHAnsi"/>
          <w:lang w:val="en-US"/>
        </w:rPr>
        <w:t>…………</w:t>
      </w:r>
      <w:r w:rsidR="00B8154D" w:rsidRPr="00B8154D">
        <w:rPr>
          <w:rFonts w:eastAsiaTheme="minorHAnsi"/>
          <w:lang w:val="en-US"/>
        </w:rPr>
        <w:t>..</w:t>
      </w:r>
      <w:r w:rsidR="00B8154D">
        <w:rPr>
          <w:rFonts w:eastAsiaTheme="minorHAnsi"/>
          <w:b/>
          <w:lang w:val="en-US"/>
        </w:rPr>
        <w:t>98</w:t>
      </w:r>
    </w:p>
    <w:p w14:paraId="2F019838" w14:textId="7327890C" w:rsidR="00CD0C41" w:rsidRDefault="00CD0C41" w:rsidP="00330679">
      <w:pPr>
        <w:jc w:val="both"/>
        <w:rPr>
          <w:rFonts w:eastAsiaTheme="minorHAnsi"/>
          <w:lang w:val="en-US"/>
        </w:rPr>
      </w:pPr>
      <w:r>
        <w:rPr>
          <w:rFonts w:eastAsiaTheme="minorHAnsi"/>
          <w:b/>
          <w:lang w:val="en-US"/>
        </w:rPr>
        <w:t>Figure 5.13:</w:t>
      </w:r>
      <w:r>
        <w:rPr>
          <w:rFonts w:eastAsiaTheme="minorHAnsi"/>
          <w:lang w:val="en-US"/>
        </w:rPr>
        <w:t xml:space="preserve"> Comparison of all subadult individual nitrogen histories. Nitrogen isotope</w:t>
      </w:r>
      <w:r w:rsidR="00716155">
        <w:rPr>
          <w:rFonts w:eastAsiaTheme="minorHAnsi"/>
          <w:lang w:val="en-US"/>
        </w:rPr>
        <w:t xml:space="preserve"> </w:t>
      </w:r>
      <w:r>
        <w:rPr>
          <w:rFonts w:eastAsiaTheme="minorHAnsi"/>
          <w:lang w:val="en-US"/>
        </w:rPr>
        <w:t>values are plotted against the approximate mean ages (in years) for each tooth section</w:t>
      </w:r>
      <w:r w:rsidR="00482159">
        <w:rPr>
          <w:rFonts w:eastAsiaTheme="minorHAnsi"/>
          <w:lang w:val="en-US"/>
        </w:rPr>
        <w:t>………………………………..</w:t>
      </w:r>
      <w:r w:rsidR="00716155">
        <w:rPr>
          <w:rFonts w:eastAsiaTheme="minorHAnsi"/>
          <w:lang w:val="en-US"/>
        </w:rPr>
        <w:t>…..</w:t>
      </w:r>
      <w:r w:rsidR="00482159">
        <w:rPr>
          <w:rFonts w:eastAsiaTheme="minorHAnsi"/>
          <w:lang w:val="en-US"/>
        </w:rPr>
        <w:t>..................................................................</w:t>
      </w:r>
      <w:r w:rsidR="00B8154D">
        <w:rPr>
          <w:rFonts w:eastAsiaTheme="minorHAnsi"/>
          <w:lang w:val="en-US"/>
        </w:rPr>
        <w:t>..</w:t>
      </w:r>
      <w:r w:rsidR="00482159">
        <w:rPr>
          <w:rFonts w:eastAsiaTheme="minorHAnsi"/>
          <w:lang w:val="en-US"/>
        </w:rPr>
        <w:t>.....</w:t>
      </w:r>
      <w:r w:rsidR="00B8154D">
        <w:rPr>
          <w:rFonts w:eastAsiaTheme="minorHAnsi"/>
          <w:b/>
          <w:lang w:val="en-US"/>
        </w:rPr>
        <w:t>99</w:t>
      </w:r>
    </w:p>
    <w:p w14:paraId="6B39786E" w14:textId="72369BDA" w:rsidR="00CD0C41" w:rsidRPr="00475487" w:rsidRDefault="00CD0C41" w:rsidP="00330679">
      <w:pPr>
        <w:jc w:val="both"/>
        <w:rPr>
          <w:rFonts w:eastAsiaTheme="minorHAnsi"/>
          <w:lang w:val="en-US"/>
        </w:rPr>
      </w:pPr>
      <w:r w:rsidRPr="00475487">
        <w:rPr>
          <w:rFonts w:eastAsiaTheme="minorHAnsi"/>
          <w:b/>
          <w:lang w:val="en-US"/>
        </w:rPr>
        <w:t>Figure 5.14:</w:t>
      </w:r>
      <w:r w:rsidRPr="00475487">
        <w:rPr>
          <w:rFonts w:eastAsiaTheme="minorHAnsi"/>
          <w:lang w:val="en-US"/>
        </w:rPr>
        <w:t xml:space="preserve"> Botr 1972 Grave 2 bottom burial (T13), male. Age at death: 21 &lt; years</w:t>
      </w:r>
      <w:r w:rsidR="00482159">
        <w:rPr>
          <w:rFonts w:eastAsiaTheme="minorHAnsi"/>
          <w:lang w:val="en-US"/>
        </w:rPr>
        <w:t>………………………………………………………………………</w:t>
      </w:r>
      <w:r w:rsidR="00330679">
        <w:rPr>
          <w:rFonts w:eastAsiaTheme="minorHAnsi"/>
          <w:lang w:val="en-US"/>
        </w:rPr>
        <w:t>..</w:t>
      </w:r>
      <w:r w:rsidR="00482159">
        <w:rPr>
          <w:rFonts w:eastAsiaTheme="minorHAnsi"/>
          <w:lang w:val="en-US"/>
        </w:rPr>
        <w:t>..…………..</w:t>
      </w:r>
      <w:r w:rsidR="00AA0229" w:rsidRPr="00CA4E09">
        <w:rPr>
          <w:rFonts w:eastAsiaTheme="minorHAnsi"/>
          <w:b/>
          <w:lang w:val="en-US"/>
        </w:rPr>
        <w:t>10</w:t>
      </w:r>
      <w:r w:rsidR="00B8154D">
        <w:rPr>
          <w:rFonts w:eastAsiaTheme="minorHAnsi"/>
          <w:b/>
          <w:lang w:val="en-US"/>
        </w:rPr>
        <w:t>3</w:t>
      </w:r>
    </w:p>
    <w:p w14:paraId="16CDF6DE" w14:textId="615EAFAA" w:rsidR="00CD0C41" w:rsidRPr="00475487" w:rsidRDefault="00CD0C41" w:rsidP="00330679">
      <w:pPr>
        <w:jc w:val="both"/>
        <w:rPr>
          <w:rFonts w:eastAsiaTheme="minorHAnsi"/>
          <w:lang w:val="en-US"/>
        </w:rPr>
      </w:pPr>
      <w:r w:rsidRPr="000B3BFF">
        <w:rPr>
          <w:rFonts w:eastAsiaTheme="minorHAnsi"/>
          <w:b/>
        </w:rPr>
        <w:t>Figure 5.15:</w:t>
      </w:r>
      <w:r w:rsidRPr="000B3BFF">
        <w:rPr>
          <w:rFonts w:eastAsiaTheme="minorHAnsi"/>
        </w:rPr>
        <w:t xml:space="preserve"> No label #3 (box 6) (T15), male. </w:t>
      </w:r>
      <w:r w:rsidRPr="00475487">
        <w:rPr>
          <w:rFonts w:eastAsiaTheme="minorHAnsi"/>
          <w:lang w:val="en-US"/>
        </w:rPr>
        <w:t>Age at death: 2</w:t>
      </w:r>
      <w:r>
        <w:rPr>
          <w:rFonts w:eastAsiaTheme="minorHAnsi"/>
          <w:lang w:val="en-US"/>
        </w:rPr>
        <w:t>1</w:t>
      </w:r>
      <w:r w:rsidRPr="00475487">
        <w:rPr>
          <w:rFonts w:eastAsiaTheme="minorHAnsi"/>
          <w:lang w:val="en-US"/>
        </w:rPr>
        <w:t xml:space="preserve"> &lt; years</w:t>
      </w:r>
      <w:r w:rsidR="00716155">
        <w:rPr>
          <w:rFonts w:eastAsiaTheme="minorHAnsi"/>
          <w:lang w:val="en-US"/>
        </w:rPr>
        <w:t xml:space="preserve"> ……</w:t>
      </w:r>
      <w:r w:rsidR="00330679">
        <w:rPr>
          <w:rFonts w:eastAsiaTheme="minorHAnsi"/>
          <w:lang w:val="en-US"/>
        </w:rPr>
        <w:t>…</w:t>
      </w:r>
      <w:r w:rsidR="00716155">
        <w:rPr>
          <w:rFonts w:eastAsiaTheme="minorHAnsi"/>
          <w:lang w:val="en-US"/>
        </w:rPr>
        <w:t>………</w:t>
      </w:r>
      <w:r w:rsidR="00AA0229" w:rsidRPr="00CA4E09">
        <w:rPr>
          <w:rFonts w:eastAsiaTheme="minorHAnsi"/>
          <w:b/>
          <w:lang w:val="en-US"/>
        </w:rPr>
        <w:t>10</w:t>
      </w:r>
      <w:r w:rsidR="00B8154D">
        <w:rPr>
          <w:rFonts w:eastAsiaTheme="minorHAnsi"/>
          <w:b/>
          <w:lang w:val="en-US"/>
        </w:rPr>
        <w:t>4</w:t>
      </w:r>
    </w:p>
    <w:p w14:paraId="7684737E" w14:textId="15595CD5" w:rsidR="00CD0C41" w:rsidRPr="00475487" w:rsidRDefault="00CD0C41" w:rsidP="00330679">
      <w:pPr>
        <w:jc w:val="both"/>
        <w:rPr>
          <w:rFonts w:eastAsiaTheme="minorHAnsi"/>
          <w:lang w:val="en-US"/>
        </w:rPr>
      </w:pPr>
      <w:r w:rsidRPr="00475487">
        <w:rPr>
          <w:rFonts w:eastAsiaTheme="minorHAnsi"/>
          <w:b/>
          <w:lang w:val="en-US"/>
        </w:rPr>
        <w:lastRenderedPageBreak/>
        <w:t>Figure 5.16:</w:t>
      </w:r>
      <w:r w:rsidRPr="00475487">
        <w:rPr>
          <w:rFonts w:eastAsiaTheme="minorHAnsi"/>
          <w:lang w:val="en-US"/>
        </w:rPr>
        <w:t xml:space="preserve"> BOTR F5 20108 Layer 1047 Skull (T16), male. Age at death: 35&lt; years</w:t>
      </w:r>
      <w:r w:rsidR="00482159">
        <w:rPr>
          <w:rFonts w:eastAsiaTheme="minorHAnsi"/>
          <w:lang w:val="en-US"/>
        </w:rPr>
        <w:t>………..</w:t>
      </w:r>
      <w:r w:rsidR="00716155">
        <w:rPr>
          <w:rFonts w:eastAsiaTheme="minorHAnsi"/>
          <w:lang w:val="en-US"/>
        </w:rPr>
        <w:t>…</w:t>
      </w:r>
      <w:r w:rsidR="00482159">
        <w:rPr>
          <w:rFonts w:eastAsiaTheme="minorHAnsi"/>
          <w:lang w:val="en-US"/>
        </w:rPr>
        <w:t>…………………………………………………………………………</w:t>
      </w:r>
      <w:r w:rsidR="00AA0229" w:rsidRPr="00CA4E09">
        <w:rPr>
          <w:rFonts w:eastAsiaTheme="minorHAnsi"/>
          <w:b/>
          <w:lang w:val="en-US"/>
        </w:rPr>
        <w:t>10</w:t>
      </w:r>
      <w:r w:rsidR="00B8154D">
        <w:rPr>
          <w:rFonts w:eastAsiaTheme="minorHAnsi"/>
          <w:b/>
          <w:lang w:val="en-US"/>
        </w:rPr>
        <w:t>5</w:t>
      </w:r>
    </w:p>
    <w:p w14:paraId="524FA89A" w14:textId="7BE90E56" w:rsidR="00CD0C41" w:rsidRPr="00475487" w:rsidRDefault="00CD0C41" w:rsidP="00330679">
      <w:pPr>
        <w:jc w:val="both"/>
        <w:rPr>
          <w:rFonts w:eastAsiaTheme="minorHAnsi"/>
          <w:lang w:val="en-US"/>
        </w:rPr>
      </w:pPr>
      <w:r w:rsidRPr="00475487">
        <w:rPr>
          <w:rFonts w:eastAsiaTheme="minorHAnsi"/>
          <w:b/>
          <w:lang w:val="en-US"/>
        </w:rPr>
        <w:t>Figure 5.17:</w:t>
      </w:r>
      <w:r w:rsidRPr="00475487">
        <w:rPr>
          <w:rFonts w:eastAsiaTheme="minorHAnsi"/>
          <w:lang w:val="en-US"/>
        </w:rPr>
        <w:t xml:space="preserve"> PS Stefano Tomba 43 (T17), female. Age at death: 38.9 </w:t>
      </w:r>
      <w:r w:rsidRPr="00475487">
        <w:rPr>
          <w:rFonts w:eastAsiaTheme="minorHAnsi"/>
          <w:lang w:val="en-US"/>
        </w:rPr>
        <w:sym w:font="Symbol" w:char="F0B1"/>
      </w:r>
      <w:r w:rsidRPr="00475487">
        <w:rPr>
          <w:rFonts w:eastAsiaTheme="minorHAnsi"/>
          <w:lang w:val="en-US"/>
        </w:rPr>
        <w:t xml:space="preserve"> 10.9 years</w:t>
      </w:r>
      <w:r w:rsidR="00482159">
        <w:rPr>
          <w:rFonts w:eastAsiaTheme="minorHAnsi"/>
          <w:lang w:val="en-US"/>
        </w:rPr>
        <w:t>………………………………………………………………………</w:t>
      </w:r>
      <w:r w:rsidR="00330679">
        <w:rPr>
          <w:rFonts w:eastAsiaTheme="minorHAnsi"/>
          <w:lang w:val="en-US"/>
        </w:rPr>
        <w:t>..</w:t>
      </w:r>
      <w:r w:rsidR="00482159">
        <w:rPr>
          <w:rFonts w:eastAsiaTheme="minorHAnsi"/>
          <w:lang w:val="en-US"/>
        </w:rPr>
        <w:t>…………</w:t>
      </w:r>
      <w:r w:rsidR="00716155">
        <w:rPr>
          <w:rFonts w:eastAsiaTheme="minorHAnsi"/>
          <w:lang w:val="en-US"/>
        </w:rPr>
        <w:t>…</w:t>
      </w:r>
      <w:r w:rsidR="00AA0229" w:rsidRPr="00CA4E09">
        <w:rPr>
          <w:rFonts w:eastAsiaTheme="minorHAnsi"/>
          <w:b/>
          <w:lang w:val="en-US"/>
        </w:rPr>
        <w:t>10</w:t>
      </w:r>
      <w:r w:rsidR="00B8154D">
        <w:rPr>
          <w:rFonts w:eastAsiaTheme="minorHAnsi"/>
          <w:b/>
          <w:lang w:val="en-US"/>
        </w:rPr>
        <w:t>6</w:t>
      </w:r>
    </w:p>
    <w:p w14:paraId="5503F14A" w14:textId="1663FDEB" w:rsidR="00CD0C41" w:rsidRPr="00475487" w:rsidRDefault="00CD0C41" w:rsidP="00330679">
      <w:pPr>
        <w:jc w:val="both"/>
        <w:rPr>
          <w:rFonts w:eastAsiaTheme="minorHAnsi"/>
          <w:lang w:val="en-US"/>
        </w:rPr>
      </w:pPr>
      <w:r w:rsidRPr="00475487">
        <w:rPr>
          <w:rFonts w:eastAsiaTheme="minorHAnsi"/>
          <w:b/>
        </w:rPr>
        <w:t>Figure 5.18:</w:t>
      </w:r>
      <w:r w:rsidRPr="00475487">
        <w:rPr>
          <w:rFonts w:eastAsiaTheme="minorHAnsi"/>
        </w:rPr>
        <w:t xml:space="preserve"> PS Stefano Tomba 11(?) </w:t>
      </w:r>
      <w:r w:rsidRPr="00475487">
        <w:rPr>
          <w:rFonts w:eastAsiaTheme="minorHAnsi"/>
          <w:lang w:val="en-US"/>
        </w:rPr>
        <w:t xml:space="preserve">(T18), male. Age at death: 35 – </w:t>
      </w:r>
      <w:r>
        <w:rPr>
          <w:rFonts w:eastAsiaTheme="minorHAnsi"/>
          <w:lang w:val="en-US"/>
        </w:rPr>
        <w:t>39</w:t>
      </w:r>
      <w:r w:rsidRPr="00475487">
        <w:rPr>
          <w:rFonts w:eastAsiaTheme="minorHAnsi"/>
          <w:lang w:val="en-US"/>
        </w:rPr>
        <w:t xml:space="preserve"> years</w:t>
      </w:r>
      <w:r w:rsidR="00330679">
        <w:rPr>
          <w:rFonts w:eastAsiaTheme="minorHAnsi"/>
          <w:lang w:val="en-US"/>
        </w:rPr>
        <w:t>….</w:t>
      </w:r>
      <w:r w:rsidR="00716155">
        <w:rPr>
          <w:rFonts w:eastAsiaTheme="minorHAnsi"/>
          <w:lang w:val="en-US"/>
        </w:rPr>
        <w:t>……</w:t>
      </w:r>
      <w:r w:rsidR="00AA0229" w:rsidRPr="00CA4E09">
        <w:rPr>
          <w:rFonts w:eastAsiaTheme="minorHAnsi"/>
          <w:b/>
          <w:lang w:val="en-US"/>
        </w:rPr>
        <w:t>10</w:t>
      </w:r>
      <w:r w:rsidR="00B8154D">
        <w:rPr>
          <w:rFonts w:eastAsiaTheme="minorHAnsi"/>
          <w:b/>
          <w:lang w:val="en-US"/>
        </w:rPr>
        <w:t>7</w:t>
      </w:r>
    </w:p>
    <w:p w14:paraId="134C7974" w14:textId="1C09E480" w:rsidR="00CD0C41" w:rsidRPr="00475487" w:rsidRDefault="00CD0C41" w:rsidP="00330679">
      <w:pPr>
        <w:jc w:val="both"/>
        <w:rPr>
          <w:rFonts w:eastAsiaTheme="minorHAnsi"/>
          <w:lang w:val="en-US"/>
        </w:rPr>
      </w:pPr>
      <w:r w:rsidRPr="00475487">
        <w:rPr>
          <w:rFonts w:eastAsiaTheme="minorHAnsi"/>
          <w:b/>
          <w:lang w:val="en-US"/>
        </w:rPr>
        <w:t>Figure 5.19:</w:t>
      </w:r>
      <w:r w:rsidRPr="00475487">
        <w:rPr>
          <w:rFonts w:eastAsiaTheme="minorHAnsi"/>
          <w:lang w:val="en-US"/>
        </w:rPr>
        <w:t xml:space="preserve"> G67III p.1 e.1 PI 1 Layer 1 pit fill (T19), female. Age at death: 1</w:t>
      </w:r>
      <w:r>
        <w:rPr>
          <w:rFonts w:eastAsiaTheme="minorHAnsi"/>
          <w:lang w:val="en-US"/>
        </w:rPr>
        <w:t>6</w:t>
      </w:r>
      <w:r w:rsidRPr="00475487">
        <w:rPr>
          <w:rFonts w:eastAsiaTheme="minorHAnsi"/>
          <w:lang w:val="en-US"/>
        </w:rPr>
        <w:t xml:space="preserve"> – 20 years</w:t>
      </w:r>
      <w:r w:rsidR="00716155">
        <w:rPr>
          <w:rFonts w:eastAsiaTheme="minorHAnsi"/>
          <w:lang w:val="en-US"/>
        </w:rPr>
        <w:t xml:space="preserve"> ………………………………………………………………………</w:t>
      </w:r>
      <w:r w:rsidR="00330679">
        <w:rPr>
          <w:rFonts w:eastAsiaTheme="minorHAnsi"/>
          <w:lang w:val="en-US"/>
        </w:rPr>
        <w:t>………..</w:t>
      </w:r>
      <w:r w:rsidR="00716155">
        <w:rPr>
          <w:rFonts w:eastAsiaTheme="minorHAnsi"/>
          <w:lang w:val="en-US"/>
        </w:rPr>
        <w:t>…………</w:t>
      </w:r>
      <w:r w:rsidR="00AA0229" w:rsidRPr="00CA4E09">
        <w:rPr>
          <w:rFonts w:eastAsiaTheme="minorHAnsi"/>
          <w:b/>
          <w:lang w:val="en-US"/>
        </w:rPr>
        <w:t>1</w:t>
      </w:r>
      <w:r w:rsidR="00B8154D">
        <w:rPr>
          <w:rFonts w:eastAsiaTheme="minorHAnsi"/>
          <w:b/>
          <w:lang w:val="en-US"/>
        </w:rPr>
        <w:t>08</w:t>
      </w:r>
    </w:p>
    <w:p w14:paraId="77DC1B3F" w14:textId="3FA53AC1" w:rsidR="00CD0C41" w:rsidRPr="00475487" w:rsidRDefault="00CD0C41" w:rsidP="00330679">
      <w:pPr>
        <w:jc w:val="both"/>
        <w:rPr>
          <w:rFonts w:eastAsiaTheme="minorHAnsi"/>
          <w:lang w:val="en-US"/>
        </w:rPr>
      </w:pPr>
      <w:r w:rsidRPr="00475487">
        <w:rPr>
          <w:rFonts w:eastAsiaTheme="minorHAnsi"/>
          <w:b/>
          <w:lang w:val="en-US"/>
        </w:rPr>
        <w:t>Figure 5.20:</w:t>
      </w:r>
      <w:r w:rsidRPr="00475487">
        <w:rPr>
          <w:rFonts w:eastAsiaTheme="minorHAnsi"/>
          <w:lang w:val="en-US"/>
        </w:rPr>
        <w:t xml:space="preserve"> Botr 1968 GDA 68 R1 F1 L5 (T20), male. Age at death: </w:t>
      </w:r>
      <w:r>
        <w:rPr>
          <w:rFonts w:eastAsiaTheme="minorHAnsi"/>
          <w:lang w:val="en-US"/>
        </w:rPr>
        <w:t xml:space="preserve">16 </w:t>
      </w:r>
      <w:r w:rsidRPr="00475487">
        <w:rPr>
          <w:rFonts w:eastAsiaTheme="minorHAnsi"/>
          <w:lang w:val="en-US"/>
        </w:rPr>
        <w:t>– 2</w:t>
      </w:r>
      <w:r>
        <w:rPr>
          <w:rFonts w:eastAsiaTheme="minorHAnsi"/>
          <w:lang w:val="en-US"/>
        </w:rPr>
        <w:t>0</w:t>
      </w:r>
      <w:r w:rsidRPr="00475487">
        <w:rPr>
          <w:rFonts w:eastAsiaTheme="minorHAnsi"/>
          <w:lang w:val="en-US"/>
        </w:rPr>
        <w:t xml:space="preserve"> years</w:t>
      </w:r>
      <w:r w:rsidR="00482159">
        <w:rPr>
          <w:rFonts w:eastAsiaTheme="minorHAnsi"/>
          <w:lang w:val="en-US"/>
        </w:rPr>
        <w:t>…………………………………………</w:t>
      </w:r>
      <w:r w:rsidR="003425FA">
        <w:rPr>
          <w:rFonts w:eastAsiaTheme="minorHAnsi"/>
          <w:lang w:val="en-US"/>
        </w:rPr>
        <w:t>………………………………</w:t>
      </w:r>
      <w:r w:rsidR="00330679">
        <w:rPr>
          <w:rFonts w:eastAsiaTheme="minorHAnsi"/>
          <w:lang w:val="en-US"/>
        </w:rPr>
        <w:t>…..</w:t>
      </w:r>
      <w:r w:rsidR="003425FA">
        <w:rPr>
          <w:rFonts w:eastAsiaTheme="minorHAnsi"/>
          <w:lang w:val="en-US"/>
        </w:rPr>
        <w:t>………</w:t>
      </w:r>
      <w:r w:rsidR="00AA0229" w:rsidRPr="00CA4E09">
        <w:rPr>
          <w:rFonts w:eastAsiaTheme="minorHAnsi"/>
          <w:b/>
          <w:lang w:val="en-US"/>
        </w:rPr>
        <w:t>1</w:t>
      </w:r>
      <w:r w:rsidR="00B8154D">
        <w:rPr>
          <w:rFonts w:eastAsiaTheme="minorHAnsi"/>
          <w:b/>
          <w:lang w:val="en-US"/>
        </w:rPr>
        <w:t>09</w:t>
      </w:r>
    </w:p>
    <w:p w14:paraId="520E445C" w14:textId="690887B6" w:rsidR="00CD0C41" w:rsidRPr="00475487" w:rsidRDefault="00CD0C41" w:rsidP="00330679">
      <w:pPr>
        <w:jc w:val="both"/>
        <w:rPr>
          <w:rFonts w:eastAsiaTheme="minorHAnsi"/>
          <w:lang w:val="en-US"/>
        </w:rPr>
      </w:pPr>
      <w:r w:rsidRPr="000B3BFF">
        <w:rPr>
          <w:rFonts w:eastAsiaTheme="minorHAnsi"/>
          <w:b/>
        </w:rPr>
        <w:t>Figure 5.21:</w:t>
      </w:r>
      <w:r w:rsidRPr="000B3BFF">
        <w:rPr>
          <w:rFonts w:eastAsiaTheme="minorHAnsi"/>
        </w:rPr>
        <w:t xml:space="preserve"> Padreterno Settore II Tomba 11 Schletro in Conessione (T21), female. </w:t>
      </w:r>
      <w:r w:rsidRPr="00475487">
        <w:rPr>
          <w:rFonts w:eastAsiaTheme="minorHAnsi"/>
          <w:lang w:val="en-US"/>
        </w:rPr>
        <w:t xml:space="preserve">38 years </w:t>
      </w:r>
      <w:r w:rsidRPr="00475487">
        <w:rPr>
          <w:rFonts w:eastAsiaTheme="minorHAnsi"/>
          <w:lang w:val="en-US"/>
        </w:rPr>
        <w:sym w:font="Symbol" w:char="F0B1"/>
      </w:r>
      <w:r w:rsidRPr="00475487">
        <w:rPr>
          <w:rFonts w:eastAsiaTheme="minorHAnsi"/>
          <w:lang w:val="en-US"/>
        </w:rPr>
        <w:t xml:space="preserve"> 10.9 years</w:t>
      </w:r>
      <w:r w:rsidR="00716155">
        <w:rPr>
          <w:rFonts w:eastAsiaTheme="minorHAnsi"/>
          <w:lang w:val="en-US"/>
        </w:rPr>
        <w:t xml:space="preserve"> …………………………</w:t>
      </w:r>
      <w:r w:rsidR="00482159">
        <w:rPr>
          <w:rFonts w:eastAsiaTheme="minorHAnsi"/>
          <w:lang w:val="en-US"/>
        </w:rPr>
        <w:t>……………………………</w:t>
      </w:r>
      <w:r w:rsidR="00330679">
        <w:rPr>
          <w:rFonts w:eastAsiaTheme="minorHAnsi"/>
          <w:lang w:val="en-US"/>
        </w:rPr>
        <w:t>….</w:t>
      </w:r>
      <w:r w:rsidR="00482159">
        <w:rPr>
          <w:rFonts w:eastAsiaTheme="minorHAnsi"/>
          <w:lang w:val="en-US"/>
        </w:rPr>
        <w:t>……………</w:t>
      </w:r>
      <w:r w:rsidR="00AA0229" w:rsidRPr="00CA4E09">
        <w:rPr>
          <w:rFonts w:eastAsiaTheme="minorHAnsi"/>
          <w:b/>
          <w:lang w:val="en-US"/>
        </w:rPr>
        <w:t>11</w:t>
      </w:r>
      <w:r w:rsidR="00B8154D">
        <w:rPr>
          <w:rFonts w:eastAsiaTheme="minorHAnsi"/>
          <w:b/>
          <w:lang w:val="en-US"/>
        </w:rPr>
        <w:t>0</w:t>
      </w:r>
    </w:p>
    <w:p w14:paraId="08615CA9" w14:textId="6FC3653A" w:rsidR="00CD0C41" w:rsidRDefault="00CD0C41" w:rsidP="00330679">
      <w:pPr>
        <w:jc w:val="both"/>
        <w:rPr>
          <w:rFonts w:eastAsiaTheme="minorHAnsi"/>
          <w:lang w:val="en-US"/>
        </w:rPr>
      </w:pPr>
      <w:r w:rsidRPr="00475487">
        <w:rPr>
          <w:rFonts w:eastAsiaTheme="minorHAnsi"/>
          <w:b/>
          <w:lang w:val="en-US"/>
        </w:rPr>
        <w:t>Figure 5.22:</w:t>
      </w:r>
      <w:r w:rsidRPr="00475487">
        <w:rPr>
          <w:rFonts w:eastAsiaTheme="minorHAnsi"/>
          <w:lang w:val="en-US"/>
        </w:rPr>
        <w:t xml:space="preserve"> Botr 1971 Area NB, Grave 3 (T22), sex unknown. Age at death: 21 &lt; years</w:t>
      </w:r>
      <w:r w:rsidR="00482159">
        <w:rPr>
          <w:rFonts w:eastAsiaTheme="minorHAnsi"/>
          <w:lang w:val="en-US"/>
        </w:rPr>
        <w:t xml:space="preserve"> ……………………………………………………………………</w:t>
      </w:r>
      <w:r w:rsidR="00330679">
        <w:rPr>
          <w:rFonts w:eastAsiaTheme="minorHAnsi"/>
          <w:lang w:val="en-US"/>
        </w:rPr>
        <w:t>…..</w:t>
      </w:r>
      <w:r w:rsidR="00482159">
        <w:rPr>
          <w:rFonts w:eastAsiaTheme="minorHAnsi"/>
          <w:lang w:val="en-US"/>
        </w:rPr>
        <w:t>…………………</w:t>
      </w:r>
      <w:r w:rsidR="00AA0229" w:rsidRPr="00CA4E09">
        <w:rPr>
          <w:rFonts w:eastAsiaTheme="minorHAnsi"/>
          <w:b/>
          <w:lang w:val="en-US"/>
        </w:rPr>
        <w:t>11</w:t>
      </w:r>
      <w:r w:rsidR="00B8154D">
        <w:rPr>
          <w:rFonts w:eastAsiaTheme="minorHAnsi"/>
          <w:b/>
          <w:lang w:val="en-US"/>
        </w:rPr>
        <w:t>1</w:t>
      </w:r>
    </w:p>
    <w:p w14:paraId="1A2C6DB4" w14:textId="0337B76D" w:rsidR="00CD0C41" w:rsidRDefault="00CD0C41" w:rsidP="00330679">
      <w:pPr>
        <w:jc w:val="both"/>
        <w:rPr>
          <w:rFonts w:eastAsiaTheme="minorHAnsi"/>
          <w:lang w:val="en-US"/>
        </w:rPr>
      </w:pPr>
      <w:r>
        <w:rPr>
          <w:rFonts w:eastAsiaTheme="minorHAnsi"/>
          <w:b/>
          <w:lang w:val="en-US"/>
        </w:rPr>
        <w:t>Figure 5.23:</w:t>
      </w:r>
      <w:r>
        <w:rPr>
          <w:rFonts w:eastAsiaTheme="minorHAnsi"/>
          <w:lang w:val="en-US"/>
        </w:rPr>
        <w:t xml:space="preserve"> Comparison of all adult individual nitrogen histories. Group A is characterized by individuals with overall higher nitrogen isotope values and group B is characterized by individuals with overall lower nitrogen values. Nitrogen isotope values are plotted against the approximate mean ages (in years) for each tooth section</w:t>
      </w:r>
      <w:r w:rsidR="00482159">
        <w:rPr>
          <w:rFonts w:eastAsiaTheme="minorHAnsi"/>
          <w:lang w:val="en-US"/>
        </w:rPr>
        <w:t xml:space="preserve"> …</w:t>
      </w:r>
      <w:r w:rsidR="00330679">
        <w:rPr>
          <w:rFonts w:eastAsiaTheme="minorHAnsi"/>
          <w:lang w:val="en-US"/>
        </w:rPr>
        <w:t>…</w:t>
      </w:r>
      <w:r w:rsidR="00482159">
        <w:rPr>
          <w:rFonts w:eastAsiaTheme="minorHAnsi"/>
          <w:lang w:val="en-US"/>
        </w:rPr>
        <w:t>…</w:t>
      </w:r>
      <w:r w:rsidR="00AA0229" w:rsidRPr="00CA4E09">
        <w:rPr>
          <w:rFonts w:eastAsiaTheme="minorHAnsi"/>
          <w:b/>
          <w:lang w:val="en-US"/>
        </w:rPr>
        <w:t>11</w:t>
      </w:r>
      <w:r w:rsidR="00B8154D">
        <w:rPr>
          <w:rFonts w:eastAsiaTheme="minorHAnsi"/>
          <w:b/>
          <w:lang w:val="en-US"/>
        </w:rPr>
        <w:t>3</w:t>
      </w:r>
    </w:p>
    <w:p w14:paraId="35794F9C" w14:textId="7413D25C" w:rsidR="00CD0C41" w:rsidRDefault="00CD0C41" w:rsidP="00330679">
      <w:pPr>
        <w:jc w:val="both"/>
        <w:rPr>
          <w:rFonts w:eastAsiaTheme="minorHAnsi"/>
          <w:lang w:val="en-US"/>
        </w:rPr>
      </w:pPr>
      <w:r>
        <w:rPr>
          <w:rFonts w:eastAsiaTheme="minorHAnsi"/>
          <w:b/>
          <w:lang w:val="en-US"/>
        </w:rPr>
        <w:t>Figure 5.24:</w:t>
      </w:r>
      <w:r>
        <w:rPr>
          <w:rFonts w:asciiTheme="minorHAnsi" w:eastAsiaTheme="minorHAnsi" w:hAnsiTheme="minorHAnsi" w:cstheme="minorBidi"/>
          <w:lang w:val="en-US"/>
        </w:rPr>
        <w:t xml:space="preserve"> </w:t>
      </w:r>
      <w:r>
        <w:rPr>
          <w:rFonts w:eastAsiaTheme="minorHAnsi"/>
          <w:lang w:val="en-US"/>
        </w:rPr>
        <w:t xml:space="preserve">Box and whisker plot comparing the </w:t>
      </w:r>
      <w:r>
        <w:rPr>
          <w:rFonts w:eastAsiaTheme="minorHAnsi"/>
          <w:lang w:val="en-US"/>
        </w:rPr>
        <w:sym w:font="Symbol" w:char="F064"/>
      </w:r>
      <w:r>
        <w:rPr>
          <w:rFonts w:eastAsiaTheme="minorHAnsi"/>
          <w:vertAlign w:val="superscript"/>
          <w:lang w:val="en-US"/>
        </w:rPr>
        <w:t>15</w:t>
      </w:r>
      <w:r>
        <w:rPr>
          <w:rFonts w:eastAsiaTheme="minorHAnsi"/>
          <w:lang w:val="en-US"/>
        </w:rPr>
        <w:t xml:space="preserve">N (top chart) and </w:t>
      </w:r>
      <w:r>
        <w:rPr>
          <w:rFonts w:eastAsiaTheme="minorHAnsi"/>
          <w:lang w:val="en-US"/>
        </w:rPr>
        <w:sym w:font="Symbol" w:char="F064"/>
      </w:r>
      <w:r>
        <w:rPr>
          <w:rFonts w:eastAsiaTheme="minorHAnsi"/>
          <w:vertAlign w:val="superscript"/>
          <w:lang w:val="en-US"/>
        </w:rPr>
        <w:t>13</w:t>
      </w:r>
      <w:r>
        <w:rPr>
          <w:rFonts w:eastAsiaTheme="minorHAnsi"/>
          <w:lang w:val="en-US"/>
        </w:rPr>
        <w:t>C (bottom chart) results between males and females for each age category</w:t>
      </w:r>
      <w:r w:rsidR="00482159">
        <w:rPr>
          <w:rFonts w:eastAsiaTheme="minorHAnsi"/>
          <w:lang w:val="en-US"/>
        </w:rPr>
        <w:t xml:space="preserve"> …………</w:t>
      </w:r>
      <w:r w:rsidR="00330679">
        <w:rPr>
          <w:rFonts w:eastAsiaTheme="minorHAnsi"/>
          <w:lang w:val="en-US"/>
        </w:rPr>
        <w:t>………..</w:t>
      </w:r>
      <w:r w:rsidR="00482159">
        <w:rPr>
          <w:rFonts w:eastAsiaTheme="minorHAnsi"/>
          <w:lang w:val="en-US"/>
        </w:rPr>
        <w:t>…………</w:t>
      </w:r>
      <w:r w:rsidR="00AA0229" w:rsidRPr="00CA4E09">
        <w:rPr>
          <w:rFonts w:eastAsiaTheme="minorHAnsi"/>
          <w:b/>
          <w:lang w:val="en-US"/>
        </w:rPr>
        <w:t>11</w:t>
      </w:r>
      <w:r w:rsidR="00B8154D">
        <w:rPr>
          <w:rFonts w:eastAsiaTheme="minorHAnsi"/>
          <w:b/>
          <w:lang w:val="en-US"/>
        </w:rPr>
        <w:t>5</w:t>
      </w:r>
    </w:p>
    <w:p w14:paraId="09EFD683" w14:textId="13DAD851" w:rsidR="00CD0C41" w:rsidRDefault="00CD0C41" w:rsidP="00330679">
      <w:pPr>
        <w:jc w:val="both"/>
        <w:rPr>
          <w:rFonts w:eastAsiaTheme="minorHAnsi"/>
          <w:lang w:val="en-US"/>
        </w:rPr>
      </w:pPr>
      <w:r>
        <w:rPr>
          <w:rFonts w:eastAsiaTheme="minorHAnsi"/>
          <w:b/>
          <w:lang w:val="en-US"/>
        </w:rPr>
        <w:t>Figure 5.25:</w:t>
      </w:r>
      <w:r>
        <w:rPr>
          <w:rFonts w:eastAsiaTheme="minorHAnsi"/>
          <w:lang w:val="en-US"/>
        </w:rPr>
        <w:t xml:space="preserve"> Comparison of Subadult rib and femur collagen </w:t>
      </w:r>
      <w:r>
        <w:rPr>
          <w:rFonts w:eastAsiaTheme="minorHAnsi"/>
          <w:lang w:val="en-US"/>
        </w:rPr>
        <w:sym w:font="Symbol" w:char="F064"/>
      </w:r>
      <w:r>
        <w:rPr>
          <w:rFonts w:eastAsiaTheme="minorHAnsi"/>
          <w:vertAlign w:val="superscript"/>
          <w:lang w:val="en-US"/>
        </w:rPr>
        <w:t>15</w:t>
      </w:r>
      <w:r>
        <w:rPr>
          <w:rFonts w:eastAsiaTheme="minorHAnsi"/>
          <w:lang w:val="en-US"/>
        </w:rPr>
        <w:t xml:space="preserve">N and </w:t>
      </w:r>
      <w:r>
        <w:rPr>
          <w:rFonts w:eastAsiaTheme="minorHAnsi"/>
          <w:lang w:val="en-US"/>
        </w:rPr>
        <w:sym w:font="Symbol" w:char="F064"/>
      </w:r>
      <w:r>
        <w:rPr>
          <w:rFonts w:eastAsiaTheme="minorHAnsi"/>
          <w:vertAlign w:val="superscript"/>
          <w:lang w:val="en-US"/>
        </w:rPr>
        <w:t>13</w:t>
      </w:r>
      <w:r>
        <w:rPr>
          <w:rFonts w:eastAsiaTheme="minorHAnsi"/>
          <w:lang w:val="en-US"/>
        </w:rPr>
        <w:t>C values for each individual plotted against age at death (n=9). The dotted lines between the rib and femur data points indicate values obtained from one individual</w:t>
      </w:r>
      <w:r w:rsidR="00482159">
        <w:rPr>
          <w:rFonts w:eastAsiaTheme="minorHAnsi"/>
          <w:lang w:val="en-US"/>
        </w:rPr>
        <w:t xml:space="preserve"> …………………</w:t>
      </w:r>
      <w:r w:rsidR="00330679">
        <w:rPr>
          <w:rFonts w:eastAsiaTheme="minorHAnsi"/>
          <w:lang w:val="en-US"/>
        </w:rPr>
        <w:t>……</w:t>
      </w:r>
      <w:r w:rsidR="00234047">
        <w:rPr>
          <w:rFonts w:eastAsiaTheme="minorHAnsi"/>
          <w:lang w:val="en-US"/>
        </w:rPr>
        <w:t>.</w:t>
      </w:r>
      <w:r w:rsidR="00330679">
        <w:rPr>
          <w:rFonts w:eastAsiaTheme="minorHAnsi"/>
          <w:lang w:val="en-US"/>
        </w:rPr>
        <w:t>..</w:t>
      </w:r>
      <w:r w:rsidR="00482159">
        <w:rPr>
          <w:rFonts w:eastAsiaTheme="minorHAnsi"/>
          <w:lang w:val="en-US"/>
        </w:rPr>
        <w:t>…</w:t>
      </w:r>
      <w:r w:rsidR="00330679">
        <w:rPr>
          <w:rFonts w:eastAsiaTheme="minorHAnsi"/>
          <w:lang w:val="en-US"/>
        </w:rPr>
        <w:t>.</w:t>
      </w:r>
      <w:r w:rsidR="00482159">
        <w:rPr>
          <w:rFonts w:eastAsiaTheme="minorHAnsi"/>
          <w:lang w:val="en-US"/>
        </w:rPr>
        <w:t>…</w:t>
      </w:r>
      <w:r w:rsidR="00AA0229" w:rsidRPr="00CA4E09">
        <w:rPr>
          <w:rFonts w:eastAsiaTheme="minorHAnsi"/>
          <w:b/>
          <w:lang w:val="en-US"/>
        </w:rPr>
        <w:t>1</w:t>
      </w:r>
      <w:r w:rsidR="00B8154D">
        <w:rPr>
          <w:rFonts w:eastAsiaTheme="minorHAnsi"/>
          <w:b/>
          <w:lang w:val="en-US"/>
        </w:rPr>
        <w:t>18</w:t>
      </w:r>
    </w:p>
    <w:p w14:paraId="510513F7" w14:textId="766C813F" w:rsidR="00CD0C41" w:rsidRPr="00C73804" w:rsidRDefault="00CD0C41" w:rsidP="00330679">
      <w:pPr>
        <w:jc w:val="both"/>
        <w:rPr>
          <w:lang w:val="en-US"/>
        </w:rPr>
      </w:pPr>
      <w:r w:rsidRPr="00475487">
        <w:rPr>
          <w:rFonts w:eastAsiaTheme="minorHAnsi"/>
          <w:b/>
          <w:lang w:val="en-US"/>
        </w:rPr>
        <w:t>Figure 5.26:</w:t>
      </w:r>
      <w:r w:rsidRPr="00475487">
        <w:rPr>
          <w:rFonts w:eastAsiaTheme="minorHAnsi"/>
          <w:lang w:val="en-US"/>
        </w:rPr>
        <w:t xml:space="preserve"> G67/I p3 e2 S4=Tomb 4 (T1).</w:t>
      </w:r>
      <w:r w:rsidRPr="00475487">
        <w:rPr>
          <w:lang w:val="en-US"/>
        </w:rPr>
        <w:t xml:space="preserve"> Age at death: 4 years </w:t>
      </w:r>
      <w:r w:rsidRPr="00475487">
        <w:rPr>
          <w:lang w:val="en-US"/>
        </w:rPr>
        <w:sym w:font="Symbol" w:char="F0B1"/>
      </w:r>
      <w:r w:rsidRPr="00475487">
        <w:rPr>
          <w:lang w:val="en-US"/>
        </w:rPr>
        <w:t xml:space="preserve"> 12 months</w:t>
      </w:r>
      <w:r w:rsidR="00482159">
        <w:rPr>
          <w:lang w:val="en-US"/>
        </w:rPr>
        <w:t xml:space="preserve"> …</w:t>
      </w:r>
      <w:r w:rsidR="00330679">
        <w:rPr>
          <w:lang w:val="en-US"/>
        </w:rPr>
        <w:t>.</w:t>
      </w:r>
      <w:r w:rsidR="00234047">
        <w:rPr>
          <w:lang w:val="en-US"/>
        </w:rPr>
        <w:t>.</w:t>
      </w:r>
      <w:r w:rsidR="00330679">
        <w:rPr>
          <w:lang w:val="en-US"/>
        </w:rPr>
        <w:t>..</w:t>
      </w:r>
      <w:r w:rsidR="00482159">
        <w:rPr>
          <w:lang w:val="en-US"/>
        </w:rPr>
        <w:t>…</w:t>
      </w:r>
      <w:r w:rsidR="00AA0229" w:rsidRPr="00CA4E09">
        <w:rPr>
          <w:b/>
          <w:lang w:val="en-US"/>
        </w:rPr>
        <w:t>12</w:t>
      </w:r>
      <w:r w:rsidR="00B8154D">
        <w:rPr>
          <w:b/>
          <w:lang w:val="en-US"/>
        </w:rPr>
        <w:t>0</w:t>
      </w:r>
    </w:p>
    <w:p w14:paraId="4ADBC34C" w14:textId="1B49473E" w:rsidR="00CD0C41" w:rsidRPr="00C73804" w:rsidRDefault="00CD0C41" w:rsidP="00330679">
      <w:pPr>
        <w:jc w:val="both"/>
        <w:rPr>
          <w:lang w:val="en-US"/>
        </w:rPr>
      </w:pPr>
      <w:r w:rsidRPr="00475487">
        <w:rPr>
          <w:rFonts w:eastAsiaTheme="minorHAnsi"/>
          <w:b/>
          <w:lang w:val="it-IT"/>
        </w:rPr>
        <w:t>Figure 5.27:</w:t>
      </w:r>
      <w:r w:rsidRPr="00475487">
        <w:rPr>
          <w:rFonts w:eastAsiaTheme="minorHAnsi"/>
          <w:lang w:val="it-IT"/>
        </w:rPr>
        <w:t xml:space="preserve"> Parco San Stefano 22/5/67 Tomba 30 (T2). </w:t>
      </w:r>
      <w:r w:rsidRPr="00475487">
        <w:rPr>
          <w:lang w:val="en-US"/>
        </w:rPr>
        <w:t xml:space="preserve">Age at death: 8 years </w:t>
      </w:r>
      <w:r w:rsidRPr="00475487">
        <w:rPr>
          <w:lang w:val="en-US"/>
        </w:rPr>
        <w:sym w:font="Symbol" w:char="F0B1"/>
      </w:r>
      <w:r w:rsidRPr="00475487">
        <w:rPr>
          <w:lang w:val="en-US"/>
        </w:rPr>
        <w:t xml:space="preserve"> 24</w:t>
      </w:r>
      <w:r w:rsidR="00330679">
        <w:rPr>
          <w:lang w:val="en-US"/>
        </w:rPr>
        <w:t xml:space="preserve"> </w:t>
      </w:r>
      <w:r w:rsidRPr="00475487">
        <w:rPr>
          <w:lang w:val="en-US"/>
        </w:rPr>
        <w:t>months</w:t>
      </w:r>
      <w:r w:rsidR="00482159">
        <w:rPr>
          <w:lang w:val="en-US"/>
        </w:rPr>
        <w:t xml:space="preserve"> ……………………………………………………………………………</w:t>
      </w:r>
      <w:r w:rsidR="00330679">
        <w:rPr>
          <w:lang w:val="en-US"/>
        </w:rPr>
        <w:t>………..</w:t>
      </w:r>
      <w:r w:rsidR="00482159">
        <w:rPr>
          <w:lang w:val="en-US"/>
        </w:rPr>
        <w:t>……</w:t>
      </w:r>
      <w:r w:rsidR="00AA0229" w:rsidRPr="00CA4E09">
        <w:rPr>
          <w:b/>
          <w:lang w:val="en-US"/>
        </w:rPr>
        <w:t>12</w:t>
      </w:r>
      <w:r w:rsidR="00B8154D">
        <w:rPr>
          <w:b/>
          <w:lang w:val="en-US"/>
        </w:rPr>
        <w:t>1</w:t>
      </w:r>
    </w:p>
    <w:p w14:paraId="6BE008E8" w14:textId="35D9E95A" w:rsidR="00CD0C41" w:rsidRPr="00C73804" w:rsidRDefault="00CD0C41" w:rsidP="00330679">
      <w:pPr>
        <w:jc w:val="both"/>
        <w:rPr>
          <w:lang w:val="en-US"/>
        </w:rPr>
      </w:pPr>
      <w:r w:rsidRPr="00475487">
        <w:rPr>
          <w:rFonts w:eastAsiaTheme="minorHAnsi"/>
          <w:b/>
          <w:color w:val="000000" w:themeColor="text1"/>
          <w:lang w:val="en-US"/>
        </w:rPr>
        <w:t>Figure 5.28:</w:t>
      </w:r>
      <w:r w:rsidRPr="00475487">
        <w:rPr>
          <w:rFonts w:eastAsiaTheme="minorHAnsi"/>
          <w:color w:val="000000" w:themeColor="text1"/>
          <w:lang w:val="en-US"/>
        </w:rPr>
        <w:t xml:space="preserve"> </w:t>
      </w:r>
      <w:r w:rsidRPr="00475487">
        <w:rPr>
          <w:rFonts w:eastAsiaTheme="minorHAnsi"/>
          <w:lang w:val="en-US"/>
        </w:rPr>
        <w:t xml:space="preserve">G67/II P4 S17 Infill 3 (T3). </w:t>
      </w:r>
      <w:r w:rsidRPr="00475487">
        <w:rPr>
          <w:lang w:val="en-US"/>
        </w:rPr>
        <w:t xml:space="preserve">Age at death: 7 – 8 years </w:t>
      </w:r>
      <w:r w:rsidRPr="00475487">
        <w:rPr>
          <w:lang w:val="en-US"/>
        </w:rPr>
        <w:sym w:font="Symbol" w:char="F0B1"/>
      </w:r>
      <w:r w:rsidRPr="00475487">
        <w:rPr>
          <w:lang w:val="en-US"/>
        </w:rPr>
        <w:t xml:space="preserve"> 24 months</w:t>
      </w:r>
      <w:r w:rsidR="00482159">
        <w:rPr>
          <w:lang w:val="en-US"/>
        </w:rPr>
        <w:t xml:space="preserve"> …</w:t>
      </w:r>
      <w:r w:rsidR="00330679">
        <w:rPr>
          <w:lang w:val="en-US"/>
        </w:rPr>
        <w:t>…</w:t>
      </w:r>
      <w:r w:rsidR="00AA0229">
        <w:rPr>
          <w:lang w:val="en-US"/>
        </w:rPr>
        <w:t>..</w:t>
      </w:r>
      <w:r w:rsidR="00AA0229" w:rsidRPr="00CA4E09">
        <w:rPr>
          <w:b/>
          <w:lang w:val="en-US"/>
        </w:rPr>
        <w:t>12</w:t>
      </w:r>
      <w:r w:rsidR="00B8154D">
        <w:rPr>
          <w:b/>
          <w:lang w:val="en-US"/>
        </w:rPr>
        <w:t>2</w:t>
      </w:r>
    </w:p>
    <w:p w14:paraId="0CC2A55E" w14:textId="5C236D7C" w:rsidR="00CD0C41" w:rsidRDefault="00CD0C41" w:rsidP="00330679">
      <w:pPr>
        <w:jc w:val="both"/>
        <w:rPr>
          <w:rFonts w:eastAsiaTheme="minorHAnsi"/>
          <w:lang w:val="en-US"/>
        </w:rPr>
      </w:pPr>
      <w:r w:rsidRPr="00475487">
        <w:rPr>
          <w:rFonts w:eastAsiaTheme="minorHAnsi"/>
          <w:b/>
          <w:lang w:val="it-IT"/>
        </w:rPr>
        <w:t>Figure 5.29</w:t>
      </w:r>
      <w:r>
        <w:rPr>
          <w:rFonts w:eastAsiaTheme="minorHAnsi"/>
          <w:b/>
          <w:lang w:val="it-IT"/>
        </w:rPr>
        <w:t>:</w:t>
      </w:r>
      <w:r w:rsidRPr="00475487">
        <w:rPr>
          <w:rFonts w:eastAsiaTheme="minorHAnsi"/>
          <w:lang w:val="it-IT"/>
        </w:rPr>
        <w:t xml:space="preserve"> Gravina Botr 21/12/71 Tomba di bambino Ind. 1 (T4). </w:t>
      </w:r>
      <w:r w:rsidRPr="00475487">
        <w:rPr>
          <w:lang w:val="en-US"/>
        </w:rPr>
        <w:t xml:space="preserve">Age at death: 2 years </w:t>
      </w:r>
      <w:r w:rsidRPr="00475487">
        <w:rPr>
          <w:lang w:val="en-US"/>
        </w:rPr>
        <w:sym w:font="Symbol" w:char="F0B1"/>
      </w:r>
      <w:r w:rsidRPr="00475487">
        <w:rPr>
          <w:lang w:val="en-US"/>
        </w:rPr>
        <w:t xml:space="preserve"> 8 months</w:t>
      </w:r>
      <w:r w:rsidR="00482159">
        <w:rPr>
          <w:lang w:val="en-US"/>
        </w:rPr>
        <w:t xml:space="preserve"> ……………………………………………………………………</w:t>
      </w:r>
      <w:r w:rsidR="00330679">
        <w:rPr>
          <w:lang w:val="en-US"/>
        </w:rPr>
        <w:t>…</w:t>
      </w:r>
      <w:r w:rsidR="00482159">
        <w:rPr>
          <w:lang w:val="en-US"/>
        </w:rPr>
        <w:t>………</w:t>
      </w:r>
      <w:r w:rsidR="00AA0229" w:rsidRPr="00CA4E09">
        <w:rPr>
          <w:b/>
          <w:lang w:val="en-US"/>
        </w:rPr>
        <w:t>12</w:t>
      </w:r>
      <w:r w:rsidR="00B8154D">
        <w:rPr>
          <w:b/>
          <w:lang w:val="en-US"/>
        </w:rPr>
        <w:t>3</w:t>
      </w:r>
    </w:p>
    <w:p w14:paraId="224ECF02" w14:textId="3B6C3D7C" w:rsidR="00CD0C41" w:rsidRPr="00C73804" w:rsidRDefault="00CD0C41" w:rsidP="00330679">
      <w:pPr>
        <w:jc w:val="both"/>
        <w:rPr>
          <w:lang w:val="en-US"/>
        </w:rPr>
      </w:pPr>
      <w:r w:rsidRPr="00475487">
        <w:rPr>
          <w:rFonts w:eastAsiaTheme="minorHAnsi"/>
          <w:b/>
        </w:rPr>
        <w:t>Figure 5.30:</w:t>
      </w:r>
      <w:r w:rsidRPr="00475487">
        <w:rPr>
          <w:rFonts w:eastAsiaTheme="minorHAnsi"/>
        </w:rPr>
        <w:t xml:space="preserve"> GS70 F25 (T5). </w:t>
      </w:r>
      <w:r w:rsidRPr="00475487">
        <w:rPr>
          <w:lang w:val="en-US"/>
        </w:rPr>
        <w:t xml:space="preserve">Age at death: 4 years </w:t>
      </w:r>
      <w:r w:rsidRPr="00475487">
        <w:rPr>
          <w:lang w:val="en-US"/>
        </w:rPr>
        <w:sym w:font="Symbol" w:char="F0B1"/>
      </w:r>
      <w:r w:rsidRPr="00475487">
        <w:rPr>
          <w:lang w:val="en-US"/>
        </w:rPr>
        <w:t xml:space="preserve"> 12 months</w:t>
      </w:r>
      <w:r w:rsidR="00482159">
        <w:rPr>
          <w:lang w:val="en-US"/>
        </w:rPr>
        <w:t xml:space="preserve"> …………</w:t>
      </w:r>
      <w:r w:rsidR="00330679">
        <w:rPr>
          <w:lang w:val="en-US"/>
        </w:rPr>
        <w:t>…</w:t>
      </w:r>
      <w:r w:rsidR="00482159">
        <w:rPr>
          <w:lang w:val="en-US"/>
        </w:rPr>
        <w:t>…………</w:t>
      </w:r>
      <w:r w:rsidR="00AA0229" w:rsidRPr="00CA4E09">
        <w:rPr>
          <w:b/>
          <w:lang w:val="en-US"/>
        </w:rPr>
        <w:t>1</w:t>
      </w:r>
      <w:r w:rsidR="00B8154D">
        <w:rPr>
          <w:b/>
          <w:lang w:val="en-US"/>
        </w:rPr>
        <w:t>24</w:t>
      </w:r>
    </w:p>
    <w:p w14:paraId="44683A9F" w14:textId="358DBEA5" w:rsidR="00CD0C41" w:rsidRPr="00C73804" w:rsidRDefault="00CD0C41" w:rsidP="00CA4E09">
      <w:pPr>
        <w:ind w:right="20"/>
        <w:jc w:val="both"/>
        <w:rPr>
          <w:lang w:val="en-US"/>
        </w:rPr>
      </w:pPr>
      <w:r w:rsidRPr="00475487">
        <w:rPr>
          <w:rFonts w:eastAsiaTheme="minorHAnsi"/>
          <w:b/>
          <w:lang w:val="en-US"/>
        </w:rPr>
        <w:t>Figure 5.31</w:t>
      </w:r>
      <w:r w:rsidRPr="00475487">
        <w:rPr>
          <w:rFonts w:eastAsiaTheme="minorHAnsi"/>
          <w:lang w:val="en-US"/>
        </w:rPr>
        <w:t xml:space="preserve">: 1968 DB 1 Contents of Sarcophagus (T6). </w:t>
      </w:r>
      <w:r w:rsidRPr="00475487">
        <w:rPr>
          <w:lang w:val="en-US"/>
        </w:rPr>
        <w:t xml:space="preserve">Age at death: 4 – 5 years </w:t>
      </w:r>
      <w:r w:rsidRPr="00475487">
        <w:rPr>
          <w:lang w:val="en-US"/>
        </w:rPr>
        <w:sym w:font="Symbol" w:char="F0B1"/>
      </w:r>
      <w:r w:rsidRPr="00475487">
        <w:rPr>
          <w:lang w:val="en-US"/>
        </w:rPr>
        <w:t xml:space="preserve"> 12 months</w:t>
      </w:r>
      <w:r w:rsidR="00482159">
        <w:rPr>
          <w:lang w:val="en-US"/>
        </w:rPr>
        <w:t xml:space="preserve"> ……………………………………………………………………</w:t>
      </w:r>
      <w:r w:rsidR="00330679">
        <w:rPr>
          <w:lang w:val="en-US"/>
        </w:rPr>
        <w:t>.</w:t>
      </w:r>
      <w:r w:rsidR="00482159">
        <w:rPr>
          <w:lang w:val="en-US"/>
        </w:rPr>
        <w:t>……………</w:t>
      </w:r>
      <w:r w:rsidR="00AA0229" w:rsidRPr="00CA4E09">
        <w:rPr>
          <w:b/>
          <w:lang w:val="en-US"/>
        </w:rPr>
        <w:t>12</w:t>
      </w:r>
      <w:r w:rsidR="00B8154D">
        <w:rPr>
          <w:b/>
          <w:lang w:val="en-US"/>
        </w:rPr>
        <w:t>4</w:t>
      </w:r>
    </w:p>
    <w:p w14:paraId="6D9DB6C2" w14:textId="7D0E5807" w:rsidR="00CD0C41" w:rsidRPr="00C73804" w:rsidRDefault="00CD0C41" w:rsidP="00CA4E09">
      <w:pPr>
        <w:ind w:right="20"/>
        <w:jc w:val="both"/>
        <w:rPr>
          <w:lang w:val="en-US"/>
        </w:rPr>
      </w:pPr>
      <w:r w:rsidRPr="00475487">
        <w:rPr>
          <w:rFonts w:eastAsiaTheme="minorHAnsi"/>
          <w:b/>
          <w:lang w:val="en-US"/>
        </w:rPr>
        <w:t>Figure 5.32:</w:t>
      </w:r>
      <w:r w:rsidRPr="00475487">
        <w:rPr>
          <w:rFonts w:eastAsiaTheme="minorHAnsi"/>
          <w:lang w:val="en-US"/>
        </w:rPr>
        <w:t xml:space="preserve"> G67/I S5 small tomb (T7). </w:t>
      </w:r>
      <w:r w:rsidRPr="00475487">
        <w:rPr>
          <w:lang w:val="en-US"/>
        </w:rPr>
        <w:t xml:space="preserve">Age at death: 3 years </w:t>
      </w:r>
      <w:r w:rsidRPr="00475487">
        <w:rPr>
          <w:lang w:val="en-US"/>
        </w:rPr>
        <w:sym w:font="Symbol" w:char="F0B1"/>
      </w:r>
      <w:r w:rsidRPr="00475487">
        <w:rPr>
          <w:lang w:val="en-US"/>
        </w:rPr>
        <w:t xml:space="preserve"> 12 months</w:t>
      </w:r>
      <w:r w:rsidR="00482159">
        <w:rPr>
          <w:lang w:val="en-US"/>
        </w:rPr>
        <w:t xml:space="preserve"> ……</w:t>
      </w:r>
      <w:r w:rsidR="00330679">
        <w:rPr>
          <w:lang w:val="en-US"/>
        </w:rPr>
        <w:t>.</w:t>
      </w:r>
      <w:r w:rsidR="00482159">
        <w:rPr>
          <w:lang w:val="en-US"/>
        </w:rPr>
        <w:t>……</w:t>
      </w:r>
      <w:r w:rsidR="00AA0229" w:rsidRPr="00CA4E09">
        <w:rPr>
          <w:b/>
          <w:lang w:val="en-US"/>
        </w:rPr>
        <w:t>12</w:t>
      </w:r>
      <w:r w:rsidR="00B8154D">
        <w:rPr>
          <w:b/>
          <w:lang w:val="en-US"/>
        </w:rPr>
        <w:t>5</w:t>
      </w:r>
    </w:p>
    <w:p w14:paraId="567917E0" w14:textId="716FA5ED" w:rsidR="00CD0C41" w:rsidRPr="00C73804" w:rsidRDefault="00CD0C41" w:rsidP="00CA4E09">
      <w:pPr>
        <w:ind w:right="20"/>
        <w:jc w:val="both"/>
        <w:rPr>
          <w:color w:val="000000" w:themeColor="text1"/>
          <w:lang w:val="en-US"/>
        </w:rPr>
      </w:pPr>
      <w:r w:rsidRPr="00475487">
        <w:rPr>
          <w:rFonts w:eastAsiaTheme="minorHAnsi"/>
          <w:b/>
          <w:color w:val="000000" w:themeColor="text1"/>
          <w:lang w:val="en-US"/>
        </w:rPr>
        <w:t>Figure 5.33:</w:t>
      </w:r>
      <w:r w:rsidRPr="00475487">
        <w:rPr>
          <w:rFonts w:eastAsiaTheme="minorHAnsi"/>
          <w:color w:val="000000" w:themeColor="text1"/>
          <w:lang w:val="en-US"/>
        </w:rPr>
        <w:t xml:space="preserve"> Botr 1967 G67/I SG-Tomb 6(2) Infill 1 (T8).</w:t>
      </w:r>
      <w:r w:rsidRPr="00475487">
        <w:rPr>
          <w:color w:val="000000" w:themeColor="text1"/>
          <w:lang w:val="en-US"/>
        </w:rPr>
        <w:t xml:space="preserve"> Age at death: 3 years </w:t>
      </w:r>
      <w:r w:rsidRPr="00475487">
        <w:rPr>
          <w:color w:val="000000" w:themeColor="text1"/>
          <w:lang w:val="en-US"/>
        </w:rPr>
        <w:sym w:font="Symbol" w:char="F0B1"/>
      </w:r>
      <w:r w:rsidRPr="00475487">
        <w:rPr>
          <w:color w:val="000000" w:themeColor="text1"/>
          <w:lang w:val="en-US"/>
        </w:rPr>
        <w:t xml:space="preserve"> 8 months</w:t>
      </w:r>
      <w:r w:rsidR="00482159">
        <w:rPr>
          <w:color w:val="000000" w:themeColor="text1"/>
          <w:lang w:val="en-US"/>
        </w:rPr>
        <w:t xml:space="preserve"> ……………………………………………………………………………</w:t>
      </w:r>
      <w:r w:rsidR="00330679">
        <w:rPr>
          <w:color w:val="000000" w:themeColor="text1"/>
          <w:lang w:val="en-US"/>
        </w:rPr>
        <w:t>………..</w:t>
      </w:r>
      <w:r w:rsidR="00482159">
        <w:rPr>
          <w:color w:val="000000" w:themeColor="text1"/>
          <w:lang w:val="en-US"/>
        </w:rPr>
        <w:t>……</w:t>
      </w:r>
      <w:r w:rsidR="00AA0229" w:rsidRPr="00CA4E09">
        <w:rPr>
          <w:b/>
          <w:color w:val="000000" w:themeColor="text1"/>
          <w:lang w:val="en-US"/>
        </w:rPr>
        <w:t>12</w:t>
      </w:r>
      <w:r w:rsidR="00B8154D">
        <w:rPr>
          <w:b/>
          <w:color w:val="000000" w:themeColor="text1"/>
          <w:lang w:val="en-US"/>
        </w:rPr>
        <w:t>6</w:t>
      </w:r>
    </w:p>
    <w:p w14:paraId="7E95DFB0" w14:textId="45151BF6" w:rsidR="00CD0C41" w:rsidRDefault="00CD0C41" w:rsidP="00CA4E09">
      <w:pPr>
        <w:ind w:right="20"/>
        <w:jc w:val="both"/>
        <w:rPr>
          <w:lang w:val="en-US"/>
        </w:rPr>
      </w:pPr>
      <w:r w:rsidRPr="00475487">
        <w:rPr>
          <w:rFonts w:eastAsiaTheme="minorHAnsi"/>
          <w:b/>
          <w:color w:val="000000"/>
          <w:lang w:val="en-US"/>
        </w:rPr>
        <w:t>Figure 5.34:</w:t>
      </w:r>
      <w:r w:rsidRPr="00475487">
        <w:rPr>
          <w:rFonts w:eastAsiaTheme="minorHAnsi"/>
          <w:color w:val="000000"/>
          <w:lang w:val="en-US"/>
        </w:rPr>
        <w:t xml:space="preserve"> 1972 Area NA Burial 1 of A-1 (T10). </w:t>
      </w:r>
      <w:r w:rsidRPr="00475487">
        <w:rPr>
          <w:lang w:val="en-US"/>
        </w:rPr>
        <w:t xml:space="preserve">Age at death: 4 years </w:t>
      </w:r>
      <w:r w:rsidRPr="00475487">
        <w:rPr>
          <w:lang w:val="en-US"/>
        </w:rPr>
        <w:sym w:font="Symbol" w:char="F0B1"/>
      </w:r>
      <w:r w:rsidRPr="00475487">
        <w:rPr>
          <w:lang w:val="en-US"/>
        </w:rPr>
        <w:t xml:space="preserve"> 12 months</w:t>
      </w:r>
      <w:r w:rsidR="00482159">
        <w:rPr>
          <w:lang w:val="en-US"/>
        </w:rPr>
        <w:t xml:space="preserve"> ………………………………………………………………………………</w:t>
      </w:r>
      <w:r w:rsidR="00330679">
        <w:rPr>
          <w:lang w:val="en-US"/>
        </w:rPr>
        <w:t>..</w:t>
      </w:r>
      <w:r w:rsidR="00482159">
        <w:rPr>
          <w:lang w:val="en-US"/>
        </w:rPr>
        <w:t>…………</w:t>
      </w:r>
      <w:r w:rsidR="00AA0229" w:rsidRPr="00CA4E09">
        <w:rPr>
          <w:b/>
          <w:lang w:val="en-US"/>
        </w:rPr>
        <w:t>12</w:t>
      </w:r>
      <w:r w:rsidR="00B8154D">
        <w:rPr>
          <w:b/>
          <w:lang w:val="en-US"/>
        </w:rPr>
        <w:t>7</w:t>
      </w:r>
    </w:p>
    <w:p w14:paraId="56B351AE" w14:textId="56310105" w:rsidR="00CD0C41" w:rsidRPr="00C73804" w:rsidRDefault="00CD0C41" w:rsidP="00CA4E09">
      <w:pPr>
        <w:ind w:right="20"/>
        <w:jc w:val="both"/>
        <w:rPr>
          <w:lang w:val="en-US"/>
        </w:rPr>
      </w:pPr>
      <w:r w:rsidRPr="00475487">
        <w:rPr>
          <w:rFonts w:eastAsiaTheme="minorHAnsi"/>
          <w:b/>
          <w:color w:val="000000"/>
          <w:lang w:val="en-US"/>
        </w:rPr>
        <w:t>Figure 5.35:</w:t>
      </w:r>
      <w:r w:rsidRPr="00475487">
        <w:rPr>
          <w:rFonts w:eastAsiaTheme="minorHAnsi"/>
          <w:color w:val="000000"/>
          <w:lang w:val="en-US"/>
        </w:rPr>
        <w:t xml:space="preserve"> G67/I P15 S19 </w:t>
      </w:r>
      <w:r w:rsidRPr="00475487">
        <w:rPr>
          <w:rFonts w:eastAsiaTheme="minorHAnsi"/>
          <w:lang w:val="en-US"/>
        </w:rPr>
        <w:t xml:space="preserve">(T11). </w:t>
      </w:r>
      <w:r w:rsidRPr="00475487">
        <w:rPr>
          <w:lang w:val="en-US"/>
        </w:rPr>
        <w:t xml:space="preserve">Age at death: 7 – 8 years </w:t>
      </w:r>
      <w:r w:rsidRPr="00475487">
        <w:rPr>
          <w:lang w:val="en-US"/>
        </w:rPr>
        <w:sym w:font="Symbol" w:char="F0B1"/>
      </w:r>
      <w:r w:rsidRPr="00475487">
        <w:rPr>
          <w:lang w:val="en-US"/>
        </w:rPr>
        <w:t xml:space="preserve"> 24 months</w:t>
      </w:r>
      <w:r w:rsidR="00482159">
        <w:rPr>
          <w:lang w:val="en-US"/>
        </w:rPr>
        <w:t xml:space="preserve"> </w:t>
      </w:r>
      <w:r w:rsidR="00330679">
        <w:rPr>
          <w:lang w:val="en-US"/>
        </w:rPr>
        <w:t>…</w:t>
      </w:r>
      <w:r w:rsidR="00482159">
        <w:rPr>
          <w:lang w:val="en-US"/>
        </w:rPr>
        <w:t>…………</w:t>
      </w:r>
      <w:r w:rsidR="00AA0229" w:rsidRPr="00CA4E09">
        <w:rPr>
          <w:b/>
          <w:lang w:val="en-US"/>
        </w:rPr>
        <w:t>12</w:t>
      </w:r>
      <w:r w:rsidR="00B8154D">
        <w:rPr>
          <w:b/>
          <w:lang w:val="en-US"/>
        </w:rPr>
        <w:t>7</w:t>
      </w:r>
    </w:p>
    <w:p w14:paraId="0BB8CB94" w14:textId="38A3A04C" w:rsidR="00B8154D" w:rsidRDefault="00CD0C41" w:rsidP="00CA4E09">
      <w:pPr>
        <w:ind w:right="20"/>
        <w:jc w:val="both"/>
        <w:rPr>
          <w:b/>
          <w:lang w:val="en-US"/>
        </w:rPr>
      </w:pPr>
      <w:r w:rsidRPr="00475487">
        <w:rPr>
          <w:rFonts w:eastAsiaTheme="minorHAnsi"/>
          <w:b/>
          <w:lang w:val="en-US"/>
        </w:rPr>
        <w:t>Figure 5.36:</w:t>
      </w:r>
      <w:r w:rsidRPr="00475487">
        <w:rPr>
          <w:rFonts w:eastAsiaTheme="minorHAnsi"/>
          <w:lang w:val="en-US"/>
        </w:rPr>
        <w:t xml:space="preserve"> </w:t>
      </w:r>
      <w:r w:rsidRPr="00475487">
        <w:rPr>
          <w:rFonts w:eastAsiaTheme="minorHAnsi"/>
          <w:color w:val="000000"/>
          <w:lang w:val="en-US"/>
        </w:rPr>
        <w:t xml:space="preserve">G67 Site C RZ3 Pit 3 tomb infill (T12). </w:t>
      </w:r>
      <w:r w:rsidRPr="00475487">
        <w:rPr>
          <w:lang w:val="en-US"/>
        </w:rPr>
        <w:t xml:space="preserve">Age at death: 9 years </w:t>
      </w:r>
      <w:r w:rsidRPr="00475487">
        <w:rPr>
          <w:lang w:val="en-US"/>
        </w:rPr>
        <w:sym w:font="Symbol" w:char="F0B1"/>
      </w:r>
      <w:r w:rsidRPr="00475487">
        <w:rPr>
          <w:lang w:val="en-US"/>
        </w:rPr>
        <w:t xml:space="preserve"> 24 months</w:t>
      </w:r>
      <w:r w:rsidR="003425FA">
        <w:rPr>
          <w:lang w:val="en-US"/>
        </w:rPr>
        <w:t>….</w:t>
      </w:r>
      <w:r w:rsidR="00482159">
        <w:rPr>
          <w:lang w:val="en-US"/>
        </w:rPr>
        <w:t>………………………………………………………………………</w:t>
      </w:r>
      <w:r w:rsidR="00330679">
        <w:rPr>
          <w:lang w:val="en-US"/>
        </w:rPr>
        <w:t>….</w:t>
      </w:r>
      <w:r w:rsidR="00482159">
        <w:rPr>
          <w:lang w:val="en-US"/>
        </w:rPr>
        <w:t>……</w:t>
      </w:r>
      <w:r w:rsidR="00AA0229" w:rsidRPr="00CA4E09">
        <w:rPr>
          <w:b/>
          <w:lang w:val="en-US"/>
        </w:rPr>
        <w:t>1</w:t>
      </w:r>
      <w:r w:rsidR="00B8154D">
        <w:rPr>
          <w:b/>
          <w:lang w:val="en-US"/>
        </w:rPr>
        <w:t>28</w:t>
      </w:r>
    </w:p>
    <w:p w14:paraId="38516C09" w14:textId="3100EE0A" w:rsidR="00CD0C41" w:rsidRPr="00C73804" w:rsidRDefault="00CD0C41" w:rsidP="00CA4E09">
      <w:pPr>
        <w:ind w:right="20"/>
        <w:jc w:val="both"/>
        <w:rPr>
          <w:lang w:val="en-US"/>
        </w:rPr>
      </w:pPr>
      <w:r w:rsidRPr="00CA4E09">
        <w:rPr>
          <w:b/>
          <w:lang w:val="en-US"/>
        </w:rPr>
        <w:t xml:space="preserve"> </w:t>
      </w:r>
    </w:p>
    <w:p w14:paraId="26AA575C" w14:textId="2F1A72E7" w:rsidR="00CD0C41" w:rsidRDefault="00CD0C41" w:rsidP="00CA4E09">
      <w:pPr>
        <w:ind w:right="20"/>
        <w:jc w:val="both"/>
        <w:rPr>
          <w:rFonts w:eastAsiaTheme="minorHAnsi"/>
          <w:lang w:val="en-US"/>
        </w:rPr>
      </w:pPr>
      <w:r>
        <w:rPr>
          <w:rFonts w:eastAsiaTheme="minorHAnsi"/>
          <w:b/>
          <w:lang w:val="en-US"/>
        </w:rPr>
        <w:t>Figure 5.37:</w:t>
      </w:r>
      <w:r>
        <w:rPr>
          <w:rFonts w:eastAsiaTheme="minorHAnsi"/>
          <w:lang w:val="en-US"/>
        </w:rPr>
        <w:t xml:space="preserve"> Box and whisker plot demonstrating the </w:t>
      </w:r>
      <w:r>
        <w:rPr>
          <w:rFonts w:eastAsiaTheme="minorHAnsi"/>
          <w:lang w:val="en-US"/>
        </w:rPr>
        <w:sym w:font="Symbol" w:char="F064"/>
      </w:r>
      <w:r>
        <w:rPr>
          <w:rFonts w:eastAsiaTheme="minorHAnsi"/>
          <w:vertAlign w:val="superscript"/>
          <w:lang w:val="en-US"/>
        </w:rPr>
        <w:t>15</w:t>
      </w:r>
      <w:r>
        <w:rPr>
          <w:rFonts w:eastAsiaTheme="minorHAnsi"/>
          <w:lang w:val="en-US"/>
        </w:rPr>
        <w:t>N results for non-survivors an</w:t>
      </w:r>
      <w:r w:rsidR="00AA0229">
        <w:rPr>
          <w:rFonts w:eastAsiaTheme="minorHAnsi"/>
          <w:lang w:val="en-US"/>
        </w:rPr>
        <w:t>d</w:t>
      </w:r>
      <w:r>
        <w:rPr>
          <w:rFonts w:eastAsiaTheme="minorHAnsi"/>
          <w:lang w:val="en-US"/>
        </w:rPr>
        <w:t xml:space="preserve"> survivors for each age category</w:t>
      </w:r>
      <w:r w:rsidR="00482159">
        <w:rPr>
          <w:rFonts w:eastAsiaTheme="minorHAnsi"/>
          <w:lang w:val="en-US"/>
        </w:rPr>
        <w:t xml:space="preserve"> ………………………………………………</w:t>
      </w:r>
      <w:r w:rsidR="00330679">
        <w:rPr>
          <w:rFonts w:eastAsiaTheme="minorHAnsi"/>
          <w:lang w:val="en-US"/>
        </w:rPr>
        <w:t>…</w:t>
      </w:r>
      <w:r w:rsidR="00482159">
        <w:rPr>
          <w:rFonts w:eastAsiaTheme="minorHAnsi"/>
          <w:lang w:val="en-US"/>
        </w:rPr>
        <w:t>………</w:t>
      </w:r>
      <w:r w:rsidR="00AA0229" w:rsidRPr="00CA4E09">
        <w:rPr>
          <w:rFonts w:eastAsiaTheme="minorHAnsi"/>
          <w:b/>
          <w:lang w:val="en-US"/>
        </w:rPr>
        <w:t>13</w:t>
      </w:r>
      <w:r w:rsidR="00B8154D">
        <w:rPr>
          <w:rFonts w:eastAsiaTheme="minorHAnsi"/>
          <w:b/>
          <w:lang w:val="en-US"/>
        </w:rPr>
        <w:t>0</w:t>
      </w:r>
    </w:p>
    <w:p w14:paraId="6FE61FD6" w14:textId="14D7B9FB" w:rsidR="00CD0C41" w:rsidRPr="00F0418D" w:rsidRDefault="00CD0C41" w:rsidP="00CA4E09">
      <w:pPr>
        <w:ind w:right="20"/>
        <w:jc w:val="both"/>
      </w:pPr>
      <w:r>
        <w:rPr>
          <w:b/>
        </w:rPr>
        <w:lastRenderedPageBreak/>
        <w:t xml:space="preserve">Figure 6.1: </w:t>
      </w:r>
      <w:r>
        <w:t>Stable nitrogen isotope histories for adult individuals differentiated by sex</w:t>
      </w:r>
      <w:r w:rsidR="00482159">
        <w:t xml:space="preserve"> ……………………………………………………………………………</w:t>
      </w:r>
      <w:r w:rsidR="00234047">
        <w:t>..</w:t>
      </w:r>
      <w:r w:rsidR="00482159">
        <w:t>……………</w:t>
      </w:r>
      <w:r w:rsidR="00AA0229" w:rsidRPr="00CA4E09">
        <w:rPr>
          <w:b/>
        </w:rPr>
        <w:t>14</w:t>
      </w:r>
      <w:r w:rsidR="00B8154D">
        <w:rPr>
          <w:b/>
        </w:rPr>
        <w:t>3</w:t>
      </w:r>
    </w:p>
    <w:p w14:paraId="653C4D37" w14:textId="77777777" w:rsidR="001D6EE9" w:rsidRDefault="001D6EE9" w:rsidP="00330679">
      <w:pPr>
        <w:jc w:val="both"/>
      </w:pPr>
    </w:p>
    <w:p w14:paraId="4C892927" w14:textId="7FF730E8" w:rsidR="00F0418D" w:rsidRDefault="00F0418D" w:rsidP="00330679">
      <w:pPr>
        <w:jc w:val="right"/>
        <w:rPr>
          <w:b/>
        </w:rPr>
      </w:pPr>
    </w:p>
    <w:p w14:paraId="491C38E7" w14:textId="5ABFE33D" w:rsidR="003425FA" w:rsidRDefault="003425FA" w:rsidP="00330679">
      <w:pPr>
        <w:jc w:val="right"/>
        <w:rPr>
          <w:b/>
        </w:rPr>
      </w:pPr>
    </w:p>
    <w:p w14:paraId="0E7D7587" w14:textId="7E1271C3" w:rsidR="003425FA" w:rsidRDefault="003425FA" w:rsidP="00393CBF">
      <w:pPr>
        <w:jc w:val="right"/>
        <w:rPr>
          <w:b/>
        </w:rPr>
      </w:pPr>
    </w:p>
    <w:p w14:paraId="24A34F1C" w14:textId="281EB605" w:rsidR="003425FA" w:rsidRDefault="003425FA" w:rsidP="00393CBF">
      <w:pPr>
        <w:jc w:val="right"/>
        <w:rPr>
          <w:b/>
        </w:rPr>
      </w:pPr>
    </w:p>
    <w:p w14:paraId="3D39B748" w14:textId="6A391A59" w:rsidR="003425FA" w:rsidRDefault="003425FA" w:rsidP="00393CBF">
      <w:pPr>
        <w:jc w:val="right"/>
        <w:rPr>
          <w:b/>
        </w:rPr>
      </w:pPr>
    </w:p>
    <w:p w14:paraId="2BB4B654" w14:textId="4EC380DE" w:rsidR="003425FA" w:rsidRDefault="003425FA" w:rsidP="00393CBF">
      <w:pPr>
        <w:jc w:val="right"/>
        <w:rPr>
          <w:b/>
        </w:rPr>
      </w:pPr>
    </w:p>
    <w:p w14:paraId="3D33A202" w14:textId="00DB0D02" w:rsidR="003425FA" w:rsidRDefault="003425FA" w:rsidP="00393CBF">
      <w:pPr>
        <w:jc w:val="right"/>
        <w:rPr>
          <w:b/>
        </w:rPr>
      </w:pPr>
    </w:p>
    <w:p w14:paraId="6E8EB6E1" w14:textId="740AB592" w:rsidR="003425FA" w:rsidRDefault="003425FA" w:rsidP="00393CBF">
      <w:pPr>
        <w:jc w:val="right"/>
        <w:rPr>
          <w:b/>
        </w:rPr>
      </w:pPr>
    </w:p>
    <w:p w14:paraId="59E493B4" w14:textId="31034F5C" w:rsidR="003425FA" w:rsidRDefault="003425FA" w:rsidP="00363B59">
      <w:pPr>
        <w:rPr>
          <w:b/>
        </w:rPr>
      </w:pPr>
    </w:p>
    <w:p w14:paraId="670856A2" w14:textId="45F0795D" w:rsidR="003425FA" w:rsidRDefault="003425FA" w:rsidP="00363B59">
      <w:pPr>
        <w:rPr>
          <w:b/>
        </w:rPr>
      </w:pPr>
    </w:p>
    <w:p w14:paraId="356CCFEF" w14:textId="2A71D3ED" w:rsidR="003425FA" w:rsidRDefault="003425FA" w:rsidP="00363B59">
      <w:pPr>
        <w:rPr>
          <w:b/>
        </w:rPr>
      </w:pPr>
    </w:p>
    <w:p w14:paraId="6BDBE53D" w14:textId="6DF65390" w:rsidR="003425FA" w:rsidRDefault="003425FA" w:rsidP="00363B59">
      <w:pPr>
        <w:rPr>
          <w:b/>
        </w:rPr>
      </w:pPr>
    </w:p>
    <w:p w14:paraId="1DF0A5A3" w14:textId="340F2E77" w:rsidR="003425FA" w:rsidRDefault="003425FA" w:rsidP="00363B59">
      <w:pPr>
        <w:rPr>
          <w:b/>
        </w:rPr>
      </w:pPr>
    </w:p>
    <w:p w14:paraId="45765350" w14:textId="6766F3DC" w:rsidR="003425FA" w:rsidRDefault="003425FA" w:rsidP="00363B59">
      <w:pPr>
        <w:rPr>
          <w:b/>
        </w:rPr>
      </w:pPr>
    </w:p>
    <w:p w14:paraId="73A629EB" w14:textId="48A304E5" w:rsidR="003425FA" w:rsidRDefault="003425FA" w:rsidP="00363B59">
      <w:pPr>
        <w:rPr>
          <w:b/>
        </w:rPr>
      </w:pPr>
    </w:p>
    <w:p w14:paraId="30FFAE04" w14:textId="5BC3ADB6" w:rsidR="003425FA" w:rsidRDefault="003425FA" w:rsidP="00363B59">
      <w:pPr>
        <w:rPr>
          <w:b/>
        </w:rPr>
      </w:pPr>
    </w:p>
    <w:p w14:paraId="7CEC0C49" w14:textId="06A03F50" w:rsidR="003425FA" w:rsidRDefault="003425FA" w:rsidP="00363B59">
      <w:pPr>
        <w:rPr>
          <w:b/>
        </w:rPr>
      </w:pPr>
    </w:p>
    <w:p w14:paraId="4CA99E07" w14:textId="222054B4" w:rsidR="003425FA" w:rsidRDefault="003425FA" w:rsidP="00363B59">
      <w:pPr>
        <w:rPr>
          <w:b/>
        </w:rPr>
      </w:pPr>
    </w:p>
    <w:p w14:paraId="4D5E2EEB" w14:textId="313AC9AF" w:rsidR="003425FA" w:rsidRDefault="003425FA" w:rsidP="00363B59">
      <w:pPr>
        <w:rPr>
          <w:b/>
        </w:rPr>
      </w:pPr>
    </w:p>
    <w:p w14:paraId="37581006" w14:textId="486B7AAA" w:rsidR="003425FA" w:rsidRDefault="003425FA" w:rsidP="00363B59">
      <w:pPr>
        <w:rPr>
          <w:b/>
        </w:rPr>
      </w:pPr>
    </w:p>
    <w:p w14:paraId="5E4DA658" w14:textId="63F36EF5" w:rsidR="003425FA" w:rsidRDefault="003425FA" w:rsidP="00363B59">
      <w:pPr>
        <w:rPr>
          <w:b/>
        </w:rPr>
      </w:pPr>
    </w:p>
    <w:p w14:paraId="0CF4A9EA" w14:textId="2127219E" w:rsidR="003425FA" w:rsidRDefault="003425FA" w:rsidP="00363B59">
      <w:pPr>
        <w:rPr>
          <w:b/>
        </w:rPr>
      </w:pPr>
    </w:p>
    <w:p w14:paraId="7541794C" w14:textId="6BD73CB6" w:rsidR="003425FA" w:rsidRDefault="003425FA" w:rsidP="00363B59">
      <w:pPr>
        <w:rPr>
          <w:b/>
        </w:rPr>
      </w:pPr>
    </w:p>
    <w:p w14:paraId="3B4105BB" w14:textId="4885BB43" w:rsidR="003425FA" w:rsidRDefault="003425FA" w:rsidP="00363B59">
      <w:pPr>
        <w:rPr>
          <w:b/>
        </w:rPr>
      </w:pPr>
    </w:p>
    <w:p w14:paraId="4D6DDB7F" w14:textId="0A8A6F08" w:rsidR="003425FA" w:rsidRDefault="003425FA" w:rsidP="00363B59">
      <w:pPr>
        <w:rPr>
          <w:b/>
        </w:rPr>
      </w:pPr>
    </w:p>
    <w:p w14:paraId="7BD23BDA" w14:textId="5DE8112A" w:rsidR="003425FA" w:rsidRDefault="003425FA" w:rsidP="00363B59">
      <w:pPr>
        <w:rPr>
          <w:b/>
        </w:rPr>
      </w:pPr>
    </w:p>
    <w:p w14:paraId="2AE75818" w14:textId="4E84DDA6" w:rsidR="00273756" w:rsidRDefault="00273756" w:rsidP="00363B59">
      <w:pPr>
        <w:rPr>
          <w:b/>
        </w:rPr>
      </w:pPr>
    </w:p>
    <w:p w14:paraId="5A381593" w14:textId="34A0944D" w:rsidR="001A6F63" w:rsidRDefault="001A6F63" w:rsidP="00363B59">
      <w:pPr>
        <w:rPr>
          <w:b/>
        </w:rPr>
      </w:pPr>
    </w:p>
    <w:p w14:paraId="0F661708" w14:textId="5A8E4534" w:rsidR="001A6F63" w:rsidRDefault="001A6F63" w:rsidP="00363B59">
      <w:pPr>
        <w:rPr>
          <w:b/>
        </w:rPr>
      </w:pPr>
    </w:p>
    <w:p w14:paraId="1F01B7AE" w14:textId="1FF0553F" w:rsidR="001A6F63" w:rsidRDefault="001A6F63" w:rsidP="00363B59">
      <w:pPr>
        <w:rPr>
          <w:b/>
        </w:rPr>
      </w:pPr>
    </w:p>
    <w:p w14:paraId="62030CDB" w14:textId="2A110587" w:rsidR="001A6F63" w:rsidRDefault="001A6F63" w:rsidP="00363B59">
      <w:pPr>
        <w:rPr>
          <w:b/>
        </w:rPr>
      </w:pPr>
    </w:p>
    <w:p w14:paraId="6A0DC8F5" w14:textId="2DE352B2" w:rsidR="001A6F63" w:rsidRDefault="001A6F63" w:rsidP="00363B59">
      <w:pPr>
        <w:rPr>
          <w:b/>
        </w:rPr>
      </w:pPr>
    </w:p>
    <w:p w14:paraId="04E83B87" w14:textId="5C405ABF" w:rsidR="001A6F63" w:rsidRDefault="001A6F63" w:rsidP="00363B59">
      <w:pPr>
        <w:rPr>
          <w:b/>
        </w:rPr>
      </w:pPr>
    </w:p>
    <w:p w14:paraId="2BE62DC6" w14:textId="3876DD59" w:rsidR="001A6F63" w:rsidRDefault="001A6F63" w:rsidP="00363B59">
      <w:pPr>
        <w:rPr>
          <w:b/>
        </w:rPr>
      </w:pPr>
    </w:p>
    <w:p w14:paraId="43165FB2" w14:textId="062AB900" w:rsidR="001A6F63" w:rsidRDefault="001A6F63" w:rsidP="00363B59">
      <w:pPr>
        <w:rPr>
          <w:b/>
        </w:rPr>
      </w:pPr>
    </w:p>
    <w:p w14:paraId="3007F3DE" w14:textId="3C234E56" w:rsidR="00FC0BEF" w:rsidRDefault="00FC0BEF" w:rsidP="00363B59">
      <w:pPr>
        <w:rPr>
          <w:b/>
        </w:rPr>
      </w:pPr>
    </w:p>
    <w:p w14:paraId="3181060B" w14:textId="77777777" w:rsidR="00FC0BEF" w:rsidRDefault="00FC0BEF" w:rsidP="00363B59">
      <w:pPr>
        <w:rPr>
          <w:b/>
        </w:rPr>
      </w:pPr>
    </w:p>
    <w:p w14:paraId="683E8998" w14:textId="42317485" w:rsidR="001A6F63" w:rsidRDefault="001A6F63" w:rsidP="00363B59">
      <w:pPr>
        <w:rPr>
          <w:b/>
        </w:rPr>
      </w:pPr>
    </w:p>
    <w:p w14:paraId="7E4FE628" w14:textId="5A3D968C" w:rsidR="001A6F63" w:rsidRDefault="001A6F63" w:rsidP="00363B59">
      <w:pPr>
        <w:rPr>
          <w:b/>
        </w:rPr>
      </w:pPr>
    </w:p>
    <w:p w14:paraId="07C5692E" w14:textId="77777777" w:rsidR="001A6F63" w:rsidRDefault="001A6F63" w:rsidP="00363B59">
      <w:pPr>
        <w:rPr>
          <w:b/>
        </w:rPr>
      </w:pPr>
    </w:p>
    <w:p w14:paraId="33729B49" w14:textId="77777777" w:rsidR="003425FA" w:rsidRDefault="003425FA" w:rsidP="00363B59">
      <w:pPr>
        <w:rPr>
          <w:b/>
        </w:rPr>
      </w:pPr>
    </w:p>
    <w:p w14:paraId="280C7AC3" w14:textId="19E97A5B" w:rsidR="00363B59" w:rsidRDefault="00363B59" w:rsidP="00363B59">
      <w:pPr>
        <w:rPr>
          <w:b/>
        </w:rPr>
      </w:pPr>
      <w:r w:rsidRPr="00C9223C">
        <w:rPr>
          <w:b/>
        </w:rPr>
        <w:lastRenderedPageBreak/>
        <w:t>List of Equations</w:t>
      </w:r>
    </w:p>
    <w:p w14:paraId="2D07ADC8" w14:textId="77777777" w:rsidR="00B3022D" w:rsidRPr="00C9223C" w:rsidRDefault="00B3022D" w:rsidP="00363B59">
      <w:pPr>
        <w:rPr>
          <w:b/>
        </w:rPr>
      </w:pPr>
    </w:p>
    <w:p w14:paraId="130A96B3" w14:textId="6846BD2D" w:rsidR="00C9223C" w:rsidRPr="00C9223C" w:rsidRDefault="00B3022D" w:rsidP="00363B59">
      <w:pPr>
        <w:rPr>
          <w:b/>
        </w:rPr>
      </w:pPr>
      <w:r>
        <w:rPr>
          <w:b/>
        </w:rPr>
        <w:t xml:space="preserve">Equation 3.1: </w:t>
      </w:r>
      <w:r w:rsidR="00E96F60" w:rsidRPr="00E96F60">
        <w:t xml:space="preserve">Formula to calculate isotope ratios in terms of </w:t>
      </w:r>
      <w:r w:rsidR="00E96F60" w:rsidRPr="00E96F60">
        <w:sym w:font="Symbol" w:char="F064"/>
      </w:r>
      <w:r w:rsidR="00E96F60" w:rsidRPr="00E96F60">
        <w:t xml:space="preserve"> values</w:t>
      </w:r>
      <w:r w:rsidR="001A61E9">
        <w:t>………………..</w:t>
      </w:r>
      <w:r w:rsidR="001A61E9" w:rsidRPr="001A61E9">
        <w:rPr>
          <w:b/>
        </w:rPr>
        <w:t>37</w:t>
      </w:r>
    </w:p>
    <w:p w14:paraId="15B154C0" w14:textId="0F9F3F93" w:rsidR="00363B59" w:rsidRPr="00C9223C" w:rsidRDefault="00363B59" w:rsidP="002E72E6">
      <w:pPr>
        <w:pStyle w:val="NormalWeb"/>
        <w:rPr>
          <w:iCs/>
        </w:rPr>
      </w:pPr>
      <w:r w:rsidRPr="00C9223C">
        <w:rPr>
          <w:b/>
          <w:iCs/>
        </w:rPr>
        <w:t>Equation 4.1</w:t>
      </w:r>
      <w:r w:rsidR="00C9223C" w:rsidRPr="00C9223C">
        <w:rPr>
          <w:b/>
          <w:iCs/>
        </w:rPr>
        <w:t>:</w:t>
      </w:r>
      <w:r w:rsidRPr="00C9223C">
        <w:rPr>
          <w:iCs/>
        </w:rPr>
        <w:t xml:space="preserve"> Formula to calculate bone collagen percent yield</w:t>
      </w:r>
      <w:r w:rsidR="003425FA">
        <w:rPr>
          <w:iCs/>
        </w:rPr>
        <w:t>………………………</w:t>
      </w:r>
      <w:r w:rsidR="00B8154D">
        <w:rPr>
          <w:b/>
          <w:iCs/>
        </w:rPr>
        <w:t>78</w:t>
      </w:r>
    </w:p>
    <w:p w14:paraId="47FB6967" w14:textId="0A10C559" w:rsidR="00363B59" w:rsidRPr="00C9223C" w:rsidRDefault="00363B59" w:rsidP="002E72E6">
      <w:pPr>
        <w:pStyle w:val="NormalWeb"/>
        <w:rPr>
          <w:iCs/>
          <w:color w:val="000000"/>
          <w:shd w:val="clear" w:color="auto" w:fill="FFFFFF"/>
        </w:rPr>
      </w:pPr>
      <w:r w:rsidRPr="00C9223C">
        <w:rPr>
          <w:b/>
          <w:iCs/>
          <w:color w:val="000000"/>
          <w:shd w:val="clear" w:color="auto" w:fill="FFFFFF"/>
        </w:rPr>
        <w:t>Equation 4.2</w:t>
      </w:r>
      <w:r w:rsidR="00C9223C" w:rsidRPr="00C9223C">
        <w:rPr>
          <w:b/>
          <w:iCs/>
          <w:color w:val="000000"/>
          <w:shd w:val="clear" w:color="auto" w:fill="FFFFFF"/>
        </w:rPr>
        <w:t xml:space="preserve">: </w:t>
      </w:r>
      <w:r w:rsidRPr="00C9223C">
        <w:rPr>
          <w:iCs/>
          <w:color w:val="000000"/>
          <w:shd w:val="clear" w:color="auto" w:fill="FFFFFF"/>
        </w:rPr>
        <w:t>Formula to calculate the carbon to nitrogen ratio in collagen</w:t>
      </w:r>
      <w:r w:rsidR="003425FA">
        <w:rPr>
          <w:iCs/>
          <w:color w:val="000000"/>
          <w:shd w:val="clear" w:color="auto" w:fill="FFFFFF"/>
        </w:rPr>
        <w:t>……</w:t>
      </w:r>
      <w:r w:rsidR="00234047">
        <w:rPr>
          <w:iCs/>
          <w:color w:val="000000"/>
          <w:shd w:val="clear" w:color="auto" w:fill="FFFFFF"/>
        </w:rPr>
        <w:t>.</w:t>
      </w:r>
      <w:r w:rsidR="003425FA">
        <w:rPr>
          <w:iCs/>
          <w:color w:val="000000"/>
          <w:shd w:val="clear" w:color="auto" w:fill="FFFFFF"/>
        </w:rPr>
        <w:t>……</w:t>
      </w:r>
      <w:r w:rsidR="00AA0229">
        <w:rPr>
          <w:iCs/>
          <w:color w:val="000000"/>
          <w:shd w:val="clear" w:color="auto" w:fill="FFFFFF"/>
        </w:rPr>
        <w:t>.</w:t>
      </w:r>
      <w:r w:rsidR="00B8154D">
        <w:rPr>
          <w:b/>
          <w:iCs/>
          <w:color w:val="000000"/>
          <w:shd w:val="clear" w:color="auto" w:fill="FFFFFF"/>
        </w:rPr>
        <w:t>79</w:t>
      </w:r>
    </w:p>
    <w:p w14:paraId="5D95E4AE" w14:textId="4DD0146D" w:rsidR="00633BA5" w:rsidRDefault="00363B59" w:rsidP="00A54B76">
      <w:pPr>
        <w:pStyle w:val="NormalWeb"/>
        <w:rPr>
          <w:iCs/>
        </w:rPr>
      </w:pPr>
      <w:r w:rsidRPr="00C9223C">
        <w:rPr>
          <w:b/>
        </w:rPr>
        <w:t>Equation 4.3</w:t>
      </w:r>
      <w:r w:rsidR="00C9223C" w:rsidRPr="00C9223C">
        <w:rPr>
          <w:b/>
        </w:rPr>
        <w:t>:</w:t>
      </w:r>
      <w:r w:rsidR="00C9223C">
        <w:t xml:space="preserve"> </w:t>
      </w:r>
      <w:r w:rsidRPr="00C9223C">
        <w:rPr>
          <w:iCs/>
        </w:rPr>
        <w:t>Formula to calculate dentine collagen percent yield</w:t>
      </w:r>
      <w:r w:rsidR="003425FA">
        <w:rPr>
          <w:iCs/>
        </w:rPr>
        <w:t>……………………</w:t>
      </w:r>
      <w:r w:rsidR="00B8154D">
        <w:rPr>
          <w:b/>
          <w:iCs/>
        </w:rPr>
        <w:t>80</w:t>
      </w:r>
    </w:p>
    <w:p w14:paraId="4E18E73E" w14:textId="0D41939A" w:rsidR="000F4E44" w:rsidRDefault="000F4E44" w:rsidP="00A54B76">
      <w:pPr>
        <w:pStyle w:val="NormalWeb"/>
        <w:rPr>
          <w:iCs/>
        </w:rPr>
      </w:pPr>
    </w:p>
    <w:p w14:paraId="27C83923" w14:textId="446B1374" w:rsidR="000F4E44" w:rsidRDefault="000F4E44" w:rsidP="00A54B76">
      <w:pPr>
        <w:pStyle w:val="NormalWeb"/>
        <w:rPr>
          <w:iCs/>
        </w:rPr>
      </w:pPr>
    </w:p>
    <w:p w14:paraId="5AD62081" w14:textId="47335A11" w:rsidR="000F4E44" w:rsidRDefault="000F4E44" w:rsidP="00A54B76">
      <w:pPr>
        <w:pStyle w:val="NormalWeb"/>
        <w:rPr>
          <w:iCs/>
        </w:rPr>
      </w:pPr>
    </w:p>
    <w:p w14:paraId="18130656" w14:textId="620B610D" w:rsidR="000F4E44" w:rsidRDefault="000F4E44" w:rsidP="00A54B76">
      <w:pPr>
        <w:pStyle w:val="NormalWeb"/>
        <w:rPr>
          <w:iCs/>
        </w:rPr>
      </w:pPr>
    </w:p>
    <w:p w14:paraId="699723EF" w14:textId="3E33B4D8" w:rsidR="000F4E44" w:rsidRDefault="000F4E44" w:rsidP="00A54B76">
      <w:pPr>
        <w:pStyle w:val="NormalWeb"/>
        <w:rPr>
          <w:iCs/>
        </w:rPr>
      </w:pPr>
    </w:p>
    <w:p w14:paraId="60AD87A0" w14:textId="23D19201" w:rsidR="000F4E44" w:rsidRDefault="000F4E44" w:rsidP="00A54B76">
      <w:pPr>
        <w:pStyle w:val="NormalWeb"/>
        <w:rPr>
          <w:iCs/>
        </w:rPr>
      </w:pPr>
    </w:p>
    <w:p w14:paraId="39DAE7D0" w14:textId="3C265C3E" w:rsidR="000F4E44" w:rsidRDefault="000F4E44" w:rsidP="00A54B76">
      <w:pPr>
        <w:pStyle w:val="NormalWeb"/>
        <w:rPr>
          <w:iCs/>
        </w:rPr>
      </w:pPr>
    </w:p>
    <w:p w14:paraId="26AD7C22" w14:textId="10C39254" w:rsidR="000F4E44" w:rsidRDefault="000F4E44" w:rsidP="00A54B76">
      <w:pPr>
        <w:pStyle w:val="NormalWeb"/>
        <w:rPr>
          <w:iCs/>
        </w:rPr>
      </w:pPr>
    </w:p>
    <w:p w14:paraId="39D156EA" w14:textId="0F151470" w:rsidR="000F4E44" w:rsidRDefault="000F4E44" w:rsidP="00A54B76">
      <w:pPr>
        <w:pStyle w:val="NormalWeb"/>
        <w:rPr>
          <w:iCs/>
        </w:rPr>
      </w:pPr>
    </w:p>
    <w:p w14:paraId="36BDCEC6" w14:textId="3821C84A" w:rsidR="000F4E44" w:rsidRDefault="000F4E44" w:rsidP="00A54B76">
      <w:pPr>
        <w:pStyle w:val="NormalWeb"/>
        <w:rPr>
          <w:iCs/>
        </w:rPr>
      </w:pPr>
    </w:p>
    <w:p w14:paraId="030D9175" w14:textId="07519540" w:rsidR="000F4E44" w:rsidRDefault="000F4E44" w:rsidP="00A54B76">
      <w:pPr>
        <w:pStyle w:val="NormalWeb"/>
        <w:rPr>
          <w:iCs/>
        </w:rPr>
      </w:pPr>
    </w:p>
    <w:p w14:paraId="5FD777DD" w14:textId="78A6ED75" w:rsidR="000F4E44" w:rsidRDefault="000F4E44" w:rsidP="00A54B76">
      <w:pPr>
        <w:pStyle w:val="NormalWeb"/>
        <w:rPr>
          <w:iCs/>
        </w:rPr>
      </w:pPr>
    </w:p>
    <w:p w14:paraId="36F09FC2" w14:textId="08B6C824" w:rsidR="000F4E44" w:rsidRDefault="000F4E44" w:rsidP="00A54B76">
      <w:pPr>
        <w:pStyle w:val="NormalWeb"/>
        <w:rPr>
          <w:iCs/>
        </w:rPr>
      </w:pPr>
    </w:p>
    <w:p w14:paraId="6728D3BC" w14:textId="25340CFD" w:rsidR="000F4E44" w:rsidRDefault="000F4E44" w:rsidP="00A54B76">
      <w:pPr>
        <w:pStyle w:val="NormalWeb"/>
        <w:rPr>
          <w:iCs/>
        </w:rPr>
      </w:pPr>
    </w:p>
    <w:p w14:paraId="58E30440" w14:textId="45DDC124" w:rsidR="000F4E44" w:rsidRDefault="000F4E44" w:rsidP="00A54B76">
      <w:pPr>
        <w:pStyle w:val="NormalWeb"/>
        <w:rPr>
          <w:iCs/>
        </w:rPr>
      </w:pPr>
    </w:p>
    <w:p w14:paraId="67476368" w14:textId="14D1A10C" w:rsidR="000F4E44" w:rsidRDefault="000F4E44" w:rsidP="00A54B76">
      <w:pPr>
        <w:pStyle w:val="NormalWeb"/>
        <w:rPr>
          <w:iCs/>
        </w:rPr>
      </w:pPr>
    </w:p>
    <w:p w14:paraId="491BF6D7" w14:textId="700B76F9" w:rsidR="000F4E44" w:rsidRDefault="000F4E44" w:rsidP="00A54B76">
      <w:pPr>
        <w:pStyle w:val="NormalWeb"/>
        <w:rPr>
          <w:iCs/>
        </w:rPr>
      </w:pPr>
    </w:p>
    <w:p w14:paraId="02E013C4" w14:textId="26E15CB7" w:rsidR="000F4E44" w:rsidRDefault="000F4E44" w:rsidP="00A54B76">
      <w:pPr>
        <w:pStyle w:val="NormalWeb"/>
        <w:rPr>
          <w:iCs/>
        </w:rPr>
      </w:pPr>
    </w:p>
    <w:p w14:paraId="2EAEAA14" w14:textId="2500E40C" w:rsidR="000F4E44" w:rsidRDefault="000F4E44" w:rsidP="00A54B76">
      <w:pPr>
        <w:pStyle w:val="NormalWeb"/>
        <w:rPr>
          <w:iCs/>
        </w:rPr>
      </w:pPr>
    </w:p>
    <w:p w14:paraId="2E397315" w14:textId="5E2EF42D" w:rsidR="000F4E44" w:rsidRDefault="000F4E44" w:rsidP="00A54B76">
      <w:pPr>
        <w:pStyle w:val="NormalWeb"/>
        <w:rPr>
          <w:iCs/>
        </w:rPr>
      </w:pPr>
    </w:p>
    <w:p w14:paraId="4A5A4793" w14:textId="6A285E83" w:rsidR="000F4E44" w:rsidRDefault="000F4E44" w:rsidP="00A54B76">
      <w:pPr>
        <w:pStyle w:val="NormalWeb"/>
        <w:rPr>
          <w:iCs/>
        </w:rPr>
      </w:pPr>
    </w:p>
    <w:p w14:paraId="29BEADB8" w14:textId="05021581" w:rsidR="000F4E44" w:rsidRDefault="000F4E44" w:rsidP="00A54B76">
      <w:pPr>
        <w:pStyle w:val="NormalWeb"/>
        <w:rPr>
          <w:iCs/>
        </w:rPr>
      </w:pPr>
    </w:p>
    <w:p w14:paraId="3BFFA631" w14:textId="39BC25E7" w:rsidR="000F4E44" w:rsidRDefault="000F4E44" w:rsidP="00A54B76">
      <w:pPr>
        <w:pStyle w:val="NormalWeb"/>
        <w:rPr>
          <w:iCs/>
        </w:rPr>
      </w:pPr>
    </w:p>
    <w:p w14:paraId="0206CFE3" w14:textId="104C4939" w:rsidR="000F4E44" w:rsidRDefault="000F4E44" w:rsidP="00A54B76">
      <w:pPr>
        <w:pStyle w:val="NormalWeb"/>
        <w:rPr>
          <w:iCs/>
        </w:rPr>
      </w:pPr>
    </w:p>
    <w:p w14:paraId="59A1B685" w14:textId="7EDAF7B9" w:rsidR="000F4E44" w:rsidRDefault="000F4E44" w:rsidP="00A54B76">
      <w:pPr>
        <w:pStyle w:val="NormalWeb"/>
        <w:rPr>
          <w:iCs/>
        </w:rPr>
      </w:pPr>
    </w:p>
    <w:p w14:paraId="315E8319" w14:textId="45577CB8" w:rsidR="000F4E44" w:rsidRDefault="000F4E44" w:rsidP="00A54B76">
      <w:pPr>
        <w:pStyle w:val="NormalWeb"/>
        <w:rPr>
          <w:iCs/>
        </w:rPr>
      </w:pPr>
    </w:p>
    <w:p w14:paraId="48586979" w14:textId="7C8B35C8" w:rsidR="000F4E44" w:rsidRDefault="000F4E44" w:rsidP="00A54B76">
      <w:pPr>
        <w:pStyle w:val="NormalWeb"/>
        <w:rPr>
          <w:iCs/>
        </w:rPr>
      </w:pPr>
    </w:p>
    <w:p w14:paraId="039B3BBC" w14:textId="599CCC01" w:rsidR="000F4E44" w:rsidRDefault="000F4E44" w:rsidP="00A54B76">
      <w:pPr>
        <w:pStyle w:val="NormalWeb"/>
        <w:rPr>
          <w:iCs/>
        </w:rPr>
      </w:pPr>
    </w:p>
    <w:p w14:paraId="6F4B2471" w14:textId="3206F3D8" w:rsidR="000F4E44" w:rsidRDefault="000F4E44" w:rsidP="00A54B76">
      <w:pPr>
        <w:pStyle w:val="NormalWeb"/>
        <w:rPr>
          <w:iCs/>
        </w:rPr>
      </w:pPr>
    </w:p>
    <w:p w14:paraId="4FC561DC" w14:textId="2776C142" w:rsidR="000F4E44" w:rsidRDefault="000F4E44" w:rsidP="00A54B76">
      <w:pPr>
        <w:pStyle w:val="NormalWeb"/>
        <w:rPr>
          <w:iCs/>
        </w:rPr>
      </w:pPr>
    </w:p>
    <w:p w14:paraId="11E0BA60" w14:textId="06439C7E" w:rsidR="000F4E44" w:rsidRDefault="000F4E44" w:rsidP="00A54B76">
      <w:pPr>
        <w:pStyle w:val="NormalWeb"/>
        <w:rPr>
          <w:iCs/>
        </w:rPr>
      </w:pPr>
    </w:p>
    <w:p w14:paraId="6AD74C69" w14:textId="35BB137D" w:rsidR="000F4E44" w:rsidRDefault="000F4E44" w:rsidP="00FC0BEF">
      <w:pPr>
        <w:pStyle w:val="NormalWeb"/>
        <w:jc w:val="center"/>
        <w:rPr>
          <w:iCs/>
        </w:rPr>
      </w:pPr>
    </w:p>
    <w:p w14:paraId="64E76A90" w14:textId="1CF01372" w:rsidR="00FC0BEF" w:rsidRDefault="00FC0BEF" w:rsidP="00FC0BEF">
      <w:pPr>
        <w:pStyle w:val="NormalWeb"/>
        <w:jc w:val="center"/>
        <w:rPr>
          <w:iCs/>
        </w:rPr>
      </w:pPr>
    </w:p>
    <w:p w14:paraId="4126BCED" w14:textId="77777777" w:rsidR="00FC0BEF" w:rsidRDefault="00FC0BEF" w:rsidP="00FC0BEF">
      <w:pPr>
        <w:pStyle w:val="NormalWeb"/>
        <w:jc w:val="center"/>
        <w:rPr>
          <w:iCs/>
        </w:rPr>
      </w:pPr>
    </w:p>
    <w:p w14:paraId="4145D81C" w14:textId="57E8E875" w:rsidR="000F4E44" w:rsidRDefault="000F4E44" w:rsidP="00A54B76">
      <w:pPr>
        <w:pStyle w:val="NormalWeb"/>
        <w:rPr>
          <w:iCs/>
        </w:rPr>
      </w:pPr>
    </w:p>
    <w:p w14:paraId="1D2ABC1A" w14:textId="795A452A" w:rsidR="000F4E44" w:rsidRDefault="000F4E44" w:rsidP="00A54B76">
      <w:pPr>
        <w:pStyle w:val="NormalWeb"/>
        <w:rPr>
          <w:iCs/>
        </w:rPr>
      </w:pPr>
    </w:p>
    <w:p w14:paraId="171C6169" w14:textId="50982591" w:rsidR="000F4E44" w:rsidRDefault="000F4E44" w:rsidP="00A54B76">
      <w:pPr>
        <w:pStyle w:val="NormalWeb"/>
        <w:rPr>
          <w:iCs/>
        </w:rPr>
      </w:pPr>
    </w:p>
    <w:p w14:paraId="77E60729" w14:textId="15888812" w:rsidR="000F4E44" w:rsidRDefault="000F4E44" w:rsidP="00A54B76">
      <w:pPr>
        <w:pStyle w:val="NormalWeb"/>
        <w:rPr>
          <w:iCs/>
        </w:rPr>
      </w:pPr>
    </w:p>
    <w:p w14:paraId="31D8DBA7" w14:textId="4EBC2113" w:rsidR="000F4E44" w:rsidRDefault="000F4E44" w:rsidP="00A54B76">
      <w:pPr>
        <w:pStyle w:val="NormalWeb"/>
        <w:rPr>
          <w:iCs/>
        </w:rPr>
      </w:pPr>
    </w:p>
    <w:p w14:paraId="62B48488" w14:textId="2900A895" w:rsidR="000F4E44" w:rsidRDefault="000F4E44" w:rsidP="00A54B76">
      <w:pPr>
        <w:pStyle w:val="NormalWeb"/>
        <w:rPr>
          <w:iCs/>
        </w:rPr>
      </w:pPr>
    </w:p>
    <w:p w14:paraId="11E13E57" w14:textId="76BE2202" w:rsidR="000F4E44" w:rsidRDefault="000F4E44" w:rsidP="00A54B76">
      <w:pPr>
        <w:pStyle w:val="NormalWeb"/>
        <w:rPr>
          <w:b/>
          <w:iCs/>
        </w:rPr>
      </w:pPr>
      <w:r w:rsidRPr="000A3D9D">
        <w:rPr>
          <w:b/>
          <w:iCs/>
        </w:rPr>
        <w:t>D</w:t>
      </w:r>
      <w:r w:rsidR="000A3D9D">
        <w:rPr>
          <w:b/>
          <w:iCs/>
        </w:rPr>
        <w:t>eclaration</w:t>
      </w:r>
      <w:r w:rsidRPr="000A3D9D">
        <w:rPr>
          <w:b/>
          <w:iCs/>
        </w:rPr>
        <w:t xml:space="preserve"> </w:t>
      </w:r>
      <w:r w:rsidR="00D46F08">
        <w:rPr>
          <w:b/>
          <w:iCs/>
        </w:rPr>
        <w:t>o</w:t>
      </w:r>
      <w:r w:rsidR="000A3D9D">
        <w:rPr>
          <w:b/>
          <w:iCs/>
        </w:rPr>
        <w:t>f</w:t>
      </w:r>
      <w:r w:rsidRPr="000A3D9D">
        <w:rPr>
          <w:b/>
          <w:iCs/>
        </w:rPr>
        <w:t xml:space="preserve"> A</w:t>
      </w:r>
      <w:r w:rsidR="000A3D9D">
        <w:rPr>
          <w:b/>
          <w:iCs/>
        </w:rPr>
        <w:t>cademic</w:t>
      </w:r>
      <w:r w:rsidRPr="000A3D9D">
        <w:rPr>
          <w:b/>
          <w:iCs/>
        </w:rPr>
        <w:t xml:space="preserve"> A</w:t>
      </w:r>
      <w:r w:rsidR="000A3D9D">
        <w:rPr>
          <w:b/>
          <w:iCs/>
        </w:rPr>
        <w:t>chievement</w:t>
      </w:r>
    </w:p>
    <w:p w14:paraId="4F597447" w14:textId="3F79DAF8" w:rsidR="001B3BD9" w:rsidRDefault="001B3BD9" w:rsidP="001B3BD9"/>
    <w:p w14:paraId="550FBF05" w14:textId="77777777" w:rsidR="001B3BD9" w:rsidRDefault="001B3BD9" w:rsidP="001B3BD9"/>
    <w:p w14:paraId="40D66B80" w14:textId="1B1C062A" w:rsidR="001B3BD9" w:rsidRDefault="00D46F08" w:rsidP="00D46F08">
      <w:pPr>
        <w:spacing w:line="480" w:lineRule="auto"/>
        <w:ind w:firstLine="720"/>
        <w:rPr>
          <w:lang w:val="en-US"/>
        </w:rPr>
      </w:pPr>
      <w:r w:rsidRPr="00E868DE">
        <w:t xml:space="preserve">Along with designing the project, I was responsible for </w:t>
      </w:r>
      <w:r>
        <w:t xml:space="preserve">compiling a literature review of breastfeeding and weaning analysis in bioarchaeology, as well as, stable isotope analysis and dentine microsampling. </w:t>
      </w:r>
      <w:r w:rsidRPr="00C162CB">
        <w:t>I was responsible for the experimental design, data collection and analysi</w:t>
      </w:r>
      <w:r>
        <w:t xml:space="preserve">s conducted in this study. </w:t>
      </w:r>
      <w:r w:rsidR="001B3BD9">
        <w:t>Dr. Tracy Prowse provided guidance on the theoretical development of this project</w:t>
      </w:r>
      <w:r>
        <w:t>, access to skeletal material,</w:t>
      </w:r>
      <w:r w:rsidR="001B3BD9" w:rsidRPr="008F2DE0">
        <w:t xml:space="preserve"> and composition of th</w:t>
      </w:r>
      <w:r w:rsidR="001C1322">
        <w:t>e</w:t>
      </w:r>
      <w:r w:rsidR="001B3BD9" w:rsidRPr="008F2DE0">
        <w:t xml:space="preserve"> </w:t>
      </w:r>
      <w:r>
        <w:t>thesis</w:t>
      </w:r>
      <w:r w:rsidR="001B3BD9" w:rsidRPr="008F2DE0">
        <w:t>.</w:t>
      </w:r>
      <w:r w:rsidR="001B3BD9">
        <w:t xml:space="preserve"> </w:t>
      </w:r>
      <w:r w:rsidR="001B3BD9" w:rsidRPr="00C162CB">
        <w:rPr>
          <w:lang w:val="en-US"/>
        </w:rPr>
        <w:t xml:space="preserve">Mass spectrometry was conducted at the </w:t>
      </w:r>
      <w:r w:rsidR="001B3BD9" w:rsidRPr="00C162CB">
        <w:t>Ján Veizer Stable Isotope Laboratory (formerly G.G. Hatch)</w:t>
      </w:r>
      <w:r w:rsidR="001B3BD9" w:rsidRPr="00C162CB">
        <w:rPr>
          <w:lang w:val="en-US"/>
        </w:rPr>
        <w:t xml:space="preserve"> at the University of Ottawa.</w:t>
      </w:r>
    </w:p>
    <w:p w14:paraId="1D25338E" w14:textId="77777777" w:rsidR="00B51D74" w:rsidRDefault="00B51D74" w:rsidP="00B51D74">
      <w:pPr>
        <w:ind w:firstLine="720"/>
      </w:pPr>
    </w:p>
    <w:p w14:paraId="5AF96E87" w14:textId="4EE6D835" w:rsidR="001B3BD9" w:rsidRPr="006A6F55" w:rsidRDefault="00156CE6" w:rsidP="006A6F55">
      <w:pPr>
        <w:spacing w:line="480" w:lineRule="auto"/>
        <w:ind w:firstLine="720"/>
        <w:sectPr w:rsidR="001B3BD9" w:rsidRPr="006A6F55" w:rsidSect="001A193A">
          <w:headerReference w:type="default" r:id="rId13"/>
          <w:footerReference w:type="default" r:id="rId14"/>
          <w:pgSz w:w="12240" w:h="15840"/>
          <w:pgMar w:top="2155" w:right="1418" w:bottom="1418" w:left="2155" w:header="709" w:footer="709" w:gutter="0"/>
          <w:pgNumType w:fmt="lowerRoman"/>
          <w:cols w:space="708"/>
          <w:docGrid w:linePitch="360"/>
        </w:sectPr>
      </w:pPr>
      <w:r>
        <w:t xml:space="preserve">Using the </w:t>
      </w:r>
      <w:r w:rsidR="001B3BD9">
        <w:t>stable isotope</w:t>
      </w:r>
      <w:r>
        <w:t xml:space="preserve"> results</w:t>
      </w:r>
      <w:r w:rsidR="001B3BD9">
        <w:t xml:space="preserve"> provided by </w:t>
      </w:r>
      <w:r w:rsidR="001B3BD9" w:rsidRPr="00C162CB">
        <w:rPr>
          <w:lang w:val="en-US"/>
        </w:rPr>
        <w:t xml:space="preserve">the </w:t>
      </w:r>
      <w:r w:rsidR="001B3BD9" w:rsidRPr="00C162CB">
        <w:t>Ján Veizer Stable Isotope Laboratory</w:t>
      </w:r>
      <w:r>
        <w:t xml:space="preserve">, I analyzed and </w:t>
      </w:r>
      <w:r w:rsidRPr="00E868DE">
        <w:t>interpreted</w:t>
      </w:r>
      <w:r w:rsidR="001B3BD9" w:rsidRPr="00E868DE">
        <w:t xml:space="preserve"> the data, as well as wr</w:t>
      </w:r>
      <w:r>
        <w:t>ot</w:t>
      </w:r>
      <w:r w:rsidR="001B3BD9">
        <w:t>e the findings. Dr. Tracy Prowse</w:t>
      </w:r>
      <w:r w:rsidR="00BE54C2" w:rsidRPr="00BE54C2">
        <w:t xml:space="preserve"> </w:t>
      </w:r>
      <w:r w:rsidR="00BE54C2">
        <w:t>assisted in the statistical methodology and interpretations</w:t>
      </w:r>
      <w:r w:rsidR="001B3BD9">
        <w:t xml:space="preserve">, </w:t>
      </w:r>
      <w:r w:rsidR="00BE54C2">
        <w:t xml:space="preserve">while </w:t>
      </w:r>
      <w:r w:rsidR="001B3BD9">
        <w:t>Dr. Megan Brickley and Dr. Tina Moffat</w:t>
      </w:r>
      <w:r w:rsidR="00BE54C2">
        <w:t xml:space="preserve"> </w:t>
      </w:r>
      <w:r w:rsidR="00D46F08">
        <w:t>provided feedback on the complete version of this thesis</w:t>
      </w:r>
      <w:r w:rsidR="001B3BD9">
        <w:t>.</w:t>
      </w:r>
    </w:p>
    <w:p w14:paraId="0334411A" w14:textId="77777777" w:rsidR="00933FCD" w:rsidRPr="000C758D" w:rsidRDefault="00933FCD" w:rsidP="006A6F55">
      <w:pPr>
        <w:spacing w:line="480" w:lineRule="auto"/>
        <w:jc w:val="center"/>
        <w:rPr>
          <w:b/>
        </w:rPr>
      </w:pPr>
      <w:r w:rsidRPr="000C758D">
        <w:rPr>
          <w:b/>
        </w:rPr>
        <w:lastRenderedPageBreak/>
        <w:t>Chapter 1: Introduction</w:t>
      </w:r>
    </w:p>
    <w:p w14:paraId="06B246DC" w14:textId="77777777" w:rsidR="00933FCD" w:rsidRDefault="00933FCD" w:rsidP="000C758D">
      <w:pPr>
        <w:pStyle w:val="ListParagraph"/>
        <w:numPr>
          <w:ilvl w:val="1"/>
          <w:numId w:val="14"/>
        </w:numPr>
        <w:tabs>
          <w:tab w:val="left" w:pos="426"/>
          <w:tab w:val="left" w:pos="567"/>
        </w:tabs>
        <w:spacing w:line="480" w:lineRule="auto"/>
        <w:ind w:left="284" w:hanging="284"/>
        <w:rPr>
          <w:rFonts w:ascii="Times New Roman" w:hAnsi="Times New Roman" w:cs="Times New Roman"/>
          <w:b/>
          <w:lang w:val="en-CA"/>
        </w:rPr>
      </w:pPr>
      <w:r w:rsidRPr="00A1165B">
        <w:rPr>
          <w:rFonts w:ascii="Times New Roman" w:hAnsi="Times New Roman" w:cs="Times New Roman"/>
          <w:b/>
          <w:lang w:val="en-CA"/>
        </w:rPr>
        <w:t>Research Overview</w:t>
      </w:r>
    </w:p>
    <w:p w14:paraId="0055132F" w14:textId="77777777" w:rsidR="00933FCD" w:rsidRPr="00D74B25" w:rsidRDefault="00933FCD" w:rsidP="000C758D">
      <w:pPr>
        <w:pStyle w:val="ListParagraph"/>
        <w:ind w:left="1080"/>
        <w:rPr>
          <w:rFonts w:ascii="Times New Roman" w:hAnsi="Times New Roman" w:cs="Times New Roman"/>
          <w:b/>
          <w:lang w:val="en-CA"/>
        </w:rPr>
      </w:pPr>
    </w:p>
    <w:p w14:paraId="5ACDB174" w14:textId="56D29954" w:rsidR="00933FCD" w:rsidRPr="002058E7" w:rsidRDefault="00233F6F" w:rsidP="002058E7">
      <w:pPr>
        <w:pStyle w:val="NormalWeb"/>
        <w:spacing w:line="480" w:lineRule="auto"/>
        <w:ind w:firstLine="720"/>
      </w:pPr>
      <w:r>
        <w:rPr>
          <w:rFonts w:ascii="Times" w:hAnsi="Times" w:cs="Times"/>
          <w:color w:val="000000"/>
        </w:rPr>
        <w:t>Bioarchaeological analyses of children</w:t>
      </w:r>
      <w:r w:rsidR="00933FCD" w:rsidRPr="008758DF">
        <w:rPr>
          <w:rFonts w:ascii="Times" w:hAnsi="Times" w:cs="Times"/>
          <w:color w:val="000000"/>
        </w:rPr>
        <w:t xml:space="preserve"> </w:t>
      </w:r>
      <w:r w:rsidR="00933FCD">
        <w:rPr>
          <w:rFonts w:ascii="Times" w:hAnsi="Times" w:cs="Times"/>
          <w:color w:val="000000"/>
        </w:rPr>
        <w:t>are</w:t>
      </w:r>
      <w:r w:rsidR="00933FCD" w:rsidRPr="008758DF">
        <w:rPr>
          <w:rFonts w:ascii="Times" w:hAnsi="Times" w:cs="Times"/>
          <w:color w:val="000000"/>
        </w:rPr>
        <w:t xml:space="preserve"> useful in understanding</w:t>
      </w:r>
      <w:r w:rsidR="00933FCD">
        <w:rPr>
          <w:rFonts w:ascii="Times" w:hAnsi="Times" w:cs="Times"/>
          <w:color w:val="000000"/>
        </w:rPr>
        <w:t xml:space="preserve"> </w:t>
      </w:r>
      <w:r w:rsidR="00933FCD" w:rsidRPr="008758DF">
        <w:rPr>
          <w:rFonts w:ascii="Times" w:hAnsi="Times" w:cs="Times"/>
          <w:color w:val="000000"/>
        </w:rPr>
        <w:t>diet, disease and health in past populations. They are often used in the exploration of breastfeeding and weaning patterns</w:t>
      </w:r>
      <w:r w:rsidR="00933FCD">
        <w:rPr>
          <w:rFonts w:ascii="Times" w:hAnsi="Times" w:cs="Times"/>
          <w:color w:val="000000"/>
        </w:rPr>
        <w:t xml:space="preserve">, </w:t>
      </w:r>
      <w:r w:rsidR="00933FCD" w:rsidRPr="008758DF">
        <w:rPr>
          <w:rFonts w:ascii="Times" w:hAnsi="Times" w:cs="Times"/>
          <w:color w:val="000000"/>
        </w:rPr>
        <w:t xml:space="preserve">providing bioarchaeologists with information on lived experiences of past childhood, and long-term consequences of early diet on growth, health, and survivorship. </w:t>
      </w:r>
      <w:r w:rsidR="00933FCD" w:rsidRPr="008758DF">
        <w:t xml:space="preserve">Research on </w:t>
      </w:r>
      <w:r w:rsidR="00933FCD">
        <w:t>early feeding</w:t>
      </w:r>
      <w:r w:rsidR="00933FCD" w:rsidRPr="008758DF">
        <w:t xml:space="preserve"> practices</w:t>
      </w:r>
      <w:r w:rsidR="00933FCD">
        <w:t xml:space="preserve">, specifically patterns of breastfeeding and weaning, </w:t>
      </w:r>
      <w:r w:rsidR="00933FCD" w:rsidRPr="008758DF">
        <w:t xml:space="preserve">has been conducted worldwide on diverse populations, typically through the </w:t>
      </w:r>
      <w:r w:rsidR="00933FCD">
        <w:t xml:space="preserve">stable isotope </w:t>
      </w:r>
      <w:r w:rsidR="00933FCD" w:rsidRPr="008758DF">
        <w:t xml:space="preserve">analysis of carbon and nitrogen isotopes in </w:t>
      </w:r>
      <w:r w:rsidR="00933FCD">
        <w:t xml:space="preserve">bulk </w:t>
      </w:r>
      <w:r w:rsidR="00933FCD" w:rsidRPr="008758DF">
        <w:t>bone collagen (e.g., Nitsch et al. 2011; Herring et al. 1998; Tsutaya &amp; Yoneda 2013; Wright &amp; Schwarcz 1999).</w:t>
      </w:r>
      <w:r w:rsidR="00933FCD">
        <w:t xml:space="preserve"> </w:t>
      </w:r>
      <w:r w:rsidR="00933FCD" w:rsidRPr="00603F48">
        <w:t xml:space="preserve">In Italy, </w:t>
      </w:r>
      <w:r w:rsidR="00933FCD">
        <w:t xml:space="preserve">isotope </w:t>
      </w:r>
      <w:r w:rsidR="00933FCD" w:rsidRPr="00603F48">
        <w:t xml:space="preserve">studies on weaning patterns have focused on </w:t>
      </w:r>
      <w:r w:rsidR="00933FCD">
        <w:t xml:space="preserve">the </w:t>
      </w:r>
      <w:r w:rsidR="00933FCD" w:rsidRPr="00603F48">
        <w:t>Roman and Medieval periods (e.g. Barbiera &amp; Dalla-Zuanna</w:t>
      </w:r>
      <w:r w:rsidR="002058E7">
        <w:t xml:space="preserve"> </w:t>
      </w:r>
      <w:r w:rsidR="00933FCD" w:rsidRPr="00603F48">
        <w:t xml:space="preserve">2009; Prowse et al. 2008; </w:t>
      </w:r>
      <w:r w:rsidR="00933FCD" w:rsidRPr="00D55403">
        <w:rPr>
          <w:color w:val="000000" w:themeColor="text1"/>
        </w:rPr>
        <w:t>Moggi-Cecchi et al. 1994</w:t>
      </w:r>
      <w:r w:rsidR="00933FCD">
        <w:t>) using bone collagen, while</w:t>
      </w:r>
      <w:r w:rsidR="00933FCD" w:rsidRPr="00D71496">
        <w:t xml:space="preserve"> the Italian Iron Age </w:t>
      </w:r>
      <w:r w:rsidR="00933FCD">
        <w:t>(</w:t>
      </w:r>
      <w:r w:rsidR="00933FCD" w:rsidRPr="00493670">
        <w:sym w:font="Symbol" w:char="F07E"/>
      </w:r>
      <w:r w:rsidR="00933FCD" w:rsidRPr="00493670">
        <w:t>1</w:t>
      </w:r>
      <w:r w:rsidR="00933FCD" w:rsidRPr="00493670">
        <w:rPr>
          <w:vertAlign w:val="superscript"/>
        </w:rPr>
        <w:t>st</w:t>
      </w:r>
      <w:r w:rsidR="00933FCD" w:rsidRPr="00493670">
        <w:t xml:space="preserve"> millennium BCE</w:t>
      </w:r>
      <w:r w:rsidR="00933FCD">
        <w:t>) has been devoid of research pertaining to childhood diet. While bone collagen can provid</w:t>
      </w:r>
      <w:r w:rsidR="00505862">
        <w:t xml:space="preserve">e an average age at which </w:t>
      </w:r>
      <w:r w:rsidR="00503D30">
        <w:t xml:space="preserve">the </w:t>
      </w:r>
      <w:r w:rsidR="00505862">
        <w:t xml:space="preserve">weaning signal ceases to be present in skeletal remains of a population, it also overlooks inter-individual variation and </w:t>
      </w:r>
      <w:r w:rsidR="00EE1717">
        <w:t xml:space="preserve">demonstrates </w:t>
      </w:r>
      <w:r w:rsidR="00B3022D">
        <w:t xml:space="preserve">inaccurate </w:t>
      </w:r>
      <w:r w:rsidR="00503D30">
        <w:t xml:space="preserve">onset </w:t>
      </w:r>
      <w:r w:rsidR="00B3022D">
        <w:t xml:space="preserve">and completion </w:t>
      </w:r>
      <w:r w:rsidR="00503D30">
        <w:t xml:space="preserve">of </w:t>
      </w:r>
      <w:r w:rsidR="00EE1717">
        <w:t>weaning.</w:t>
      </w:r>
      <w:r w:rsidR="00505862">
        <w:t xml:space="preserve"> </w:t>
      </w:r>
      <w:r w:rsidR="00933FCD">
        <w:t>The recent development of incremental dentine sampling techniques developed by Beaumont and colleagues (</w:t>
      </w:r>
      <w:r w:rsidR="00EE1717">
        <w:t>2013</w:t>
      </w:r>
      <w:r w:rsidR="00933FCD">
        <w:t>) permit</w:t>
      </w:r>
      <w:r w:rsidR="00503D30">
        <w:t>s</w:t>
      </w:r>
      <w:r w:rsidR="00933FCD">
        <w:t xml:space="preserve"> a more time sensitive analysis of dietary change.</w:t>
      </w:r>
      <w:r w:rsidR="00933FCD" w:rsidRPr="00C850F5">
        <w:t xml:space="preserve"> </w:t>
      </w:r>
      <w:r w:rsidR="00933FCD">
        <w:t>This thesis presents the first study to investigate early feeding practices in a sample of Iron Age subadults and adults (7</w:t>
      </w:r>
      <w:r w:rsidR="00933FCD" w:rsidRPr="0045478E">
        <w:rPr>
          <w:vertAlign w:val="superscript"/>
        </w:rPr>
        <w:t>th</w:t>
      </w:r>
      <w:r w:rsidR="00933FCD">
        <w:t xml:space="preserve"> – 4</w:t>
      </w:r>
      <w:r w:rsidR="00933FCD" w:rsidRPr="0045478E">
        <w:rPr>
          <w:vertAlign w:val="superscript"/>
        </w:rPr>
        <w:t>th</w:t>
      </w:r>
      <w:r w:rsidR="00933FCD">
        <w:t xml:space="preserve"> century BCE), from the sites of Botromagno, Parco San Stefano and Padreterno, in South Italy. Further, </w:t>
      </w:r>
      <w:r w:rsidR="00933FCD">
        <w:rPr>
          <w:rFonts w:ascii="TimesNewRomanPSMT" w:hAnsi="TimesNewRomanPSMT" w:cs="TimesNewRomanPSMT"/>
        </w:rPr>
        <w:t>t</w:t>
      </w:r>
      <w:r w:rsidR="00933FCD" w:rsidRPr="00C850F5">
        <w:rPr>
          <w:rFonts w:ascii="TimesNewRomanPSMT" w:hAnsi="TimesNewRomanPSMT" w:cs="TimesNewRomanPSMT"/>
        </w:rPr>
        <w:t xml:space="preserve">his thesis </w:t>
      </w:r>
      <w:r w:rsidR="00933FCD">
        <w:rPr>
          <w:rFonts w:ascii="TimesNewRomanPSMT" w:hAnsi="TimesNewRomanPSMT" w:cs="TimesNewRomanPSMT"/>
        </w:rPr>
        <w:t>investigates</w:t>
      </w:r>
      <w:r w:rsidR="00933FCD" w:rsidRPr="00C850F5">
        <w:rPr>
          <w:rFonts w:ascii="TimesNewRomanPSMT" w:hAnsi="TimesNewRomanPSMT" w:cs="TimesNewRomanPSMT"/>
        </w:rPr>
        <w:t xml:space="preserve"> individual breastfeeding and weaning histories using </w:t>
      </w:r>
      <w:r w:rsidR="00933FCD">
        <w:rPr>
          <w:rFonts w:ascii="TimesNewRomanPSMT" w:hAnsi="TimesNewRomanPSMT" w:cs="TimesNewRomanPSMT"/>
        </w:rPr>
        <w:t xml:space="preserve">a combination of </w:t>
      </w:r>
      <w:r w:rsidR="00933FCD">
        <w:rPr>
          <w:rFonts w:ascii="TimesNewRomanPSMT" w:hAnsi="TimesNewRomanPSMT" w:cs="TimesNewRomanPSMT"/>
        </w:rPr>
        <w:lastRenderedPageBreak/>
        <w:t xml:space="preserve">dentine microsampling and bulk bone methods.  As information on childrearing practices during the Italian Iron Age is </w:t>
      </w:r>
      <w:r w:rsidR="00A5023E">
        <w:rPr>
          <w:rFonts w:ascii="TimesNewRomanPSMT" w:hAnsi="TimesNewRomanPSMT" w:cs="TimesNewRomanPSMT"/>
        </w:rPr>
        <w:t>non-existent</w:t>
      </w:r>
      <w:r w:rsidR="00933FCD">
        <w:rPr>
          <w:rFonts w:ascii="TimesNewRomanPSMT" w:hAnsi="TimesNewRomanPSMT" w:cs="TimesNewRomanPSMT"/>
        </w:rPr>
        <w:t xml:space="preserve">, this stable isotope investigation not only provides an insight into possible childhood experiences during this period but also provides a point of comparison for the analysis of later Roman populations and other bioarchaeological studies of weaning in Italy. </w:t>
      </w:r>
    </w:p>
    <w:p w14:paraId="201D935A" w14:textId="77777777" w:rsidR="00933FCD" w:rsidRPr="00C37686" w:rsidRDefault="00933FCD" w:rsidP="000C758D">
      <w:pPr>
        <w:pStyle w:val="NormalWeb"/>
        <w:ind w:firstLine="720"/>
        <w:rPr>
          <w:rFonts w:ascii="TimesNewRomanPSMT" w:hAnsi="TimesNewRomanPSMT" w:cs="TimesNewRomanPSMT"/>
        </w:rPr>
      </w:pPr>
    </w:p>
    <w:p w14:paraId="29AAA75B" w14:textId="3B755D0F" w:rsidR="00933FCD" w:rsidRDefault="00933FCD" w:rsidP="00933FCD">
      <w:pPr>
        <w:pStyle w:val="NormalWeb"/>
        <w:spacing w:line="480" w:lineRule="auto"/>
        <w:ind w:firstLine="720"/>
        <w:rPr>
          <w:rFonts w:ascii="TimesNewRomanPSMT" w:hAnsi="TimesNewRomanPSMT" w:cs="TimesNewRomanPSMT"/>
        </w:rPr>
      </w:pPr>
      <w:r>
        <w:rPr>
          <w:rFonts w:ascii="TimesNewRomanPSMT" w:hAnsi="TimesNewRomanPSMT" w:cs="TimesNewRomanPSMT"/>
        </w:rPr>
        <w:t>The primary objective of this thesis is to determine the onset age of weaning and the age of weaning cessation using stable isotope analysis of serial tooth dentine sections. Using stable carbon and nitrogen values measured within the incremental sections of deciduous and permanent teeth, longitudinal profiles can be created to demonstrate trophic levels shifts</w:t>
      </w:r>
      <w:r w:rsidRPr="00C850F5">
        <w:rPr>
          <w:rFonts w:ascii="TimesNewRomanPSMT" w:hAnsi="TimesNewRomanPSMT" w:cs="TimesNewRomanPSMT"/>
        </w:rPr>
        <w:t xml:space="preserve"> in δ</w:t>
      </w:r>
      <w:r w:rsidRPr="00C850F5">
        <w:rPr>
          <w:rFonts w:ascii="TimesNewRomanPSMT" w:hAnsi="TimesNewRomanPSMT" w:cs="TimesNewRomanPSMT"/>
          <w:position w:val="10"/>
          <w:sz w:val="16"/>
          <w:szCs w:val="16"/>
        </w:rPr>
        <w:t>15</w:t>
      </w:r>
      <w:r w:rsidRPr="00C850F5">
        <w:rPr>
          <w:rFonts w:ascii="TimesNewRomanPSMT" w:hAnsi="TimesNewRomanPSMT" w:cs="TimesNewRomanPSMT"/>
        </w:rPr>
        <w:t>N (~3‰) and δ</w:t>
      </w:r>
      <w:r w:rsidRPr="00C850F5">
        <w:rPr>
          <w:rFonts w:ascii="TimesNewRomanPSMT" w:hAnsi="TimesNewRomanPSMT" w:cs="TimesNewRomanPSMT"/>
          <w:position w:val="10"/>
          <w:sz w:val="16"/>
          <w:szCs w:val="16"/>
        </w:rPr>
        <w:t>13</w:t>
      </w:r>
      <w:r w:rsidRPr="00C850F5">
        <w:rPr>
          <w:rFonts w:ascii="TimesNewRomanPSMT" w:hAnsi="TimesNewRomanPSMT" w:cs="TimesNewRomanPSMT"/>
        </w:rPr>
        <w:t xml:space="preserve">C (~1‰) values associated with the consumption </w:t>
      </w:r>
      <w:r>
        <w:rPr>
          <w:rFonts w:ascii="TimesNewRomanPSMT" w:hAnsi="TimesNewRomanPSMT" w:cs="TimesNewRomanPSMT"/>
        </w:rPr>
        <w:t xml:space="preserve">and withdrawal </w:t>
      </w:r>
      <w:r w:rsidRPr="00C850F5">
        <w:rPr>
          <w:rFonts w:ascii="TimesNewRomanPSMT" w:hAnsi="TimesNewRomanPSMT" w:cs="TimesNewRomanPSMT"/>
        </w:rPr>
        <w:t>of breastmilk</w:t>
      </w:r>
      <w:r>
        <w:rPr>
          <w:rFonts w:ascii="TimesNewRomanPSMT" w:hAnsi="TimesNewRomanPSMT" w:cs="TimesNewRomanPSMT"/>
        </w:rPr>
        <w:t xml:space="preserve">, as well as changes in </w:t>
      </w:r>
      <w:r w:rsidRPr="00C850F5">
        <w:rPr>
          <w:rFonts w:ascii="TimesNewRomanPSMT" w:hAnsi="TimesNewRomanPSMT" w:cs="TimesNewRomanPSMT"/>
        </w:rPr>
        <w:t>δ</w:t>
      </w:r>
      <w:r w:rsidRPr="00C850F5">
        <w:rPr>
          <w:rFonts w:ascii="TimesNewRomanPSMT" w:hAnsi="TimesNewRomanPSMT" w:cs="TimesNewRomanPSMT"/>
          <w:position w:val="10"/>
          <w:sz w:val="16"/>
          <w:szCs w:val="16"/>
        </w:rPr>
        <w:t>13</w:t>
      </w:r>
      <w:r w:rsidRPr="00C850F5">
        <w:rPr>
          <w:rFonts w:ascii="TimesNewRomanPSMT" w:hAnsi="TimesNewRomanPSMT" w:cs="TimesNewRomanPSMT"/>
        </w:rPr>
        <w:t>C</w:t>
      </w:r>
      <w:r>
        <w:rPr>
          <w:rFonts w:ascii="TimesNewRomanPSMT" w:hAnsi="TimesNewRomanPSMT" w:cs="TimesNewRomanPSMT"/>
        </w:rPr>
        <w:t xml:space="preserve"> values associated with the introduction of transitional foods </w:t>
      </w:r>
      <w:r w:rsidRPr="00C850F5">
        <w:rPr>
          <w:rFonts w:ascii="TimesNewRomanPSMT" w:hAnsi="TimesNewRomanPSMT" w:cs="TimesNewRomanPSMT"/>
        </w:rPr>
        <w:t>(Fogel et al. 1989; Fuller et al. 2006).</w:t>
      </w:r>
    </w:p>
    <w:p w14:paraId="12E328BA" w14:textId="77777777" w:rsidR="00933FCD" w:rsidRDefault="00933FCD" w:rsidP="000C758D">
      <w:pPr>
        <w:pStyle w:val="NormalWeb"/>
        <w:ind w:firstLine="720"/>
        <w:rPr>
          <w:rFonts w:ascii="TimesNewRomanPSMT" w:hAnsi="TimesNewRomanPSMT" w:cs="TimesNewRomanPSMT"/>
        </w:rPr>
      </w:pPr>
    </w:p>
    <w:p w14:paraId="2F9E12CE" w14:textId="2882A9F3" w:rsidR="00933FCD" w:rsidRDefault="00933FCD" w:rsidP="00933FCD">
      <w:pPr>
        <w:pStyle w:val="NormalWeb"/>
        <w:spacing w:line="480" w:lineRule="auto"/>
        <w:ind w:firstLine="720"/>
      </w:pPr>
      <w:r>
        <w:rPr>
          <w:rFonts w:ascii="TimesNewRomanPSMT" w:hAnsi="TimesNewRomanPSMT" w:cs="TimesNewRomanPSMT"/>
        </w:rPr>
        <w:t xml:space="preserve">The second objective of this thesis is to investigate variation in </w:t>
      </w:r>
      <w:r w:rsidRPr="00C850F5">
        <w:t xml:space="preserve">weaning </w:t>
      </w:r>
      <w:r>
        <w:t xml:space="preserve">practices </w:t>
      </w:r>
      <w:r w:rsidRPr="00C850F5">
        <w:t>between children</w:t>
      </w:r>
      <w:r>
        <w:t xml:space="preserve"> who</w:t>
      </w:r>
      <w:r w:rsidRPr="00C850F5">
        <w:t xml:space="preserve"> </w:t>
      </w:r>
      <w:r>
        <w:t>survived into</w:t>
      </w:r>
      <w:r w:rsidRPr="00C850F5">
        <w:t xml:space="preserve"> adulthood</w:t>
      </w:r>
      <w:r>
        <w:t xml:space="preserve"> </w:t>
      </w:r>
      <w:r w:rsidRPr="00C850F5">
        <w:t>and</w:t>
      </w:r>
      <w:r>
        <w:t xml:space="preserve"> those </w:t>
      </w:r>
      <w:r w:rsidRPr="00C850F5">
        <w:t xml:space="preserve">who did not survive </w:t>
      </w:r>
      <w:r>
        <w:t xml:space="preserve">the weaning process. </w:t>
      </w:r>
      <w:r w:rsidRPr="006C5214">
        <w:t xml:space="preserve">The ‘Osteological </w:t>
      </w:r>
      <w:r>
        <w:t>P</w:t>
      </w:r>
      <w:r w:rsidRPr="006C5214">
        <w:t>aradox’ by Wood et al. (1992) cautioned bioarchaeologists about the potential biases inherent in archaeological samples when analyzing past health</w:t>
      </w:r>
      <w:r>
        <w:t>,</w:t>
      </w:r>
      <w:r w:rsidRPr="00860C0B">
        <w:t xml:space="preserve"> </w:t>
      </w:r>
      <w:r>
        <w:t xml:space="preserve">specifically </w:t>
      </w:r>
      <w:r w:rsidRPr="006C5214">
        <w:t>that skeletal samples</w:t>
      </w:r>
      <w:r>
        <w:t xml:space="preserve"> are made up of</w:t>
      </w:r>
      <w:r w:rsidRPr="006C5214">
        <w:t xml:space="preserve"> individuals who </w:t>
      </w:r>
      <w:r>
        <w:t>did</w:t>
      </w:r>
      <w:r w:rsidRPr="006C5214">
        <w:t xml:space="preserve"> not survive</w:t>
      </w:r>
      <w:r>
        <w:t xml:space="preserve">. Traditional weaning studies have based their interpretations primarily on subadult bone collagen from skeletal assemblages, excluding those individuals who survived well past the weaning stage. This study addresses this paradox by including early dietary analysis </w:t>
      </w:r>
      <w:r>
        <w:lastRenderedPageBreak/>
        <w:t xml:space="preserve">of both subadults (i.e. non-survivors) and adults, thereby highlighting potential differences in weaning patterns </w:t>
      </w:r>
      <w:r w:rsidR="00B3022D">
        <w:t>that</w:t>
      </w:r>
      <w:r>
        <w:t xml:space="preserve"> could be tied to survivorship. </w:t>
      </w:r>
    </w:p>
    <w:p w14:paraId="5E443B41" w14:textId="77777777" w:rsidR="00933FCD" w:rsidRPr="00EE14EA" w:rsidRDefault="00933FCD" w:rsidP="00DC7DBA">
      <w:pPr>
        <w:pStyle w:val="NormalWeb"/>
        <w:ind w:firstLine="720"/>
      </w:pPr>
    </w:p>
    <w:p w14:paraId="74BF36F6" w14:textId="51325197" w:rsidR="000C758D" w:rsidRDefault="00933FCD" w:rsidP="000C758D">
      <w:pPr>
        <w:pStyle w:val="NormalWeb"/>
        <w:spacing w:line="480" w:lineRule="auto"/>
        <w:ind w:firstLine="720"/>
        <w:rPr>
          <w:color w:val="231E1E"/>
        </w:rPr>
      </w:pPr>
      <w:r>
        <w:rPr>
          <w:rFonts w:ascii="TimesNewRomanPSMT" w:hAnsi="TimesNewRomanPSMT" w:cs="TimesNewRomanPSMT"/>
        </w:rPr>
        <w:t xml:space="preserve">An additional goal of this thesis is to evaluate how data from serial dentine sections and bone collagen </w:t>
      </w:r>
      <w:r w:rsidR="00A5023E">
        <w:rPr>
          <w:rFonts w:ascii="TimesNewRomanPSMT" w:hAnsi="TimesNewRomanPSMT" w:cs="TimesNewRomanPSMT"/>
        </w:rPr>
        <w:t>compare</w:t>
      </w:r>
      <w:r>
        <w:rPr>
          <w:rFonts w:ascii="TimesNewRomanPSMT" w:hAnsi="TimesNewRomanPSMT" w:cs="TimesNewRomanPSMT"/>
        </w:rPr>
        <w:t xml:space="preserve"> with respect to identifying patterns of breastfeeding and weaning. </w:t>
      </w:r>
      <w:r w:rsidRPr="00CF07FD">
        <w:rPr>
          <w:color w:val="231E1E"/>
        </w:rPr>
        <w:t>The time pe</w:t>
      </w:r>
      <w:r>
        <w:rPr>
          <w:color w:val="231E1E"/>
        </w:rPr>
        <w:t>riod represented by isotope</w:t>
      </w:r>
      <w:r w:rsidRPr="00CF07FD">
        <w:rPr>
          <w:color w:val="231E1E"/>
        </w:rPr>
        <w:t xml:space="preserve"> ratios in bone collagen varies depending on the bone</w:t>
      </w:r>
      <w:r>
        <w:rPr>
          <w:color w:val="231E1E"/>
        </w:rPr>
        <w:t>s</w:t>
      </w:r>
      <w:r w:rsidRPr="00CF07FD">
        <w:rPr>
          <w:color w:val="231E1E"/>
        </w:rPr>
        <w:t xml:space="preserve"> used an</w:t>
      </w:r>
      <w:r>
        <w:rPr>
          <w:color w:val="231E1E"/>
        </w:rPr>
        <w:t>d</w:t>
      </w:r>
      <w:r w:rsidRPr="00CF07FD">
        <w:rPr>
          <w:color w:val="231E1E"/>
        </w:rPr>
        <w:t xml:space="preserve"> the age of the individua</w:t>
      </w:r>
      <w:r>
        <w:rPr>
          <w:color w:val="231E1E"/>
        </w:rPr>
        <w:t>l as a result of bone growth and remodelling rates; the time represented by serial dentine sections is more precise due to dentine formation and a lack of remodelling. This thesis compares tooth dentine, rib, and long bone, stable isotope values from the same subadult individual</w:t>
      </w:r>
      <w:r w:rsidR="0095082D">
        <w:rPr>
          <w:color w:val="231E1E"/>
        </w:rPr>
        <w:t>s</w:t>
      </w:r>
      <w:r>
        <w:rPr>
          <w:color w:val="231E1E"/>
        </w:rPr>
        <w:t xml:space="preserve"> to investigate how well the isotope values in these different tissues correlate. </w:t>
      </w:r>
    </w:p>
    <w:p w14:paraId="1DF726C5" w14:textId="77777777" w:rsidR="000C758D" w:rsidRPr="006A3FBE" w:rsidRDefault="000C758D" w:rsidP="000C758D">
      <w:pPr>
        <w:pStyle w:val="NormalWeb"/>
        <w:ind w:firstLine="720"/>
        <w:rPr>
          <w:color w:val="231E1E"/>
        </w:rPr>
      </w:pPr>
    </w:p>
    <w:p w14:paraId="39620864" w14:textId="77777777" w:rsidR="00933FCD" w:rsidRDefault="00933FCD" w:rsidP="000C758D">
      <w:pPr>
        <w:pStyle w:val="ListParagraph"/>
        <w:numPr>
          <w:ilvl w:val="1"/>
          <w:numId w:val="14"/>
        </w:numPr>
        <w:spacing w:line="480" w:lineRule="auto"/>
        <w:ind w:left="426"/>
        <w:rPr>
          <w:rFonts w:ascii="Times New Roman" w:hAnsi="Times New Roman" w:cs="Times New Roman"/>
          <w:b/>
          <w:color w:val="000000" w:themeColor="text1"/>
          <w:lang w:val="en-CA"/>
        </w:rPr>
      </w:pPr>
      <w:r w:rsidRPr="00804CBC">
        <w:rPr>
          <w:rFonts w:ascii="Times New Roman" w:hAnsi="Times New Roman" w:cs="Times New Roman"/>
          <w:b/>
          <w:color w:val="000000" w:themeColor="text1"/>
          <w:lang w:val="en-CA"/>
        </w:rPr>
        <w:t>Thesis Structure</w:t>
      </w:r>
    </w:p>
    <w:p w14:paraId="00E8C909" w14:textId="77777777" w:rsidR="00933FCD" w:rsidRPr="007C56DE" w:rsidRDefault="00933FCD" w:rsidP="000C758D">
      <w:pPr>
        <w:pStyle w:val="ListParagraph"/>
        <w:ind w:left="1080"/>
        <w:rPr>
          <w:rFonts w:ascii="Times New Roman" w:hAnsi="Times New Roman" w:cs="Times New Roman"/>
          <w:b/>
          <w:color w:val="000000" w:themeColor="text1"/>
          <w:lang w:val="en-CA"/>
        </w:rPr>
      </w:pPr>
    </w:p>
    <w:p w14:paraId="7D75168A" w14:textId="38536486" w:rsidR="00933FCD" w:rsidRDefault="00933FCD" w:rsidP="00933FCD">
      <w:pPr>
        <w:spacing w:line="480" w:lineRule="auto"/>
        <w:ind w:firstLine="720"/>
        <w:rPr>
          <w:color w:val="000000" w:themeColor="text1"/>
        </w:rPr>
      </w:pPr>
      <w:r>
        <w:rPr>
          <w:color w:val="000000" w:themeColor="text1"/>
        </w:rPr>
        <w:t>Chapter two is a detailed review of bioarchaeological analysis of breastfeeding and weaning in past and present populations. This chapter begins by</w:t>
      </w:r>
      <w:r w:rsidR="00115374">
        <w:rPr>
          <w:color w:val="000000" w:themeColor="text1"/>
        </w:rPr>
        <w:t xml:space="preserve"> outlining the Biocultural model that is used to theoretically frame this research.</w:t>
      </w:r>
      <w:r>
        <w:rPr>
          <w:color w:val="000000" w:themeColor="text1"/>
        </w:rPr>
        <w:t xml:space="preserve"> </w:t>
      </w:r>
      <w:r w:rsidR="00115374">
        <w:rPr>
          <w:color w:val="000000" w:themeColor="text1"/>
        </w:rPr>
        <w:t>T</w:t>
      </w:r>
      <w:r>
        <w:rPr>
          <w:color w:val="000000" w:themeColor="text1"/>
        </w:rPr>
        <w:t>he concepts of optimal early feeding practices</w:t>
      </w:r>
      <w:r w:rsidR="00115374">
        <w:rPr>
          <w:color w:val="000000" w:themeColor="text1"/>
        </w:rPr>
        <w:t xml:space="preserve"> are discussed next,</w:t>
      </w:r>
      <w:r>
        <w:rPr>
          <w:color w:val="000000" w:themeColor="text1"/>
        </w:rPr>
        <w:t xml:space="preserve"> </w:t>
      </w:r>
      <w:r w:rsidR="00115374">
        <w:rPr>
          <w:color w:val="000000" w:themeColor="text1"/>
        </w:rPr>
        <w:t>f</w:t>
      </w:r>
      <w:r>
        <w:rPr>
          <w:color w:val="000000" w:themeColor="text1"/>
        </w:rPr>
        <w:t>ollow</w:t>
      </w:r>
      <w:r w:rsidR="00115374">
        <w:rPr>
          <w:color w:val="000000" w:themeColor="text1"/>
        </w:rPr>
        <w:t xml:space="preserve">ed by </w:t>
      </w:r>
      <w:r>
        <w:rPr>
          <w:color w:val="000000" w:themeColor="text1"/>
        </w:rPr>
        <w:t xml:space="preserve">the bioarchaeological approaches that are used to determine weaning patterns in the past. Pre-Roman and Roman childhood feeding strategies are also </w:t>
      </w:r>
      <w:r w:rsidR="00115374">
        <w:rPr>
          <w:color w:val="000000" w:themeColor="text1"/>
        </w:rPr>
        <w:t>presented</w:t>
      </w:r>
      <w:r>
        <w:rPr>
          <w:color w:val="000000" w:themeColor="text1"/>
        </w:rPr>
        <w:t xml:space="preserve"> to provide historical context. </w:t>
      </w:r>
    </w:p>
    <w:p w14:paraId="0FEE95C9" w14:textId="77777777" w:rsidR="00933FCD" w:rsidRDefault="00933FCD" w:rsidP="000C758D">
      <w:pPr>
        <w:ind w:firstLine="720"/>
        <w:rPr>
          <w:color w:val="000000" w:themeColor="text1"/>
        </w:rPr>
      </w:pPr>
    </w:p>
    <w:p w14:paraId="4EF50361" w14:textId="77777777" w:rsidR="00933FCD" w:rsidRDefault="00933FCD" w:rsidP="00933FCD">
      <w:pPr>
        <w:spacing w:line="480" w:lineRule="auto"/>
        <w:rPr>
          <w:color w:val="000000" w:themeColor="text1"/>
        </w:rPr>
      </w:pPr>
      <w:r>
        <w:rPr>
          <w:color w:val="000000" w:themeColor="text1"/>
        </w:rPr>
        <w:tab/>
        <w:t xml:space="preserve">Chapter three discusses stable isotope geochemistry and its application in bioarchaeology. First, the chapter provides a comprehensive review of stable isotope analysis, individual applications of carbon, nitrogen and oxygen, as well as the </w:t>
      </w:r>
      <w:r>
        <w:rPr>
          <w:color w:val="000000" w:themeColor="text1"/>
        </w:rPr>
        <w:lastRenderedPageBreak/>
        <w:t xml:space="preserve">appropriate body tissues that are used for the analysis. Next, the chapter discusses the development of tooth dentine microsampling along with the potential benefits of utilizing tooth dentine as opposed to bone collagen. </w:t>
      </w:r>
    </w:p>
    <w:p w14:paraId="288F8565" w14:textId="77777777" w:rsidR="00933FCD" w:rsidRDefault="00933FCD" w:rsidP="003910B5">
      <w:pPr>
        <w:rPr>
          <w:color w:val="000000" w:themeColor="text1"/>
        </w:rPr>
      </w:pPr>
    </w:p>
    <w:p w14:paraId="24FD2F69" w14:textId="7DA6AD9F" w:rsidR="00933FCD" w:rsidRDefault="00933FCD" w:rsidP="00933FCD">
      <w:pPr>
        <w:spacing w:line="480" w:lineRule="auto"/>
        <w:rPr>
          <w:color w:val="000000" w:themeColor="text1"/>
        </w:rPr>
      </w:pPr>
      <w:r>
        <w:rPr>
          <w:color w:val="000000" w:themeColor="text1"/>
        </w:rPr>
        <w:tab/>
        <w:t xml:space="preserve">Chapter four outlines the </w:t>
      </w:r>
      <w:r w:rsidR="008C0E07">
        <w:rPr>
          <w:color w:val="000000" w:themeColor="text1"/>
        </w:rPr>
        <w:t xml:space="preserve">materials and </w:t>
      </w:r>
      <w:r>
        <w:rPr>
          <w:color w:val="000000" w:themeColor="text1"/>
        </w:rPr>
        <w:t xml:space="preserve">methods that are </w:t>
      </w:r>
      <w:r w:rsidR="008C0E07">
        <w:rPr>
          <w:color w:val="000000" w:themeColor="text1"/>
        </w:rPr>
        <w:t>used</w:t>
      </w:r>
      <w:r>
        <w:rPr>
          <w:color w:val="000000" w:themeColor="text1"/>
        </w:rPr>
        <w:t xml:space="preserve"> in this thesis, </w:t>
      </w:r>
      <w:r w:rsidR="008C0E07">
        <w:rPr>
          <w:color w:val="000000" w:themeColor="text1"/>
        </w:rPr>
        <w:t xml:space="preserve">highlighting </w:t>
      </w:r>
      <w:r>
        <w:rPr>
          <w:color w:val="000000" w:themeColor="text1"/>
        </w:rPr>
        <w:t xml:space="preserve">bulk bone sampling and dentine serial sampling. A brief history of Iron Age in South Italy is presented, followed by an overview of archaeological excavations at Botromagno, Parco San Stefano and Padreterno. </w:t>
      </w:r>
      <w:r w:rsidRPr="00D6192D">
        <w:rPr>
          <w:color w:val="000000" w:themeColor="text1"/>
        </w:rPr>
        <w:t>Descriptions of individuals included in this study are also provided, including burial information and a list of dental and skeletal tissues analyzed.</w:t>
      </w:r>
      <w:r>
        <w:rPr>
          <w:color w:val="000000" w:themeColor="text1"/>
        </w:rPr>
        <w:t xml:space="preserve"> </w:t>
      </w:r>
    </w:p>
    <w:p w14:paraId="2010A012" w14:textId="77777777" w:rsidR="00933FCD" w:rsidRDefault="00933FCD" w:rsidP="000C758D">
      <w:pPr>
        <w:rPr>
          <w:color w:val="000000" w:themeColor="text1"/>
        </w:rPr>
      </w:pPr>
    </w:p>
    <w:p w14:paraId="38D98C9C" w14:textId="432B7D4F" w:rsidR="00933FCD" w:rsidRDefault="00933FCD" w:rsidP="000C758D">
      <w:pPr>
        <w:spacing w:line="480" w:lineRule="auto"/>
        <w:rPr>
          <w:color w:val="000000" w:themeColor="text1"/>
        </w:rPr>
      </w:pPr>
      <w:r>
        <w:rPr>
          <w:color w:val="000000" w:themeColor="text1"/>
        </w:rPr>
        <w:tab/>
        <w:t>Chapter five presents the</w:t>
      </w:r>
      <w:r w:rsidR="00DA566E">
        <w:rPr>
          <w:color w:val="000000" w:themeColor="text1"/>
        </w:rPr>
        <w:t xml:space="preserve"> stable isotope results. </w:t>
      </w:r>
      <w:r>
        <w:rPr>
          <w:color w:val="000000" w:themeColor="text1"/>
        </w:rPr>
        <w:t xml:space="preserve">This chapter identifies trends in the </w:t>
      </w:r>
      <w:r w:rsidR="00DA566E">
        <w:rPr>
          <w:color w:val="000000" w:themeColor="text1"/>
        </w:rPr>
        <w:t xml:space="preserve">dentine </w:t>
      </w:r>
      <w:r>
        <w:rPr>
          <w:color w:val="000000" w:themeColor="text1"/>
        </w:rPr>
        <w:t xml:space="preserve">isotopic data </w:t>
      </w:r>
      <w:r w:rsidR="00E353FF">
        <w:rPr>
          <w:color w:val="000000" w:themeColor="text1"/>
        </w:rPr>
        <w:t xml:space="preserve">and </w:t>
      </w:r>
      <w:r>
        <w:rPr>
          <w:color w:val="000000" w:themeColor="text1"/>
        </w:rPr>
        <w:t>compares dentine and bone data from the same individuals. Chapter six interprets these notable trends. Variations in weaning histories</w:t>
      </w:r>
      <w:r w:rsidR="00DA566E">
        <w:rPr>
          <w:color w:val="000000" w:themeColor="text1"/>
        </w:rPr>
        <w:t xml:space="preserve"> within the sample are interpreted, while comparing weaning practices between the sexes, and </w:t>
      </w:r>
      <w:r w:rsidR="00E353FF">
        <w:rPr>
          <w:color w:val="000000" w:themeColor="text1"/>
        </w:rPr>
        <w:t xml:space="preserve">between </w:t>
      </w:r>
      <w:r w:rsidR="00DA566E">
        <w:rPr>
          <w:color w:val="000000" w:themeColor="text1"/>
        </w:rPr>
        <w:t xml:space="preserve">survivors and non-survivors. Weaning patterns in this sample are also </w:t>
      </w:r>
      <w:r>
        <w:rPr>
          <w:color w:val="000000" w:themeColor="text1"/>
        </w:rPr>
        <w:t xml:space="preserve">interpreted alongside historical evidence </w:t>
      </w:r>
      <w:r w:rsidR="00B3022D">
        <w:rPr>
          <w:color w:val="000000" w:themeColor="text1"/>
        </w:rPr>
        <w:t>of</w:t>
      </w:r>
      <w:r>
        <w:rPr>
          <w:color w:val="000000" w:themeColor="text1"/>
        </w:rPr>
        <w:t xml:space="preserve"> Roman </w:t>
      </w:r>
      <w:r w:rsidR="00B3022D">
        <w:rPr>
          <w:color w:val="000000" w:themeColor="text1"/>
        </w:rPr>
        <w:t xml:space="preserve">weaning practices </w:t>
      </w:r>
      <w:r>
        <w:rPr>
          <w:color w:val="000000" w:themeColor="text1"/>
        </w:rPr>
        <w:t xml:space="preserve">and bioarchaeological research on early childhood feeding practices. As well, this chapter </w:t>
      </w:r>
      <w:r w:rsidR="00DA566E">
        <w:rPr>
          <w:color w:val="000000" w:themeColor="text1"/>
        </w:rPr>
        <w:t>discusses</w:t>
      </w:r>
      <w:r>
        <w:rPr>
          <w:color w:val="000000" w:themeColor="text1"/>
        </w:rPr>
        <w:t xml:space="preserve"> the benefits of combining dental and bone tissues in stable isotope analysis of dietary change. </w:t>
      </w:r>
      <w:r w:rsidR="00E353FF">
        <w:rPr>
          <w:color w:val="000000" w:themeColor="text1"/>
        </w:rPr>
        <w:t>L</w:t>
      </w:r>
      <w:r w:rsidR="00242B06">
        <w:rPr>
          <w:color w:val="000000" w:themeColor="text1"/>
        </w:rPr>
        <w:t>imitations of th</w:t>
      </w:r>
      <w:r w:rsidR="00E353FF">
        <w:rPr>
          <w:color w:val="000000" w:themeColor="text1"/>
        </w:rPr>
        <w:t xml:space="preserve">is research are </w:t>
      </w:r>
      <w:r w:rsidR="00F4667D">
        <w:rPr>
          <w:color w:val="000000" w:themeColor="text1"/>
        </w:rPr>
        <w:t xml:space="preserve">also </w:t>
      </w:r>
      <w:r w:rsidR="00E353FF">
        <w:rPr>
          <w:color w:val="000000" w:themeColor="text1"/>
        </w:rPr>
        <w:t xml:space="preserve">listed in this section. </w:t>
      </w:r>
      <w:r w:rsidR="00F4667D">
        <w:rPr>
          <w:color w:val="000000" w:themeColor="text1"/>
        </w:rPr>
        <w:t>Finally, c</w:t>
      </w:r>
      <w:r w:rsidR="00E353FF">
        <w:rPr>
          <w:color w:val="000000" w:themeColor="text1"/>
        </w:rPr>
        <w:t xml:space="preserve">hapter seven summarizes the findings of this study and suggests avenues of future research. </w:t>
      </w:r>
    </w:p>
    <w:p w14:paraId="0CF40DBF" w14:textId="77777777" w:rsidR="00933FCD" w:rsidRDefault="00933FCD" w:rsidP="00933FCD">
      <w:pPr>
        <w:rPr>
          <w:color w:val="000000" w:themeColor="text1"/>
        </w:rPr>
      </w:pPr>
    </w:p>
    <w:p w14:paraId="70FDB2E4" w14:textId="34432F96" w:rsidR="000C758D" w:rsidRDefault="000C758D" w:rsidP="00933FCD">
      <w:pPr>
        <w:rPr>
          <w:color w:val="000000" w:themeColor="text1"/>
        </w:rPr>
      </w:pPr>
    </w:p>
    <w:p w14:paraId="10856BE8" w14:textId="77777777" w:rsidR="003910B5" w:rsidRDefault="003910B5" w:rsidP="00933FCD">
      <w:pPr>
        <w:rPr>
          <w:color w:val="000000" w:themeColor="text1"/>
        </w:rPr>
      </w:pPr>
    </w:p>
    <w:p w14:paraId="1FD3C2D0" w14:textId="77777777" w:rsidR="00B02F44" w:rsidRDefault="00B02F44" w:rsidP="002C1092">
      <w:pPr>
        <w:rPr>
          <w:b/>
          <w:lang w:val="en-US"/>
        </w:rPr>
      </w:pPr>
    </w:p>
    <w:p w14:paraId="5A64B120" w14:textId="2D971E0C" w:rsidR="00F65EE8" w:rsidRPr="00B426F0" w:rsidRDefault="00F65EE8" w:rsidP="00984CB3">
      <w:pPr>
        <w:spacing w:line="480" w:lineRule="auto"/>
        <w:jc w:val="center"/>
        <w:rPr>
          <w:b/>
          <w:lang w:val="en-US"/>
        </w:rPr>
      </w:pPr>
      <w:r w:rsidRPr="00B426F0">
        <w:rPr>
          <w:b/>
          <w:lang w:val="en-US"/>
        </w:rPr>
        <w:lastRenderedPageBreak/>
        <w:t>Chapter 2: The Bioarchaeology of Breastfeeding and Weaning</w:t>
      </w:r>
    </w:p>
    <w:p w14:paraId="5119C931" w14:textId="444CA744" w:rsidR="00EE14EA" w:rsidRDefault="003B5B7F" w:rsidP="000C758D">
      <w:pPr>
        <w:pStyle w:val="ListParagraph"/>
        <w:numPr>
          <w:ilvl w:val="1"/>
          <w:numId w:val="3"/>
        </w:numPr>
        <w:spacing w:line="480" w:lineRule="auto"/>
        <w:ind w:left="426" w:hanging="426"/>
        <w:contextualSpacing w:val="0"/>
        <w:rPr>
          <w:rFonts w:ascii="Times New Roman" w:hAnsi="Times New Roman" w:cs="Times New Roman"/>
          <w:b/>
        </w:rPr>
      </w:pPr>
      <w:r w:rsidRPr="008C4A6A">
        <w:rPr>
          <w:rFonts w:ascii="Times New Roman" w:hAnsi="Times New Roman" w:cs="Times New Roman"/>
          <w:b/>
        </w:rPr>
        <w:t xml:space="preserve">Introduction </w:t>
      </w:r>
    </w:p>
    <w:p w14:paraId="4BB9A6B5" w14:textId="77777777" w:rsidR="00EE14EA" w:rsidRPr="00EE14EA" w:rsidRDefault="00EE14EA" w:rsidP="000C758D">
      <w:pPr>
        <w:ind w:left="360"/>
        <w:rPr>
          <w:b/>
        </w:rPr>
      </w:pPr>
    </w:p>
    <w:p w14:paraId="51584945" w14:textId="76802270" w:rsidR="003B5B7F" w:rsidRDefault="003B5B7F" w:rsidP="006A6F55">
      <w:pPr>
        <w:spacing w:line="480" w:lineRule="auto"/>
        <w:ind w:firstLine="720"/>
        <w:rPr>
          <w:lang w:val="en-US"/>
        </w:rPr>
      </w:pPr>
      <w:r w:rsidRPr="00586673">
        <w:rPr>
          <w:color w:val="000000" w:themeColor="text1"/>
          <w:lang w:val="en-US"/>
        </w:rPr>
        <w:t>Until the 1990s, children were largely excluded or marginalized from bioarchaeological discourse (</w:t>
      </w:r>
      <w:r w:rsidR="00456715" w:rsidRPr="007F0FA9">
        <w:rPr>
          <w:color w:val="000000" w:themeColor="text1"/>
          <w:lang w:val="en-US"/>
        </w:rPr>
        <w:t>Mays et al. 2017</w:t>
      </w:r>
      <w:r w:rsidRPr="007F0FA9">
        <w:rPr>
          <w:color w:val="000000" w:themeColor="text1"/>
          <w:lang w:val="en-US"/>
        </w:rPr>
        <w:t>).</w:t>
      </w:r>
      <w:r w:rsidRPr="00586673">
        <w:rPr>
          <w:color w:val="000000" w:themeColor="text1"/>
          <w:lang w:val="en-US"/>
        </w:rPr>
        <w:t xml:space="preserve"> </w:t>
      </w:r>
      <w:r w:rsidR="00736857">
        <w:rPr>
          <w:color w:val="000000" w:themeColor="text1"/>
          <w:lang w:val="en-US"/>
        </w:rPr>
        <w:t xml:space="preserve">Children were considered unimportant to social life and </w:t>
      </w:r>
      <w:r w:rsidR="0034139A">
        <w:rPr>
          <w:color w:val="000000" w:themeColor="text1"/>
          <w:lang w:val="en-US"/>
        </w:rPr>
        <w:t xml:space="preserve">poor preservation in the archaeological record hindered investigative interests. </w:t>
      </w:r>
      <w:r w:rsidR="00D231E2" w:rsidRPr="00586673">
        <w:rPr>
          <w:lang w:val="en-US"/>
        </w:rPr>
        <w:t xml:space="preserve">If they were included in </w:t>
      </w:r>
      <w:r w:rsidR="008952BC" w:rsidRPr="00586673">
        <w:rPr>
          <w:lang w:val="en-US"/>
        </w:rPr>
        <w:t>studies</w:t>
      </w:r>
      <w:r w:rsidR="00D231E2" w:rsidRPr="00586673">
        <w:rPr>
          <w:lang w:val="en-US"/>
        </w:rPr>
        <w:t>, b</w:t>
      </w:r>
      <w:r w:rsidRPr="00586673">
        <w:rPr>
          <w:lang w:val="en-US"/>
        </w:rPr>
        <w:t xml:space="preserve">iological anthropologists often used a </w:t>
      </w:r>
      <w:r w:rsidR="00D231E2" w:rsidRPr="00586673">
        <w:rPr>
          <w:lang w:val="en-US"/>
        </w:rPr>
        <w:t xml:space="preserve">perspective </w:t>
      </w:r>
      <w:r w:rsidRPr="00586673">
        <w:rPr>
          <w:lang w:val="en-US"/>
        </w:rPr>
        <w:t xml:space="preserve">characterized </w:t>
      </w:r>
      <w:r w:rsidR="00D231E2" w:rsidRPr="00586673">
        <w:rPr>
          <w:lang w:val="en-US"/>
        </w:rPr>
        <w:t xml:space="preserve">by Littleton (2011) </w:t>
      </w:r>
      <w:r w:rsidRPr="00586673">
        <w:rPr>
          <w:lang w:val="en-US"/>
        </w:rPr>
        <w:t>as</w:t>
      </w:r>
      <w:r w:rsidR="00D231E2" w:rsidRPr="00586673">
        <w:rPr>
          <w:lang w:val="en-US"/>
        </w:rPr>
        <w:t xml:space="preserve"> the</w:t>
      </w:r>
      <w:r w:rsidRPr="00586673">
        <w:rPr>
          <w:lang w:val="en-US"/>
        </w:rPr>
        <w:t xml:space="preserve"> </w:t>
      </w:r>
      <w:r w:rsidRPr="00586673">
        <w:rPr>
          <w:rFonts w:eastAsia="Helvetica"/>
          <w:lang w:val="en-US"/>
        </w:rPr>
        <w:t>‘</w:t>
      </w:r>
      <w:r w:rsidRPr="00586673">
        <w:rPr>
          <w:lang w:val="en-US"/>
        </w:rPr>
        <w:t>canary in the coalmine</w:t>
      </w:r>
      <w:r w:rsidRPr="00586673">
        <w:rPr>
          <w:rFonts w:eastAsia="Helvetica"/>
          <w:lang w:val="en-US"/>
        </w:rPr>
        <w:t>’</w:t>
      </w:r>
      <w:r w:rsidR="004D16BC" w:rsidRPr="00586673">
        <w:rPr>
          <w:lang w:val="en-US"/>
        </w:rPr>
        <w:t>.</w:t>
      </w:r>
      <w:r w:rsidRPr="00586673">
        <w:rPr>
          <w:lang w:val="en-US"/>
        </w:rPr>
        <w:t xml:space="preserve"> </w:t>
      </w:r>
      <w:r w:rsidR="00387D94">
        <w:rPr>
          <w:lang w:val="en-US"/>
        </w:rPr>
        <w:t>Past studies</w:t>
      </w:r>
      <w:r w:rsidR="004D16BC" w:rsidRPr="00586673">
        <w:rPr>
          <w:lang w:val="en-US"/>
        </w:rPr>
        <w:t xml:space="preserve"> would</w:t>
      </w:r>
      <w:r w:rsidRPr="00586673">
        <w:rPr>
          <w:lang w:val="en-US"/>
        </w:rPr>
        <w:t xml:space="preserve"> assess the health of past children as a measure of health for an entire population</w:t>
      </w:r>
      <w:r w:rsidR="004D16BC" w:rsidRPr="00586673">
        <w:rPr>
          <w:lang w:val="en-US"/>
        </w:rPr>
        <w:t xml:space="preserve"> (e.g.</w:t>
      </w:r>
      <w:r w:rsidR="001D5C03">
        <w:rPr>
          <w:lang w:val="en-US"/>
        </w:rPr>
        <w:t>,</w:t>
      </w:r>
      <w:r w:rsidR="005F25E0">
        <w:rPr>
          <w:lang w:val="en-US"/>
        </w:rPr>
        <w:t xml:space="preserve"> </w:t>
      </w:r>
      <w:r w:rsidR="001D5C03" w:rsidRPr="001D5C03">
        <w:rPr>
          <w:color w:val="000000" w:themeColor="text1"/>
          <w:lang w:val="en-US"/>
        </w:rPr>
        <w:t>Lundberg</w:t>
      </w:r>
      <w:r w:rsidR="00B3022D">
        <w:rPr>
          <w:color w:val="000000" w:themeColor="text1"/>
          <w:lang w:val="en-US"/>
        </w:rPr>
        <w:t xml:space="preserve"> </w:t>
      </w:r>
      <w:r w:rsidR="001D5C03" w:rsidRPr="001D5C03">
        <w:rPr>
          <w:color w:val="000000" w:themeColor="text1"/>
          <w:lang w:val="en-US"/>
        </w:rPr>
        <w:t>1993</w:t>
      </w:r>
      <w:r w:rsidR="001D5C03">
        <w:rPr>
          <w:color w:val="000000" w:themeColor="text1"/>
          <w:lang w:val="en-US"/>
        </w:rPr>
        <w:t xml:space="preserve">; </w:t>
      </w:r>
      <w:r w:rsidR="00703C39">
        <w:rPr>
          <w:lang w:val="en-US"/>
        </w:rPr>
        <w:t>Rahkonen et al. 1997</w:t>
      </w:r>
      <w:r w:rsidR="004D16BC" w:rsidRPr="00586673">
        <w:rPr>
          <w:lang w:val="en-US"/>
        </w:rPr>
        <w:t>)</w:t>
      </w:r>
      <w:r w:rsidRPr="00586673">
        <w:rPr>
          <w:lang w:val="en-US"/>
        </w:rPr>
        <w:t>. In other words, childhood morbidity and mortality were used as sentinels for overall population health. As two distinctive strands of research</w:t>
      </w:r>
      <w:r w:rsidR="00493697">
        <w:rPr>
          <w:lang w:val="en-US"/>
        </w:rPr>
        <w:t xml:space="preserve"> </w:t>
      </w:r>
      <w:r w:rsidRPr="00586673">
        <w:rPr>
          <w:lang w:val="en-US"/>
        </w:rPr>
        <w:t>converged</w:t>
      </w:r>
      <w:r w:rsidR="00493697">
        <w:rPr>
          <w:lang w:val="en-US"/>
        </w:rPr>
        <w:t xml:space="preserve"> with archaeology</w:t>
      </w:r>
      <w:r w:rsidRPr="00586673">
        <w:rPr>
          <w:lang w:val="en-US"/>
        </w:rPr>
        <w:t xml:space="preserve"> –</w:t>
      </w:r>
      <w:r w:rsidR="00493697">
        <w:rPr>
          <w:lang w:val="en-US"/>
        </w:rPr>
        <w:t xml:space="preserve"> specifically, </w:t>
      </w:r>
      <w:r w:rsidRPr="00586673">
        <w:rPr>
          <w:lang w:val="en-US"/>
        </w:rPr>
        <w:t>historical and feminist discourse (e.g.</w:t>
      </w:r>
      <w:r w:rsidR="001D5C03">
        <w:rPr>
          <w:lang w:val="en-US"/>
        </w:rPr>
        <w:t>,</w:t>
      </w:r>
      <w:r w:rsidRPr="00586673">
        <w:rPr>
          <w:lang w:val="en-US"/>
        </w:rPr>
        <w:t xml:space="preserve"> </w:t>
      </w:r>
      <w:r w:rsidRPr="00586673">
        <w:rPr>
          <w:color w:val="000000" w:themeColor="text1"/>
          <w:lang w:val="en-US"/>
        </w:rPr>
        <w:t>Pollock 1983</w:t>
      </w:r>
      <w:r w:rsidR="00AB71AA">
        <w:rPr>
          <w:color w:val="000000" w:themeColor="text1"/>
          <w:lang w:val="en-US"/>
        </w:rPr>
        <w:t>;</w:t>
      </w:r>
      <w:r w:rsidRPr="00586673">
        <w:rPr>
          <w:color w:val="000000" w:themeColor="text1"/>
          <w:lang w:val="en-US"/>
        </w:rPr>
        <w:t xml:space="preserve"> Kamp 2001</w:t>
      </w:r>
      <w:r w:rsidRPr="00586673">
        <w:rPr>
          <w:lang w:val="en-US"/>
        </w:rPr>
        <w:t>) – a more considered approach and interest in childhood within archaeology</w:t>
      </w:r>
      <w:r w:rsidR="00E5479A" w:rsidRPr="00586673">
        <w:rPr>
          <w:lang w:val="en-US"/>
        </w:rPr>
        <w:t xml:space="preserve"> (and later </w:t>
      </w:r>
      <w:r w:rsidR="00493697" w:rsidRPr="00586673">
        <w:rPr>
          <w:lang w:val="en-US"/>
        </w:rPr>
        <w:t>bioarcheology</w:t>
      </w:r>
      <w:r w:rsidR="00E5479A" w:rsidRPr="00586673">
        <w:rPr>
          <w:lang w:val="en-US"/>
        </w:rPr>
        <w:t>)</w:t>
      </w:r>
      <w:r w:rsidRPr="00586673">
        <w:rPr>
          <w:lang w:val="en-US"/>
        </w:rPr>
        <w:t xml:space="preserve"> began to develop. Bioarchaeologists now recognize that the investigation of past childhood is central </w:t>
      </w:r>
      <w:r w:rsidR="00E5479A" w:rsidRPr="00586673">
        <w:rPr>
          <w:lang w:val="en-US"/>
        </w:rPr>
        <w:t xml:space="preserve">to </w:t>
      </w:r>
      <w:r w:rsidRPr="00586673">
        <w:rPr>
          <w:lang w:val="en-US"/>
        </w:rPr>
        <w:t xml:space="preserve">a comprehensive study of </w:t>
      </w:r>
      <w:r w:rsidR="00B45F9C" w:rsidRPr="00586673">
        <w:rPr>
          <w:lang w:val="en-US"/>
        </w:rPr>
        <w:t xml:space="preserve">cross-cultural and temporal variation in </w:t>
      </w:r>
      <w:r w:rsidRPr="00586673">
        <w:rPr>
          <w:lang w:val="en-US"/>
        </w:rPr>
        <w:t xml:space="preserve">past diet, social structures, as well as human biological adaptations to social environments (Katzenberg et al. 1996; Prowse 2011). </w:t>
      </w:r>
      <w:r w:rsidRPr="001D5C03">
        <w:rPr>
          <w:lang w:val="en-US"/>
        </w:rPr>
        <w:t xml:space="preserve">Current </w:t>
      </w:r>
      <w:r w:rsidR="00FF3DEF" w:rsidRPr="001D5C03">
        <w:rPr>
          <w:lang w:val="en-US"/>
        </w:rPr>
        <w:t xml:space="preserve">bioarchaeological </w:t>
      </w:r>
      <w:r w:rsidRPr="001D5C03">
        <w:rPr>
          <w:lang w:val="en-US"/>
        </w:rPr>
        <w:t xml:space="preserve">work focuses exclusively on children in an archaeological context, and tries to model various past childhood experiences (e.g. Lewis 2007; </w:t>
      </w:r>
      <w:r w:rsidRPr="001D5C03">
        <w:rPr>
          <w:color w:val="000000" w:themeColor="text1"/>
          <w:lang w:val="en-US"/>
        </w:rPr>
        <w:t>Lewis 2010</w:t>
      </w:r>
      <w:r w:rsidRPr="001D5C03">
        <w:rPr>
          <w:lang w:val="en-US"/>
        </w:rPr>
        <w:t xml:space="preserve">; Penny-Mason </w:t>
      </w:r>
      <w:r w:rsidR="00C21D97" w:rsidRPr="001D5C03">
        <w:rPr>
          <w:lang w:val="en-US"/>
        </w:rPr>
        <w:t xml:space="preserve">&amp; </w:t>
      </w:r>
      <w:r w:rsidRPr="001D5C03">
        <w:rPr>
          <w:lang w:val="en-US"/>
        </w:rPr>
        <w:t>Gowland 201</w:t>
      </w:r>
      <w:r w:rsidRPr="001D5C03">
        <w:rPr>
          <w:color w:val="000000" w:themeColor="text1"/>
          <w:lang w:val="en-US"/>
        </w:rPr>
        <w:t>4</w:t>
      </w:r>
      <w:r w:rsidR="00C01673" w:rsidRPr="001D5C03">
        <w:rPr>
          <w:color w:val="000000" w:themeColor="text1"/>
          <w:lang w:val="en-US"/>
        </w:rPr>
        <w:t>;</w:t>
      </w:r>
      <w:r w:rsidR="00C21D97" w:rsidRPr="001D5C03">
        <w:rPr>
          <w:color w:val="000000" w:themeColor="text1"/>
          <w:lang w:val="en-US"/>
        </w:rPr>
        <w:t xml:space="preserve"> </w:t>
      </w:r>
      <w:r w:rsidRPr="001D5C03">
        <w:rPr>
          <w:lang w:val="en-US"/>
        </w:rPr>
        <w:t>Newman and Gowland 201</w:t>
      </w:r>
      <w:r w:rsidR="00BE1ABC" w:rsidRPr="001D5C03">
        <w:rPr>
          <w:lang w:val="en-US"/>
        </w:rPr>
        <w:t>7</w:t>
      </w:r>
      <w:r w:rsidR="00C01673" w:rsidRPr="001D5C03">
        <w:rPr>
          <w:lang w:val="en-US"/>
        </w:rPr>
        <w:t>; Mays et al. 2017</w:t>
      </w:r>
      <w:r w:rsidR="0095082D">
        <w:rPr>
          <w:lang w:val="en-US"/>
        </w:rPr>
        <w:t xml:space="preserve">; </w:t>
      </w:r>
      <w:r w:rsidR="0095082D" w:rsidRPr="00024D9A">
        <w:rPr>
          <w:color w:val="000000" w:themeColor="text1"/>
          <w:lang w:val="en-US"/>
        </w:rPr>
        <w:t>Beauchesne &amp; Agarwal 2018</w:t>
      </w:r>
      <w:r w:rsidRPr="00024D9A">
        <w:rPr>
          <w:color w:val="000000" w:themeColor="text1"/>
          <w:lang w:val="en-US"/>
        </w:rPr>
        <w:t xml:space="preserve">). </w:t>
      </w:r>
      <w:r w:rsidRPr="00586673">
        <w:rPr>
          <w:lang w:val="en-US"/>
        </w:rPr>
        <w:t>A recent journal</w:t>
      </w:r>
      <w:r w:rsidR="00EA6660">
        <w:rPr>
          <w:lang w:val="en-US"/>
        </w:rPr>
        <w:t xml:space="preserve">, first published in 2009, </w:t>
      </w:r>
      <w:r w:rsidRPr="00586673">
        <w:rPr>
          <w:lang w:val="en-US"/>
        </w:rPr>
        <w:t xml:space="preserve">entitled ‘Childhood in the Past’ clearly demonstrates this new interest in exclusively </w:t>
      </w:r>
      <w:r w:rsidRPr="00586673">
        <w:rPr>
          <w:lang w:val="en-US"/>
        </w:rPr>
        <w:lastRenderedPageBreak/>
        <w:t xml:space="preserve">understanding all aspects associated with early diet, development and experiences of </w:t>
      </w:r>
      <w:r w:rsidR="0012168C" w:rsidRPr="00586673">
        <w:rPr>
          <w:lang w:val="en-US"/>
        </w:rPr>
        <w:t xml:space="preserve">children in </w:t>
      </w:r>
      <w:r w:rsidRPr="00586673">
        <w:rPr>
          <w:lang w:val="en-US"/>
        </w:rPr>
        <w:t>past populations.</w:t>
      </w:r>
    </w:p>
    <w:p w14:paraId="2CB61F4B" w14:textId="77777777" w:rsidR="00B3022D" w:rsidRPr="006A6F55" w:rsidRDefault="00B3022D" w:rsidP="00B3022D">
      <w:pPr>
        <w:ind w:firstLine="720"/>
        <w:rPr>
          <w:color w:val="000000" w:themeColor="text1"/>
          <w:lang w:val="en-US"/>
        </w:rPr>
      </w:pPr>
    </w:p>
    <w:p w14:paraId="0342E224" w14:textId="5CF69AAA" w:rsidR="003B5B7F" w:rsidRDefault="003B5B7F" w:rsidP="000C758D">
      <w:pPr>
        <w:spacing w:line="480" w:lineRule="auto"/>
        <w:ind w:firstLine="720"/>
        <w:rPr>
          <w:color w:val="000000" w:themeColor="text1"/>
          <w:lang w:val="en-US"/>
        </w:rPr>
      </w:pPr>
      <w:r w:rsidRPr="00586673">
        <w:rPr>
          <w:lang w:val="en-US"/>
        </w:rPr>
        <w:t xml:space="preserve">In particular, breastfeeding and weaning practices have become an important area of research </w:t>
      </w:r>
      <w:r w:rsidR="00EB6114" w:rsidRPr="00586673">
        <w:rPr>
          <w:lang w:val="en-US"/>
        </w:rPr>
        <w:t>providing</w:t>
      </w:r>
      <w:r w:rsidRPr="00586673">
        <w:rPr>
          <w:lang w:val="en-US"/>
        </w:rPr>
        <w:t xml:space="preserve"> insight into the long-term consequences of early diet on growth, health, and survivorship. </w:t>
      </w:r>
      <w:r w:rsidRPr="00131AC5">
        <w:rPr>
          <w:lang w:val="en-US"/>
        </w:rPr>
        <w:t xml:space="preserve">Accordingly, a great wealth of information can be gathered about populations and childhood, </w:t>
      </w:r>
      <w:r w:rsidR="00CA0322" w:rsidRPr="00131AC5">
        <w:rPr>
          <w:lang w:val="en-US"/>
        </w:rPr>
        <w:t>present</w:t>
      </w:r>
      <w:r w:rsidRPr="00131AC5">
        <w:rPr>
          <w:lang w:val="en-US"/>
        </w:rPr>
        <w:t xml:space="preserve"> or past, through the study of weaning. </w:t>
      </w:r>
      <w:r w:rsidRPr="00131AC5">
        <w:rPr>
          <w:color w:val="000000" w:themeColor="text1"/>
          <w:lang w:val="en-US"/>
        </w:rPr>
        <w:t xml:space="preserve">This chapter </w:t>
      </w:r>
      <w:r w:rsidR="00EE1717">
        <w:rPr>
          <w:color w:val="000000" w:themeColor="text1"/>
          <w:lang w:val="en-US"/>
        </w:rPr>
        <w:t xml:space="preserve">will provide a brief overview of the theoretical framework that is used in the bioarchaeological investigation of breastfeeding and weaning. Next it </w:t>
      </w:r>
      <w:r w:rsidRPr="00131AC5">
        <w:rPr>
          <w:color w:val="000000" w:themeColor="text1"/>
          <w:lang w:val="en-US"/>
        </w:rPr>
        <w:t xml:space="preserve">will </w:t>
      </w:r>
      <w:r w:rsidR="001C7EFF" w:rsidRPr="00131AC5">
        <w:rPr>
          <w:color w:val="000000" w:themeColor="text1"/>
          <w:lang w:val="en-US"/>
        </w:rPr>
        <w:t xml:space="preserve">discuss </w:t>
      </w:r>
      <w:r w:rsidRPr="00131AC5">
        <w:rPr>
          <w:color w:val="000000" w:themeColor="text1"/>
          <w:lang w:val="en-US"/>
        </w:rPr>
        <w:t>juvenile feeding and maternal reproductive ecology, concepts of optimal infant and young child feeding practices</w:t>
      </w:r>
      <w:r w:rsidR="00A10B40" w:rsidRPr="00131AC5">
        <w:rPr>
          <w:color w:val="000000" w:themeColor="text1"/>
          <w:lang w:val="en-US"/>
        </w:rPr>
        <w:t>,</w:t>
      </w:r>
      <w:r w:rsidRPr="00131AC5">
        <w:rPr>
          <w:color w:val="000000" w:themeColor="text1"/>
          <w:lang w:val="en-US"/>
        </w:rPr>
        <w:t xml:space="preserve"> and bioarchaeological </w:t>
      </w:r>
      <w:r w:rsidR="00EE1717">
        <w:rPr>
          <w:color w:val="000000" w:themeColor="text1"/>
          <w:lang w:val="en-US"/>
        </w:rPr>
        <w:t>methods</w:t>
      </w:r>
      <w:r w:rsidRPr="00131AC5">
        <w:rPr>
          <w:color w:val="000000" w:themeColor="text1"/>
          <w:lang w:val="en-US"/>
        </w:rPr>
        <w:t xml:space="preserve"> to studying weaning. Additionally, it will highlight past research on weaning conducted on Roman and pre-Roman </w:t>
      </w:r>
      <w:r w:rsidR="00A10B40" w:rsidRPr="00131AC5">
        <w:rPr>
          <w:color w:val="000000" w:themeColor="text1"/>
          <w:lang w:val="en-US"/>
        </w:rPr>
        <w:t>skeletal samples</w:t>
      </w:r>
      <w:r w:rsidRPr="00131AC5">
        <w:rPr>
          <w:color w:val="000000" w:themeColor="text1"/>
          <w:lang w:val="en-US"/>
        </w:rPr>
        <w:t xml:space="preserve">, as it is pertinent to </w:t>
      </w:r>
      <w:r w:rsidR="00EB6114" w:rsidRPr="00131AC5">
        <w:rPr>
          <w:color w:val="000000" w:themeColor="text1"/>
          <w:lang w:val="en-US"/>
        </w:rPr>
        <w:t>this study’s focus</w:t>
      </w:r>
      <w:r w:rsidRPr="00131AC5">
        <w:rPr>
          <w:color w:val="000000" w:themeColor="text1"/>
          <w:lang w:val="en-US"/>
        </w:rPr>
        <w:t xml:space="preserve"> on weaning during the Iron Age </w:t>
      </w:r>
      <w:r w:rsidR="00EB6114" w:rsidRPr="00131AC5">
        <w:rPr>
          <w:color w:val="000000" w:themeColor="text1"/>
          <w:lang w:val="en-US"/>
        </w:rPr>
        <w:t xml:space="preserve">of </w:t>
      </w:r>
      <w:r w:rsidR="00A10B40" w:rsidRPr="00131AC5">
        <w:rPr>
          <w:color w:val="000000" w:themeColor="text1"/>
          <w:lang w:val="en-US"/>
        </w:rPr>
        <w:t>s</w:t>
      </w:r>
      <w:r w:rsidRPr="00131AC5">
        <w:rPr>
          <w:color w:val="000000" w:themeColor="text1"/>
          <w:lang w:val="en-US"/>
        </w:rPr>
        <w:t xml:space="preserve">outhern Italy. </w:t>
      </w:r>
    </w:p>
    <w:p w14:paraId="7D88C513" w14:textId="77777777" w:rsidR="006A3FBE" w:rsidRDefault="006A3FBE" w:rsidP="006A3FBE">
      <w:pPr>
        <w:pStyle w:val="NormalWeb"/>
      </w:pPr>
    </w:p>
    <w:p w14:paraId="4D277336" w14:textId="10CDB96B" w:rsidR="006A3FBE" w:rsidRDefault="006A3FBE" w:rsidP="000C758D">
      <w:pPr>
        <w:pStyle w:val="NormalWeb"/>
        <w:numPr>
          <w:ilvl w:val="1"/>
          <w:numId w:val="3"/>
        </w:numPr>
        <w:spacing w:line="480" w:lineRule="auto"/>
        <w:ind w:left="426"/>
        <w:rPr>
          <w:b/>
        </w:rPr>
      </w:pPr>
      <w:r w:rsidRPr="001D6EE9">
        <w:rPr>
          <w:b/>
        </w:rPr>
        <w:t>Theoretical Framework</w:t>
      </w:r>
    </w:p>
    <w:p w14:paraId="3F4F008F" w14:textId="77777777" w:rsidR="000C758D" w:rsidRPr="000C758D" w:rsidRDefault="000C758D" w:rsidP="000C758D">
      <w:pPr>
        <w:pStyle w:val="NormalWeb"/>
        <w:ind w:left="720"/>
        <w:rPr>
          <w:b/>
        </w:rPr>
      </w:pPr>
    </w:p>
    <w:p w14:paraId="37EA27FD" w14:textId="3019E975" w:rsidR="003B5B7F" w:rsidRDefault="006A3FBE" w:rsidP="00BA6887">
      <w:pPr>
        <w:spacing w:line="480" w:lineRule="auto"/>
        <w:ind w:firstLine="720"/>
      </w:pPr>
      <w:r>
        <w:t>T</w:t>
      </w:r>
      <w:r w:rsidRPr="001D6EE9">
        <w:t>he biocultural model</w:t>
      </w:r>
      <w:r>
        <w:t xml:space="preserve"> frames the research presented </w:t>
      </w:r>
      <w:r w:rsidR="00EE1717">
        <w:t>here</w:t>
      </w:r>
      <w:r>
        <w:t xml:space="preserve"> </w:t>
      </w:r>
      <w:r w:rsidRPr="001D6EE9">
        <w:t>as</w:t>
      </w:r>
      <w:r w:rsidRPr="00603F48">
        <w:t xml:space="preserve"> </w:t>
      </w:r>
      <w:r w:rsidR="00EE1717">
        <w:t xml:space="preserve">it is </w:t>
      </w:r>
      <w:r w:rsidRPr="00603F48">
        <w:t xml:space="preserve">an integrative approach </w:t>
      </w:r>
      <w:r>
        <w:t xml:space="preserve">used </w:t>
      </w:r>
      <w:r w:rsidRPr="00603F48">
        <w:t>to investigate the interaction among biological</w:t>
      </w:r>
      <w:r>
        <w:t xml:space="preserve"> </w:t>
      </w:r>
      <w:r w:rsidRPr="00603F48">
        <w:t xml:space="preserve">and sociocultural factors </w:t>
      </w:r>
      <w:r>
        <w:t xml:space="preserve">affecting infant and childhood feeding practices </w:t>
      </w:r>
      <w:r w:rsidRPr="00603F48">
        <w:t>(Goodman &amp; Leatherman 1998; Khongsdier 2007; McElroy</w:t>
      </w:r>
      <w:r w:rsidR="00AB71AA">
        <w:t xml:space="preserve"> </w:t>
      </w:r>
      <w:r w:rsidRPr="00603F48">
        <w:t>1990). Definition</w:t>
      </w:r>
      <w:r>
        <w:t>s</w:t>
      </w:r>
      <w:r w:rsidRPr="00603F48">
        <w:t xml:space="preserve"> of </w:t>
      </w:r>
      <w:r>
        <w:t xml:space="preserve">the </w:t>
      </w:r>
      <w:r w:rsidRPr="00603F48">
        <w:t xml:space="preserve">biocultural approach </w:t>
      </w:r>
      <w:r>
        <w:t>have</w:t>
      </w:r>
      <w:r w:rsidRPr="00603F48">
        <w:t xml:space="preserve"> varied </w:t>
      </w:r>
      <w:r>
        <w:t>over</w:t>
      </w:r>
      <w:r w:rsidRPr="00603F48">
        <w:t xml:space="preserve"> the past several decades, yet it is characterized by </w:t>
      </w:r>
      <w:r>
        <w:t>a core theme</w:t>
      </w:r>
      <w:r w:rsidRPr="00603F48">
        <w:t xml:space="preserve">. In general, the biocultural approach emphasizes the </w:t>
      </w:r>
      <w:r>
        <w:t xml:space="preserve">reciprocal </w:t>
      </w:r>
      <w:r w:rsidRPr="00603F48">
        <w:t xml:space="preserve">exchange between biological and cultural aspects of human </w:t>
      </w:r>
      <w:r>
        <w:t xml:space="preserve">behaviour and </w:t>
      </w:r>
      <w:r w:rsidRPr="00D11166">
        <w:rPr>
          <w:color w:val="000000" w:themeColor="text1"/>
        </w:rPr>
        <w:t xml:space="preserve">health </w:t>
      </w:r>
      <w:r w:rsidR="0095082D" w:rsidRPr="00D11166">
        <w:rPr>
          <w:color w:val="000000" w:themeColor="text1"/>
        </w:rPr>
        <w:t>(Zuckerman &amp; Armelagos</w:t>
      </w:r>
      <w:r w:rsidR="00D11166" w:rsidRPr="00D11166">
        <w:rPr>
          <w:color w:val="000000" w:themeColor="text1"/>
        </w:rPr>
        <w:t xml:space="preserve"> 2011</w:t>
      </w:r>
      <w:r w:rsidRPr="00D11166">
        <w:rPr>
          <w:color w:val="000000" w:themeColor="text1"/>
        </w:rPr>
        <w:t xml:space="preserve">). </w:t>
      </w:r>
      <w:r w:rsidRPr="00603F48">
        <w:t xml:space="preserve">Breastfeeding </w:t>
      </w:r>
      <w:r w:rsidRPr="00603F48">
        <w:lastRenderedPageBreak/>
        <w:t xml:space="preserve">and weaning </w:t>
      </w:r>
      <w:r>
        <w:t>are</w:t>
      </w:r>
      <w:r w:rsidRPr="00603F48">
        <w:t xml:space="preserve"> </w:t>
      </w:r>
      <w:r>
        <w:t xml:space="preserve">both considered </w:t>
      </w:r>
      <w:r w:rsidRPr="00603F48">
        <w:t>biocultural phenomen</w:t>
      </w:r>
      <w:r>
        <w:t>a as they are</w:t>
      </w:r>
      <w:r w:rsidRPr="00603F48">
        <w:t xml:space="preserve"> biological</w:t>
      </w:r>
      <w:r>
        <w:t>ly necessary</w:t>
      </w:r>
      <w:r w:rsidRPr="00603F48">
        <w:t xml:space="preserve"> process</w:t>
      </w:r>
      <w:r>
        <w:t>es</w:t>
      </w:r>
      <w:r w:rsidRPr="00603F48">
        <w:t xml:space="preserve"> that </w:t>
      </w:r>
      <w:r>
        <w:t>are</w:t>
      </w:r>
      <w:r w:rsidRPr="00603F48">
        <w:t xml:space="preserve"> </w:t>
      </w:r>
      <w:r>
        <w:t>shaped</w:t>
      </w:r>
      <w:r w:rsidRPr="00603F48">
        <w:t xml:space="preserve"> b</w:t>
      </w:r>
      <w:r>
        <w:t>y cultural practices, which can have</w:t>
      </w:r>
      <w:r w:rsidRPr="00603F48">
        <w:t xml:space="preserve"> subsequent physiological and epidemiologic consequences (Fildes, Stuart-Macadam &amp; Dettwyler 1995). </w:t>
      </w:r>
      <w:r>
        <w:t>More specifically, t</w:t>
      </w:r>
      <w:r w:rsidRPr="002021B2">
        <w:t>he act of breastfeeding is</w:t>
      </w:r>
      <w:r>
        <w:t xml:space="preserve"> an essential st</w:t>
      </w:r>
      <w:r w:rsidRPr="002021B2">
        <w:t>a</w:t>
      </w:r>
      <w:r>
        <w:t>ge of early infancy that is</w:t>
      </w:r>
      <w:r w:rsidRPr="002021B2">
        <w:t xml:space="preserve"> </w:t>
      </w:r>
      <w:r>
        <w:t>associated with</w:t>
      </w:r>
      <w:r w:rsidRPr="002021B2">
        <w:t xml:space="preserve"> multiple physiological developments</w:t>
      </w:r>
      <w:r>
        <w:t>,</w:t>
      </w:r>
      <w:r w:rsidRPr="002021B2">
        <w:t xml:space="preserve"> such as the maturation</w:t>
      </w:r>
      <w:r>
        <w:t xml:space="preserve"> </w:t>
      </w:r>
      <w:r w:rsidRPr="002021B2">
        <w:t>of</w:t>
      </w:r>
      <w:r>
        <w:t xml:space="preserve"> an infant’s</w:t>
      </w:r>
      <w:r w:rsidRPr="002021B2">
        <w:t xml:space="preserve"> immune system, </w:t>
      </w:r>
      <w:r>
        <w:t>tooth formation</w:t>
      </w:r>
      <w:r w:rsidRPr="002021B2">
        <w:t xml:space="preserve">, and </w:t>
      </w:r>
      <w:r>
        <w:t xml:space="preserve">development of </w:t>
      </w:r>
      <w:r w:rsidRPr="002021B2">
        <w:t>the brain.</w:t>
      </w:r>
      <w:r>
        <w:t xml:space="preserve"> Yet, cultural aspects such as societal beliefs and practices, socioeconomic status, maternal labour load and so forth, dictate </w:t>
      </w:r>
      <w:r w:rsidR="00435A00">
        <w:t xml:space="preserve">whether the infant is breastfed or not, as well as </w:t>
      </w:r>
      <w:r>
        <w:t>the age at which breastfe</w:t>
      </w:r>
      <w:r w:rsidR="00435A00">
        <w:t xml:space="preserve">eding </w:t>
      </w:r>
      <w:r>
        <w:t>and wean</w:t>
      </w:r>
      <w:r w:rsidR="00435A00">
        <w:t>ing are initiated and completed.</w:t>
      </w:r>
      <w:r>
        <w:t xml:space="preserve"> Biocultural r</w:t>
      </w:r>
      <w:r w:rsidRPr="00603F48">
        <w:t xml:space="preserve">esearch </w:t>
      </w:r>
      <w:r>
        <w:t>focusing on early feeding practices</w:t>
      </w:r>
      <w:r w:rsidRPr="00603F48">
        <w:t xml:space="preserve"> underlines the various cultural and biological influences that shape </w:t>
      </w:r>
      <w:r>
        <w:t>infant and young child feedin</w:t>
      </w:r>
      <w:r w:rsidR="00435A00">
        <w:t>g</w:t>
      </w:r>
      <w:r w:rsidRPr="00603F48">
        <w:t xml:space="preserve">. It can inform us </w:t>
      </w:r>
      <w:r>
        <w:t xml:space="preserve">about </w:t>
      </w:r>
      <w:r w:rsidRPr="00603F48">
        <w:t>maternal health, subsistence change, food choice, childcare practices</w:t>
      </w:r>
      <w:r>
        <w:t>,</w:t>
      </w:r>
      <w:r w:rsidRPr="00603F48">
        <w:t xml:space="preserve"> and differential access to foods as a result of social factors</w:t>
      </w:r>
      <w:r>
        <w:t xml:space="preserve"> </w:t>
      </w:r>
      <w:r w:rsidRPr="00D11166">
        <w:rPr>
          <w:color w:val="000000" w:themeColor="text1"/>
        </w:rPr>
        <w:t>(</w:t>
      </w:r>
      <w:r w:rsidR="0095082D" w:rsidRPr="00D11166">
        <w:rPr>
          <w:color w:val="000000" w:themeColor="text1"/>
        </w:rPr>
        <w:t xml:space="preserve">Moffat &amp; Prowse 2018; </w:t>
      </w:r>
      <w:r w:rsidRPr="001D6EE9">
        <w:rPr>
          <w:color w:val="000000" w:themeColor="text1"/>
        </w:rPr>
        <w:t xml:space="preserve">Fuller, Richards &amp; Mays 2003; Herring et al. 1998; Wright &amp; Schwarcz 1999). </w:t>
      </w:r>
      <w:r>
        <w:rPr>
          <w:color w:val="000000" w:themeColor="text1"/>
        </w:rPr>
        <w:t xml:space="preserve">This investigation uses </w:t>
      </w:r>
      <w:r w:rsidRPr="001D6EE9">
        <w:rPr>
          <w:color w:val="000000" w:themeColor="text1"/>
        </w:rPr>
        <w:t xml:space="preserve">the biocultural model to </w:t>
      </w:r>
      <w:r>
        <w:rPr>
          <w:color w:val="000000" w:themeColor="text1"/>
        </w:rPr>
        <w:t>understand</w:t>
      </w:r>
      <w:r w:rsidRPr="001D6EE9">
        <w:rPr>
          <w:color w:val="000000" w:themeColor="text1"/>
        </w:rPr>
        <w:t xml:space="preserve"> how </w:t>
      </w:r>
      <w:r>
        <w:rPr>
          <w:color w:val="000000" w:themeColor="text1"/>
        </w:rPr>
        <w:t>weaning</w:t>
      </w:r>
      <w:r w:rsidRPr="001D6EE9">
        <w:rPr>
          <w:color w:val="000000" w:themeColor="text1"/>
        </w:rPr>
        <w:t xml:space="preserve"> practices</w:t>
      </w:r>
      <w:r>
        <w:rPr>
          <w:color w:val="000000" w:themeColor="text1"/>
        </w:rPr>
        <w:t xml:space="preserve"> varied in Iron Age Italy</w:t>
      </w:r>
      <w:r w:rsidRPr="001D6EE9">
        <w:rPr>
          <w:color w:val="000000" w:themeColor="text1"/>
        </w:rPr>
        <w:t xml:space="preserve"> (e.g.</w:t>
      </w:r>
      <w:r w:rsidR="001D5C03">
        <w:rPr>
          <w:color w:val="000000" w:themeColor="text1"/>
        </w:rPr>
        <w:t>,</w:t>
      </w:r>
      <w:r w:rsidRPr="001D6EE9">
        <w:rPr>
          <w:color w:val="000000" w:themeColor="text1"/>
        </w:rPr>
        <w:t xml:space="preserve"> weaning earlier or later, type of weaning foods</w:t>
      </w:r>
      <w:r>
        <w:rPr>
          <w:color w:val="000000" w:themeColor="text1"/>
        </w:rPr>
        <w:t>, duration of transitional feeding</w:t>
      </w:r>
      <w:r w:rsidRPr="001D6EE9">
        <w:rPr>
          <w:color w:val="000000" w:themeColor="text1"/>
        </w:rPr>
        <w:t>); thereby investigating the cultural and biological interactions that result in the health and well-being of children from this particular time period.</w:t>
      </w:r>
      <w:r>
        <w:rPr>
          <w:color w:val="000000" w:themeColor="text1"/>
        </w:rPr>
        <w:t xml:space="preserve"> </w:t>
      </w:r>
    </w:p>
    <w:p w14:paraId="67580908" w14:textId="600E70B3" w:rsidR="000C758D" w:rsidRDefault="000C758D" w:rsidP="000C758D">
      <w:pPr>
        <w:ind w:firstLine="720"/>
      </w:pPr>
    </w:p>
    <w:p w14:paraId="25067898" w14:textId="044D1279" w:rsidR="00F92096" w:rsidRDefault="00F92096" w:rsidP="000C758D">
      <w:pPr>
        <w:ind w:firstLine="720"/>
      </w:pPr>
    </w:p>
    <w:p w14:paraId="1BCA68BA" w14:textId="3F2066F6" w:rsidR="00F92096" w:rsidRDefault="00F92096" w:rsidP="000C758D">
      <w:pPr>
        <w:ind w:firstLine="720"/>
      </w:pPr>
    </w:p>
    <w:p w14:paraId="591AB878" w14:textId="7123A9E9" w:rsidR="00F92096" w:rsidRDefault="00F92096" w:rsidP="000C758D">
      <w:pPr>
        <w:ind w:firstLine="720"/>
      </w:pPr>
    </w:p>
    <w:p w14:paraId="003A3314" w14:textId="53C63B3D" w:rsidR="00F92096" w:rsidRDefault="00F92096" w:rsidP="000C758D">
      <w:pPr>
        <w:ind w:firstLine="720"/>
      </w:pPr>
    </w:p>
    <w:p w14:paraId="76DB7D1B" w14:textId="5D5B7D40" w:rsidR="00F92096" w:rsidRDefault="00F92096" w:rsidP="000C758D">
      <w:pPr>
        <w:ind w:firstLine="720"/>
      </w:pPr>
    </w:p>
    <w:p w14:paraId="19E0F79D" w14:textId="66880312" w:rsidR="00F92096" w:rsidRDefault="00F92096" w:rsidP="000C758D">
      <w:pPr>
        <w:ind w:firstLine="720"/>
      </w:pPr>
    </w:p>
    <w:p w14:paraId="0AEABCDB" w14:textId="77777777" w:rsidR="00F92096" w:rsidRPr="000C758D" w:rsidRDefault="00F92096" w:rsidP="000C758D">
      <w:pPr>
        <w:ind w:firstLine="720"/>
      </w:pPr>
    </w:p>
    <w:p w14:paraId="47D8A1ED" w14:textId="55F00852" w:rsidR="00EE14EA" w:rsidRPr="000C758D" w:rsidRDefault="003B5B7F" w:rsidP="000C758D">
      <w:pPr>
        <w:pStyle w:val="ListParagraph"/>
        <w:numPr>
          <w:ilvl w:val="1"/>
          <w:numId w:val="3"/>
        </w:numPr>
        <w:tabs>
          <w:tab w:val="left" w:pos="426"/>
        </w:tabs>
        <w:spacing w:line="480" w:lineRule="auto"/>
        <w:ind w:left="284" w:hanging="284"/>
        <w:rPr>
          <w:rFonts w:ascii="Times New Roman" w:hAnsi="Times New Roman" w:cs="Times New Roman"/>
          <w:b/>
        </w:rPr>
      </w:pPr>
      <w:r w:rsidRPr="00A54B76">
        <w:rPr>
          <w:rFonts w:ascii="Times New Roman" w:hAnsi="Times New Roman" w:cs="Times New Roman"/>
          <w:b/>
        </w:rPr>
        <w:lastRenderedPageBreak/>
        <w:t xml:space="preserve">Infant and Young Child Feeding Practices (IYCF) </w:t>
      </w:r>
    </w:p>
    <w:p w14:paraId="01791409" w14:textId="5901909A" w:rsidR="003B5B7F" w:rsidRDefault="006A6027" w:rsidP="000C758D">
      <w:pPr>
        <w:spacing w:line="480" w:lineRule="auto"/>
        <w:rPr>
          <w:lang w:val="en-US"/>
        </w:rPr>
      </w:pPr>
      <w:r w:rsidRPr="00131AC5">
        <w:rPr>
          <w:lang w:val="en-US"/>
        </w:rPr>
        <w:t>2.</w:t>
      </w:r>
      <w:r w:rsidR="00EE1717">
        <w:rPr>
          <w:lang w:val="en-US"/>
        </w:rPr>
        <w:t>3</w:t>
      </w:r>
      <w:r w:rsidRPr="00131AC5">
        <w:rPr>
          <w:lang w:val="en-US"/>
        </w:rPr>
        <w:t>.</w:t>
      </w:r>
      <w:r w:rsidR="00131AC5">
        <w:rPr>
          <w:lang w:val="en-US"/>
        </w:rPr>
        <w:t>1</w:t>
      </w:r>
      <w:r w:rsidRPr="00131AC5">
        <w:rPr>
          <w:lang w:val="en-US"/>
        </w:rPr>
        <w:t xml:space="preserve"> </w:t>
      </w:r>
      <w:r w:rsidR="003B5B7F" w:rsidRPr="00131AC5">
        <w:rPr>
          <w:lang w:val="en-US"/>
        </w:rPr>
        <w:t>Age Categories and Terminology</w:t>
      </w:r>
    </w:p>
    <w:p w14:paraId="42195916" w14:textId="77777777" w:rsidR="00EE1717" w:rsidRPr="00EE14EA" w:rsidRDefault="00EE1717" w:rsidP="000C758D">
      <w:pPr>
        <w:rPr>
          <w:lang w:val="en-US"/>
        </w:rPr>
      </w:pPr>
    </w:p>
    <w:p w14:paraId="1D025EE9" w14:textId="40C97616" w:rsidR="003B5B7F" w:rsidRPr="00131AC5" w:rsidRDefault="003B5B7F" w:rsidP="003B5B7F">
      <w:pPr>
        <w:spacing w:line="480" w:lineRule="auto"/>
        <w:rPr>
          <w:color w:val="000000" w:themeColor="text1"/>
          <w:lang w:val="en-US"/>
        </w:rPr>
      </w:pPr>
      <w:r w:rsidRPr="00131AC5">
        <w:rPr>
          <w:lang w:val="en-US"/>
        </w:rPr>
        <w:t xml:space="preserve"> </w:t>
      </w:r>
      <w:r w:rsidRPr="00131AC5">
        <w:rPr>
          <w:lang w:val="en-US"/>
        </w:rPr>
        <w:tab/>
        <w:t xml:space="preserve">When analyzing past childhood, age categories are often variable between studies and are not necessarily relevant to biological development or social identity (Halcrow </w:t>
      </w:r>
      <w:r w:rsidR="00C21D97" w:rsidRPr="00131AC5">
        <w:rPr>
          <w:lang w:val="en-US"/>
        </w:rPr>
        <w:t>&amp;</w:t>
      </w:r>
      <w:r w:rsidRPr="00131AC5">
        <w:rPr>
          <w:lang w:val="en-US"/>
        </w:rPr>
        <w:t xml:space="preserve"> Tayles 2011). The ‘type’ of age category (biological, chronological and social) used in a study depends on the particular research objectives; hence, it is important to outline these o</w:t>
      </w:r>
      <w:r w:rsidR="00B16920" w:rsidRPr="00131AC5">
        <w:rPr>
          <w:lang w:val="en-US"/>
        </w:rPr>
        <w:t>b</w:t>
      </w:r>
      <w:r w:rsidRPr="00131AC5">
        <w:rPr>
          <w:lang w:val="en-US"/>
        </w:rPr>
        <w:t xml:space="preserve">jectives as age categories used in bioarchaeological analysis have implications for future interpretation and comparison of these </w:t>
      </w:r>
      <w:r w:rsidR="00D369EA">
        <w:rPr>
          <w:lang w:val="en-US"/>
        </w:rPr>
        <w:t xml:space="preserve">skeletal </w:t>
      </w:r>
      <w:r w:rsidRPr="00131AC5">
        <w:rPr>
          <w:lang w:val="en-US"/>
        </w:rPr>
        <w:t xml:space="preserve">data among different studies. In this study, age is assigned according to </w:t>
      </w:r>
      <w:r w:rsidRPr="00131AC5">
        <w:rPr>
          <w:color w:val="000000" w:themeColor="text1"/>
          <w:lang w:val="en-US"/>
        </w:rPr>
        <w:t xml:space="preserve">biological range estimates </w:t>
      </w:r>
      <w:r w:rsidR="006E61D7">
        <w:rPr>
          <w:color w:val="000000" w:themeColor="text1"/>
          <w:lang w:val="en-US"/>
        </w:rPr>
        <w:t xml:space="preserve">primarily based on </w:t>
      </w:r>
      <w:r w:rsidRPr="00131AC5">
        <w:rPr>
          <w:color w:val="000000" w:themeColor="text1"/>
          <w:lang w:val="en-US"/>
        </w:rPr>
        <w:t xml:space="preserve">tooth formation and eruption </w:t>
      </w:r>
      <w:r w:rsidR="006E61D7">
        <w:rPr>
          <w:color w:val="000000" w:themeColor="text1"/>
          <w:lang w:val="en-US"/>
        </w:rPr>
        <w:t>and depending</w:t>
      </w:r>
      <w:r w:rsidR="00EC3F41">
        <w:rPr>
          <w:color w:val="000000" w:themeColor="text1"/>
          <w:lang w:val="en-US"/>
        </w:rPr>
        <w:t xml:space="preserve"> on the individual</w:t>
      </w:r>
      <w:r w:rsidR="00B3022D">
        <w:rPr>
          <w:color w:val="000000" w:themeColor="text1"/>
          <w:lang w:val="en-US"/>
        </w:rPr>
        <w:t>,</w:t>
      </w:r>
      <w:r w:rsidR="00EC3F41">
        <w:rPr>
          <w:color w:val="000000" w:themeColor="text1"/>
          <w:lang w:val="en-US"/>
        </w:rPr>
        <w:t xml:space="preserve"> as well as the</w:t>
      </w:r>
      <w:r w:rsidR="006E61D7">
        <w:rPr>
          <w:color w:val="000000" w:themeColor="text1"/>
          <w:lang w:val="en-US"/>
        </w:rPr>
        <w:t xml:space="preserve"> skeletal preservation</w:t>
      </w:r>
      <w:r w:rsidR="00B3022D">
        <w:rPr>
          <w:color w:val="000000" w:themeColor="text1"/>
          <w:lang w:val="en-US"/>
        </w:rPr>
        <w:t xml:space="preserve"> for subadults. Adult</w:t>
      </w:r>
      <w:r w:rsidR="00EC3F41">
        <w:rPr>
          <w:color w:val="000000" w:themeColor="text1"/>
          <w:lang w:val="en-US"/>
        </w:rPr>
        <w:t xml:space="preserve"> age is also assigned using the features of the innominate bone.</w:t>
      </w:r>
    </w:p>
    <w:p w14:paraId="6D441A08" w14:textId="77777777" w:rsidR="00B16920" w:rsidRPr="00131AC5" w:rsidRDefault="00B16920" w:rsidP="00DC7DBA">
      <w:pPr>
        <w:rPr>
          <w:lang w:val="en-US"/>
        </w:rPr>
      </w:pPr>
    </w:p>
    <w:p w14:paraId="35C02EAD" w14:textId="0BC3F60C" w:rsidR="003B5B7F" w:rsidRDefault="003B5B7F" w:rsidP="00EE14EA">
      <w:pPr>
        <w:spacing w:line="480" w:lineRule="auto"/>
        <w:ind w:firstLine="720"/>
        <w:rPr>
          <w:lang w:val="en-US"/>
        </w:rPr>
      </w:pPr>
      <w:r w:rsidRPr="00131AC5">
        <w:rPr>
          <w:lang w:val="en-US"/>
        </w:rPr>
        <w:t>The postnatal period includes the following stages: infancy, childhood, juvenile stage, adolescence and adulthood. Based on clinical paediatric medical definition</w:t>
      </w:r>
      <w:r w:rsidR="00B3022D">
        <w:rPr>
          <w:lang w:val="en-US"/>
        </w:rPr>
        <w:t>s</w:t>
      </w:r>
      <w:r w:rsidRPr="00131AC5">
        <w:rPr>
          <w:lang w:val="en-US"/>
        </w:rPr>
        <w:t xml:space="preserve">, some researchers assign the term </w:t>
      </w:r>
      <w:r w:rsidRPr="00131AC5">
        <w:rPr>
          <w:rFonts w:eastAsia="Helvetica"/>
          <w:lang w:val="en-US"/>
        </w:rPr>
        <w:t xml:space="preserve">‘infant’ to individuals who are younger than </w:t>
      </w:r>
      <w:r w:rsidR="00EC3F41">
        <w:rPr>
          <w:rFonts w:eastAsia="Helvetica"/>
          <w:lang w:val="en-US"/>
        </w:rPr>
        <w:t>one</w:t>
      </w:r>
      <w:r w:rsidRPr="00131AC5">
        <w:rPr>
          <w:rFonts w:eastAsia="Helvetica"/>
          <w:lang w:val="en-US"/>
        </w:rPr>
        <w:t xml:space="preserve"> year </w:t>
      </w:r>
      <w:r w:rsidRPr="00131AC5">
        <w:rPr>
          <w:rFonts w:eastAsia="Helvetica"/>
          <w:color w:val="000000" w:themeColor="text1"/>
          <w:lang w:val="en-US"/>
        </w:rPr>
        <w:t>of age</w:t>
      </w:r>
      <w:r w:rsidRPr="00131AC5">
        <w:rPr>
          <w:color w:val="000000" w:themeColor="text1"/>
          <w:lang w:val="en-US"/>
        </w:rPr>
        <w:t xml:space="preserve"> (Forfar et al. 1998, 2003</w:t>
      </w:r>
      <w:r w:rsidRPr="00131AC5">
        <w:rPr>
          <w:lang w:val="en-US"/>
        </w:rPr>
        <w:t xml:space="preserve">; Scheuer </w:t>
      </w:r>
      <w:r w:rsidR="00C21D97" w:rsidRPr="00131AC5">
        <w:rPr>
          <w:lang w:val="en-US"/>
        </w:rPr>
        <w:t>&amp;</w:t>
      </w:r>
      <w:r w:rsidRPr="00131AC5">
        <w:rPr>
          <w:lang w:val="en-US"/>
        </w:rPr>
        <w:t xml:space="preserve"> Black 2000), while others use this term to refer to young children up to </w:t>
      </w:r>
      <w:r w:rsidR="00EC3F41">
        <w:rPr>
          <w:lang w:val="en-US"/>
        </w:rPr>
        <w:t>three</w:t>
      </w:r>
      <w:r w:rsidRPr="00131AC5">
        <w:rPr>
          <w:lang w:val="en-US"/>
        </w:rPr>
        <w:t xml:space="preserve"> or </w:t>
      </w:r>
      <w:r w:rsidR="00EC3F41">
        <w:rPr>
          <w:lang w:val="en-US"/>
        </w:rPr>
        <w:t>five</w:t>
      </w:r>
      <w:r w:rsidRPr="00131AC5">
        <w:rPr>
          <w:lang w:val="en-US"/>
        </w:rPr>
        <w:t xml:space="preserve"> years of age</w:t>
      </w:r>
      <w:r w:rsidR="00EB6114" w:rsidRPr="00131AC5">
        <w:rPr>
          <w:lang w:val="en-US"/>
        </w:rPr>
        <w:t xml:space="preserve"> (White</w:t>
      </w:r>
      <w:r w:rsidR="00C21D97" w:rsidRPr="00131AC5">
        <w:rPr>
          <w:lang w:val="en-US"/>
        </w:rPr>
        <w:t xml:space="preserve"> &amp;</w:t>
      </w:r>
      <w:r w:rsidR="00EB6114" w:rsidRPr="00131AC5">
        <w:rPr>
          <w:lang w:val="en-US"/>
        </w:rPr>
        <w:t xml:space="preserve"> Folken 2005)</w:t>
      </w:r>
      <w:r w:rsidRPr="00131AC5">
        <w:rPr>
          <w:lang w:val="en-US"/>
        </w:rPr>
        <w:t xml:space="preserve">. </w:t>
      </w:r>
      <w:r w:rsidRPr="00EC3F41">
        <w:rPr>
          <w:lang w:val="en-US"/>
        </w:rPr>
        <w:t xml:space="preserve">However, Lewis (2007) argues that it is problematic to include children up to </w:t>
      </w:r>
      <w:r w:rsidR="00EC3F41">
        <w:rPr>
          <w:lang w:val="en-US"/>
        </w:rPr>
        <w:t>five</w:t>
      </w:r>
      <w:r w:rsidRPr="00EC3F41">
        <w:rPr>
          <w:lang w:val="en-US"/>
        </w:rPr>
        <w:t xml:space="preserve"> years of age in an </w:t>
      </w:r>
      <w:r w:rsidRPr="00EC3F41">
        <w:rPr>
          <w:rFonts w:eastAsia="Helvetica"/>
          <w:lang w:val="en-US"/>
        </w:rPr>
        <w:t>“</w:t>
      </w:r>
      <w:r w:rsidRPr="00EC3F41">
        <w:rPr>
          <w:lang w:val="en-US"/>
        </w:rPr>
        <w:t>infant</w:t>
      </w:r>
      <w:r w:rsidRPr="00EC3F41">
        <w:rPr>
          <w:rFonts w:eastAsia="Helvetica"/>
          <w:lang w:val="en-US"/>
        </w:rPr>
        <w:t>”</w:t>
      </w:r>
      <w:r w:rsidRPr="00EC3F41">
        <w:rPr>
          <w:lang w:val="en-US"/>
        </w:rPr>
        <w:t xml:space="preserve"> category because</w:t>
      </w:r>
      <w:r w:rsidRPr="00EC3F41">
        <w:rPr>
          <w:rFonts w:eastAsia="Helvetica"/>
          <w:lang w:val="en-US"/>
        </w:rPr>
        <w:t xml:space="preserve"> it </w:t>
      </w:r>
      <w:r w:rsidRPr="00EC3F41">
        <w:rPr>
          <w:lang w:val="en-US"/>
        </w:rPr>
        <w:t xml:space="preserve">overlooks the major physiological and social developments that occur from birth. In this study, I use the term </w:t>
      </w:r>
      <w:r w:rsidRPr="00EC3F41">
        <w:rPr>
          <w:rFonts w:eastAsia="Helvetica"/>
          <w:lang w:val="en-US"/>
        </w:rPr>
        <w:t>‘</w:t>
      </w:r>
      <w:r w:rsidRPr="00EC3F41">
        <w:rPr>
          <w:lang w:val="en-US"/>
        </w:rPr>
        <w:t>infant</w:t>
      </w:r>
      <w:r w:rsidRPr="00EC3F41">
        <w:rPr>
          <w:rFonts w:eastAsia="Helvetica"/>
          <w:lang w:val="en-US"/>
        </w:rPr>
        <w:t>’</w:t>
      </w:r>
      <w:r w:rsidRPr="00EC3F41">
        <w:rPr>
          <w:lang w:val="en-US"/>
        </w:rPr>
        <w:t xml:space="preserve"> to refer to young children under </w:t>
      </w:r>
      <w:r w:rsidR="00EC3F41">
        <w:rPr>
          <w:lang w:val="en-US"/>
        </w:rPr>
        <w:t>one</w:t>
      </w:r>
      <w:r w:rsidRPr="00EC3F41">
        <w:rPr>
          <w:lang w:val="en-US"/>
        </w:rPr>
        <w:t xml:space="preserve"> year of age, while infant and young child feeding (IYCF) covers the period from birth </w:t>
      </w:r>
      <w:r w:rsidRPr="00EC3F41">
        <w:rPr>
          <w:lang w:val="en-US"/>
        </w:rPr>
        <w:lastRenderedPageBreak/>
        <w:t>through the completion of weaning and the shift to a post-weaning diet (Sellen 2007). In</w:t>
      </w:r>
      <w:r w:rsidRPr="00131AC5">
        <w:rPr>
          <w:lang w:val="en-US"/>
        </w:rPr>
        <w:t xml:space="preserve"> past studies, </w:t>
      </w:r>
      <w:r w:rsidRPr="00131AC5">
        <w:rPr>
          <w:rFonts w:eastAsia="Helvetica"/>
          <w:lang w:val="en-US"/>
        </w:rPr>
        <w:t>‘</w:t>
      </w:r>
      <w:r w:rsidRPr="00131AC5">
        <w:rPr>
          <w:lang w:val="en-US"/>
        </w:rPr>
        <w:t>subadult,</w:t>
      </w:r>
      <w:r w:rsidRPr="00131AC5">
        <w:rPr>
          <w:rFonts w:eastAsia="Helvetica"/>
          <w:lang w:val="en-US"/>
        </w:rPr>
        <w:t xml:space="preserve">’ ‘juvenile,’ and ‘child’ have all been used interchangeably for individuals who have not yet reached adulthood (e.g. Hoppa 1992; Scheuer </w:t>
      </w:r>
      <w:r w:rsidR="00C21D97" w:rsidRPr="00131AC5">
        <w:rPr>
          <w:rFonts w:eastAsia="Helvetica"/>
          <w:lang w:val="en-US"/>
        </w:rPr>
        <w:t>&amp;</w:t>
      </w:r>
      <w:r w:rsidRPr="00131AC5">
        <w:rPr>
          <w:rFonts w:eastAsia="Helvetica"/>
          <w:lang w:val="en-US"/>
        </w:rPr>
        <w:t xml:space="preserve"> Bowman 1995; Scheuer </w:t>
      </w:r>
      <w:r w:rsidR="00C21D97" w:rsidRPr="00131AC5">
        <w:rPr>
          <w:rFonts w:eastAsia="Helvetica"/>
          <w:lang w:val="en-US"/>
        </w:rPr>
        <w:t xml:space="preserve">&amp; </w:t>
      </w:r>
      <w:r w:rsidRPr="00131AC5">
        <w:rPr>
          <w:rFonts w:eastAsia="Helvetica"/>
          <w:lang w:val="en-US"/>
        </w:rPr>
        <w:t xml:space="preserve">Black 2000).  </w:t>
      </w:r>
      <w:r w:rsidRPr="008C4A6A">
        <w:rPr>
          <w:rFonts w:eastAsia="Helvetica"/>
          <w:lang w:val="en-US"/>
        </w:rPr>
        <w:t xml:space="preserve">Consequently, as the definitions of these terms vary among bioarchaeologists, I use the term ‘subadult’ </w:t>
      </w:r>
      <w:r w:rsidR="00A95A50">
        <w:rPr>
          <w:rFonts w:eastAsia="Helvetica"/>
          <w:lang w:val="en-US"/>
        </w:rPr>
        <w:t>broadly</w:t>
      </w:r>
      <w:r w:rsidRPr="008C4A6A">
        <w:rPr>
          <w:rFonts w:eastAsia="Helvetica"/>
          <w:lang w:val="en-US"/>
        </w:rPr>
        <w:t xml:space="preserve"> in reference to both ‘infants’ and ‘young children’ and when generally discussing stages of infancy and childhood (</w:t>
      </w:r>
      <w:r w:rsidR="001761B7" w:rsidRPr="008C4A6A">
        <w:rPr>
          <w:rFonts w:eastAsia="Helvetica"/>
          <w:lang w:val="en-US"/>
        </w:rPr>
        <w:t xml:space="preserve">after </w:t>
      </w:r>
      <w:r w:rsidRPr="008C4A6A">
        <w:rPr>
          <w:rFonts w:eastAsia="Helvetica"/>
          <w:lang w:val="en-US"/>
        </w:rPr>
        <w:t xml:space="preserve">Halcrow &amp; Tayles 2011). Childhood ends once individuals reach puberty, which </w:t>
      </w:r>
      <w:r w:rsidR="001761B7" w:rsidRPr="008C4A6A">
        <w:rPr>
          <w:rFonts w:eastAsia="Helvetica"/>
          <w:lang w:val="en-US"/>
        </w:rPr>
        <w:t xml:space="preserve">starts </w:t>
      </w:r>
      <w:r w:rsidRPr="008C4A6A">
        <w:rPr>
          <w:rFonts w:eastAsia="Helvetica"/>
          <w:lang w:val="en-US"/>
        </w:rPr>
        <w:t>approximately</w:t>
      </w:r>
      <w:r w:rsidR="001761B7" w:rsidRPr="008C4A6A">
        <w:rPr>
          <w:rFonts w:eastAsia="Helvetica"/>
          <w:lang w:val="en-US"/>
        </w:rPr>
        <w:t xml:space="preserve"> at</w:t>
      </w:r>
      <w:r w:rsidRPr="008C4A6A">
        <w:rPr>
          <w:rFonts w:eastAsia="Helvetica"/>
          <w:lang w:val="en-US"/>
        </w:rPr>
        <w:t xml:space="preserve"> </w:t>
      </w:r>
      <w:r w:rsidRPr="008C4A6A">
        <w:rPr>
          <w:lang w:val="en-US"/>
        </w:rPr>
        <w:t>10 to 13 years of age for females and 12 to 16 years for males</w:t>
      </w:r>
      <w:r w:rsidR="00ED51DC" w:rsidRPr="008C4A6A">
        <w:rPr>
          <w:lang w:val="en-US"/>
        </w:rPr>
        <w:t>,</w:t>
      </w:r>
      <w:r w:rsidRPr="008C4A6A">
        <w:rPr>
          <w:lang w:val="en-US"/>
        </w:rPr>
        <w:t xml:space="preserve"> during which they are considered adolescents up until 17 years of age (Scheuer</w:t>
      </w:r>
      <w:r w:rsidR="00C21D97" w:rsidRPr="008C4A6A">
        <w:rPr>
          <w:lang w:val="en-US"/>
        </w:rPr>
        <w:t xml:space="preserve"> &amp;</w:t>
      </w:r>
      <w:r w:rsidRPr="008C4A6A">
        <w:rPr>
          <w:lang w:val="en-US"/>
        </w:rPr>
        <w:t xml:space="preserve"> Black 2000). </w:t>
      </w:r>
    </w:p>
    <w:p w14:paraId="2B8E1FDB" w14:textId="77777777" w:rsidR="00965988" w:rsidRPr="00EE14EA" w:rsidRDefault="00965988" w:rsidP="00965988">
      <w:pPr>
        <w:ind w:firstLine="720"/>
        <w:rPr>
          <w:rFonts w:eastAsia="Helvetica"/>
          <w:lang w:val="en-US"/>
        </w:rPr>
      </w:pPr>
    </w:p>
    <w:p w14:paraId="2D43FA7B" w14:textId="2400B9E0" w:rsidR="00BA6887" w:rsidRDefault="006E61D7" w:rsidP="00EC3F41">
      <w:pPr>
        <w:spacing w:line="480" w:lineRule="auto"/>
        <w:ind w:firstLine="720"/>
        <w:rPr>
          <w:lang w:val="en-US"/>
        </w:rPr>
      </w:pPr>
      <w:r>
        <w:rPr>
          <w:lang w:val="en-US"/>
        </w:rPr>
        <w:t>F</w:t>
      </w:r>
      <w:r w:rsidR="003B5B7F" w:rsidRPr="00131AC5">
        <w:rPr>
          <w:lang w:val="en-US"/>
        </w:rPr>
        <w:t>or this discussion terminology associated with IYCF practices should</w:t>
      </w:r>
      <w:r>
        <w:rPr>
          <w:lang w:val="en-US"/>
        </w:rPr>
        <w:t xml:space="preserve"> also</w:t>
      </w:r>
      <w:r w:rsidR="003B5B7F" w:rsidRPr="00131AC5">
        <w:rPr>
          <w:lang w:val="en-US"/>
        </w:rPr>
        <w:t xml:space="preserve"> be defined. ‘Weaning’ is a process that involves the gradual removal of breast milk and the introduction of ‘complementary foods’ – or non-breast milk foods – with the eventual complete termination of breastfeeding (Herring et al. 1998). This period where nutrition is attained through the combination of breast milk and complementary foods is termed ‘transitional feeding’ (Sellen 2007). </w:t>
      </w:r>
    </w:p>
    <w:p w14:paraId="7F72B213" w14:textId="77777777" w:rsidR="00EC3F41" w:rsidRPr="00131AC5" w:rsidRDefault="00EC3F41" w:rsidP="00EC3F41">
      <w:pPr>
        <w:ind w:firstLine="720"/>
        <w:rPr>
          <w:lang w:val="en-US"/>
        </w:rPr>
      </w:pPr>
    </w:p>
    <w:p w14:paraId="19B065B4" w14:textId="0668E2B6" w:rsidR="00046F00" w:rsidRDefault="003B5B7F" w:rsidP="00965988">
      <w:pPr>
        <w:pStyle w:val="ListParagraph"/>
        <w:numPr>
          <w:ilvl w:val="2"/>
          <w:numId w:val="38"/>
        </w:numPr>
        <w:tabs>
          <w:tab w:val="left" w:pos="426"/>
          <w:tab w:val="left" w:pos="567"/>
          <w:tab w:val="left" w:pos="709"/>
        </w:tabs>
        <w:spacing w:line="480" w:lineRule="auto"/>
        <w:rPr>
          <w:rFonts w:ascii="Times New Roman" w:hAnsi="Times New Roman" w:cs="Times New Roman"/>
        </w:rPr>
      </w:pPr>
      <w:r w:rsidRPr="00965988">
        <w:rPr>
          <w:rFonts w:ascii="Times New Roman" w:hAnsi="Times New Roman" w:cs="Times New Roman"/>
        </w:rPr>
        <w:t xml:space="preserve">Juvenile Feeding and Maternal Reproductive Ecology  </w:t>
      </w:r>
    </w:p>
    <w:p w14:paraId="00CE24E8" w14:textId="77777777" w:rsidR="00965988" w:rsidRPr="00965988" w:rsidRDefault="00965988" w:rsidP="00965988">
      <w:pPr>
        <w:pStyle w:val="ListParagraph"/>
        <w:tabs>
          <w:tab w:val="left" w:pos="426"/>
          <w:tab w:val="left" w:pos="567"/>
          <w:tab w:val="left" w:pos="709"/>
        </w:tabs>
        <w:rPr>
          <w:rFonts w:ascii="Times New Roman" w:hAnsi="Times New Roman" w:cs="Times New Roman"/>
        </w:rPr>
      </w:pPr>
    </w:p>
    <w:p w14:paraId="2D20383C" w14:textId="0D67AF1C" w:rsidR="00F65EE8" w:rsidRDefault="003B5B7F" w:rsidP="00EE14EA">
      <w:pPr>
        <w:spacing w:line="480" w:lineRule="auto"/>
        <w:ind w:firstLine="720"/>
        <w:rPr>
          <w:color w:val="000000" w:themeColor="text1"/>
          <w:lang w:val="en-US"/>
        </w:rPr>
      </w:pPr>
      <w:r w:rsidRPr="00131AC5">
        <w:rPr>
          <w:lang w:val="en-US"/>
        </w:rPr>
        <w:t xml:space="preserve">Breast milk is the earliest nutrition most infants receive post-birth.  It </w:t>
      </w:r>
      <w:r w:rsidR="00E42BDE">
        <w:rPr>
          <w:lang w:val="en-US"/>
        </w:rPr>
        <w:t xml:space="preserve">contains </w:t>
      </w:r>
      <w:r w:rsidRPr="00131AC5">
        <w:rPr>
          <w:lang w:val="en-US"/>
        </w:rPr>
        <w:t xml:space="preserve">various immunological and nutritional properties that are essential for infant survival, growth, and development, especially in the first six months after birth (Kramer </w:t>
      </w:r>
      <w:r w:rsidR="00C21D97" w:rsidRPr="00131AC5">
        <w:rPr>
          <w:lang w:val="en-US"/>
        </w:rPr>
        <w:t>&amp;</w:t>
      </w:r>
      <w:r w:rsidRPr="00131AC5">
        <w:rPr>
          <w:lang w:val="en-US"/>
        </w:rPr>
        <w:t xml:space="preserve"> Kakuma 2004). Specifically, breastmilk is known to contain T and B lymphocytes, </w:t>
      </w:r>
      <w:r w:rsidRPr="00131AC5">
        <w:rPr>
          <w:lang w:val="en-US"/>
        </w:rPr>
        <w:lastRenderedPageBreak/>
        <w:t>immunoglobins, antistaphylococcal factor and other resistance factors (</w:t>
      </w:r>
      <w:r w:rsidRPr="00131AC5">
        <w:rPr>
          <w:color w:val="000000" w:themeColor="text1"/>
          <w:lang w:val="en-US"/>
        </w:rPr>
        <w:t xml:space="preserve">Pickering </w:t>
      </w:r>
      <w:r w:rsidR="00C21D97" w:rsidRPr="00131AC5">
        <w:rPr>
          <w:color w:val="000000" w:themeColor="text1"/>
          <w:lang w:val="en-US"/>
        </w:rPr>
        <w:t>&amp;</w:t>
      </w:r>
      <w:r w:rsidRPr="00131AC5">
        <w:rPr>
          <w:color w:val="000000" w:themeColor="text1"/>
          <w:lang w:val="en-US"/>
        </w:rPr>
        <w:t xml:space="preserve"> </w:t>
      </w:r>
      <w:r w:rsidR="00C01673" w:rsidRPr="00131AC5">
        <w:rPr>
          <w:color w:val="000000" w:themeColor="text1"/>
          <w:lang w:val="en-US"/>
        </w:rPr>
        <w:t>Ruiz-Palacios</w:t>
      </w:r>
      <w:r w:rsidRPr="00131AC5">
        <w:rPr>
          <w:color w:val="000000" w:themeColor="text1"/>
          <w:lang w:val="en-US"/>
        </w:rPr>
        <w:t xml:space="preserve"> 1986</w:t>
      </w:r>
      <w:r w:rsidRPr="00131AC5">
        <w:rPr>
          <w:lang w:val="en-US"/>
        </w:rPr>
        <w:t xml:space="preserve">; </w:t>
      </w:r>
      <w:r w:rsidRPr="00131AC5">
        <w:rPr>
          <w:color w:val="000000" w:themeColor="text1"/>
          <w:lang w:val="en-US"/>
        </w:rPr>
        <w:t>Mestecky et al. 1991</w:t>
      </w:r>
      <w:r w:rsidRPr="00131AC5">
        <w:rPr>
          <w:lang w:val="en-US"/>
        </w:rPr>
        <w:t>). Extensive clinical and epidemiological research demonstrates that infants cannot make efficient use of other foods prior to six months of age; if not exclusively breastfed</w:t>
      </w:r>
      <w:r w:rsidR="0095082D">
        <w:rPr>
          <w:lang w:val="en-US"/>
        </w:rPr>
        <w:t>,</w:t>
      </w:r>
      <w:r w:rsidRPr="00131AC5">
        <w:rPr>
          <w:lang w:val="en-US"/>
        </w:rPr>
        <w:t xml:space="preserve"> infants can suffer deficits and increased morbidity </w:t>
      </w:r>
      <w:r w:rsidRPr="00131AC5">
        <w:rPr>
          <w:color w:val="000000" w:themeColor="text1"/>
          <w:lang w:val="en-US"/>
        </w:rPr>
        <w:t>(Dewey et al. 199</w:t>
      </w:r>
      <w:r w:rsidR="00BA6887">
        <w:rPr>
          <w:color w:val="000000" w:themeColor="text1"/>
          <w:lang w:val="en-US"/>
        </w:rPr>
        <w:t>9</w:t>
      </w:r>
      <w:r w:rsidRPr="00131AC5">
        <w:rPr>
          <w:color w:val="000000" w:themeColor="text1"/>
          <w:lang w:val="en-US"/>
        </w:rPr>
        <w:t xml:space="preserve">, 2001; Kramer et al. 2003). </w:t>
      </w:r>
      <w:r w:rsidR="0054705F">
        <w:rPr>
          <w:color w:val="000000" w:themeColor="text1"/>
          <w:lang w:val="en-US"/>
        </w:rPr>
        <w:t>As</w:t>
      </w:r>
      <w:r w:rsidRPr="00131AC5">
        <w:rPr>
          <w:color w:val="000000" w:themeColor="text1"/>
          <w:lang w:val="en-US"/>
        </w:rPr>
        <w:t xml:space="preserve"> immunoglobins are highest in colostrum (the first form of milk produced immediately post-birth) and their presence is maintained throughout lactation</w:t>
      </w:r>
      <w:r w:rsidR="0054705F">
        <w:rPr>
          <w:color w:val="000000" w:themeColor="text1"/>
          <w:lang w:val="en-US"/>
        </w:rPr>
        <w:t>,</w:t>
      </w:r>
      <w:r w:rsidRPr="00131AC5">
        <w:rPr>
          <w:color w:val="000000" w:themeColor="text1"/>
          <w:lang w:val="en-US"/>
        </w:rPr>
        <w:t xml:space="preserve"> </w:t>
      </w:r>
      <w:r w:rsidR="0054705F" w:rsidRPr="00131AC5">
        <w:rPr>
          <w:color w:val="000000" w:themeColor="text1"/>
          <w:lang w:val="en-US"/>
        </w:rPr>
        <w:t xml:space="preserve">this intake of immunological components can be extremely beneficial </w:t>
      </w:r>
      <w:r w:rsidR="0054705F">
        <w:rPr>
          <w:color w:val="000000" w:themeColor="text1"/>
          <w:lang w:val="en-US"/>
        </w:rPr>
        <w:t xml:space="preserve">for infants since their </w:t>
      </w:r>
      <w:r w:rsidRPr="00131AC5">
        <w:rPr>
          <w:color w:val="000000" w:themeColor="text1"/>
          <w:lang w:val="en-US"/>
        </w:rPr>
        <w:t>immune systems are still immature. There is also evidence that breastmilk can induce the infant’s immune system to mature more quickly (Newman 1995).</w:t>
      </w:r>
    </w:p>
    <w:p w14:paraId="340AB3F7" w14:textId="77777777" w:rsidR="00965988" w:rsidRPr="00131AC5" w:rsidRDefault="00965988" w:rsidP="00965988">
      <w:pPr>
        <w:ind w:firstLine="720"/>
        <w:rPr>
          <w:color w:val="000000" w:themeColor="text1"/>
          <w:lang w:val="en-US"/>
        </w:rPr>
      </w:pPr>
    </w:p>
    <w:p w14:paraId="3F5CAF90" w14:textId="6D5F669A" w:rsidR="003B5B7F" w:rsidRDefault="003B5B7F" w:rsidP="00EE14EA">
      <w:pPr>
        <w:spacing w:line="480" w:lineRule="auto"/>
        <w:ind w:firstLine="720"/>
        <w:rPr>
          <w:lang w:val="en-US"/>
        </w:rPr>
      </w:pPr>
      <w:r w:rsidRPr="00131AC5">
        <w:rPr>
          <w:lang w:val="en-US"/>
        </w:rPr>
        <w:t xml:space="preserve">Although the benefits of breastfeeding continue after the first </w:t>
      </w:r>
      <w:r w:rsidR="00EC3F41">
        <w:rPr>
          <w:lang w:val="en-US"/>
        </w:rPr>
        <w:t>six</w:t>
      </w:r>
      <w:r w:rsidRPr="00131AC5">
        <w:rPr>
          <w:lang w:val="en-US"/>
        </w:rPr>
        <w:t xml:space="preserve"> months, complementary foods are vital to meet an infant</w:t>
      </w:r>
      <w:r w:rsidRPr="00131AC5">
        <w:rPr>
          <w:rFonts w:eastAsia="Helvetica"/>
          <w:lang w:val="en-US"/>
        </w:rPr>
        <w:t>’s growing need for energy and nutrition.</w:t>
      </w:r>
      <w:r w:rsidRPr="00131AC5">
        <w:rPr>
          <w:lang w:val="en-US"/>
        </w:rPr>
        <w:t xml:space="preserve"> After </w:t>
      </w:r>
      <w:r w:rsidR="00EC3F41">
        <w:rPr>
          <w:lang w:val="en-US"/>
        </w:rPr>
        <w:t>six</w:t>
      </w:r>
      <w:r w:rsidRPr="00131AC5">
        <w:rPr>
          <w:lang w:val="en-US"/>
        </w:rPr>
        <w:t xml:space="preserve"> months of age, complementary foods increasingly contribute to the diet, as chewing, tasting and digestive abilities develop. If the transition from exclusive breastfeeding to a mixed-food diet occurs too quickly it can cause the infant to experience weanling diarrhea syndrome and food allergies. This may be because the infant’s immature immune system is forced to cope with food-borne pathogens while risking malnutrition as breastmilk consumption begins to decline (Herring et al. 1998). The frequency of suckling and volume of milk consumed do not necessarily decrease in healthy </w:t>
      </w:r>
      <w:r w:rsidR="00D206CE">
        <w:rPr>
          <w:lang w:val="en-US"/>
        </w:rPr>
        <w:t>infants or young children</w:t>
      </w:r>
      <w:r w:rsidRPr="00131AC5">
        <w:rPr>
          <w:lang w:val="en-US"/>
        </w:rPr>
        <w:t xml:space="preserve"> during the weaning process (Sellen 2007); thus, complementary feeding may continue up until </w:t>
      </w:r>
      <w:r w:rsidR="00EC3F41">
        <w:rPr>
          <w:lang w:val="en-US"/>
        </w:rPr>
        <w:t>three</w:t>
      </w:r>
      <w:r w:rsidRPr="00131AC5">
        <w:rPr>
          <w:lang w:val="en-US"/>
        </w:rPr>
        <w:t xml:space="preserve"> years of age, during which breast </w:t>
      </w:r>
      <w:r w:rsidRPr="00131AC5">
        <w:rPr>
          <w:lang w:val="en-US"/>
        </w:rPr>
        <w:lastRenderedPageBreak/>
        <w:t xml:space="preserve">milk can remain an important and relatively sterile source of nutrients and passive immunity. </w:t>
      </w:r>
    </w:p>
    <w:p w14:paraId="2E51781D" w14:textId="77777777" w:rsidR="00965988" w:rsidRPr="00131AC5" w:rsidRDefault="00965988" w:rsidP="00965988">
      <w:pPr>
        <w:ind w:firstLine="720"/>
        <w:rPr>
          <w:lang w:val="en-US"/>
        </w:rPr>
      </w:pPr>
    </w:p>
    <w:p w14:paraId="04B80DDD" w14:textId="31F5EFB7" w:rsidR="00666C15" w:rsidRDefault="003B5B7F" w:rsidP="00EE14EA">
      <w:pPr>
        <w:spacing w:line="480" w:lineRule="auto"/>
        <w:ind w:firstLine="720"/>
        <w:rPr>
          <w:lang w:val="en-US"/>
        </w:rPr>
      </w:pPr>
      <w:r w:rsidRPr="00131AC5">
        <w:rPr>
          <w:lang w:val="en-US"/>
        </w:rPr>
        <w:t xml:space="preserve">Ethnographic evidence from preindustrial societies reveal that the duration of breastfeeding in modern humans is extremely variable (Sellen </w:t>
      </w:r>
      <w:r w:rsidR="00C21D97" w:rsidRPr="00131AC5">
        <w:rPr>
          <w:lang w:val="en-US"/>
        </w:rPr>
        <w:t>&amp;</w:t>
      </w:r>
      <w:r w:rsidRPr="00131AC5">
        <w:rPr>
          <w:lang w:val="en-US"/>
        </w:rPr>
        <w:t xml:space="preserve"> Sma</w:t>
      </w:r>
      <w:r w:rsidR="00BA6887">
        <w:rPr>
          <w:lang w:val="en-US"/>
        </w:rPr>
        <w:t>y</w:t>
      </w:r>
      <w:r w:rsidRPr="00131AC5">
        <w:rPr>
          <w:lang w:val="en-US"/>
        </w:rPr>
        <w:t xml:space="preserve"> 2001; Kennedy 2005). </w:t>
      </w:r>
      <w:r w:rsidRPr="00EC3F41">
        <w:rPr>
          <w:lang w:val="en-US"/>
        </w:rPr>
        <w:t>For instance, among the Ache (an indigenous community in Paraguay)</w:t>
      </w:r>
      <w:r w:rsidR="0095082D">
        <w:rPr>
          <w:lang w:val="en-US"/>
        </w:rPr>
        <w:t>, the cessation of</w:t>
      </w:r>
      <w:r w:rsidRPr="00EC3F41">
        <w:rPr>
          <w:lang w:val="en-US"/>
        </w:rPr>
        <w:t xml:space="preserve"> weaning begins around </w:t>
      </w:r>
      <w:r w:rsidR="00EC3F41">
        <w:rPr>
          <w:lang w:val="en-US"/>
        </w:rPr>
        <w:t>two</w:t>
      </w:r>
      <w:r w:rsidR="00EC3F41" w:rsidRPr="00EC3F41">
        <w:rPr>
          <w:lang w:val="en-US"/>
        </w:rPr>
        <w:t xml:space="preserve"> years </w:t>
      </w:r>
      <w:r w:rsidRPr="00EC3F41">
        <w:rPr>
          <w:lang w:val="en-US"/>
        </w:rPr>
        <w:t xml:space="preserve">of age while the women are already two to three months pregnant </w:t>
      </w:r>
      <w:r w:rsidR="0054705F" w:rsidRPr="00EC3F41">
        <w:rPr>
          <w:lang w:val="en-US"/>
        </w:rPr>
        <w:t xml:space="preserve">with their next offspring </w:t>
      </w:r>
      <w:r w:rsidRPr="00EC3F41">
        <w:rPr>
          <w:color w:val="000000" w:themeColor="text1"/>
          <w:lang w:val="en-US"/>
        </w:rPr>
        <w:t>(</w:t>
      </w:r>
      <w:r w:rsidR="003F3256" w:rsidRPr="00EC3F41">
        <w:rPr>
          <w:color w:val="000000" w:themeColor="text1"/>
          <w:lang w:val="en-US"/>
        </w:rPr>
        <w:t xml:space="preserve">Hurtado </w:t>
      </w:r>
      <w:r w:rsidR="00BA6887" w:rsidRPr="00EC3F41">
        <w:rPr>
          <w:color w:val="000000" w:themeColor="text1"/>
          <w:lang w:val="en-US"/>
        </w:rPr>
        <w:t>&amp;</w:t>
      </w:r>
      <w:r w:rsidR="003F3256" w:rsidRPr="00EC3F41">
        <w:rPr>
          <w:color w:val="000000" w:themeColor="text1"/>
          <w:lang w:val="en-US"/>
        </w:rPr>
        <w:t xml:space="preserve"> </w:t>
      </w:r>
      <w:r w:rsidRPr="00EC3F41">
        <w:rPr>
          <w:color w:val="000000" w:themeColor="text1"/>
          <w:lang w:val="en-US"/>
        </w:rPr>
        <w:t>Hill</w:t>
      </w:r>
      <w:r w:rsidR="003F3256" w:rsidRPr="00EC3F41">
        <w:rPr>
          <w:color w:val="000000" w:themeColor="text1"/>
          <w:lang w:val="en-US"/>
        </w:rPr>
        <w:t xml:space="preserve"> </w:t>
      </w:r>
      <w:r w:rsidRPr="00EC3F41">
        <w:rPr>
          <w:color w:val="000000" w:themeColor="text1"/>
          <w:lang w:val="en-US"/>
        </w:rPr>
        <w:t>1996). Meanwhile</w:t>
      </w:r>
      <w:r w:rsidRPr="00131AC5">
        <w:rPr>
          <w:color w:val="000000" w:themeColor="text1"/>
          <w:lang w:val="en-US"/>
        </w:rPr>
        <w:t xml:space="preserve">, in the Amele (an </w:t>
      </w:r>
      <w:r w:rsidR="0095082D">
        <w:rPr>
          <w:color w:val="000000" w:themeColor="text1"/>
          <w:lang w:val="en-US"/>
        </w:rPr>
        <w:t>I</w:t>
      </w:r>
      <w:r w:rsidRPr="00131AC5">
        <w:rPr>
          <w:color w:val="000000" w:themeColor="text1"/>
          <w:lang w:val="en-US"/>
        </w:rPr>
        <w:t xml:space="preserve">ndigenous society from lowland Papua New Guinea), children </w:t>
      </w:r>
      <w:r w:rsidR="0095082D">
        <w:rPr>
          <w:color w:val="000000" w:themeColor="text1"/>
          <w:lang w:val="en-US"/>
        </w:rPr>
        <w:t xml:space="preserve">complete </w:t>
      </w:r>
      <w:r w:rsidRPr="00131AC5">
        <w:rPr>
          <w:color w:val="000000" w:themeColor="text1"/>
          <w:lang w:val="en-US"/>
        </w:rPr>
        <w:t>wean</w:t>
      </w:r>
      <w:r w:rsidR="0095082D">
        <w:rPr>
          <w:color w:val="000000" w:themeColor="text1"/>
          <w:lang w:val="en-US"/>
        </w:rPr>
        <w:t>ing</w:t>
      </w:r>
      <w:r w:rsidRPr="00131AC5">
        <w:rPr>
          <w:color w:val="000000" w:themeColor="text1"/>
          <w:lang w:val="en-US"/>
        </w:rPr>
        <w:t xml:space="preserve"> on average around </w:t>
      </w:r>
      <w:r w:rsidR="00EC3F41">
        <w:rPr>
          <w:color w:val="000000" w:themeColor="text1"/>
          <w:lang w:val="en-US"/>
        </w:rPr>
        <w:t>three</w:t>
      </w:r>
      <w:r w:rsidRPr="00131AC5">
        <w:rPr>
          <w:color w:val="000000" w:themeColor="text1"/>
          <w:lang w:val="en-US"/>
        </w:rPr>
        <w:t xml:space="preserve"> years of age (Worthman et al. 1993). Researchers have used gestation length, 3:1 weaning/neonate weight ratio</w:t>
      </w:r>
      <w:r w:rsidR="00E42BDE">
        <w:rPr>
          <w:color w:val="000000" w:themeColor="text1"/>
          <w:lang w:val="en-US"/>
        </w:rPr>
        <w:t>,</w:t>
      </w:r>
      <w:r w:rsidRPr="00131AC5">
        <w:rPr>
          <w:color w:val="000000" w:themeColor="text1"/>
          <w:lang w:val="en-US"/>
        </w:rPr>
        <w:t xml:space="preserve"> and adult body weight to predict weaning ages for past and present populations (e.g. Harvey</w:t>
      </w:r>
      <w:r w:rsidR="00D403B5" w:rsidRPr="00131AC5">
        <w:rPr>
          <w:color w:val="000000" w:themeColor="text1"/>
          <w:lang w:val="en-US"/>
        </w:rPr>
        <w:t xml:space="preserve"> </w:t>
      </w:r>
      <w:r w:rsidR="00C21D97" w:rsidRPr="00131AC5">
        <w:rPr>
          <w:color w:val="000000" w:themeColor="text1"/>
          <w:lang w:val="en-US"/>
        </w:rPr>
        <w:t>&amp;</w:t>
      </w:r>
      <w:r w:rsidRPr="00131AC5">
        <w:rPr>
          <w:color w:val="000000" w:themeColor="text1"/>
          <w:lang w:val="en-US"/>
        </w:rPr>
        <w:t xml:space="preserve"> Clutton-Brock 1985; Kennedy 2005). These methods have also been use</w:t>
      </w:r>
      <w:r w:rsidRPr="00D06D73">
        <w:rPr>
          <w:color w:val="000000" w:themeColor="text1"/>
          <w:lang w:val="en-US"/>
        </w:rPr>
        <w:t>d to infer optimal weaning ages. For instance, according to Charnov and Berrigan (1993)</w:t>
      </w:r>
      <w:r w:rsidR="0095082D" w:rsidRPr="00D06D73">
        <w:rPr>
          <w:color w:val="000000" w:themeColor="text1"/>
          <w:lang w:val="en-US"/>
        </w:rPr>
        <w:t>,</w:t>
      </w:r>
      <w:r w:rsidRPr="00D06D73">
        <w:rPr>
          <w:color w:val="000000" w:themeColor="text1"/>
          <w:lang w:val="en-US"/>
        </w:rPr>
        <w:t xml:space="preserve"> optimal weaning age occurs when an infant reaches 33% of adult body weight</w:t>
      </w:r>
      <w:r w:rsidR="00EB6114" w:rsidRPr="00D06D73">
        <w:rPr>
          <w:color w:val="000000" w:themeColor="text1"/>
          <w:lang w:val="en-US"/>
        </w:rPr>
        <w:t xml:space="preserve">; </w:t>
      </w:r>
      <w:r w:rsidRPr="00D06D73">
        <w:rPr>
          <w:color w:val="000000" w:themeColor="text1"/>
          <w:lang w:val="en-US"/>
        </w:rPr>
        <w:t>for well-nourished western children the authors suggest that this would occur around 5.</w:t>
      </w:r>
      <w:r w:rsidR="00EB6114" w:rsidRPr="00D06D73">
        <w:rPr>
          <w:color w:val="000000" w:themeColor="text1"/>
          <w:lang w:val="en-US"/>
        </w:rPr>
        <w:t xml:space="preserve">8 </w:t>
      </w:r>
      <w:r w:rsidRPr="00D06D73">
        <w:rPr>
          <w:color w:val="000000" w:themeColor="text1"/>
          <w:lang w:val="en-US"/>
        </w:rPr>
        <w:t xml:space="preserve">years of age for girls and </w:t>
      </w:r>
      <w:r w:rsidR="00BC529C" w:rsidRPr="00D06D73">
        <w:rPr>
          <w:color w:val="000000" w:themeColor="text1"/>
          <w:lang w:val="en-US"/>
        </w:rPr>
        <w:t>7</w:t>
      </w:r>
      <w:r w:rsidRPr="00D06D73">
        <w:rPr>
          <w:color w:val="000000" w:themeColor="text1"/>
          <w:lang w:val="en-US"/>
        </w:rPr>
        <w:t xml:space="preserve"> years for boys</w:t>
      </w:r>
      <w:r w:rsidR="00D06D73" w:rsidRPr="00D06D73">
        <w:rPr>
          <w:color w:val="000000" w:themeColor="text1"/>
          <w:lang w:val="en-US"/>
        </w:rPr>
        <w:t xml:space="preserve">. This however is quite late considering more recent work which suggests that after 6 months of age infants require non-breast milk foods to meet the growing nutritional needs of the child (Sellen 2007). </w:t>
      </w:r>
      <w:r w:rsidRPr="008C4A6A">
        <w:rPr>
          <w:color w:val="000000" w:themeColor="text1"/>
          <w:lang w:val="en-US"/>
        </w:rPr>
        <w:t>Smith (1992) found a high correlation between weaning age and the timing of permanent first molar eruption</w:t>
      </w:r>
      <w:r w:rsidR="002E731C">
        <w:rPr>
          <w:color w:val="000000" w:themeColor="text1"/>
          <w:lang w:val="en-US"/>
        </w:rPr>
        <w:t xml:space="preserve">, </w:t>
      </w:r>
      <w:r w:rsidR="002E731C" w:rsidRPr="008C4A6A">
        <w:rPr>
          <w:color w:val="000000" w:themeColor="text1"/>
          <w:lang w:val="en-US"/>
        </w:rPr>
        <w:t>a relationship she characterized as ‘isochronous’</w:t>
      </w:r>
      <w:r w:rsidR="002E731C">
        <w:rPr>
          <w:color w:val="000000" w:themeColor="text1"/>
          <w:lang w:val="en-US"/>
        </w:rPr>
        <w:t xml:space="preserve">, </w:t>
      </w:r>
      <w:r w:rsidRPr="008C4A6A">
        <w:rPr>
          <w:color w:val="000000" w:themeColor="text1"/>
          <w:lang w:val="en-US"/>
        </w:rPr>
        <w:t>using data from Harvey and Clutton-Brock’s (1985) and Smith’s (1989) studies</w:t>
      </w:r>
      <w:r w:rsidR="00E42BDE">
        <w:rPr>
          <w:color w:val="000000" w:themeColor="text1"/>
          <w:lang w:val="en-US"/>
        </w:rPr>
        <w:t>,</w:t>
      </w:r>
      <w:r w:rsidR="006601C5">
        <w:rPr>
          <w:color w:val="000000" w:themeColor="text1"/>
          <w:lang w:val="en-US"/>
        </w:rPr>
        <w:t xml:space="preserve"> </w:t>
      </w:r>
      <w:r w:rsidR="002E731C">
        <w:rPr>
          <w:color w:val="000000" w:themeColor="text1"/>
          <w:lang w:val="en-US"/>
        </w:rPr>
        <w:t xml:space="preserve">which </w:t>
      </w:r>
      <w:r w:rsidR="00D7525F">
        <w:rPr>
          <w:color w:val="000000" w:themeColor="text1"/>
          <w:lang w:val="en-US"/>
        </w:rPr>
        <w:t>document</w:t>
      </w:r>
      <w:r w:rsidR="002E731C">
        <w:rPr>
          <w:color w:val="000000" w:themeColor="text1"/>
          <w:lang w:val="en-US"/>
        </w:rPr>
        <w:t>ed</w:t>
      </w:r>
      <w:r w:rsidR="00D7525F">
        <w:rPr>
          <w:color w:val="000000" w:themeColor="text1"/>
          <w:lang w:val="en-US"/>
        </w:rPr>
        <w:t xml:space="preserve"> life-history patterns across primate species</w:t>
      </w:r>
      <w:r w:rsidRPr="008C4A6A">
        <w:rPr>
          <w:color w:val="000000" w:themeColor="text1"/>
          <w:lang w:val="en-US"/>
        </w:rPr>
        <w:t xml:space="preserve">. In accordance </w:t>
      </w:r>
      <w:r w:rsidR="001A2F1A" w:rsidRPr="008C4A6A">
        <w:rPr>
          <w:color w:val="000000" w:themeColor="text1"/>
          <w:lang w:val="en-US"/>
        </w:rPr>
        <w:t xml:space="preserve">with </w:t>
      </w:r>
      <w:r w:rsidRPr="008C4A6A">
        <w:rPr>
          <w:color w:val="000000" w:themeColor="text1"/>
          <w:lang w:val="en-US"/>
        </w:rPr>
        <w:t xml:space="preserve">this hypothesis, optimal weaning age was suggested to be around 5.5 to 6 years of </w:t>
      </w:r>
      <w:r w:rsidRPr="008C4A6A">
        <w:rPr>
          <w:color w:val="000000" w:themeColor="text1"/>
          <w:lang w:val="en-US"/>
        </w:rPr>
        <w:lastRenderedPageBreak/>
        <w:t xml:space="preserve">age. </w:t>
      </w:r>
      <w:r w:rsidRPr="00B426F0">
        <w:rPr>
          <w:color w:val="000000" w:themeColor="text1"/>
          <w:lang w:val="en-US"/>
        </w:rPr>
        <w:t>The range of predicted optimal weaning age in modern humans varies from a minimum</w:t>
      </w:r>
      <w:r w:rsidRPr="00B426F0">
        <w:rPr>
          <w:lang w:val="en-US"/>
        </w:rPr>
        <w:t xml:space="preserve"> of </w:t>
      </w:r>
      <w:r w:rsidR="00BC529C">
        <w:rPr>
          <w:lang w:val="en-US"/>
        </w:rPr>
        <w:t>nine</w:t>
      </w:r>
      <w:r w:rsidRPr="00B426F0">
        <w:rPr>
          <w:lang w:val="en-US"/>
        </w:rPr>
        <w:t xml:space="preserve"> months to more than </w:t>
      </w:r>
      <w:r w:rsidR="00BC529C">
        <w:rPr>
          <w:lang w:val="en-US"/>
        </w:rPr>
        <w:t>seven</w:t>
      </w:r>
      <w:r w:rsidRPr="00B426F0">
        <w:rPr>
          <w:lang w:val="en-US"/>
        </w:rPr>
        <w:t xml:space="preserve"> years; this wide range of predictions suggest that the factors in determining the initiation of weaning, in humans at least, are not well understood</w:t>
      </w:r>
      <w:r w:rsidR="0095082D">
        <w:rPr>
          <w:lang w:val="en-US"/>
        </w:rPr>
        <w:t>,</w:t>
      </w:r>
      <w:r w:rsidRPr="00B426F0">
        <w:rPr>
          <w:lang w:val="en-US"/>
        </w:rPr>
        <w:t xml:space="preserve"> despite </w:t>
      </w:r>
      <w:r w:rsidR="001A2F1A" w:rsidRPr="00B426F0">
        <w:rPr>
          <w:lang w:val="en-US"/>
        </w:rPr>
        <w:t>efforts at</w:t>
      </w:r>
      <w:r w:rsidRPr="00B426F0">
        <w:rPr>
          <w:lang w:val="en-US"/>
        </w:rPr>
        <w:t xml:space="preserve"> mathematical reasoning (Kennedy 2005). Weaning age is a complex variable and even though in many cases it would seem highly advantageous for humans to continue nursing, human children are weaned long before the child’s size, dentition, digestive tract, and immune system are mature enough to provide </w:t>
      </w:r>
      <w:r w:rsidR="00E42BDE">
        <w:rPr>
          <w:lang w:val="en-US"/>
        </w:rPr>
        <w:t>them</w:t>
      </w:r>
      <w:r w:rsidRPr="00B426F0">
        <w:rPr>
          <w:lang w:val="en-US"/>
        </w:rPr>
        <w:t xml:space="preserve"> with an optimum opportunity to survive (Lee et al. 1991). </w:t>
      </w:r>
    </w:p>
    <w:p w14:paraId="09781500" w14:textId="77777777" w:rsidR="00965988" w:rsidRPr="00B426F0" w:rsidRDefault="00965988" w:rsidP="00965988">
      <w:pPr>
        <w:ind w:firstLine="720"/>
        <w:rPr>
          <w:lang w:val="en-US"/>
        </w:rPr>
      </w:pPr>
    </w:p>
    <w:p w14:paraId="465548CA" w14:textId="17F4489D" w:rsidR="003B5B7F" w:rsidRPr="00B426F0" w:rsidRDefault="001A2F1A" w:rsidP="00666C15">
      <w:pPr>
        <w:spacing w:line="480" w:lineRule="auto"/>
        <w:ind w:firstLine="720"/>
        <w:rPr>
          <w:color w:val="000000"/>
          <w:lang w:val="en-US"/>
        </w:rPr>
      </w:pPr>
      <w:r w:rsidRPr="008C4A6A">
        <w:rPr>
          <w:lang w:val="en-US"/>
        </w:rPr>
        <w:t>A</w:t>
      </w:r>
      <w:r w:rsidR="003B5B7F" w:rsidRPr="008C4A6A">
        <w:rPr>
          <w:lang w:val="en-US"/>
        </w:rPr>
        <w:t>ccording to Sellen (2007)</w:t>
      </w:r>
      <w:r w:rsidRPr="008C4A6A">
        <w:rPr>
          <w:lang w:val="en-US"/>
        </w:rPr>
        <w:t>,</w:t>
      </w:r>
      <w:r w:rsidR="003B5B7F" w:rsidRPr="008C4A6A">
        <w:rPr>
          <w:lang w:val="en-US"/>
        </w:rPr>
        <w:t xml:space="preserve"> the typical age at the end of weaning in approximately 83% of non-industrialized societies is 2.4 to 2.7 years of age, while industrialized societies often wean their children much earlier. </w:t>
      </w:r>
      <w:r w:rsidR="003B5B7F" w:rsidRPr="00B426F0">
        <w:rPr>
          <w:lang w:val="en-US"/>
        </w:rPr>
        <w:t xml:space="preserve">Likewise, the process of weaning in some communities can be gradual or (less commonly) abrupt. Nevertheless, the age-related pattern of transitional feeding and the introduction of complementary foods in preindustrial societies resemble modern clinical recommendations for optimal growth and development of </w:t>
      </w:r>
      <w:r w:rsidR="00780AF7">
        <w:rPr>
          <w:lang w:val="en-US"/>
        </w:rPr>
        <w:t>infants</w:t>
      </w:r>
      <w:r w:rsidR="003B5B7F" w:rsidRPr="00B426F0">
        <w:rPr>
          <w:lang w:val="en-US"/>
        </w:rPr>
        <w:t xml:space="preserve"> (Sellen 2007). Clinical recommendations include: (a) initiation of breastfeeding within an hour of birth, (b) a period of exclusive breastfeeding followed by the introduction of nutrient-rich and pathogen-poor complementary foods (food procured in a sanitary environment or foods that are not contaminated) at about 6 months of age</w:t>
      </w:r>
      <w:r w:rsidRPr="00B426F0">
        <w:rPr>
          <w:lang w:val="en-US"/>
        </w:rPr>
        <w:t>;</w:t>
      </w:r>
      <w:r w:rsidR="003B5B7F" w:rsidRPr="00B426F0">
        <w:rPr>
          <w:lang w:val="en-US"/>
        </w:rPr>
        <w:t xml:space="preserve"> and (c) continued breastfeeding at least until the </w:t>
      </w:r>
      <w:r w:rsidR="00BC529C">
        <w:rPr>
          <w:lang w:val="en-US"/>
        </w:rPr>
        <w:t>third</w:t>
      </w:r>
      <w:r w:rsidR="003B5B7F" w:rsidRPr="00B426F0">
        <w:rPr>
          <w:lang w:val="en-US"/>
        </w:rPr>
        <w:t xml:space="preserve"> year (Sellen 2007). </w:t>
      </w:r>
      <w:r w:rsidR="003B5B7F" w:rsidRPr="00B426F0">
        <w:rPr>
          <w:color w:val="000000"/>
          <w:lang w:val="en-US"/>
        </w:rPr>
        <w:t>These clinical recommendations do not indicate an upper age limit at which breastfeeding ceases to be of some benefit to children</w:t>
      </w:r>
      <w:r w:rsidRPr="00B426F0">
        <w:rPr>
          <w:color w:val="000000"/>
          <w:lang w:val="en-US"/>
        </w:rPr>
        <w:t>;</w:t>
      </w:r>
      <w:r w:rsidR="00666C15" w:rsidRPr="00B426F0">
        <w:rPr>
          <w:color w:val="000000"/>
          <w:lang w:val="en-US"/>
        </w:rPr>
        <w:t xml:space="preserve"> therefore</w:t>
      </w:r>
      <w:r w:rsidRPr="00B426F0">
        <w:rPr>
          <w:color w:val="000000"/>
          <w:lang w:val="en-US"/>
        </w:rPr>
        <w:t>,</w:t>
      </w:r>
      <w:r w:rsidR="003B5B7F" w:rsidRPr="00B426F0">
        <w:rPr>
          <w:color w:val="000000"/>
          <w:lang w:val="en-US"/>
        </w:rPr>
        <w:t xml:space="preserve"> </w:t>
      </w:r>
      <w:r w:rsidR="00666C15" w:rsidRPr="00B426F0">
        <w:rPr>
          <w:color w:val="000000"/>
          <w:lang w:val="en-US"/>
        </w:rPr>
        <w:t>i</w:t>
      </w:r>
      <w:r w:rsidR="003B5B7F" w:rsidRPr="00B426F0">
        <w:rPr>
          <w:color w:val="000000"/>
          <w:lang w:val="en-US"/>
        </w:rPr>
        <w:t xml:space="preserve">t is possible that continued breastfeeding along with complementary feeding might have been </w:t>
      </w:r>
      <w:r w:rsidRPr="008C4A6A">
        <w:rPr>
          <w:color w:val="000000"/>
          <w:lang w:val="en-US"/>
        </w:rPr>
        <w:t xml:space="preserve">a </w:t>
      </w:r>
      <w:r w:rsidR="003B5B7F" w:rsidRPr="008C4A6A">
        <w:rPr>
          <w:color w:val="000000"/>
          <w:lang w:val="en-US"/>
        </w:rPr>
        <w:t xml:space="preserve">beneficial maternal </w:t>
      </w:r>
      <w:r w:rsidR="003B5B7F" w:rsidRPr="008C4A6A">
        <w:rPr>
          <w:color w:val="000000"/>
          <w:lang w:val="en-US"/>
        </w:rPr>
        <w:lastRenderedPageBreak/>
        <w:t>strateg</w:t>
      </w:r>
      <w:r w:rsidRPr="008C4A6A">
        <w:rPr>
          <w:color w:val="000000"/>
          <w:lang w:val="en-US"/>
        </w:rPr>
        <w:t>y in the past</w:t>
      </w:r>
      <w:r w:rsidR="003B5B7F" w:rsidRPr="008C4A6A">
        <w:rPr>
          <w:color w:val="000000"/>
          <w:lang w:val="en-US"/>
        </w:rPr>
        <w:t xml:space="preserve"> because of its anti-infective properties and nutritional or physiological benefits to children.</w:t>
      </w:r>
      <w:r w:rsidR="00666C15" w:rsidRPr="008C4A6A">
        <w:rPr>
          <w:color w:val="000000"/>
          <w:lang w:val="en-US"/>
        </w:rPr>
        <w:t xml:space="preserve"> </w:t>
      </w:r>
      <w:r w:rsidR="003B5B7F" w:rsidRPr="00B426F0">
        <w:rPr>
          <w:lang w:val="en-US"/>
        </w:rPr>
        <w:t>Overall, the length of breastfeeding is vital for the survival and health of the infant. Breastfeeding for a short duration can lead to higher rates of infant morbidity and mortality, while longer duration of exclusive breastfeeding may not provide sufficient energy and nutrient requirements</w:t>
      </w:r>
      <w:r w:rsidR="00780AF7">
        <w:rPr>
          <w:lang w:val="en-US"/>
        </w:rPr>
        <w:t xml:space="preserve"> (Sellen 2007)</w:t>
      </w:r>
      <w:r w:rsidR="003B5B7F" w:rsidRPr="00B426F0">
        <w:rPr>
          <w:lang w:val="en-US"/>
        </w:rPr>
        <w:t xml:space="preserve">. This is known as the </w:t>
      </w:r>
      <w:r w:rsidR="003B5B7F" w:rsidRPr="00B426F0">
        <w:rPr>
          <w:rFonts w:eastAsia="Helvetica"/>
          <w:lang w:val="en-US"/>
        </w:rPr>
        <w:t>‘weanling’s dilemma’</w:t>
      </w:r>
      <w:r w:rsidR="00666C15" w:rsidRPr="00B426F0">
        <w:rPr>
          <w:rFonts w:eastAsia="Helvetica"/>
          <w:lang w:val="en-US"/>
        </w:rPr>
        <w:t xml:space="preserve">, </w:t>
      </w:r>
      <w:r w:rsidR="003B5B7F" w:rsidRPr="00B426F0">
        <w:rPr>
          <w:lang w:val="en-US"/>
        </w:rPr>
        <w:t xml:space="preserve">the balance between nutritional requirements and immunological development (Rowland &amp; Barrell 1978). </w:t>
      </w:r>
    </w:p>
    <w:p w14:paraId="50D656BB" w14:textId="77777777" w:rsidR="003B5B7F" w:rsidRPr="00B426F0" w:rsidRDefault="003B5B7F" w:rsidP="00965988">
      <w:pPr>
        <w:rPr>
          <w:lang w:val="en-US"/>
        </w:rPr>
      </w:pPr>
    </w:p>
    <w:p w14:paraId="49CA2C9C" w14:textId="18E8B085" w:rsidR="003B5B7F" w:rsidRPr="00B426F0" w:rsidRDefault="003B5B7F" w:rsidP="00666C15">
      <w:pPr>
        <w:spacing w:line="480" w:lineRule="auto"/>
        <w:ind w:firstLine="720"/>
        <w:rPr>
          <w:strike/>
          <w:lang w:val="en-US"/>
        </w:rPr>
      </w:pPr>
      <w:r w:rsidRPr="00B426F0">
        <w:rPr>
          <w:lang w:val="en-US"/>
        </w:rPr>
        <w:t xml:space="preserve">The process of weaning also has implications for mothers and population fertility. </w:t>
      </w:r>
      <w:r w:rsidRPr="008C4A6A">
        <w:rPr>
          <w:lang w:val="en-US"/>
        </w:rPr>
        <w:t xml:space="preserve">The overall period and frequency of suckling during </w:t>
      </w:r>
      <w:r w:rsidR="00166F51" w:rsidRPr="008C4A6A">
        <w:rPr>
          <w:lang w:val="en-US"/>
        </w:rPr>
        <w:t xml:space="preserve">breastfeeding and </w:t>
      </w:r>
      <w:r w:rsidRPr="008C4A6A">
        <w:rPr>
          <w:lang w:val="en-US"/>
        </w:rPr>
        <w:t xml:space="preserve">the weaning process impacts the length of maternal lactational amenorrhea and the timing of ovulation resumption; along with other factors such as maternal energy flux, contraceptive use, and sexual activity, this can significantly impact birth intervals and overall fertility rates in a community (Sellen </w:t>
      </w:r>
      <w:r w:rsidR="00C21D97" w:rsidRPr="008C4A6A">
        <w:rPr>
          <w:lang w:val="en-US"/>
        </w:rPr>
        <w:t>&amp;</w:t>
      </w:r>
      <w:r w:rsidRPr="008C4A6A">
        <w:rPr>
          <w:lang w:val="en-US"/>
        </w:rPr>
        <w:t xml:space="preserve"> Smay 2001). </w:t>
      </w:r>
      <w:r w:rsidRPr="00B426F0">
        <w:rPr>
          <w:lang w:val="en-US"/>
        </w:rPr>
        <w:t xml:space="preserve">The interval between births (IBI) reflects the mother’s biological ability to utilize her metabolism and nutritional stores towards herself and an existing infant over that of a developing fetus. Therefore, it is predicted that any intervening factor that may accelerate the process of weaning in preindustrial societies may also increase fertility independently of infant mortality (Sellen </w:t>
      </w:r>
      <w:r w:rsidR="00C21D97" w:rsidRPr="00B426F0">
        <w:rPr>
          <w:lang w:val="en-US"/>
        </w:rPr>
        <w:t>&amp;</w:t>
      </w:r>
      <w:r w:rsidRPr="00B426F0">
        <w:rPr>
          <w:lang w:val="en-US"/>
        </w:rPr>
        <w:t xml:space="preserve"> Smay 2001). </w:t>
      </w:r>
    </w:p>
    <w:p w14:paraId="6C1E2CFE" w14:textId="77777777" w:rsidR="003B5B7F" w:rsidRPr="00B426F0" w:rsidRDefault="003B5B7F" w:rsidP="00965988">
      <w:pPr>
        <w:rPr>
          <w:lang w:val="en-US"/>
        </w:rPr>
      </w:pPr>
    </w:p>
    <w:p w14:paraId="5CB101AF" w14:textId="57B6CF7E" w:rsidR="003B5B7F" w:rsidRPr="00B426F0" w:rsidRDefault="003B5B7F" w:rsidP="00965988">
      <w:pPr>
        <w:rPr>
          <w:b/>
          <w:lang w:val="en-US"/>
        </w:rPr>
      </w:pPr>
      <w:r w:rsidRPr="00B426F0">
        <w:rPr>
          <w:b/>
          <w:lang w:val="en-US"/>
        </w:rPr>
        <w:t>2.</w:t>
      </w:r>
      <w:r w:rsidR="00EE1717">
        <w:rPr>
          <w:b/>
          <w:lang w:val="en-US"/>
        </w:rPr>
        <w:t>4</w:t>
      </w:r>
      <w:r w:rsidRPr="00B426F0">
        <w:rPr>
          <w:b/>
          <w:lang w:val="en-US"/>
        </w:rPr>
        <w:t xml:space="preserve"> Bioarchaeological Approaches to Studying Breastfeeding and Weaning </w:t>
      </w:r>
    </w:p>
    <w:p w14:paraId="0D9A88B2" w14:textId="77777777" w:rsidR="003B5B7F" w:rsidRPr="00B426F0" w:rsidRDefault="003B5B7F" w:rsidP="003B5B7F">
      <w:pPr>
        <w:rPr>
          <w:b/>
          <w:lang w:val="en-US"/>
        </w:rPr>
      </w:pPr>
    </w:p>
    <w:p w14:paraId="1EF301B9" w14:textId="77777777" w:rsidR="00E02A98" w:rsidRPr="00B426F0" w:rsidRDefault="00E02A98" w:rsidP="00965988">
      <w:pPr>
        <w:rPr>
          <w:b/>
          <w:lang w:val="en-US"/>
        </w:rPr>
      </w:pPr>
    </w:p>
    <w:p w14:paraId="0DF7BF72" w14:textId="6CF517A3" w:rsidR="003B5B7F" w:rsidRDefault="003B5B7F" w:rsidP="00AF6259">
      <w:pPr>
        <w:spacing w:line="480" w:lineRule="auto"/>
        <w:ind w:firstLine="720"/>
        <w:rPr>
          <w:color w:val="000000" w:themeColor="text1"/>
          <w:lang w:val="en-US"/>
        </w:rPr>
      </w:pPr>
      <w:r w:rsidRPr="00B426F0">
        <w:rPr>
          <w:lang w:val="en-US"/>
        </w:rPr>
        <w:t xml:space="preserve">Past </w:t>
      </w:r>
      <w:r w:rsidR="00A97869" w:rsidRPr="00B426F0">
        <w:rPr>
          <w:lang w:val="en-US"/>
        </w:rPr>
        <w:t xml:space="preserve">demographic </w:t>
      </w:r>
      <w:r w:rsidRPr="00B426F0">
        <w:rPr>
          <w:lang w:val="en-US"/>
        </w:rPr>
        <w:t>studies have often used the duration of breastfeeding as an important determinant of population</w:t>
      </w:r>
      <w:r w:rsidRPr="00B426F0">
        <w:rPr>
          <w:rFonts w:eastAsia="Helvetica"/>
          <w:lang w:val="en-US"/>
        </w:rPr>
        <w:t xml:space="preserve"> fertility </w:t>
      </w:r>
      <w:r w:rsidRPr="00B426F0">
        <w:rPr>
          <w:lang w:val="en-US"/>
        </w:rPr>
        <w:t xml:space="preserve">(e.g. Bongaarts 1978, 1982; Trussell 1979). As previously mentioned, this is because the suckling stimuli and energetic burden of </w:t>
      </w:r>
      <w:r w:rsidRPr="00B426F0">
        <w:rPr>
          <w:lang w:val="en-US"/>
        </w:rPr>
        <w:lastRenderedPageBreak/>
        <w:t>producing milk during breastfeeding delays the mother</w:t>
      </w:r>
      <w:r w:rsidRPr="00B426F0">
        <w:rPr>
          <w:rFonts w:eastAsia="Helvetica"/>
          <w:lang w:val="en-US"/>
        </w:rPr>
        <w:t>’</w:t>
      </w:r>
      <w:r w:rsidRPr="00B426F0">
        <w:rPr>
          <w:lang w:val="en-US"/>
        </w:rPr>
        <w:t>s ovulation</w:t>
      </w:r>
      <w:r w:rsidRPr="00B426F0">
        <w:rPr>
          <w:rFonts w:eastAsia="Helvetica"/>
          <w:lang w:val="en-US"/>
        </w:rPr>
        <w:t xml:space="preserve">; </w:t>
      </w:r>
      <w:r w:rsidRPr="00B426F0">
        <w:rPr>
          <w:lang w:val="en-US"/>
        </w:rPr>
        <w:t>shorter breastfeeding periods result in shorter birth intervals and increased fertility. As a result, the age at the end of weaning has been used by bioarchaeologists as an indicator of fertility in ancient human populations (</w:t>
      </w:r>
      <w:r w:rsidRPr="00B426F0">
        <w:rPr>
          <w:color w:val="000000" w:themeColor="text1"/>
          <w:lang w:val="en-US"/>
        </w:rPr>
        <w:t xml:space="preserve">e.g., Schurr </w:t>
      </w:r>
      <w:r w:rsidR="00C21D97" w:rsidRPr="00B426F0">
        <w:rPr>
          <w:color w:val="000000" w:themeColor="text1"/>
          <w:lang w:val="en-US"/>
        </w:rPr>
        <w:t xml:space="preserve">&amp; </w:t>
      </w:r>
      <w:r w:rsidRPr="00B426F0">
        <w:rPr>
          <w:color w:val="000000" w:themeColor="text1"/>
          <w:lang w:val="en-US"/>
        </w:rPr>
        <w:t>Powell</w:t>
      </w:r>
      <w:r w:rsidR="00C21D97" w:rsidRPr="00B426F0">
        <w:rPr>
          <w:color w:val="000000" w:themeColor="text1"/>
          <w:lang w:val="en-US"/>
        </w:rPr>
        <w:t xml:space="preserve"> </w:t>
      </w:r>
      <w:r w:rsidRPr="00B426F0">
        <w:rPr>
          <w:color w:val="000000" w:themeColor="text1"/>
          <w:lang w:val="en-US"/>
        </w:rPr>
        <w:t>2005; Waters</w:t>
      </w:r>
      <w:r w:rsidR="0085787A">
        <w:rPr>
          <w:color w:val="000000" w:themeColor="text1"/>
          <w:lang w:val="en-US"/>
        </w:rPr>
        <w:t>-</w:t>
      </w:r>
      <w:r w:rsidRPr="00B426F0">
        <w:rPr>
          <w:color w:val="000000" w:themeColor="text1"/>
          <w:lang w:val="en-US"/>
        </w:rPr>
        <w:t>Rist et al. 2011; Tsutaya et al.</w:t>
      </w:r>
      <w:r w:rsidR="00C21D97" w:rsidRPr="00B426F0">
        <w:rPr>
          <w:color w:val="000000" w:themeColor="text1"/>
          <w:lang w:val="en-US"/>
        </w:rPr>
        <w:t xml:space="preserve"> </w:t>
      </w:r>
      <w:r w:rsidRPr="00B426F0">
        <w:rPr>
          <w:color w:val="000000" w:themeColor="text1"/>
          <w:lang w:val="en-US"/>
        </w:rPr>
        <w:t>2014)</w:t>
      </w:r>
      <w:r w:rsidR="00E02A98" w:rsidRPr="00B426F0">
        <w:rPr>
          <w:color w:val="000000" w:themeColor="text1"/>
          <w:lang w:val="en-US"/>
        </w:rPr>
        <w:t xml:space="preserve"> </w:t>
      </w:r>
      <w:r w:rsidR="001C02AD" w:rsidRPr="00B426F0">
        <w:rPr>
          <w:color w:val="000000" w:themeColor="text1"/>
          <w:lang w:val="en-US"/>
        </w:rPr>
        <w:t xml:space="preserve">and as an indicator of </w:t>
      </w:r>
      <w:r w:rsidRPr="00B426F0">
        <w:rPr>
          <w:lang w:val="en-US"/>
        </w:rPr>
        <w:t xml:space="preserve">decreased dependency of a child on its mother </w:t>
      </w:r>
      <w:r w:rsidR="001C02AD" w:rsidRPr="00B426F0">
        <w:rPr>
          <w:lang w:val="en-US"/>
        </w:rPr>
        <w:t>due to the</w:t>
      </w:r>
      <w:r w:rsidRPr="00B426F0">
        <w:rPr>
          <w:lang w:val="en-US"/>
        </w:rPr>
        <w:t xml:space="preserve"> availability of weaning foods. Buikstra et al. (1986) hypothesized that a shift towards earlier weaning in prehistoric North American populations was correlated with the increased availability of high-carbohydrate resources. These resources were processed into </w:t>
      </w:r>
      <w:r w:rsidRPr="00B426F0">
        <w:rPr>
          <w:rFonts w:eastAsia="Helvetica"/>
          <w:lang w:val="en-US"/>
        </w:rPr>
        <w:t>‘weaning-gruel’</w:t>
      </w:r>
      <w:r w:rsidRPr="00B426F0">
        <w:rPr>
          <w:lang w:val="en-US"/>
        </w:rPr>
        <w:t>, which led to smaller birth intervals and increased fertility, resulting in population growth (Buikstra et al. 1986). In 2001, Sellen and Smay tested the ‘weaning food availability hypothesis’ using available data of 133 distinguishable preindustrial and natural fertility populations extracted from 172 sources. These reports indicated a dependence on starchy staples foods for weaning among predominantly agricultural populations and a variety of feeding styles to suit the perceived needs of young children. Results demonstrated that patterns of weaning were not simply shaped by subsistence practices or the availability of weaning foods</w:t>
      </w:r>
      <w:r w:rsidR="0095082D">
        <w:rPr>
          <w:lang w:val="en-US"/>
        </w:rPr>
        <w:t>;</w:t>
      </w:r>
      <w:r w:rsidR="001C02AD" w:rsidRPr="00B426F0">
        <w:rPr>
          <w:lang w:val="en-US"/>
        </w:rPr>
        <w:t xml:space="preserve"> i</w:t>
      </w:r>
      <w:r w:rsidRPr="00B426F0">
        <w:rPr>
          <w:lang w:val="en-US"/>
        </w:rPr>
        <w:t>nstead</w:t>
      </w:r>
      <w:r w:rsidR="001C02AD" w:rsidRPr="00B426F0">
        <w:rPr>
          <w:lang w:val="en-US"/>
        </w:rPr>
        <w:t>,</w:t>
      </w:r>
      <w:r w:rsidRPr="00B426F0">
        <w:rPr>
          <w:lang w:val="en-US"/>
        </w:rPr>
        <w:t xml:space="preserve"> Sellen and Smay (2001) proposed that maternal work patterns and the probability of infection during weaning may account for the changes in weaning practices.  McNeilly (2001) further added that changes in female work patterns limit infant access to breastfeeding, thereby resulting in earlier decrease in suckling frequencies and the inability to maintain breastfeeding’s contraceptive effects. The relationship between maternal time allocation to subsistence work and childcare has previously been documented by various researchers (e.g. Popkin </w:t>
      </w:r>
      <w:r w:rsidRPr="00B426F0">
        <w:rPr>
          <w:lang w:val="en-US"/>
        </w:rPr>
        <w:lastRenderedPageBreak/>
        <w:t xml:space="preserve">1980; Hurtado et al. 1992; Wandel </w:t>
      </w:r>
      <w:r w:rsidR="00C21D97" w:rsidRPr="00B426F0">
        <w:rPr>
          <w:lang w:val="en-US"/>
        </w:rPr>
        <w:t>&amp;</w:t>
      </w:r>
      <w:r w:rsidRPr="00B426F0">
        <w:rPr>
          <w:lang w:val="en-US"/>
        </w:rPr>
        <w:t xml:space="preserve"> Holmboe-Ottesen 1992; Marriot 199</w:t>
      </w:r>
      <w:r w:rsidR="00F749B0">
        <w:rPr>
          <w:lang w:val="en-US"/>
        </w:rPr>
        <w:t>6</w:t>
      </w:r>
      <w:r w:rsidRPr="00B426F0">
        <w:rPr>
          <w:lang w:val="en-US"/>
        </w:rPr>
        <w:t xml:space="preserve">). Similarly, the flux of infectious disease during weaning and subsequent early </w:t>
      </w:r>
      <w:r w:rsidR="00E42BDE">
        <w:rPr>
          <w:lang w:val="en-US"/>
        </w:rPr>
        <w:t xml:space="preserve">childhood </w:t>
      </w:r>
      <w:r w:rsidRPr="00B426F0">
        <w:rPr>
          <w:lang w:val="en-US"/>
        </w:rPr>
        <w:t xml:space="preserve">mortality and increased fertility has also been noted across populations (Rowland et al. 1978; </w:t>
      </w:r>
      <w:r w:rsidRPr="00B426F0">
        <w:rPr>
          <w:color w:val="000000" w:themeColor="text1"/>
          <w:lang w:val="en-US"/>
        </w:rPr>
        <w:t>Mock et al. 1993</w:t>
      </w:r>
      <w:r w:rsidRPr="00B426F0">
        <w:rPr>
          <w:lang w:val="en-US"/>
        </w:rPr>
        <w:t>;</w:t>
      </w:r>
      <w:r w:rsidR="00C21D97" w:rsidRPr="00B426F0">
        <w:rPr>
          <w:lang w:val="en-US"/>
        </w:rPr>
        <w:t xml:space="preserve"> </w:t>
      </w:r>
      <w:r w:rsidRPr="00B426F0">
        <w:rPr>
          <w:lang w:val="en-US"/>
        </w:rPr>
        <w:t xml:space="preserve">McDade </w:t>
      </w:r>
      <w:r w:rsidR="00F749B0">
        <w:rPr>
          <w:lang w:val="en-US"/>
        </w:rPr>
        <w:t xml:space="preserve">&amp; </w:t>
      </w:r>
      <w:r w:rsidRPr="00B426F0">
        <w:rPr>
          <w:lang w:val="en-US"/>
        </w:rPr>
        <w:t xml:space="preserve">Worthman 1998). </w:t>
      </w:r>
      <w:r w:rsidRPr="00B426F0">
        <w:rPr>
          <w:color w:val="C00000"/>
          <w:lang w:val="en-US"/>
        </w:rPr>
        <w:t xml:space="preserve"> </w:t>
      </w:r>
      <w:r w:rsidRPr="00B426F0">
        <w:rPr>
          <w:color w:val="000000" w:themeColor="text1"/>
          <w:lang w:val="en-US"/>
        </w:rPr>
        <w:t xml:space="preserve">Schurr and Powell (2005) also investigated weaning onsets and durations before and after the appearance of intensive food production. The authors conducted stable isotope analysis to determine weaning ages and paleodemographic measures of birth rates for </w:t>
      </w:r>
      <w:r w:rsidR="00780AF7">
        <w:rPr>
          <w:color w:val="000000" w:themeColor="text1"/>
          <w:lang w:val="en-US"/>
        </w:rPr>
        <w:t>four</w:t>
      </w:r>
      <w:r w:rsidRPr="00B426F0">
        <w:rPr>
          <w:color w:val="000000" w:themeColor="text1"/>
          <w:lang w:val="en-US"/>
        </w:rPr>
        <w:t xml:space="preserve"> eastern North America sites with differing subsistence practices. </w:t>
      </w:r>
      <w:r w:rsidRPr="008C4A6A">
        <w:rPr>
          <w:color w:val="000000" w:themeColor="text1"/>
          <w:lang w:val="en-US"/>
        </w:rPr>
        <w:t xml:space="preserve">Birth rates and weaning behaviour were found to be similar at all </w:t>
      </w:r>
      <w:r w:rsidR="00780AF7">
        <w:rPr>
          <w:color w:val="000000" w:themeColor="text1"/>
          <w:lang w:val="en-US"/>
        </w:rPr>
        <w:t>four</w:t>
      </w:r>
      <w:r w:rsidRPr="008C4A6A">
        <w:rPr>
          <w:color w:val="000000" w:themeColor="text1"/>
          <w:lang w:val="en-US"/>
        </w:rPr>
        <w:t xml:space="preserve"> sites indicating that attributing population growth after the appearance of food production </w:t>
      </w:r>
      <w:r w:rsidR="001C02AD" w:rsidRPr="008C4A6A">
        <w:rPr>
          <w:color w:val="000000" w:themeColor="text1"/>
          <w:lang w:val="en-US"/>
        </w:rPr>
        <w:t>as a direc</w:t>
      </w:r>
      <w:r w:rsidRPr="008C4A6A">
        <w:rPr>
          <w:color w:val="000000" w:themeColor="text1"/>
          <w:lang w:val="en-US"/>
        </w:rPr>
        <w:t>t</w:t>
      </w:r>
      <w:r w:rsidR="001C02AD" w:rsidRPr="008C4A6A">
        <w:rPr>
          <w:color w:val="000000" w:themeColor="text1"/>
          <w:lang w:val="en-US"/>
        </w:rPr>
        <w:t xml:space="preserve"> result of </w:t>
      </w:r>
      <w:r w:rsidRPr="008C4A6A">
        <w:rPr>
          <w:color w:val="000000" w:themeColor="text1"/>
          <w:lang w:val="en-US"/>
        </w:rPr>
        <w:t>earlier weaning is not universally applicable</w:t>
      </w:r>
      <w:r w:rsidR="00FD7D57" w:rsidRPr="008C4A6A">
        <w:rPr>
          <w:color w:val="000000" w:themeColor="text1"/>
          <w:lang w:val="en-US"/>
        </w:rPr>
        <w:t xml:space="preserve"> (Schurr </w:t>
      </w:r>
      <w:r w:rsidR="00F749B0">
        <w:rPr>
          <w:color w:val="000000" w:themeColor="text1"/>
          <w:lang w:val="en-US"/>
        </w:rPr>
        <w:t>&amp;</w:t>
      </w:r>
      <w:r w:rsidR="00FD7D57" w:rsidRPr="008C4A6A">
        <w:rPr>
          <w:color w:val="000000" w:themeColor="text1"/>
          <w:lang w:val="en-US"/>
        </w:rPr>
        <w:t xml:space="preserve"> Powell 2005)</w:t>
      </w:r>
      <w:r w:rsidRPr="008C4A6A">
        <w:rPr>
          <w:color w:val="000000" w:themeColor="text1"/>
          <w:lang w:val="en-US"/>
        </w:rPr>
        <w:t>.</w:t>
      </w:r>
    </w:p>
    <w:p w14:paraId="115CF1E9" w14:textId="77777777" w:rsidR="00965988" w:rsidRPr="008C4A6A" w:rsidRDefault="00965988" w:rsidP="00965988">
      <w:pPr>
        <w:ind w:firstLine="720"/>
        <w:rPr>
          <w:color w:val="000000" w:themeColor="text1"/>
          <w:lang w:val="en-US"/>
        </w:rPr>
      </w:pPr>
    </w:p>
    <w:p w14:paraId="1EC5F2C2" w14:textId="1B3CA044" w:rsidR="00965988" w:rsidRDefault="003B5B7F" w:rsidP="0095082D">
      <w:pPr>
        <w:spacing w:line="480" w:lineRule="auto"/>
        <w:ind w:firstLine="720"/>
        <w:rPr>
          <w:color w:val="000000"/>
          <w:lang w:val="en-US"/>
        </w:rPr>
      </w:pPr>
      <w:r w:rsidRPr="008C4A6A">
        <w:rPr>
          <w:lang w:val="en-US"/>
        </w:rPr>
        <w:t>According to past demographic studies in Europe and North America</w:t>
      </w:r>
      <w:r w:rsidR="0095082D">
        <w:rPr>
          <w:lang w:val="en-US"/>
        </w:rPr>
        <w:t>,</w:t>
      </w:r>
      <w:r w:rsidRPr="008C4A6A">
        <w:rPr>
          <w:lang w:val="en-US"/>
        </w:rPr>
        <w:t xml:space="preserve"> it is challenging to add a third variable, fertility, and study its relationship to breastfeeding and infant mortality in historic and prehistoric context</w:t>
      </w:r>
      <w:r w:rsidR="00FD7D57" w:rsidRPr="008C4A6A">
        <w:rPr>
          <w:lang w:val="en-US"/>
        </w:rPr>
        <w:t>s</w:t>
      </w:r>
      <w:r w:rsidRPr="008C4A6A">
        <w:rPr>
          <w:lang w:val="en-US"/>
        </w:rPr>
        <w:t xml:space="preserve"> (Knodel </w:t>
      </w:r>
      <w:r w:rsidR="00C21D97" w:rsidRPr="008C4A6A">
        <w:rPr>
          <w:lang w:val="en-US"/>
        </w:rPr>
        <w:t>&amp;</w:t>
      </w:r>
      <w:r w:rsidRPr="008C4A6A">
        <w:rPr>
          <w:lang w:val="en-US"/>
        </w:rPr>
        <w:t xml:space="preserve"> Kintner 1977; Wrigley 1977; Kintner 1985; </w:t>
      </w:r>
      <w:r w:rsidRPr="008C4A6A">
        <w:rPr>
          <w:color w:val="000000" w:themeColor="text1"/>
          <w:lang w:val="en-US"/>
        </w:rPr>
        <w:t xml:space="preserve">Knodel </w:t>
      </w:r>
      <w:r w:rsidR="00F749B0">
        <w:rPr>
          <w:color w:val="000000" w:themeColor="text1"/>
          <w:lang w:val="en-US"/>
        </w:rPr>
        <w:t xml:space="preserve">et al. </w:t>
      </w:r>
      <w:r w:rsidRPr="008C4A6A">
        <w:rPr>
          <w:color w:val="000000" w:themeColor="text1"/>
          <w:lang w:val="en-US"/>
        </w:rPr>
        <w:t>1988</w:t>
      </w:r>
      <w:r w:rsidRPr="008C4A6A">
        <w:rPr>
          <w:lang w:val="en-US"/>
        </w:rPr>
        <w:t xml:space="preserve">). </w:t>
      </w:r>
      <w:r w:rsidRPr="00B426F0">
        <w:rPr>
          <w:lang w:val="en-US"/>
        </w:rPr>
        <w:t xml:space="preserve">This is due to the fact that quantitative information on breastfeeding practices is generally inadequate; hence, it is very difficult to link specific fertility histories of women to the survivorship or mortality of their children (Katzenberg et al. 1996). </w:t>
      </w:r>
      <w:r w:rsidRPr="00B426F0">
        <w:rPr>
          <w:color w:val="000000" w:themeColor="text1"/>
          <w:lang w:val="en-US"/>
        </w:rPr>
        <w:t>For</w:t>
      </w:r>
      <w:r w:rsidRPr="00B426F0">
        <w:rPr>
          <w:color w:val="000000"/>
          <w:lang w:val="en-US"/>
        </w:rPr>
        <w:t xml:space="preserve"> some historic populations, IYCF practices and female fertility can be estimated from historic records. Yet, in most cases the necessary information is often unavailable and written documents are of course entirely absent for prehistoric populations. Various methods have been used to infer weaning times in past populations, including non-specific measures of stress (e.g. Goodman &amp; Rose, 1990;</w:t>
      </w:r>
      <w:r w:rsidRPr="00B426F0">
        <w:rPr>
          <w:lang w:val="en-US"/>
        </w:rPr>
        <w:t xml:space="preserve"> </w:t>
      </w:r>
      <w:r w:rsidRPr="00B426F0">
        <w:rPr>
          <w:lang w:val="en-US"/>
        </w:rPr>
        <w:lastRenderedPageBreak/>
        <w:t>Blakey et al. 1994</w:t>
      </w:r>
      <w:r w:rsidRPr="00B426F0">
        <w:rPr>
          <w:color w:val="000000"/>
          <w:lang w:val="en-US"/>
        </w:rPr>
        <w:t xml:space="preserve">; Larsen, 1995; </w:t>
      </w:r>
      <w:r w:rsidR="00C21D97" w:rsidRPr="00B426F0">
        <w:rPr>
          <w:lang w:val="en-US"/>
        </w:rPr>
        <w:t xml:space="preserve">Tomczyk et al. 2012; </w:t>
      </w:r>
      <w:r w:rsidRPr="00B426F0">
        <w:rPr>
          <w:color w:val="000000" w:themeColor="text1"/>
          <w:lang w:val="en-US"/>
        </w:rPr>
        <w:t>Ash et al. 2016</w:t>
      </w:r>
      <w:r w:rsidRPr="00B426F0">
        <w:rPr>
          <w:lang w:val="en-US"/>
        </w:rPr>
        <w:t>)</w:t>
      </w:r>
      <w:r w:rsidRPr="00B426F0">
        <w:rPr>
          <w:color w:val="000000"/>
          <w:lang w:val="en-US"/>
        </w:rPr>
        <w:t xml:space="preserve"> and bone chemistry </w:t>
      </w:r>
      <w:r w:rsidR="00593CF2">
        <w:rPr>
          <w:color w:val="000000"/>
          <w:lang w:val="en-US"/>
        </w:rPr>
        <w:t>techniques</w:t>
      </w:r>
      <w:r w:rsidRPr="00B426F0">
        <w:rPr>
          <w:color w:val="000000"/>
          <w:lang w:val="en-US"/>
        </w:rPr>
        <w:t xml:space="preserve"> (e.g. Waters-Rist et al. 2011; Tsutaya </w:t>
      </w:r>
      <w:r w:rsidR="00C21D97" w:rsidRPr="00B426F0">
        <w:rPr>
          <w:color w:val="000000"/>
          <w:lang w:val="en-US"/>
        </w:rPr>
        <w:t>&amp;</w:t>
      </w:r>
      <w:r w:rsidRPr="00B426F0">
        <w:rPr>
          <w:color w:val="000000"/>
          <w:lang w:val="en-US"/>
        </w:rPr>
        <w:t xml:space="preserve"> Yoneda 2013; Beaumont et al. 2013; de Armas 2017).</w:t>
      </w:r>
    </w:p>
    <w:p w14:paraId="7FDD22E5" w14:textId="77777777" w:rsidR="0095082D" w:rsidRPr="00AF6259" w:rsidRDefault="0095082D" w:rsidP="00D06D73">
      <w:pPr>
        <w:ind w:firstLine="720"/>
        <w:rPr>
          <w:color w:val="000000"/>
          <w:lang w:val="en-US"/>
        </w:rPr>
      </w:pPr>
    </w:p>
    <w:p w14:paraId="05141BAD" w14:textId="5A61FF47" w:rsidR="003E634D" w:rsidRDefault="003E634D" w:rsidP="00AF6259">
      <w:pPr>
        <w:spacing w:line="480" w:lineRule="auto"/>
        <w:ind w:firstLine="720"/>
        <w:rPr>
          <w:lang w:val="en-US"/>
        </w:rPr>
      </w:pPr>
      <w:r w:rsidRPr="00B426F0">
        <w:rPr>
          <w:lang w:val="en-US"/>
        </w:rPr>
        <w:t>Non-specific stress marker</w:t>
      </w:r>
      <w:r w:rsidR="003B5B7F" w:rsidRPr="00B426F0">
        <w:rPr>
          <w:lang w:val="en-US"/>
        </w:rPr>
        <w:t xml:space="preserve"> such as dental enamel hypoplasias (DEH), Harris lines, cribra orbitalia and porotic hyperostosis </w:t>
      </w:r>
      <w:r w:rsidRPr="00B426F0">
        <w:rPr>
          <w:lang w:val="en-US"/>
        </w:rPr>
        <w:t xml:space="preserve">have been used to infer the cessation of weaning </w:t>
      </w:r>
      <w:r w:rsidR="003B5B7F" w:rsidRPr="00B426F0">
        <w:rPr>
          <w:lang w:val="en-US"/>
        </w:rPr>
        <w:t>(</w:t>
      </w:r>
      <w:r w:rsidR="003B5B7F" w:rsidRPr="00B426F0">
        <w:rPr>
          <w:color w:val="000000" w:themeColor="text1"/>
          <w:lang w:val="en-US"/>
        </w:rPr>
        <w:t>Perry 200</w:t>
      </w:r>
      <w:r w:rsidR="00A41E52" w:rsidRPr="00B426F0">
        <w:rPr>
          <w:color w:val="000000" w:themeColor="text1"/>
          <w:lang w:val="en-US"/>
        </w:rPr>
        <w:t>5</w:t>
      </w:r>
      <w:r w:rsidR="003B5B7F" w:rsidRPr="00B426F0">
        <w:rPr>
          <w:color w:val="000000" w:themeColor="text1"/>
          <w:lang w:val="en-US"/>
        </w:rPr>
        <w:t xml:space="preserve">). </w:t>
      </w:r>
      <w:r w:rsidR="003B5B7F" w:rsidRPr="00B426F0">
        <w:rPr>
          <w:lang w:val="en-US"/>
        </w:rPr>
        <w:t>This is because the process of weaning involves increased interaction between young children and their surroundings, putting them at greater risk for illness and death. They are more susceptible to pathogens present in complementary foods and water, as well as the physiological response to a change in diet (particularly less nutritious foods like alternative milk sources from goats and cows). Furthermore</w:t>
      </w:r>
      <w:r w:rsidR="00B2262F" w:rsidRPr="00B426F0">
        <w:rPr>
          <w:lang w:val="en-US"/>
        </w:rPr>
        <w:t>,</w:t>
      </w:r>
      <w:r w:rsidR="003B5B7F" w:rsidRPr="00B426F0">
        <w:rPr>
          <w:lang w:val="en-US"/>
        </w:rPr>
        <w:t xml:space="preserve"> as mentioned earlier in </w:t>
      </w:r>
      <w:r w:rsidR="00C80A2E">
        <w:rPr>
          <w:lang w:val="en-US"/>
        </w:rPr>
        <w:t>S</w:t>
      </w:r>
      <w:r w:rsidR="00780AF7">
        <w:rPr>
          <w:lang w:val="en-US"/>
        </w:rPr>
        <w:t>ection 2.3.2</w:t>
      </w:r>
      <w:r w:rsidR="003B5B7F" w:rsidRPr="00B426F0">
        <w:rPr>
          <w:lang w:val="en-US"/>
        </w:rPr>
        <w:t xml:space="preserve">, infants and young children may possess an under-developed immune system due to the decreased consumption of breast milk that provides passive </w:t>
      </w:r>
      <w:r w:rsidR="003B5B7F" w:rsidRPr="00B426F0">
        <w:rPr>
          <w:color w:val="000000" w:themeColor="text1"/>
          <w:lang w:val="en-US"/>
        </w:rPr>
        <w:t xml:space="preserve">immunity (Larsen 1997). </w:t>
      </w:r>
      <w:r w:rsidR="00E42BDE">
        <w:rPr>
          <w:color w:val="000000" w:themeColor="text1"/>
          <w:lang w:val="en-US"/>
        </w:rPr>
        <w:t xml:space="preserve">A </w:t>
      </w:r>
      <w:r w:rsidR="00E42BDE">
        <w:rPr>
          <w:lang w:val="en-US"/>
        </w:rPr>
        <w:t>d</w:t>
      </w:r>
      <w:r w:rsidR="00780AF7">
        <w:rPr>
          <w:lang w:val="en-US"/>
        </w:rPr>
        <w:t xml:space="preserve">ecline in breast milk </w:t>
      </w:r>
      <w:r w:rsidR="00BA4910">
        <w:rPr>
          <w:lang w:val="en-US"/>
        </w:rPr>
        <w:t>consumption</w:t>
      </w:r>
      <w:r w:rsidR="003B5B7F" w:rsidRPr="00B426F0">
        <w:rPr>
          <w:lang w:val="en-US"/>
        </w:rPr>
        <w:t xml:space="preserve"> can create physical stress during weaning and, if accompanied by any additional acute physiological or even emotional stress experienced during childhood, can result in the slowing and </w:t>
      </w:r>
      <w:r w:rsidR="003B5B7F" w:rsidRPr="00B426F0">
        <w:rPr>
          <w:rFonts w:eastAsia="Helvetica"/>
          <w:lang w:val="en-US"/>
        </w:rPr>
        <w:t>– in dire cases – cessation</w:t>
      </w:r>
      <w:r w:rsidR="003B5B7F" w:rsidRPr="00B426F0">
        <w:rPr>
          <w:lang w:val="en-US"/>
        </w:rPr>
        <w:t xml:space="preserve"> of normal growth, indicated by DEH and/or Harris lines, in addition to shorter than expected long bones</w:t>
      </w:r>
      <w:r w:rsidR="00BA4910">
        <w:rPr>
          <w:lang w:val="en-US"/>
        </w:rPr>
        <w:t xml:space="preserve"> (Perry, 2005)</w:t>
      </w:r>
      <w:r w:rsidR="003B5B7F" w:rsidRPr="00B426F0">
        <w:rPr>
          <w:lang w:val="en-US"/>
        </w:rPr>
        <w:t xml:space="preserve">. </w:t>
      </w:r>
      <w:r w:rsidR="00B3452C">
        <w:rPr>
          <w:lang w:val="en-US"/>
        </w:rPr>
        <w:t xml:space="preserve">In order for these features to appear </w:t>
      </w:r>
      <w:r w:rsidR="0095082D">
        <w:rPr>
          <w:lang w:val="en-US"/>
        </w:rPr>
        <w:t xml:space="preserve">in </w:t>
      </w:r>
      <w:r w:rsidR="00B3452C">
        <w:rPr>
          <w:lang w:val="en-US"/>
        </w:rPr>
        <w:t>bones and teeth</w:t>
      </w:r>
      <w:r w:rsidR="0095082D">
        <w:rPr>
          <w:lang w:val="en-US"/>
        </w:rPr>
        <w:t>,</w:t>
      </w:r>
      <w:r w:rsidR="00B3452C">
        <w:rPr>
          <w:lang w:val="en-US"/>
        </w:rPr>
        <w:t xml:space="preserve"> individuals must also recover from the stressor, at least </w:t>
      </w:r>
      <w:r w:rsidR="00E42BDE">
        <w:rPr>
          <w:lang w:val="en-US"/>
        </w:rPr>
        <w:t xml:space="preserve">for </w:t>
      </w:r>
      <w:r w:rsidR="00B3452C">
        <w:rPr>
          <w:lang w:val="en-US"/>
        </w:rPr>
        <w:t>a little while after the stress episode.</w:t>
      </w:r>
    </w:p>
    <w:p w14:paraId="0C1D825D" w14:textId="77777777" w:rsidR="00965988" w:rsidRPr="00B426F0" w:rsidRDefault="00965988" w:rsidP="00965988">
      <w:pPr>
        <w:ind w:firstLine="720"/>
        <w:rPr>
          <w:lang w:val="en-US"/>
        </w:rPr>
      </w:pPr>
    </w:p>
    <w:p w14:paraId="1501642C" w14:textId="068C596B" w:rsidR="003B5B7F" w:rsidRDefault="003B5B7F" w:rsidP="00AF6259">
      <w:pPr>
        <w:spacing w:line="480" w:lineRule="auto"/>
        <w:ind w:firstLine="720"/>
        <w:rPr>
          <w:lang w:val="en-US"/>
        </w:rPr>
      </w:pPr>
      <w:r w:rsidRPr="00B426F0">
        <w:rPr>
          <w:lang w:val="en-US"/>
        </w:rPr>
        <w:t>D</w:t>
      </w:r>
      <w:r w:rsidR="005E07AC">
        <w:rPr>
          <w:lang w:val="en-US"/>
        </w:rPr>
        <w:t>ental enamel hypoplasia</w:t>
      </w:r>
      <w:r w:rsidRPr="00B426F0">
        <w:rPr>
          <w:lang w:val="en-US"/>
        </w:rPr>
        <w:t>s occur when stress is experienced during enamel deposition in deciduous or permanent teeth, from the second trimester i</w:t>
      </w:r>
      <w:r w:rsidR="00DB284A" w:rsidRPr="00B426F0">
        <w:rPr>
          <w:lang w:val="en-US"/>
        </w:rPr>
        <w:t>n-</w:t>
      </w:r>
      <w:r w:rsidRPr="00B426F0">
        <w:rPr>
          <w:lang w:val="en-US"/>
        </w:rPr>
        <w:t xml:space="preserve">utero until </w:t>
      </w:r>
      <w:r w:rsidRPr="00B426F0">
        <w:rPr>
          <w:lang w:val="en-US"/>
        </w:rPr>
        <w:lastRenderedPageBreak/>
        <w:t xml:space="preserve">approximately 10 years of age. Due to the fact that there are various different stressors that could cause DEH, the exact etiology is hard to determine. Some studies have noted a strong link between socioeconomic, environmental, and emotional stress with DEH development (e.g. Goodman &amp; Rose 1991; Miszkiewicz 2015). Similarly, Harris lines </w:t>
      </w:r>
      <w:r w:rsidRPr="00B426F0">
        <w:rPr>
          <w:rFonts w:eastAsia="Helvetica"/>
          <w:lang w:val="en-US"/>
        </w:rPr>
        <w:t>– radiographically visi</w:t>
      </w:r>
      <w:r w:rsidRPr="00B426F0">
        <w:rPr>
          <w:lang w:val="en-US"/>
        </w:rPr>
        <w:t xml:space="preserve">ble transverse lines on long bones </w:t>
      </w:r>
      <w:r w:rsidRPr="00B426F0">
        <w:rPr>
          <w:rFonts w:eastAsia="Helvetica"/>
          <w:lang w:val="en-US"/>
        </w:rPr>
        <w:t xml:space="preserve">– develop </w:t>
      </w:r>
      <w:r w:rsidRPr="00B426F0">
        <w:rPr>
          <w:lang w:val="en-US"/>
        </w:rPr>
        <w:t>because of cessation and resumption of bone growth (Perry 200</w:t>
      </w:r>
      <w:r w:rsidR="00A41E52" w:rsidRPr="00B426F0">
        <w:rPr>
          <w:lang w:val="en-US"/>
        </w:rPr>
        <w:t>5</w:t>
      </w:r>
      <w:r w:rsidRPr="00B426F0">
        <w:rPr>
          <w:lang w:val="en-US"/>
        </w:rPr>
        <w:t>). These markers can develop as a response to illness or poor health and can remain observable in adult skeletons. However, unlike DEH, Harris lines may be obliterated over time due to bone remodeling. Harris lines can also indicate recovery from a stressor (</w:t>
      </w:r>
      <w:r w:rsidRPr="00B426F0">
        <w:rPr>
          <w:color w:val="000000" w:themeColor="text1"/>
          <w:lang w:val="en-US"/>
        </w:rPr>
        <w:t>Papageorgopoulou et al. 2011</w:t>
      </w:r>
      <w:r w:rsidRPr="00B426F0">
        <w:rPr>
          <w:lang w:val="en-US"/>
        </w:rPr>
        <w:t>), thus as a result, Harris lines are not widely used in IYCF studies. There are difficulties with using these osteological indicators to infer infant and young child feeding because they are nonspecific stress markers that can be caused by a variety of stressors including diet, disease, and trauma (Perry</w:t>
      </w:r>
      <w:r w:rsidR="00C21D97" w:rsidRPr="00B426F0">
        <w:rPr>
          <w:lang w:val="en-US"/>
        </w:rPr>
        <w:t xml:space="preserve"> </w:t>
      </w:r>
      <w:r w:rsidRPr="00B426F0">
        <w:rPr>
          <w:lang w:val="en-US"/>
        </w:rPr>
        <w:t>200</w:t>
      </w:r>
      <w:r w:rsidR="00A41E52" w:rsidRPr="00B426F0">
        <w:rPr>
          <w:lang w:val="en-US"/>
        </w:rPr>
        <w:t>5</w:t>
      </w:r>
      <w:r w:rsidRPr="00B426F0">
        <w:rPr>
          <w:lang w:val="en-US"/>
        </w:rPr>
        <w:t xml:space="preserve">). </w:t>
      </w:r>
    </w:p>
    <w:p w14:paraId="302CBB42" w14:textId="77777777" w:rsidR="00965988" w:rsidRPr="00B426F0" w:rsidRDefault="00965988" w:rsidP="00965988">
      <w:pPr>
        <w:ind w:firstLine="720"/>
        <w:rPr>
          <w:lang w:val="en-US"/>
        </w:rPr>
      </w:pPr>
    </w:p>
    <w:p w14:paraId="0B8BBBBE" w14:textId="4E9D47DD" w:rsidR="00DB284A" w:rsidRDefault="00DB284A" w:rsidP="00AF6259">
      <w:pPr>
        <w:spacing w:line="480" w:lineRule="auto"/>
        <w:ind w:firstLine="720"/>
        <w:rPr>
          <w:lang w:val="en-US"/>
        </w:rPr>
      </w:pPr>
      <w:r w:rsidRPr="00B426F0">
        <w:rPr>
          <w:lang w:val="en-US"/>
        </w:rPr>
        <w:t>Still, b</w:t>
      </w:r>
      <w:r w:rsidR="003B5B7F" w:rsidRPr="00B426F0">
        <w:rPr>
          <w:lang w:val="en-US"/>
        </w:rPr>
        <w:t>ioarchaeologists have attempted with varied success to determine whether Harris lines and DEH are weaning-related pathological conditions by identifying the age at which these features develop</w:t>
      </w:r>
      <w:r w:rsidR="008C6162">
        <w:rPr>
          <w:lang w:val="en-US"/>
        </w:rPr>
        <w:t xml:space="preserve"> (e.g. Alfonso et al. 2005; Ash et al. 2016)</w:t>
      </w:r>
      <w:r w:rsidR="003B5B7F" w:rsidRPr="00B426F0">
        <w:rPr>
          <w:lang w:val="en-US"/>
        </w:rPr>
        <w:t xml:space="preserve">. Environmental stress strongly affects long bone growth making it difficult to determine the age at which Harris lines develop; meanwhile, environmental perturbations usually do not affect the timing of dental enamel deposition allowing researchers to measure the distance of a DEH from the cemento-enamel junction to determine the age at which the stress episodes occur. Accordingly, DEHs can be linked more accurately with a weaning-related stress </w:t>
      </w:r>
      <w:r w:rsidR="003B5B7F" w:rsidRPr="00B426F0">
        <w:rPr>
          <w:lang w:val="en-US"/>
        </w:rPr>
        <w:lastRenderedPageBreak/>
        <w:t xml:space="preserve">than Harris lines, yet many associations between weaning and skeletal pathology remain tenuous (Katzenberg et al. 1996). </w:t>
      </w:r>
    </w:p>
    <w:p w14:paraId="2D970309" w14:textId="77777777" w:rsidR="00965988" w:rsidRPr="00B426F0" w:rsidRDefault="00965988" w:rsidP="00965988">
      <w:pPr>
        <w:ind w:firstLine="720"/>
        <w:rPr>
          <w:lang w:val="en-US"/>
        </w:rPr>
      </w:pPr>
    </w:p>
    <w:p w14:paraId="306504BE" w14:textId="785726A2" w:rsidR="003B5B7F" w:rsidRDefault="003B5B7F" w:rsidP="00AF6259">
      <w:pPr>
        <w:spacing w:line="480" w:lineRule="auto"/>
        <w:ind w:firstLine="720"/>
        <w:rPr>
          <w:color w:val="000000" w:themeColor="text1"/>
          <w:lang w:val="en-US"/>
        </w:rPr>
      </w:pPr>
      <w:r w:rsidRPr="00B426F0">
        <w:rPr>
          <w:lang w:val="en-US"/>
        </w:rPr>
        <w:t xml:space="preserve">Blakey </w:t>
      </w:r>
      <w:r w:rsidR="00DB284A" w:rsidRPr="00B426F0">
        <w:rPr>
          <w:lang w:val="en-US"/>
        </w:rPr>
        <w:t>and colleagues</w:t>
      </w:r>
      <w:r w:rsidRPr="00B426F0">
        <w:rPr>
          <w:lang w:val="en-US"/>
        </w:rPr>
        <w:t xml:space="preserve"> (1994) discount weaning as a primary cause of DEHs in young children. In enslaved populations in the mid-Atlantic United States, the authors found that DEHs developed after weaning occurred, implying that other stressors related to enslavement caused enamel disruption. </w:t>
      </w:r>
      <w:r w:rsidRPr="008C4A6A">
        <w:rPr>
          <w:lang w:val="en-US"/>
        </w:rPr>
        <w:t xml:space="preserve">Larsen (1997) discovered that while weaning may lead to poor enamel development, the association between DEHs and weaning is occasionally “coincidental rather than real” (49). </w:t>
      </w:r>
      <w:r w:rsidRPr="008C4A6A">
        <w:rPr>
          <w:color w:val="000000" w:themeColor="text1"/>
          <w:lang w:val="en-US"/>
        </w:rPr>
        <w:t xml:space="preserve">More recently, </w:t>
      </w:r>
      <w:r w:rsidR="00235330" w:rsidRPr="008C4A6A">
        <w:rPr>
          <w:color w:val="000000" w:themeColor="text1"/>
          <w:lang w:val="en-US"/>
        </w:rPr>
        <w:t xml:space="preserve">Alfonso </w:t>
      </w:r>
      <w:r w:rsidRPr="008C4A6A">
        <w:rPr>
          <w:color w:val="000000" w:themeColor="text1"/>
          <w:lang w:val="en-US"/>
        </w:rPr>
        <w:t xml:space="preserve">and colleagues (2005) argued that Harris line formations have often been perceived with a traditional assumption that growth is a continuous process and observable interruptions are pathological. New data indicate that growth is in fact a saltatory process </w:t>
      </w:r>
      <w:r w:rsidR="00822C96" w:rsidRPr="008C4A6A">
        <w:rPr>
          <w:color w:val="000000" w:themeColor="text1"/>
          <w:lang w:val="en-US"/>
        </w:rPr>
        <w:t xml:space="preserve">that </w:t>
      </w:r>
      <w:r w:rsidR="00DB284A" w:rsidRPr="008C4A6A">
        <w:rPr>
          <w:color w:val="000000" w:themeColor="text1"/>
          <w:lang w:val="en-US"/>
        </w:rPr>
        <w:t>includes</w:t>
      </w:r>
      <w:r w:rsidRPr="008C4A6A">
        <w:rPr>
          <w:color w:val="000000" w:themeColor="text1"/>
          <w:lang w:val="en-US"/>
        </w:rPr>
        <w:t xml:space="preserve"> time-constrained growth episodes that occur intermittently</w:t>
      </w:r>
      <w:r w:rsidR="00DB284A" w:rsidRPr="008C4A6A">
        <w:rPr>
          <w:color w:val="000000" w:themeColor="text1"/>
          <w:lang w:val="en-US"/>
        </w:rPr>
        <w:t xml:space="preserve">, </w:t>
      </w:r>
      <w:r w:rsidRPr="008C4A6A">
        <w:rPr>
          <w:color w:val="000000" w:themeColor="text1"/>
          <w:lang w:val="en-US"/>
        </w:rPr>
        <w:t xml:space="preserve">suggesting that Harris lines are by-products of normal growth patterns (Lampl et al. 2001; Lampl </w:t>
      </w:r>
      <w:r w:rsidR="00F749B0">
        <w:rPr>
          <w:color w:val="000000" w:themeColor="text1"/>
          <w:lang w:val="en-US"/>
        </w:rPr>
        <w:t>&amp;</w:t>
      </w:r>
      <w:r w:rsidRPr="008C4A6A">
        <w:rPr>
          <w:color w:val="000000" w:themeColor="text1"/>
          <w:lang w:val="en-US"/>
        </w:rPr>
        <w:t xml:space="preserve"> Schoen 2017; </w:t>
      </w:r>
      <w:r w:rsidR="00A41E52" w:rsidRPr="008C4A6A">
        <w:rPr>
          <w:color w:val="000000" w:themeColor="text1"/>
          <w:lang w:val="en-US"/>
        </w:rPr>
        <w:t>Mu</w:t>
      </w:r>
      <w:r w:rsidR="0017710D" w:rsidRPr="008C4A6A">
        <w:rPr>
          <w:color w:val="000000" w:themeColor="text1"/>
          <w:lang w:val="en-US"/>
        </w:rPr>
        <w:t>mmert et al.</w:t>
      </w:r>
      <w:r w:rsidRPr="008C4A6A">
        <w:rPr>
          <w:color w:val="000000" w:themeColor="text1"/>
          <w:lang w:val="en-US"/>
        </w:rPr>
        <w:t xml:space="preserve"> 2018).  </w:t>
      </w:r>
      <w:r w:rsidR="00235330" w:rsidRPr="00B426F0">
        <w:rPr>
          <w:color w:val="000000" w:themeColor="text1"/>
          <w:lang w:val="en-US"/>
        </w:rPr>
        <w:t>Alfonso</w:t>
      </w:r>
      <w:r w:rsidR="00DF2F76" w:rsidRPr="00B426F0">
        <w:rPr>
          <w:color w:val="000000" w:themeColor="text1"/>
          <w:lang w:val="en-US"/>
        </w:rPr>
        <w:t xml:space="preserve"> </w:t>
      </w:r>
      <w:r w:rsidRPr="00B426F0">
        <w:rPr>
          <w:color w:val="000000" w:themeColor="text1"/>
          <w:lang w:val="en-US"/>
        </w:rPr>
        <w:t>et al. (2005) investigated the validity of enamel hypoplasia and Harris lines as indicators of stress by looking at the degree of concordance in the presence and absence</w:t>
      </w:r>
      <w:r w:rsidR="00DB284A" w:rsidRPr="00B426F0">
        <w:rPr>
          <w:color w:val="000000" w:themeColor="text1"/>
          <w:lang w:val="en-US"/>
        </w:rPr>
        <w:t xml:space="preserve"> between the </w:t>
      </w:r>
      <w:r w:rsidRPr="00B426F0">
        <w:rPr>
          <w:color w:val="000000" w:themeColor="text1"/>
          <w:lang w:val="en-US"/>
        </w:rPr>
        <w:t>skeletal markers during stressful periods. Results from two archaeological skeletal samples from Northern Chile indicated that 63.2% of the population had Harris lines, while 79.4% had enamel hypoplasia (</w:t>
      </w:r>
      <w:r w:rsidR="00235330" w:rsidRPr="00B426F0">
        <w:rPr>
          <w:color w:val="000000" w:themeColor="text1"/>
          <w:lang w:val="en-US"/>
        </w:rPr>
        <w:t>Alfonso</w:t>
      </w:r>
      <w:r w:rsidR="00DF2F76" w:rsidRPr="00B426F0">
        <w:rPr>
          <w:color w:val="000000" w:themeColor="text1"/>
          <w:lang w:val="en-US"/>
        </w:rPr>
        <w:t xml:space="preserve"> </w:t>
      </w:r>
      <w:r w:rsidRPr="00B426F0">
        <w:rPr>
          <w:color w:val="000000" w:themeColor="text1"/>
          <w:lang w:val="en-US"/>
        </w:rPr>
        <w:t xml:space="preserve">et al. 2005). There was no discernable association found between the two indicators of stress (e.g. age or sex related). Instead the authors supported the hypothesis that most Harris lines are the result of normal growth and consequently are not adequate indicators of stress associated with weaning. Similarly, it was suggested by </w:t>
      </w:r>
      <w:r w:rsidR="00235330" w:rsidRPr="00B426F0">
        <w:rPr>
          <w:color w:val="000000" w:themeColor="text1"/>
          <w:lang w:val="en-US"/>
        </w:rPr>
        <w:t>Alfonso</w:t>
      </w:r>
      <w:r w:rsidR="00DF2F76" w:rsidRPr="00B426F0">
        <w:rPr>
          <w:color w:val="000000" w:themeColor="text1"/>
          <w:lang w:val="en-US"/>
        </w:rPr>
        <w:t xml:space="preserve"> </w:t>
      </w:r>
      <w:r w:rsidRPr="00B426F0">
        <w:rPr>
          <w:color w:val="000000" w:themeColor="text1"/>
          <w:lang w:val="en-US"/>
        </w:rPr>
        <w:t xml:space="preserve">et al. (2005) that enamel </w:t>
      </w:r>
      <w:r w:rsidR="00DB284A" w:rsidRPr="00B426F0">
        <w:rPr>
          <w:color w:val="000000" w:themeColor="text1"/>
          <w:lang w:val="en-US"/>
        </w:rPr>
        <w:t xml:space="preserve">hypoplasia </w:t>
      </w:r>
      <w:r w:rsidRPr="00B426F0">
        <w:rPr>
          <w:color w:val="000000" w:themeColor="text1"/>
          <w:lang w:val="en-US"/>
        </w:rPr>
        <w:lastRenderedPageBreak/>
        <w:t xml:space="preserve">distribution may be the result of </w:t>
      </w:r>
      <w:r w:rsidR="00241E63" w:rsidRPr="00B426F0">
        <w:rPr>
          <w:color w:val="000000" w:themeColor="text1"/>
          <w:lang w:val="en-US"/>
        </w:rPr>
        <w:t xml:space="preserve">crown morphology causing </w:t>
      </w:r>
      <w:r w:rsidRPr="00B426F0">
        <w:rPr>
          <w:color w:val="000000" w:themeColor="text1"/>
          <w:lang w:val="en-US"/>
        </w:rPr>
        <w:t xml:space="preserve">higher sensitivity and higher visibility of defects formed at a specific age, rather than the sole product of stress. </w:t>
      </w:r>
    </w:p>
    <w:p w14:paraId="0D410C21" w14:textId="77777777" w:rsidR="00965988" w:rsidRPr="00B426F0" w:rsidRDefault="00965988" w:rsidP="00965988">
      <w:pPr>
        <w:ind w:firstLine="720"/>
        <w:rPr>
          <w:color w:val="000000" w:themeColor="text1"/>
          <w:lang w:val="en-US"/>
        </w:rPr>
      </w:pPr>
    </w:p>
    <w:p w14:paraId="2756A3DA" w14:textId="3A1E74C7" w:rsidR="003B5B7F" w:rsidRDefault="003B5B7F" w:rsidP="00AF6259">
      <w:pPr>
        <w:spacing w:line="480" w:lineRule="auto"/>
        <w:ind w:firstLine="720"/>
        <w:rPr>
          <w:color w:val="000000" w:themeColor="text1"/>
          <w:lang w:val="en-US"/>
        </w:rPr>
      </w:pPr>
      <w:r w:rsidRPr="00B426F0">
        <w:rPr>
          <w:color w:val="000000" w:themeColor="text1"/>
          <w:lang w:val="en-US"/>
        </w:rPr>
        <w:t>Ash et al. (2016) analyzed non-specific stress markers (linear enamel hypoplasia, porotic hyperostosis, cribra orbitalia) within five Linearbandkeramik populations from across central Europe in conjunction with published carbon and nitrogen stable isotope results to observe childhood morbidity and mortality as well as social practices related to weaning. Analysis was conducted on a total of 511 skeletons from five Early Neolithic collections</w:t>
      </w:r>
      <w:r w:rsidR="00997D4A" w:rsidRPr="00B426F0">
        <w:rPr>
          <w:color w:val="000000" w:themeColor="text1"/>
          <w:lang w:val="en-US"/>
        </w:rPr>
        <w:t xml:space="preserve"> (</w:t>
      </w:r>
      <w:r w:rsidRPr="00B426F0">
        <w:rPr>
          <w:color w:val="000000" w:themeColor="text1"/>
          <w:lang w:val="en-US"/>
        </w:rPr>
        <w:t>Schwetzingen, Stuttgart-Mühlhausen, Vedrovice, Nitra-Horné Krškany, and Polgár-Ferenci-hát</w:t>
      </w:r>
      <w:r w:rsidR="00997D4A" w:rsidRPr="00B426F0">
        <w:rPr>
          <w:color w:val="000000" w:themeColor="text1"/>
          <w:lang w:val="en-US"/>
        </w:rPr>
        <w:t>)</w:t>
      </w:r>
      <w:r w:rsidR="00241E63" w:rsidRPr="00B426F0">
        <w:rPr>
          <w:color w:val="000000" w:themeColor="text1"/>
          <w:lang w:val="en-US"/>
        </w:rPr>
        <w:t xml:space="preserve">. In contrast to the previously mentioned studies </w:t>
      </w:r>
      <w:r w:rsidRPr="00B426F0">
        <w:rPr>
          <w:color w:val="000000" w:themeColor="text1"/>
          <w:lang w:val="en-US"/>
        </w:rPr>
        <w:t xml:space="preserve">it was found that on average the onset of LEH for all populations fell between two and four years of age, corresponding with stable isotope evidence for weaning after two or three years. </w:t>
      </w:r>
    </w:p>
    <w:p w14:paraId="3D72DA9F" w14:textId="77777777" w:rsidR="00965988" w:rsidRPr="00AF6259" w:rsidRDefault="00965988" w:rsidP="00965988">
      <w:pPr>
        <w:ind w:firstLine="720"/>
        <w:rPr>
          <w:color w:val="000000" w:themeColor="text1"/>
          <w:lang w:val="en-US"/>
        </w:rPr>
      </w:pPr>
    </w:p>
    <w:p w14:paraId="1A82FA44" w14:textId="2DC7B8BA" w:rsidR="00965988" w:rsidRPr="008C4A6A" w:rsidRDefault="003B5B7F" w:rsidP="00965988">
      <w:pPr>
        <w:spacing w:line="480" w:lineRule="auto"/>
        <w:ind w:firstLine="720"/>
        <w:rPr>
          <w:lang w:val="en-US"/>
        </w:rPr>
      </w:pPr>
      <w:r w:rsidRPr="00B426F0">
        <w:rPr>
          <w:lang w:val="en-US"/>
        </w:rPr>
        <w:t xml:space="preserve">Although some studies (e.g. </w:t>
      </w:r>
      <w:r w:rsidRPr="00B426F0">
        <w:rPr>
          <w:color w:val="000000" w:themeColor="text1"/>
          <w:lang w:val="en-US"/>
        </w:rPr>
        <w:t>Lacruz et al. 2005</w:t>
      </w:r>
      <w:r w:rsidR="00C21D97" w:rsidRPr="00B426F0">
        <w:rPr>
          <w:lang w:val="en-US"/>
        </w:rPr>
        <w:t>;</w:t>
      </w:r>
      <w:r w:rsidRPr="00B426F0">
        <w:rPr>
          <w:lang w:val="en-US"/>
        </w:rPr>
        <w:t xml:space="preserve"> Tomczyk et al. 2012) have attempted to determine weaning age by using LEH, it can be argued that osteological markers are not sufficient on their own to be used to analyze IYCF practices. Another issue with observing these features in relation to weaning, is that much of the literature on DEH and Harris lines regards weaning as an event (Katzenberg et al. 1996). However, weaning is a process that encompasses the introduction of other foods, decreased dependency on breast-milk and complete cessation of breast-milk consumption. Bioarchaeologists and skeletal biologists have made recent progress in developing different approaches to estimating the timing of breastfeeding, transitional feeding, and termination of weaning. </w:t>
      </w:r>
      <w:r w:rsidRPr="008C4A6A">
        <w:rPr>
          <w:lang w:val="en-US"/>
        </w:rPr>
        <w:t xml:space="preserve">Stable isotope ratios of carbon, nitrogen, and oxygen in skeletal </w:t>
      </w:r>
      <w:r w:rsidRPr="008C4A6A">
        <w:rPr>
          <w:lang w:val="en-US"/>
        </w:rPr>
        <w:lastRenderedPageBreak/>
        <w:t xml:space="preserve">material of </w:t>
      </w:r>
      <w:r w:rsidR="00997D4A" w:rsidRPr="008C4A6A">
        <w:rPr>
          <w:lang w:val="en-US"/>
        </w:rPr>
        <w:t xml:space="preserve">subadults </w:t>
      </w:r>
      <w:r w:rsidRPr="008C4A6A">
        <w:rPr>
          <w:lang w:val="en-US"/>
        </w:rPr>
        <w:t>and adults have been proven to be a useful approach to track the dietary changes and/or phases of weaning</w:t>
      </w:r>
      <w:r w:rsidRPr="00754EB2">
        <w:rPr>
          <w:lang w:val="en-US"/>
        </w:rPr>
        <w:t xml:space="preserve">. </w:t>
      </w:r>
      <w:r w:rsidRPr="008C4A6A">
        <w:rPr>
          <w:lang w:val="en-US"/>
        </w:rPr>
        <w:t xml:space="preserve">An overview of stable isotope analysis and its wide range of applications are discussed in Chapter 3. </w:t>
      </w:r>
    </w:p>
    <w:p w14:paraId="2F9BFA82" w14:textId="77777777" w:rsidR="003B5B7F" w:rsidRPr="008C4A6A" w:rsidRDefault="003B5B7F" w:rsidP="00965988">
      <w:pPr>
        <w:rPr>
          <w:lang w:val="en-US"/>
        </w:rPr>
      </w:pPr>
    </w:p>
    <w:p w14:paraId="2CFA624C" w14:textId="25FA4EC1" w:rsidR="00AF6259" w:rsidRPr="00965988" w:rsidRDefault="00EE1717" w:rsidP="00965988">
      <w:pPr>
        <w:spacing w:line="480" w:lineRule="auto"/>
        <w:rPr>
          <w:b/>
        </w:rPr>
      </w:pPr>
      <w:r>
        <w:rPr>
          <w:b/>
        </w:rPr>
        <w:t>2.5</w:t>
      </w:r>
      <w:r w:rsidR="00AF6259" w:rsidRPr="00EE1717">
        <w:rPr>
          <w:b/>
        </w:rPr>
        <w:t xml:space="preserve"> </w:t>
      </w:r>
      <w:r w:rsidR="003B5B7F" w:rsidRPr="00EE1717">
        <w:rPr>
          <w:b/>
        </w:rPr>
        <w:t xml:space="preserve">Evidence for Breastfeeding and Weaning in Pre-Roman and Roman Italy </w:t>
      </w:r>
    </w:p>
    <w:p w14:paraId="58BB81C4" w14:textId="2B5714C8" w:rsidR="009B7D4B" w:rsidRDefault="00314138" w:rsidP="00314138">
      <w:pPr>
        <w:spacing w:line="480" w:lineRule="auto"/>
        <w:rPr>
          <w:lang w:val="en-US"/>
        </w:rPr>
      </w:pPr>
      <w:r w:rsidRPr="0087009E">
        <w:rPr>
          <w:lang w:val="en-US"/>
        </w:rPr>
        <w:t>2.</w:t>
      </w:r>
      <w:r w:rsidR="00EE1717">
        <w:rPr>
          <w:lang w:val="en-US"/>
        </w:rPr>
        <w:t>5</w:t>
      </w:r>
      <w:r w:rsidRPr="0087009E">
        <w:rPr>
          <w:lang w:val="en-US"/>
        </w:rPr>
        <w:t>.1 Archaeological Evidence</w:t>
      </w:r>
    </w:p>
    <w:p w14:paraId="46C4F5C0" w14:textId="77777777" w:rsidR="00965988" w:rsidRPr="0087009E" w:rsidRDefault="00965988" w:rsidP="00965988">
      <w:pPr>
        <w:rPr>
          <w:lang w:val="en-US"/>
        </w:rPr>
      </w:pPr>
    </w:p>
    <w:p w14:paraId="05F552A4" w14:textId="21E2330B" w:rsidR="00314138" w:rsidRDefault="00314138" w:rsidP="00AF6259">
      <w:pPr>
        <w:spacing w:line="480" w:lineRule="auto"/>
        <w:ind w:firstLine="720"/>
        <w:rPr>
          <w:color w:val="000000" w:themeColor="text1"/>
          <w:lang w:val="en-US"/>
        </w:rPr>
      </w:pPr>
      <w:r w:rsidRPr="00040CDA">
        <w:rPr>
          <w:lang w:val="en-US"/>
        </w:rPr>
        <w:t xml:space="preserve">Archaeological artifacts such as grave goods have </w:t>
      </w:r>
      <w:r>
        <w:rPr>
          <w:lang w:val="en-US"/>
        </w:rPr>
        <w:t>been used as</w:t>
      </w:r>
      <w:r w:rsidRPr="00040CDA">
        <w:rPr>
          <w:lang w:val="en-US"/>
        </w:rPr>
        <w:t xml:space="preserve"> </w:t>
      </w:r>
      <w:r>
        <w:rPr>
          <w:lang w:val="en-US"/>
        </w:rPr>
        <w:t>evidence of</w:t>
      </w:r>
      <w:r w:rsidRPr="00040CDA">
        <w:rPr>
          <w:lang w:val="en-US"/>
        </w:rPr>
        <w:t xml:space="preserve"> infant feeding practices that may have taken place during both the pre-Roman and Roman periods. </w:t>
      </w:r>
      <w:r>
        <w:rPr>
          <w:lang w:val="en-US"/>
        </w:rPr>
        <w:t>In her survey of Roman child</w:t>
      </w:r>
      <w:r w:rsidR="00671980">
        <w:rPr>
          <w:lang w:val="en-US"/>
        </w:rPr>
        <w:t xml:space="preserve"> </w:t>
      </w:r>
      <w:r>
        <w:rPr>
          <w:lang w:val="en-US"/>
        </w:rPr>
        <w:t>burial practices</w:t>
      </w:r>
      <w:r w:rsidR="00671980">
        <w:rPr>
          <w:lang w:val="en-US"/>
        </w:rPr>
        <w:t xml:space="preserve"> in </w:t>
      </w:r>
      <w:r w:rsidR="00A4682E">
        <w:rPr>
          <w:lang w:val="en-US"/>
        </w:rPr>
        <w:t>modern Sainte-Barbe quarter of Marseille (1</w:t>
      </w:r>
      <w:r w:rsidR="00A4682E" w:rsidRPr="00A4682E">
        <w:rPr>
          <w:vertAlign w:val="superscript"/>
          <w:lang w:val="en-US"/>
        </w:rPr>
        <w:t>st</w:t>
      </w:r>
      <w:r w:rsidR="00A4682E">
        <w:rPr>
          <w:lang w:val="en-US"/>
        </w:rPr>
        <w:t xml:space="preserve"> century BCE – 2</w:t>
      </w:r>
      <w:r w:rsidR="00A4682E" w:rsidRPr="00A4682E">
        <w:rPr>
          <w:vertAlign w:val="superscript"/>
          <w:lang w:val="en-US"/>
        </w:rPr>
        <w:t>nd</w:t>
      </w:r>
      <w:r w:rsidR="00A4682E">
        <w:rPr>
          <w:lang w:val="en-US"/>
        </w:rPr>
        <w:t xml:space="preserve"> century CE)</w:t>
      </w:r>
      <w:r>
        <w:rPr>
          <w:lang w:val="en-US"/>
        </w:rPr>
        <w:t>, Carroll (2018) reports that the m</w:t>
      </w:r>
      <w:r w:rsidRPr="00040CDA">
        <w:rPr>
          <w:lang w:val="en-US"/>
        </w:rPr>
        <w:t xml:space="preserve">ajority of Roman child burials (67%) did not have grave goods, but for those that did, 18% were ceramics. Feeding vessels are not common but they have been noted to appear in various geographical sites from the Iron Age to the Roman period. For instance, two </w:t>
      </w:r>
      <w:r w:rsidRPr="00040CDA">
        <w:rPr>
          <w:i/>
          <w:lang w:val="en-US"/>
        </w:rPr>
        <w:t xml:space="preserve">coppi </w:t>
      </w:r>
      <w:r w:rsidRPr="00040CDA">
        <w:rPr>
          <w:lang w:val="en-US"/>
        </w:rPr>
        <w:t>burials</w:t>
      </w:r>
      <w:r w:rsidRPr="00040CDA">
        <w:rPr>
          <w:i/>
          <w:lang w:val="en-US"/>
        </w:rPr>
        <w:t xml:space="preserve"> </w:t>
      </w:r>
      <w:r w:rsidRPr="00040CDA">
        <w:rPr>
          <w:lang w:val="en-US"/>
        </w:rPr>
        <w:t>(individuals buried within two semi-cylindrical roof cover tiles) at Nola in the province of Naples (late 4</w:t>
      </w:r>
      <w:r w:rsidRPr="00040CDA">
        <w:rPr>
          <w:vertAlign w:val="superscript"/>
          <w:lang w:val="en-US"/>
        </w:rPr>
        <w:t>th</w:t>
      </w:r>
      <w:r w:rsidRPr="00040CDA">
        <w:rPr>
          <w:lang w:val="en-US"/>
        </w:rPr>
        <w:t xml:space="preserve"> century BCE) contained a small cup and a feeding bottle (Carroll 2018). Similar styled feeding bottles have been found in the Roman Sainte-Barbe cemetery at Marseille (30 BCE – 300 CE) with two perinatal infants (</w:t>
      </w:r>
      <w:r w:rsidRPr="00040CDA">
        <w:rPr>
          <w:color w:val="000000" w:themeColor="text1"/>
          <w:lang w:val="en-US"/>
        </w:rPr>
        <w:t xml:space="preserve">Moliner et al. 2003). </w:t>
      </w:r>
      <w:r w:rsidRPr="00040CDA">
        <w:rPr>
          <w:lang w:val="en-US"/>
        </w:rPr>
        <w:t>At Lezoux in Gaul, burials of almost a dozen perinatal and young infants were associated with terra sigillata pottery workshops from the 1</w:t>
      </w:r>
      <w:r w:rsidRPr="00040CDA">
        <w:rPr>
          <w:vertAlign w:val="superscript"/>
          <w:lang w:val="en-US"/>
        </w:rPr>
        <w:t>st</w:t>
      </w:r>
      <w:r w:rsidRPr="00040CDA">
        <w:rPr>
          <w:lang w:val="en-US"/>
        </w:rPr>
        <w:t xml:space="preserve"> – 2</w:t>
      </w:r>
      <w:r w:rsidRPr="00040CDA">
        <w:rPr>
          <w:vertAlign w:val="superscript"/>
          <w:lang w:val="en-US"/>
        </w:rPr>
        <w:t>nd</w:t>
      </w:r>
      <w:r w:rsidRPr="00040CDA">
        <w:rPr>
          <w:lang w:val="en-US"/>
        </w:rPr>
        <w:t xml:space="preserve"> centuries CE. Some of these infants were buried with grave goods including rings, a lamp, miniature vessels and a feeding bottle – most probably produced at the workshop itself (</w:t>
      </w:r>
      <w:r w:rsidRPr="00040CDA">
        <w:rPr>
          <w:color w:val="000000" w:themeColor="text1"/>
          <w:lang w:val="en-US"/>
        </w:rPr>
        <w:t>Alesan et al. 1999</w:t>
      </w:r>
      <w:r w:rsidRPr="00040CDA">
        <w:rPr>
          <w:lang w:val="en-US"/>
        </w:rPr>
        <w:t xml:space="preserve">). In Britain, </w:t>
      </w:r>
      <w:r w:rsidRPr="00B05BCB">
        <w:rPr>
          <w:color w:val="000000" w:themeColor="text1"/>
          <w:lang w:val="en-US"/>
        </w:rPr>
        <w:t>at the Roman fort at Reculver, burials</w:t>
      </w:r>
      <w:r w:rsidR="00D064D6" w:rsidRPr="00B05BCB">
        <w:rPr>
          <w:color w:val="000000" w:themeColor="text1"/>
          <w:lang w:val="en-US"/>
        </w:rPr>
        <w:t xml:space="preserve"> (</w:t>
      </w:r>
      <w:r w:rsidR="00B05BCB" w:rsidRPr="00B05BCB">
        <w:rPr>
          <w:color w:val="000000" w:themeColor="text1"/>
          <w:lang w:val="en-US"/>
        </w:rPr>
        <w:t>1</w:t>
      </w:r>
      <w:r w:rsidR="00B05BCB" w:rsidRPr="00B05BCB">
        <w:rPr>
          <w:color w:val="000000" w:themeColor="text1"/>
          <w:vertAlign w:val="superscript"/>
          <w:lang w:val="en-US"/>
        </w:rPr>
        <w:t xml:space="preserve">st </w:t>
      </w:r>
      <w:r w:rsidR="00B05BCB" w:rsidRPr="00B05BCB">
        <w:rPr>
          <w:color w:val="000000" w:themeColor="text1"/>
          <w:lang w:val="en-US"/>
        </w:rPr>
        <w:t>– 3</w:t>
      </w:r>
      <w:r w:rsidR="00B05BCB" w:rsidRPr="00B05BCB">
        <w:rPr>
          <w:color w:val="000000" w:themeColor="text1"/>
          <w:vertAlign w:val="superscript"/>
          <w:lang w:val="en-US"/>
        </w:rPr>
        <w:t>rd</w:t>
      </w:r>
      <w:r w:rsidR="00B05BCB" w:rsidRPr="00B05BCB">
        <w:rPr>
          <w:color w:val="000000" w:themeColor="text1"/>
          <w:lang w:val="en-US"/>
        </w:rPr>
        <w:t xml:space="preserve"> centuries CE</w:t>
      </w:r>
      <w:r w:rsidR="00D064D6" w:rsidRPr="00B05BCB">
        <w:rPr>
          <w:color w:val="000000" w:themeColor="text1"/>
          <w:lang w:val="en-US"/>
        </w:rPr>
        <w:t>)</w:t>
      </w:r>
      <w:r w:rsidRPr="00B05BCB">
        <w:rPr>
          <w:color w:val="000000" w:themeColor="text1"/>
          <w:lang w:val="en-US"/>
        </w:rPr>
        <w:t xml:space="preserve"> </w:t>
      </w:r>
      <w:r w:rsidRPr="00040CDA">
        <w:rPr>
          <w:lang w:val="en-US"/>
        </w:rPr>
        <w:t xml:space="preserve">of eleven infants were discovered, </w:t>
      </w:r>
      <w:r w:rsidRPr="00040CDA">
        <w:rPr>
          <w:lang w:val="en-US"/>
        </w:rPr>
        <w:lastRenderedPageBreak/>
        <w:t xml:space="preserve">along with these burials a baby feeding bottle was also recovered </w:t>
      </w:r>
      <w:r w:rsidRPr="00040CDA">
        <w:rPr>
          <w:color w:val="000000" w:themeColor="text1"/>
          <w:lang w:val="en-US"/>
        </w:rPr>
        <w:t xml:space="preserve">(Philp 1966). Feeding </w:t>
      </w:r>
      <w:r w:rsidRPr="00040CDA">
        <w:rPr>
          <w:lang w:val="en-US"/>
        </w:rPr>
        <w:t xml:space="preserve">bottles also accompanied </w:t>
      </w:r>
      <w:r w:rsidR="008C6162">
        <w:rPr>
          <w:lang w:val="en-US"/>
        </w:rPr>
        <w:t xml:space="preserve">subadults </w:t>
      </w:r>
      <w:r w:rsidRPr="00040CDA">
        <w:rPr>
          <w:lang w:val="en-US"/>
        </w:rPr>
        <w:t xml:space="preserve">who had not yet been weaned, such as a child between the ages of 1.5 and 2 years found at </w:t>
      </w:r>
      <w:r w:rsidRPr="00B05BCB">
        <w:rPr>
          <w:color w:val="000000" w:themeColor="text1"/>
          <w:lang w:val="en-US"/>
        </w:rPr>
        <w:t>Roman Rottweil, Germany</w:t>
      </w:r>
      <w:r w:rsidR="00D064D6" w:rsidRPr="00B05BCB">
        <w:rPr>
          <w:color w:val="000000" w:themeColor="text1"/>
          <w:lang w:val="en-US"/>
        </w:rPr>
        <w:t xml:space="preserve"> (</w:t>
      </w:r>
      <w:r w:rsidR="00B05BCB" w:rsidRPr="00B05BCB">
        <w:rPr>
          <w:color w:val="000000" w:themeColor="text1"/>
          <w:lang w:val="en-US"/>
        </w:rPr>
        <w:t>1</w:t>
      </w:r>
      <w:r w:rsidR="00B05BCB" w:rsidRPr="00B05BCB">
        <w:rPr>
          <w:color w:val="000000" w:themeColor="text1"/>
          <w:vertAlign w:val="superscript"/>
          <w:lang w:val="en-US"/>
        </w:rPr>
        <w:t xml:space="preserve">st </w:t>
      </w:r>
      <w:r w:rsidR="00B05BCB" w:rsidRPr="00B05BCB">
        <w:rPr>
          <w:color w:val="000000" w:themeColor="text1"/>
          <w:lang w:val="en-US"/>
        </w:rPr>
        <w:t>– 4</w:t>
      </w:r>
      <w:r w:rsidR="00B05BCB" w:rsidRPr="00B05BCB">
        <w:rPr>
          <w:color w:val="000000" w:themeColor="text1"/>
          <w:vertAlign w:val="superscript"/>
          <w:lang w:val="en-US"/>
        </w:rPr>
        <w:t>th</w:t>
      </w:r>
      <w:r w:rsidR="00B05BCB" w:rsidRPr="00B05BCB">
        <w:rPr>
          <w:color w:val="000000" w:themeColor="text1"/>
          <w:lang w:val="en-US"/>
        </w:rPr>
        <w:t xml:space="preserve"> centuries CE</w:t>
      </w:r>
      <w:r w:rsidR="00D064D6" w:rsidRPr="00B05BCB">
        <w:rPr>
          <w:color w:val="000000" w:themeColor="text1"/>
          <w:lang w:val="en-US"/>
        </w:rPr>
        <w:t>)</w:t>
      </w:r>
      <w:r w:rsidRPr="00B05BCB">
        <w:rPr>
          <w:color w:val="000000" w:themeColor="text1"/>
          <w:lang w:val="en-US"/>
        </w:rPr>
        <w:t xml:space="preserve"> </w:t>
      </w:r>
      <w:r w:rsidRPr="00040CDA">
        <w:rPr>
          <w:color w:val="000000" w:themeColor="text1"/>
          <w:lang w:val="en-US"/>
        </w:rPr>
        <w:t>(Faber 1998).</w:t>
      </w:r>
    </w:p>
    <w:p w14:paraId="6DBD375E" w14:textId="77777777" w:rsidR="00965988" w:rsidRPr="00AF6259" w:rsidRDefault="00965988" w:rsidP="00965988">
      <w:pPr>
        <w:ind w:firstLine="720"/>
        <w:rPr>
          <w:color w:val="000000" w:themeColor="text1"/>
          <w:lang w:val="en-US"/>
        </w:rPr>
      </w:pPr>
    </w:p>
    <w:p w14:paraId="7A310D69" w14:textId="1382856F" w:rsidR="00314138" w:rsidRDefault="00314138" w:rsidP="00AF6259">
      <w:pPr>
        <w:spacing w:line="480" w:lineRule="auto"/>
        <w:ind w:firstLine="720"/>
        <w:rPr>
          <w:color w:val="000000" w:themeColor="text1"/>
          <w:lang w:val="en-US"/>
        </w:rPr>
      </w:pPr>
      <w:r w:rsidRPr="00040CDA">
        <w:rPr>
          <w:lang w:val="en-US"/>
        </w:rPr>
        <w:t xml:space="preserve">Comparable feeding </w:t>
      </w:r>
      <w:r w:rsidR="00334BE4">
        <w:rPr>
          <w:lang w:val="en-US"/>
        </w:rPr>
        <w:t>vessels</w:t>
      </w:r>
      <w:r w:rsidRPr="00040CDA">
        <w:rPr>
          <w:lang w:val="en-US"/>
        </w:rPr>
        <w:t xml:space="preserve"> have also been found in association with pre-Roman sites and Greek colony sites in</w:t>
      </w:r>
      <w:r w:rsidR="00334BE4">
        <w:rPr>
          <w:lang w:val="en-US"/>
        </w:rPr>
        <w:t xml:space="preserve"> various parts of southern</w:t>
      </w:r>
      <w:r w:rsidRPr="00040CDA">
        <w:rPr>
          <w:lang w:val="en-US"/>
        </w:rPr>
        <w:t xml:space="preserve"> Italy. Historical evidence suggests that Greek colonists in </w:t>
      </w:r>
      <w:r w:rsidR="00334BE4">
        <w:rPr>
          <w:lang w:val="en-US"/>
        </w:rPr>
        <w:t>s</w:t>
      </w:r>
      <w:r w:rsidRPr="00040CDA">
        <w:rPr>
          <w:lang w:val="en-US"/>
        </w:rPr>
        <w:t xml:space="preserve">outhern Italy were in direct contact with </w:t>
      </w:r>
      <w:r w:rsidR="0095082D">
        <w:rPr>
          <w:lang w:val="en-US"/>
        </w:rPr>
        <w:t>I</w:t>
      </w:r>
      <w:r w:rsidRPr="00040CDA">
        <w:rPr>
          <w:lang w:val="en-US"/>
        </w:rPr>
        <w:t xml:space="preserve">ndigenous Iron Age communities, so much so that there are inferences of cultural interactions and trade with the Greeks (Handberg &amp; Jacobsen 2011; </w:t>
      </w:r>
      <w:r w:rsidRPr="00040CDA">
        <w:rPr>
          <w:color w:val="000000" w:themeColor="text1"/>
          <w:lang w:val="en-US"/>
        </w:rPr>
        <w:t>Colivicchi 2011</w:t>
      </w:r>
      <w:r w:rsidRPr="00040CDA">
        <w:rPr>
          <w:lang w:val="en-US"/>
        </w:rPr>
        <w:t>). Ionian cups (from Ionian Greek colonies) were also found in Iron Age settlement of Parco San Stefano (Small 1992)</w:t>
      </w:r>
      <w:r w:rsidR="00B44230">
        <w:rPr>
          <w:lang w:val="en-US"/>
        </w:rPr>
        <w:t xml:space="preserve"> located </w:t>
      </w:r>
      <w:r w:rsidR="00515D40">
        <w:rPr>
          <w:lang w:val="en-US"/>
        </w:rPr>
        <w:t>at Botromagno</w:t>
      </w:r>
      <w:r>
        <w:rPr>
          <w:lang w:val="en-US"/>
        </w:rPr>
        <w:t xml:space="preserve"> near Vagnari in southern Italy</w:t>
      </w:r>
      <w:r w:rsidRPr="00040CDA">
        <w:rPr>
          <w:lang w:val="en-US"/>
        </w:rPr>
        <w:t xml:space="preserve">; thus, it may be possible that Greek styles of infant feeding bottles influenced those found in Iron Age southern Italy. A spouted feeding bottle was found amongst </w:t>
      </w:r>
      <w:r w:rsidR="0062051E">
        <w:rPr>
          <w:lang w:val="en-US"/>
        </w:rPr>
        <w:t xml:space="preserve">a </w:t>
      </w:r>
      <w:r w:rsidRPr="00040CDA">
        <w:rPr>
          <w:lang w:val="en-US"/>
        </w:rPr>
        <w:t xml:space="preserve">few objects that were deposited with foetuses and perinatal infants in the Hellenistic well of Athenian agora, indicating that feeding bottles were most likely brought by Greek colonists from Greece </w:t>
      </w:r>
      <w:r w:rsidRPr="00040CDA">
        <w:rPr>
          <w:color w:val="000000" w:themeColor="text1"/>
          <w:lang w:val="en-US"/>
        </w:rPr>
        <w:t xml:space="preserve">(Liston &amp; Rotroff 2013). </w:t>
      </w:r>
    </w:p>
    <w:p w14:paraId="5A192134" w14:textId="77777777" w:rsidR="00965988" w:rsidRPr="00AF6259" w:rsidRDefault="00965988" w:rsidP="00965988">
      <w:pPr>
        <w:ind w:firstLine="720"/>
        <w:rPr>
          <w:color w:val="FF0000"/>
          <w:lang w:val="en-US"/>
        </w:rPr>
      </w:pPr>
    </w:p>
    <w:p w14:paraId="1872CC94" w14:textId="2F4C504D" w:rsidR="00267C18" w:rsidRPr="00267C18" w:rsidRDefault="00314138" w:rsidP="00BC529C">
      <w:pPr>
        <w:spacing w:line="480" w:lineRule="auto"/>
        <w:ind w:firstLine="720"/>
        <w:rPr>
          <w:lang w:val="en-US"/>
        </w:rPr>
      </w:pPr>
      <w:r w:rsidRPr="00040CDA">
        <w:rPr>
          <w:lang w:val="en-US"/>
        </w:rPr>
        <w:t>At Metaponto, a coastal Greek colony site located along the coast of southern Italy, newborns were buried with numerous ceramic feeding vessels such as cups and feeding bottles, oil flasks (</w:t>
      </w:r>
      <w:r w:rsidRPr="00040CDA">
        <w:rPr>
          <w:i/>
          <w:lang w:val="en-US"/>
        </w:rPr>
        <w:t>aryballoi</w:t>
      </w:r>
      <w:r w:rsidRPr="00040CDA">
        <w:rPr>
          <w:lang w:val="en-US"/>
        </w:rPr>
        <w:t xml:space="preserve">, </w:t>
      </w:r>
      <w:r w:rsidRPr="00040CDA">
        <w:rPr>
          <w:i/>
          <w:lang w:val="en-US"/>
        </w:rPr>
        <w:t>lekythoi</w:t>
      </w:r>
      <w:r w:rsidRPr="00040CDA">
        <w:rPr>
          <w:lang w:val="en-US"/>
        </w:rPr>
        <w:t>) and terracotta figurines (6</w:t>
      </w:r>
      <w:r w:rsidRPr="00040CDA">
        <w:rPr>
          <w:vertAlign w:val="superscript"/>
          <w:lang w:val="en-US"/>
        </w:rPr>
        <w:t>th</w:t>
      </w:r>
      <w:r w:rsidRPr="00040CDA">
        <w:rPr>
          <w:lang w:val="en-US"/>
        </w:rPr>
        <w:t xml:space="preserve"> – 3</w:t>
      </w:r>
      <w:r w:rsidRPr="00040CDA">
        <w:rPr>
          <w:vertAlign w:val="superscript"/>
          <w:lang w:val="en-US"/>
        </w:rPr>
        <w:t>rd</w:t>
      </w:r>
      <w:r w:rsidRPr="00040CDA">
        <w:rPr>
          <w:lang w:val="en-US"/>
        </w:rPr>
        <w:t xml:space="preserve"> centuries BCE) (Carter 1998). Similarly, </w:t>
      </w:r>
      <w:r w:rsidR="0062051E">
        <w:rPr>
          <w:lang w:val="en-US"/>
        </w:rPr>
        <w:t>i</w:t>
      </w:r>
      <w:r w:rsidRPr="00040CDA">
        <w:rPr>
          <w:lang w:val="en-US"/>
        </w:rPr>
        <w:t>nfant burials at Botromagno (5</w:t>
      </w:r>
      <w:r w:rsidRPr="00040CDA">
        <w:rPr>
          <w:vertAlign w:val="superscript"/>
          <w:lang w:val="en-US"/>
        </w:rPr>
        <w:t>th</w:t>
      </w:r>
      <w:r w:rsidRPr="00040CDA">
        <w:rPr>
          <w:lang w:val="en-US"/>
        </w:rPr>
        <w:t xml:space="preserve"> to the 3</w:t>
      </w:r>
      <w:r w:rsidRPr="00040CDA">
        <w:rPr>
          <w:vertAlign w:val="superscript"/>
          <w:lang w:val="en-US"/>
        </w:rPr>
        <w:t>rd</w:t>
      </w:r>
      <w:r w:rsidRPr="00040CDA">
        <w:rPr>
          <w:lang w:val="en-US"/>
        </w:rPr>
        <w:t xml:space="preserve"> centuries BCE) and child graves in the Greek colonies of Himera (Sicily)</w:t>
      </w:r>
      <w:r w:rsidR="008D5E86">
        <w:rPr>
          <w:lang w:val="en-US"/>
        </w:rPr>
        <w:t xml:space="preserve"> and </w:t>
      </w:r>
      <w:r w:rsidRPr="00040CDA">
        <w:rPr>
          <w:lang w:val="en-US"/>
        </w:rPr>
        <w:t xml:space="preserve">Taranto (coastal city in </w:t>
      </w:r>
      <w:r w:rsidRPr="00040CDA">
        <w:rPr>
          <w:lang w:val="en-US"/>
        </w:rPr>
        <w:lastRenderedPageBreak/>
        <w:t xml:space="preserve">Southern Italy) contained comparable feeding bottles and small cups (Carroll, 2018; </w:t>
      </w:r>
      <w:r w:rsidRPr="00965988">
        <w:rPr>
          <w:color w:val="000000" w:themeColor="text1"/>
          <w:lang w:val="en-US"/>
        </w:rPr>
        <w:t>Whitehouse et al. 2000</w:t>
      </w:r>
      <w:r w:rsidRPr="00040CDA">
        <w:rPr>
          <w:lang w:val="en-US"/>
        </w:rPr>
        <w:t xml:space="preserve">). Examples of feeding bottles found at these sites can be seen in Figure 2.1 and 2.2 which present images of feeding bottles found at two infant burials (Tomb 12 and Burial 1) at Botromagno. The bichrome baby feeder shown in Figure 2.1 has a spout and a single handle set at roughly a right angle; this suggests that the vessel was designed to be held by a right-handed child as the size and location of the handle would be uncomfortable for an adult using the vessel to feed a child (Whitehouse et al. 2000). The shape of the vessel is rare and unlike the normal Greek type baby feeders found in </w:t>
      </w:r>
      <w:r w:rsidR="00B63787">
        <w:rPr>
          <w:lang w:val="en-US"/>
        </w:rPr>
        <w:t>s</w:t>
      </w:r>
      <w:r w:rsidRPr="00040CDA">
        <w:rPr>
          <w:lang w:val="en-US"/>
        </w:rPr>
        <w:t>outh</w:t>
      </w:r>
      <w:r w:rsidR="0062051E">
        <w:rPr>
          <w:lang w:val="en-US"/>
        </w:rPr>
        <w:t>ern</w:t>
      </w:r>
      <w:r w:rsidRPr="00040CDA">
        <w:rPr>
          <w:lang w:val="en-US"/>
        </w:rPr>
        <w:t xml:space="preserve"> Italy at the time, such as the black glazed baby feeder in Figure 2.2. Yet, the tongue patterns painted on the vessels do not belong to the traditional Matt-Painted repertoire (commonly found in Iron Age burials) but belong to the peripheral patterns found on Greek figured pottery. The Greek black glazed baby feeder (Figure 2.2) is a simple design with a spout, a single handle set at roughly </w:t>
      </w:r>
      <w:r w:rsidR="00334BE4">
        <w:rPr>
          <w:lang w:val="en-US"/>
        </w:rPr>
        <w:t>a</w:t>
      </w:r>
      <w:r w:rsidRPr="00040CDA">
        <w:rPr>
          <w:lang w:val="en-US"/>
        </w:rPr>
        <w:t xml:space="preserve"> right angle and a narrow neck to reduce the risk of spillage. The body chamber is small and the narrow spout indicates that only small volumes of liquid foods could be fed through this vessel. </w:t>
      </w:r>
      <w:r w:rsidRPr="00267C18">
        <w:rPr>
          <w:lang w:val="en-US"/>
        </w:rPr>
        <w:t>According to Whitehouse and colleagues (2000) since these burials contained a baby feeder, the young children most probably had begun weaning but had not yet outgrown special cups designed to prevent spillage and were probably between 6 – 36 months of age.</w:t>
      </w:r>
    </w:p>
    <w:p w14:paraId="2AB70C1A" w14:textId="0889E29E" w:rsidR="0077191D" w:rsidRDefault="0077191D" w:rsidP="0077191D">
      <w:pPr>
        <w:jc w:val="center"/>
      </w:pPr>
      <w:r>
        <w:lastRenderedPageBreak/>
        <w:fldChar w:fldCharType="begin"/>
      </w:r>
      <w:r>
        <w:instrText xml:space="preserve"> INCLUDEPICTURE "/var/folders/bz/mhg3_jqn2n7fc5csvw7q8ttc0000gn/T/com.microsoft.Word/WebArchiveCopyPasteTempFiles/page1image54379744" \* MERGEFORMATINET </w:instrText>
      </w:r>
      <w:r>
        <w:fldChar w:fldCharType="separate"/>
      </w:r>
      <w:r>
        <w:rPr>
          <w:noProof/>
        </w:rPr>
        <w:drawing>
          <wp:inline distT="0" distB="0" distL="0" distR="0" wp14:anchorId="27380225" wp14:editId="1B4FB41F">
            <wp:extent cx="2666580" cy="2785134"/>
            <wp:effectExtent l="0" t="0" r="635" b="0"/>
            <wp:docPr id="39" name="Picture 39" descr="page1image5437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54379744"/>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2895" t="1795" r="2158" b="6"/>
                    <a:stretch/>
                  </pic:blipFill>
                  <pic:spPr bwMode="auto">
                    <a:xfrm>
                      <a:off x="0" y="0"/>
                      <a:ext cx="2680734" cy="279991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3EEA6A5" w14:textId="0B0F2689" w:rsidR="00314138" w:rsidRDefault="00314138" w:rsidP="00314138">
      <w:pPr>
        <w:spacing w:line="480" w:lineRule="auto"/>
        <w:jc w:val="center"/>
        <w:rPr>
          <w:lang w:val="en-US"/>
        </w:rPr>
      </w:pPr>
    </w:p>
    <w:p w14:paraId="3040000A" w14:textId="1133C50E" w:rsidR="001F57FA" w:rsidRDefault="001F57FA" w:rsidP="00BC529C">
      <w:pPr>
        <w:jc w:val="center"/>
        <w:rPr>
          <w:lang w:val="en-US"/>
        </w:rPr>
      </w:pPr>
      <w:r w:rsidRPr="00040CDA">
        <w:rPr>
          <w:b/>
          <w:lang w:val="en-US"/>
        </w:rPr>
        <w:t>Figure 2.1</w:t>
      </w:r>
      <w:r w:rsidR="00DC7DBA">
        <w:rPr>
          <w:b/>
          <w:lang w:val="en-US"/>
        </w:rPr>
        <w:t>:</w:t>
      </w:r>
      <w:r w:rsidRPr="00040CDA">
        <w:rPr>
          <w:b/>
          <w:lang w:val="en-US"/>
        </w:rPr>
        <w:t xml:space="preserve"> </w:t>
      </w:r>
      <w:r w:rsidRPr="00040CDA">
        <w:rPr>
          <w:lang w:val="en-US"/>
        </w:rPr>
        <w:t>Biochrom</w:t>
      </w:r>
      <w:r w:rsidRPr="00040CDA">
        <w:rPr>
          <w:b/>
          <w:lang w:val="en-US"/>
        </w:rPr>
        <w:t xml:space="preserve">e </w:t>
      </w:r>
      <w:r w:rsidRPr="00040CDA">
        <w:rPr>
          <w:lang w:val="en-US"/>
        </w:rPr>
        <w:t>feeding bottle from Tomb 12 at Botromagno, 5</w:t>
      </w:r>
      <w:r w:rsidRPr="00040CDA">
        <w:rPr>
          <w:vertAlign w:val="superscript"/>
          <w:lang w:val="en-US"/>
        </w:rPr>
        <w:t>th</w:t>
      </w:r>
      <w:r w:rsidRPr="00040CDA">
        <w:rPr>
          <w:lang w:val="en-US"/>
        </w:rPr>
        <w:t xml:space="preserve"> century BCE</w:t>
      </w:r>
      <w:r w:rsidRPr="00040CDA">
        <w:rPr>
          <w:b/>
          <w:lang w:val="en-US"/>
        </w:rPr>
        <w:t xml:space="preserve"> </w:t>
      </w:r>
      <w:r w:rsidRPr="00040CDA">
        <w:rPr>
          <w:lang w:val="en-US"/>
        </w:rPr>
        <w:t>(from Whitehouse et al. 2000, p.</w:t>
      </w:r>
      <w:r w:rsidR="000F4E44">
        <w:rPr>
          <w:lang w:val="en-US"/>
        </w:rPr>
        <w:t>1</w:t>
      </w:r>
      <w:r w:rsidRPr="00040CDA">
        <w:rPr>
          <w:lang w:val="en-US"/>
        </w:rPr>
        <w:t>81).</w:t>
      </w:r>
    </w:p>
    <w:p w14:paraId="7B5B6FC7" w14:textId="62A07DF3" w:rsidR="008A2866" w:rsidRPr="00040CDA" w:rsidRDefault="008A2866" w:rsidP="00314138">
      <w:pPr>
        <w:spacing w:line="480" w:lineRule="auto"/>
        <w:jc w:val="center"/>
        <w:rPr>
          <w:lang w:val="en-US"/>
        </w:rPr>
      </w:pPr>
    </w:p>
    <w:p w14:paraId="194C0FD8" w14:textId="36F7F58C" w:rsidR="00144C4D" w:rsidRDefault="00144C4D" w:rsidP="0077191D">
      <w:pPr>
        <w:jc w:val="center"/>
      </w:pPr>
      <w:r>
        <w:fldChar w:fldCharType="begin"/>
      </w:r>
      <w:r>
        <w:instrText xml:space="preserve"> INCLUDEPICTURE "/var/folders/bz/mhg3_jqn2n7fc5csvw7q8ttc0000gn/T/com.microsoft.Word/WebArchiveCopyPasteTempFiles/page1image54303648" \* MERGEFORMATINET </w:instrText>
      </w:r>
      <w:r>
        <w:fldChar w:fldCharType="separate"/>
      </w:r>
      <w:r>
        <w:rPr>
          <w:noProof/>
        </w:rPr>
        <w:drawing>
          <wp:inline distT="0" distB="0" distL="0" distR="0" wp14:anchorId="6193C882" wp14:editId="704DCF28">
            <wp:extent cx="2813539" cy="3164361"/>
            <wp:effectExtent l="0" t="0" r="6350" b="0"/>
            <wp:docPr id="35" name="Picture 35" descr="page1image5430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54303648"/>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4991" t="16713" r="23258" b="31200"/>
                    <a:stretch/>
                  </pic:blipFill>
                  <pic:spPr bwMode="auto">
                    <a:xfrm>
                      <a:off x="0" y="0"/>
                      <a:ext cx="2821974" cy="317384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921EEE7" w14:textId="2BAE5311" w:rsidR="00314138" w:rsidRDefault="00314138" w:rsidP="00314138">
      <w:pPr>
        <w:spacing w:line="480" w:lineRule="auto"/>
        <w:ind w:firstLine="720"/>
        <w:jc w:val="center"/>
        <w:rPr>
          <w:lang w:val="en-US"/>
        </w:rPr>
      </w:pPr>
    </w:p>
    <w:p w14:paraId="009D0677" w14:textId="6A5BE5F0" w:rsidR="00314138" w:rsidRPr="00F92096" w:rsidRDefault="001F57FA" w:rsidP="00F92096">
      <w:pPr>
        <w:jc w:val="center"/>
        <w:rPr>
          <w:color w:val="000000" w:themeColor="text1"/>
          <w:lang w:val="en-US"/>
        </w:rPr>
      </w:pPr>
      <w:r w:rsidRPr="00040CDA">
        <w:rPr>
          <w:b/>
          <w:color w:val="000000" w:themeColor="text1"/>
          <w:lang w:val="en-US"/>
        </w:rPr>
        <w:t>Figure 2.2</w:t>
      </w:r>
      <w:r w:rsidR="00DC7DBA">
        <w:rPr>
          <w:b/>
          <w:color w:val="000000" w:themeColor="text1"/>
          <w:lang w:val="en-US"/>
        </w:rPr>
        <w:t>:</w:t>
      </w:r>
      <w:r w:rsidRPr="00040CDA">
        <w:rPr>
          <w:color w:val="000000" w:themeColor="text1"/>
          <w:lang w:val="en-US"/>
        </w:rPr>
        <w:t xml:space="preserve"> B</w:t>
      </w:r>
      <w:r w:rsidR="0049516F">
        <w:rPr>
          <w:color w:val="000000" w:themeColor="text1"/>
          <w:lang w:val="en-US"/>
        </w:rPr>
        <w:t>lac</w:t>
      </w:r>
      <w:r w:rsidRPr="00040CDA">
        <w:rPr>
          <w:color w:val="000000" w:themeColor="text1"/>
          <w:lang w:val="en-US"/>
        </w:rPr>
        <w:t>k glaze baby feeder from Burial 1 at Botromagno, late 4</w:t>
      </w:r>
      <w:r w:rsidRPr="00040CDA">
        <w:rPr>
          <w:color w:val="000000" w:themeColor="text1"/>
          <w:vertAlign w:val="superscript"/>
          <w:lang w:val="en-US"/>
        </w:rPr>
        <w:t>th</w:t>
      </w:r>
      <w:r w:rsidRPr="00040CDA">
        <w:rPr>
          <w:color w:val="000000" w:themeColor="text1"/>
          <w:lang w:val="en-US"/>
        </w:rPr>
        <w:t xml:space="preserve"> century BCE (from Whitehouse et al. 2000, </w:t>
      </w:r>
      <w:r w:rsidR="0022151D">
        <w:rPr>
          <w:color w:val="000000" w:themeColor="text1"/>
          <w:lang w:val="en-US"/>
        </w:rPr>
        <w:t>p.</w:t>
      </w:r>
      <w:r w:rsidRPr="00040CDA">
        <w:rPr>
          <w:color w:val="000000" w:themeColor="text1"/>
          <w:lang w:val="en-US"/>
        </w:rPr>
        <w:t>219).</w:t>
      </w:r>
    </w:p>
    <w:p w14:paraId="57E63A8C" w14:textId="0C1F45D4" w:rsidR="00267C18" w:rsidRDefault="00267C18" w:rsidP="00267C18">
      <w:pPr>
        <w:spacing w:line="480" w:lineRule="auto"/>
        <w:ind w:firstLine="720"/>
        <w:rPr>
          <w:lang w:val="en-US"/>
        </w:rPr>
      </w:pPr>
      <w:r w:rsidRPr="00040CDA">
        <w:rPr>
          <w:lang w:val="en-US"/>
        </w:rPr>
        <w:lastRenderedPageBreak/>
        <w:t>Greek styled baby feeders found in southern Italy date back to the later 6</w:t>
      </w:r>
      <w:r w:rsidRPr="00040CDA">
        <w:rPr>
          <w:vertAlign w:val="superscript"/>
          <w:lang w:val="en-US"/>
        </w:rPr>
        <w:t>th</w:t>
      </w:r>
      <w:r w:rsidRPr="00040CDA">
        <w:rPr>
          <w:lang w:val="en-US"/>
        </w:rPr>
        <w:t xml:space="preserve"> century BCE. La Porto </w:t>
      </w:r>
      <w:r>
        <w:rPr>
          <w:lang w:val="en-US"/>
        </w:rPr>
        <w:t>(</w:t>
      </w:r>
      <w:r w:rsidRPr="00040CDA">
        <w:rPr>
          <w:lang w:val="en-US"/>
        </w:rPr>
        <w:t>1973</w:t>
      </w:r>
      <w:r>
        <w:rPr>
          <w:lang w:val="en-US"/>
        </w:rPr>
        <w:t>)</w:t>
      </w:r>
      <w:r w:rsidRPr="00040CDA">
        <w:rPr>
          <w:lang w:val="en-US"/>
        </w:rPr>
        <w:t xml:space="preserve"> published examples from San Martino (Matera</w:t>
      </w:r>
      <w:r>
        <w:rPr>
          <w:lang w:val="en-US"/>
        </w:rPr>
        <w:t>) that date</w:t>
      </w:r>
      <w:r w:rsidRPr="00040CDA">
        <w:rPr>
          <w:lang w:val="en-US"/>
        </w:rPr>
        <w:t xml:space="preserve"> to the late 6</w:t>
      </w:r>
      <w:r w:rsidRPr="00040CDA">
        <w:rPr>
          <w:vertAlign w:val="superscript"/>
          <w:lang w:val="en-US"/>
        </w:rPr>
        <w:t>th</w:t>
      </w:r>
      <w:r w:rsidRPr="00040CDA">
        <w:rPr>
          <w:lang w:val="en-US"/>
        </w:rPr>
        <w:t xml:space="preserve"> century BCE. </w:t>
      </w:r>
      <w:r w:rsidRPr="008A19DA">
        <w:rPr>
          <w:color w:val="000000" w:themeColor="text1"/>
          <w:lang w:val="en-US"/>
        </w:rPr>
        <w:t xml:space="preserve">Holloway (1970) </w:t>
      </w:r>
      <w:r w:rsidRPr="00040CDA">
        <w:rPr>
          <w:lang w:val="en-US"/>
        </w:rPr>
        <w:t>also published a similar vessel with a short neck and lateral handles from Tomb 24 at Satriano</w:t>
      </w:r>
      <w:r>
        <w:rPr>
          <w:lang w:val="en-US"/>
        </w:rPr>
        <w:t xml:space="preserve"> in the Calabria region of southern Italy</w:t>
      </w:r>
      <w:r w:rsidRPr="00040CDA">
        <w:rPr>
          <w:lang w:val="en-US"/>
        </w:rPr>
        <w:t>, dating to the mid 5</w:t>
      </w:r>
      <w:r w:rsidRPr="00040CDA">
        <w:rPr>
          <w:vertAlign w:val="superscript"/>
          <w:lang w:val="en-US"/>
        </w:rPr>
        <w:t>th</w:t>
      </w:r>
      <w:r w:rsidRPr="00040CDA">
        <w:rPr>
          <w:lang w:val="en-US"/>
        </w:rPr>
        <w:t xml:space="preserve"> century BCE. Tomb 3/1 at Padreterno also contain</w:t>
      </w:r>
      <w:r>
        <w:rPr>
          <w:lang w:val="en-US"/>
        </w:rPr>
        <w:t>ed</w:t>
      </w:r>
      <w:r w:rsidRPr="00040CDA">
        <w:rPr>
          <w:lang w:val="en-US"/>
        </w:rPr>
        <w:t xml:space="preserve"> a baby feeder similar to the black glazed vessel presented in Figure 2.2 dating to first half of the 3</w:t>
      </w:r>
      <w:r w:rsidRPr="00040CDA">
        <w:rPr>
          <w:vertAlign w:val="superscript"/>
          <w:lang w:val="en-US"/>
        </w:rPr>
        <w:t xml:space="preserve">rd </w:t>
      </w:r>
      <w:r w:rsidRPr="00040CDA">
        <w:rPr>
          <w:lang w:val="en-US"/>
        </w:rPr>
        <w:t>century</w:t>
      </w:r>
      <w:r>
        <w:rPr>
          <w:lang w:val="en-US"/>
        </w:rPr>
        <w:t xml:space="preserve"> CE</w:t>
      </w:r>
      <w:r w:rsidRPr="00040CDA">
        <w:rPr>
          <w:lang w:val="en-US"/>
        </w:rPr>
        <w:t xml:space="preserve"> </w:t>
      </w:r>
      <w:r w:rsidRPr="00FF0311">
        <w:rPr>
          <w:color w:val="000000" w:themeColor="text1"/>
          <w:lang w:val="en-US"/>
        </w:rPr>
        <w:t>(AA. VV.</w:t>
      </w:r>
      <w:r w:rsidR="00BE1774">
        <w:rPr>
          <w:color w:val="000000" w:themeColor="text1"/>
          <w:lang w:val="en-US"/>
        </w:rPr>
        <w:t xml:space="preserve"> </w:t>
      </w:r>
      <w:r w:rsidRPr="00FF0311">
        <w:rPr>
          <w:color w:val="000000" w:themeColor="text1"/>
          <w:lang w:val="en-US"/>
        </w:rPr>
        <w:t>1989 as cited in Whitehouse 2000).</w:t>
      </w:r>
    </w:p>
    <w:p w14:paraId="698BF33D" w14:textId="77777777" w:rsidR="00267C18" w:rsidRPr="00040CDA" w:rsidRDefault="00267C18" w:rsidP="00267C18">
      <w:pPr>
        <w:ind w:firstLine="720"/>
        <w:rPr>
          <w:lang w:val="en-US"/>
        </w:rPr>
      </w:pPr>
    </w:p>
    <w:p w14:paraId="5E8EE1CA" w14:textId="443CE440" w:rsidR="00314138" w:rsidRPr="0006565C" w:rsidRDefault="00314138" w:rsidP="0006565C">
      <w:pPr>
        <w:spacing w:line="480" w:lineRule="auto"/>
        <w:ind w:firstLine="720"/>
      </w:pPr>
      <w:r w:rsidRPr="00040CDA">
        <w:rPr>
          <w:lang w:val="en-US"/>
        </w:rPr>
        <w:t>Although these bottles have been argued to be lamp fillers or funerary libation vessels, a Greek terracotta figurine (5</w:t>
      </w:r>
      <w:r w:rsidRPr="00040CDA">
        <w:rPr>
          <w:vertAlign w:val="superscript"/>
          <w:lang w:val="en-US"/>
        </w:rPr>
        <w:t xml:space="preserve">th </w:t>
      </w:r>
      <w:r w:rsidRPr="00040CDA">
        <w:rPr>
          <w:lang w:val="en-US"/>
        </w:rPr>
        <w:t>century BCE) illustrates the use and purpose of these vessels (</w:t>
      </w:r>
      <w:r w:rsidR="00FD2426">
        <w:rPr>
          <w:lang w:val="en-US"/>
        </w:rPr>
        <w:t>F</w:t>
      </w:r>
      <w:r w:rsidRPr="00040CDA">
        <w:rPr>
          <w:lang w:val="en-US"/>
        </w:rPr>
        <w:t xml:space="preserve">igure 2.3); the figurine depicts a seated </w:t>
      </w:r>
      <w:r w:rsidR="00134752">
        <w:rPr>
          <w:lang w:val="en-US"/>
        </w:rPr>
        <w:t>woman</w:t>
      </w:r>
      <w:r w:rsidRPr="00040CDA">
        <w:rPr>
          <w:lang w:val="en-US"/>
        </w:rPr>
        <w:t xml:space="preserve"> holding a spouted cup to the lips of a</w:t>
      </w:r>
      <w:r w:rsidR="00D206CE">
        <w:rPr>
          <w:lang w:val="en-US"/>
        </w:rPr>
        <w:t xml:space="preserve">n infant </w:t>
      </w:r>
      <w:r w:rsidRPr="00040CDA">
        <w:rPr>
          <w:lang w:val="en-US"/>
        </w:rPr>
        <w:t>in her lap (Carroll 2018). This interpretation is further supported by the analysis of residues in the feeding bottles at Roman</w:t>
      </w:r>
      <w:r w:rsidR="0006565C" w:rsidRPr="0006565C">
        <w:t> Nijmegen, Aachen</w:t>
      </w:r>
      <w:r w:rsidR="0006565C">
        <w:t xml:space="preserve"> and </w:t>
      </w:r>
      <w:r w:rsidRPr="00040CDA">
        <w:rPr>
          <w:lang w:val="en-US"/>
        </w:rPr>
        <w:t>Cologne</w:t>
      </w:r>
      <w:r w:rsidR="00134752">
        <w:rPr>
          <w:lang w:val="en-US"/>
        </w:rPr>
        <w:t xml:space="preserve"> (</w:t>
      </w:r>
      <w:r w:rsidR="0006565C">
        <w:rPr>
          <w:lang w:val="en-US"/>
        </w:rPr>
        <w:t>1</w:t>
      </w:r>
      <w:r w:rsidR="0006565C" w:rsidRPr="0006565C">
        <w:rPr>
          <w:vertAlign w:val="superscript"/>
          <w:lang w:val="en-US"/>
        </w:rPr>
        <w:t>st</w:t>
      </w:r>
      <w:r w:rsidR="0006565C">
        <w:rPr>
          <w:lang w:val="en-US"/>
        </w:rPr>
        <w:t xml:space="preserve"> – 3</w:t>
      </w:r>
      <w:r w:rsidR="0006565C" w:rsidRPr="0006565C">
        <w:rPr>
          <w:vertAlign w:val="superscript"/>
          <w:lang w:val="en-US"/>
        </w:rPr>
        <w:t>rd</w:t>
      </w:r>
      <w:r w:rsidR="0006565C">
        <w:rPr>
          <w:lang w:val="en-US"/>
        </w:rPr>
        <w:t xml:space="preserve"> centuries AD</w:t>
      </w:r>
      <w:r w:rsidR="00134752">
        <w:rPr>
          <w:lang w:val="en-US"/>
        </w:rPr>
        <w:t>)</w:t>
      </w:r>
      <w:r w:rsidR="0006565C">
        <w:rPr>
          <w:lang w:val="en-US"/>
        </w:rPr>
        <w:t xml:space="preserve"> </w:t>
      </w:r>
      <w:r w:rsidRPr="00040CDA">
        <w:rPr>
          <w:lang w:val="en-US"/>
        </w:rPr>
        <w:t>which revealed that they once held milky substances</w:t>
      </w:r>
      <w:r w:rsidR="00F97323">
        <w:rPr>
          <w:lang w:val="en-US"/>
        </w:rPr>
        <w:t xml:space="preserve"> </w:t>
      </w:r>
      <w:r w:rsidRPr="00040CDA">
        <w:rPr>
          <w:lang w:val="en-US"/>
        </w:rPr>
        <w:t>(</w:t>
      </w:r>
      <w:r w:rsidR="00F97323">
        <w:rPr>
          <w:color w:val="000000" w:themeColor="text1"/>
          <w:lang w:val="en-US"/>
        </w:rPr>
        <w:t>Huttmann et al. 1989</w:t>
      </w:r>
      <w:r w:rsidRPr="00040CDA">
        <w:rPr>
          <w:lang w:val="en-US"/>
        </w:rPr>
        <w:t xml:space="preserve">). </w:t>
      </w:r>
    </w:p>
    <w:p w14:paraId="5E2BC338" w14:textId="51CD89B5" w:rsidR="00314138" w:rsidRDefault="00314138" w:rsidP="00314138">
      <w:pPr>
        <w:spacing w:line="480" w:lineRule="auto"/>
        <w:jc w:val="center"/>
        <w:rPr>
          <w:lang w:val="en-US"/>
        </w:rPr>
      </w:pPr>
      <w:r w:rsidRPr="00040CDA">
        <w:rPr>
          <w:noProof/>
          <w:lang w:eastAsia="en-CA"/>
        </w:rPr>
        <w:lastRenderedPageBreak/>
        <w:drawing>
          <wp:inline distT="0" distB="0" distL="0" distR="0" wp14:anchorId="1D6B443A" wp14:editId="72F83591">
            <wp:extent cx="1829818" cy="33176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o-9780199687633-graphic-0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5248" cy="3399999"/>
                    </a:xfrm>
                    <a:prstGeom prst="rect">
                      <a:avLst/>
                    </a:prstGeom>
                  </pic:spPr>
                </pic:pic>
              </a:graphicData>
            </a:graphic>
          </wp:inline>
        </w:drawing>
      </w:r>
    </w:p>
    <w:p w14:paraId="1A6EF001" w14:textId="75276DCA" w:rsidR="00134752" w:rsidRPr="00040CDA" w:rsidRDefault="00134752" w:rsidP="00134752">
      <w:pPr>
        <w:jc w:val="center"/>
        <w:rPr>
          <w:lang w:val="en-US"/>
        </w:rPr>
      </w:pPr>
      <w:r w:rsidRPr="00040CDA">
        <w:rPr>
          <w:b/>
          <w:lang w:val="en-US"/>
        </w:rPr>
        <w:t>Figure 2.3</w:t>
      </w:r>
      <w:r w:rsidR="00DC7DBA">
        <w:rPr>
          <w:b/>
          <w:lang w:val="en-US"/>
        </w:rPr>
        <w:t>:</w:t>
      </w:r>
      <w:r w:rsidRPr="00040CDA">
        <w:rPr>
          <w:lang w:val="en-US"/>
        </w:rPr>
        <w:t xml:space="preserve"> Greek terracotta figurine of the fifth century BC, depicting a mother holding a spouted cup to the lips of a baby on her lap. Drawing by Irene de Luis from </w:t>
      </w:r>
      <w:r w:rsidR="001A5F07">
        <w:rPr>
          <w:lang w:val="en-US"/>
        </w:rPr>
        <w:t xml:space="preserve">Carroll </w:t>
      </w:r>
      <w:r w:rsidRPr="00040CDA">
        <w:rPr>
          <w:lang w:val="en-US"/>
        </w:rPr>
        <w:t>2018</w:t>
      </w:r>
      <w:r w:rsidR="00D1581F">
        <w:rPr>
          <w:lang w:val="en-US"/>
        </w:rPr>
        <w:t xml:space="preserve">, </w:t>
      </w:r>
      <w:r w:rsidRPr="00040CDA">
        <w:rPr>
          <w:lang w:val="en-US"/>
        </w:rPr>
        <w:t>p.27.</w:t>
      </w:r>
    </w:p>
    <w:p w14:paraId="5A3D851A" w14:textId="77777777" w:rsidR="00314138" w:rsidRPr="00040CDA" w:rsidRDefault="00314138" w:rsidP="00FF0311">
      <w:pPr>
        <w:rPr>
          <w:lang w:val="en-US"/>
        </w:rPr>
      </w:pPr>
    </w:p>
    <w:p w14:paraId="1C43FF67" w14:textId="0A71B909" w:rsidR="00F118CD" w:rsidRDefault="00314138" w:rsidP="00AF6259">
      <w:pPr>
        <w:spacing w:line="480" w:lineRule="auto"/>
        <w:ind w:firstLine="720"/>
        <w:rPr>
          <w:lang w:val="en-US"/>
        </w:rPr>
      </w:pPr>
      <w:r w:rsidRPr="00040CDA">
        <w:rPr>
          <w:lang w:val="en-US"/>
        </w:rPr>
        <w:t xml:space="preserve">Research on breastfeeding and weaning practices in pre-Roman Italy is very limited. Inferences of IYCF have mainly been drawn from </w:t>
      </w:r>
      <w:r w:rsidR="00171F75">
        <w:rPr>
          <w:lang w:val="en-US"/>
        </w:rPr>
        <w:t xml:space="preserve">the </w:t>
      </w:r>
      <w:r w:rsidRPr="00040CDA">
        <w:rPr>
          <w:lang w:val="en-US"/>
        </w:rPr>
        <w:t>archaeological finds</w:t>
      </w:r>
      <w:r w:rsidR="00171F75">
        <w:rPr>
          <w:lang w:val="en-US"/>
        </w:rPr>
        <w:t xml:space="preserve"> discussed above</w:t>
      </w:r>
      <w:r w:rsidRPr="00040CDA">
        <w:rPr>
          <w:lang w:val="en-US"/>
        </w:rPr>
        <w:t xml:space="preserve"> and from studies that aimed to explore either population health or diet. For instance, Repetto and colleagues (1988) analyzed a combination of skeletal stress indicators (e.g. dental disease, adult stature reduction, cribra orbitalia, Harris lines) of 11 individuals in a Bronze Age (1700 –1350 BCE) </w:t>
      </w:r>
      <w:r w:rsidRPr="007827FA">
        <w:rPr>
          <w:color w:val="000000" w:themeColor="text1"/>
          <w:lang w:val="en-US"/>
        </w:rPr>
        <w:t xml:space="preserve">sample from Basilicata, </w:t>
      </w:r>
      <w:r w:rsidR="00171F75" w:rsidRPr="007827FA">
        <w:rPr>
          <w:color w:val="000000" w:themeColor="text1"/>
          <w:lang w:val="en-US"/>
        </w:rPr>
        <w:t>s</w:t>
      </w:r>
      <w:r w:rsidRPr="007827FA">
        <w:rPr>
          <w:color w:val="000000" w:themeColor="text1"/>
          <w:lang w:val="en-US"/>
        </w:rPr>
        <w:t xml:space="preserve">outhern Italy, to examine the general health status of the population. The results indicated overall good nutrition with </w:t>
      </w:r>
      <w:r w:rsidR="0078264C" w:rsidRPr="007827FA">
        <w:rPr>
          <w:color w:val="000000" w:themeColor="text1"/>
          <w:lang w:val="en-US"/>
        </w:rPr>
        <w:t>adequate</w:t>
      </w:r>
      <w:r w:rsidRPr="007827FA">
        <w:rPr>
          <w:color w:val="000000" w:themeColor="text1"/>
          <w:lang w:val="en-US"/>
        </w:rPr>
        <w:t xml:space="preserve"> health conditions; however, the authors found an occurrence of enamel hypoplasia in the sample from ages </w:t>
      </w:r>
      <w:r w:rsidR="00BC529C" w:rsidRPr="007827FA">
        <w:rPr>
          <w:color w:val="000000" w:themeColor="text1"/>
          <w:lang w:val="en-US"/>
        </w:rPr>
        <w:t>three</w:t>
      </w:r>
      <w:r w:rsidRPr="007827FA">
        <w:rPr>
          <w:color w:val="000000" w:themeColor="text1"/>
          <w:lang w:val="en-US"/>
        </w:rPr>
        <w:t xml:space="preserve"> to </w:t>
      </w:r>
      <w:r w:rsidR="00BC529C" w:rsidRPr="007827FA">
        <w:rPr>
          <w:color w:val="000000" w:themeColor="text1"/>
          <w:lang w:val="en-US"/>
        </w:rPr>
        <w:t xml:space="preserve">four </w:t>
      </w:r>
      <w:r w:rsidRPr="007827FA">
        <w:rPr>
          <w:color w:val="000000" w:themeColor="text1"/>
          <w:lang w:val="en-US"/>
        </w:rPr>
        <w:t xml:space="preserve">years. They associated this occurrence with nutritional stress linked to delayed </w:t>
      </w:r>
      <w:r w:rsidR="00ED311A" w:rsidRPr="007827FA">
        <w:rPr>
          <w:color w:val="000000" w:themeColor="text1"/>
          <w:lang w:val="en-US"/>
        </w:rPr>
        <w:t xml:space="preserve">completion </w:t>
      </w:r>
      <w:r w:rsidR="00E42BDE" w:rsidRPr="007827FA">
        <w:rPr>
          <w:color w:val="000000" w:themeColor="text1"/>
          <w:lang w:val="en-US"/>
        </w:rPr>
        <w:t xml:space="preserve">of </w:t>
      </w:r>
      <w:r w:rsidRPr="007827FA">
        <w:rPr>
          <w:color w:val="000000" w:themeColor="text1"/>
          <w:lang w:val="en-US"/>
        </w:rPr>
        <w:t xml:space="preserve">weaning as it could </w:t>
      </w:r>
      <w:r w:rsidRPr="007827FA">
        <w:rPr>
          <w:color w:val="000000" w:themeColor="text1"/>
          <w:lang w:val="en-US"/>
        </w:rPr>
        <w:lastRenderedPageBreak/>
        <w:t xml:space="preserve">produce temporary iron-deficiency due to low </w:t>
      </w:r>
      <w:r w:rsidR="0062051E" w:rsidRPr="007827FA">
        <w:rPr>
          <w:color w:val="000000" w:themeColor="text1"/>
          <w:lang w:val="en-US"/>
        </w:rPr>
        <w:t>i</w:t>
      </w:r>
      <w:r w:rsidRPr="007827FA">
        <w:rPr>
          <w:color w:val="000000" w:themeColor="text1"/>
          <w:lang w:val="en-US"/>
        </w:rPr>
        <w:t xml:space="preserve">ron content of </w:t>
      </w:r>
      <w:r w:rsidR="0062051E" w:rsidRPr="007827FA">
        <w:rPr>
          <w:color w:val="000000" w:themeColor="text1"/>
          <w:lang w:val="en-US"/>
        </w:rPr>
        <w:t>breast</w:t>
      </w:r>
      <w:r w:rsidRPr="007827FA">
        <w:rPr>
          <w:color w:val="000000" w:themeColor="text1"/>
          <w:lang w:val="en-US"/>
        </w:rPr>
        <w:t xml:space="preserve">milk (Palkovich 1987). </w:t>
      </w:r>
      <w:r w:rsidR="00ED311A" w:rsidRPr="007827FA">
        <w:rPr>
          <w:color w:val="000000" w:themeColor="text1"/>
          <w:lang w:val="en-US"/>
        </w:rPr>
        <w:t>Yet</w:t>
      </w:r>
      <w:r w:rsidR="007827FA" w:rsidRPr="007827FA">
        <w:rPr>
          <w:color w:val="000000" w:themeColor="text1"/>
          <w:lang w:val="en-US"/>
        </w:rPr>
        <w:t xml:space="preserve"> </w:t>
      </w:r>
      <w:r w:rsidR="00ED311A" w:rsidRPr="007827FA">
        <w:rPr>
          <w:color w:val="000000" w:themeColor="text1"/>
          <w:lang w:val="en-US"/>
        </w:rPr>
        <w:t xml:space="preserve">as stated </w:t>
      </w:r>
      <w:r w:rsidR="007827FA" w:rsidRPr="007827FA">
        <w:rPr>
          <w:color w:val="000000" w:themeColor="text1"/>
          <w:lang w:val="en-US"/>
        </w:rPr>
        <w:t>in Section 2.4 curr</w:t>
      </w:r>
      <w:r w:rsidR="007827FA">
        <w:rPr>
          <w:lang w:val="en-US"/>
        </w:rPr>
        <w:t xml:space="preserve">ent clinical recommendations </w:t>
      </w:r>
      <w:r w:rsidR="007827FA" w:rsidRPr="00B426F0">
        <w:rPr>
          <w:color w:val="000000"/>
          <w:lang w:val="en-US"/>
        </w:rPr>
        <w:t>do</w:t>
      </w:r>
      <w:r w:rsidR="007827FA">
        <w:rPr>
          <w:color w:val="000000"/>
          <w:lang w:val="en-US"/>
        </w:rPr>
        <w:t>es</w:t>
      </w:r>
      <w:r w:rsidR="007827FA" w:rsidRPr="00B426F0">
        <w:rPr>
          <w:color w:val="000000"/>
          <w:lang w:val="en-US"/>
        </w:rPr>
        <w:t xml:space="preserve"> not </w:t>
      </w:r>
      <w:r w:rsidR="007827FA">
        <w:rPr>
          <w:color w:val="000000"/>
          <w:lang w:val="en-US"/>
        </w:rPr>
        <w:t>have an</w:t>
      </w:r>
      <w:r w:rsidR="007827FA" w:rsidRPr="00B426F0">
        <w:rPr>
          <w:color w:val="000000"/>
          <w:lang w:val="en-US"/>
        </w:rPr>
        <w:t xml:space="preserve"> upper age limit </w:t>
      </w:r>
      <w:r w:rsidR="007827FA">
        <w:rPr>
          <w:color w:val="000000"/>
          <w:lang w:val="en-US"/>
        </w:rPr>
        <w:t>for</w:t>
      </w:r>
      <w:r w:rsidR="007827FA" w:rsidRPr="00B426F0">
        <w:rPr>
          <w:color w:val="000000"/>
          <w:lang w:val="en-US"/>
        </w:rPr>
        <w:t xml:space="preserve"> breastfeeding</w:t>
      </w:r>
      <w:r w:rsidR="007827FA">
        <w:rPr>
          <w:color w:val="000000"/>
          <w:lang w:val="en-US"/>
        </w:rPr>
        <w:t xml:space="preserve">, hence, continued breastfeeding will most likely provide children with nutritious benefits rather than cause iron-deficiency. </w:t>
      </w:r>
    </w:p>
    <w:p w14:paraId="339DA49A" w14:textId="77777777" w:rsidR="00FF0311" w:rsidRPr="00040CDA" w:rsidRDefault="00FF0311" w:rsidP="00FF0311">
      <w:pPr>
        <w:ind w:firstLine="720"/>
        <w:rPr>
          <w:lang w:val="en-US"/>
        </w:rPr>
      </w:pPr>
    </w:p>
    <w:p w14:paraId="5336FDC8" w14:textId="77871B36" w:rsidR="00314138" w:rsidRDefault="00314138" w:rsidP="00AF6259">
      <w:pPr>
        <w:spacing w:line="480" w:lineRule="auto"/>
        <w:ind w:firstLine="720"/>
        <w:rPr>
          <w:lang w:val="en-US"/>
        </w:rPr>
      </w:pPr>
      <w:r w:rsidRPr="00040CDA">
        <w:rPr>
          <w:lang w:val="en-US"/>
        </w:rPr>
        <w:t>Another study conducted stable carbon and nitrogen isotope analysis of human remains from four Bronze Age Sites</w:t>
      </w:r>
      <w:r w:rsidR="00216A88">
        <w:rPr>
          <w:lang w:val="en-US"/>
        </w:rPr>
        <w:t>,</w:t>
      </w:r>
      <w:r w:rsidRPr="00040CDA">
        <w:rPr>
          <w:lang w:val="en-US"/>
        </w:rPr>
        <w:t xml:space="preserve"> two from </w:t>
      </w:r>
      <w:r w:rsidR="00216A88">
        <w:rPr>
          <w:lang w:val="en-US"/>
        </w:rPr>
        <w:t>n</w:t>
      </w:r>
      <w:r w:rsidRPr="00040CDA">
        <w:rPr>
          <w:lang w:val="en-US"/>
        </w:rPr>
        <w:t xml:space="preserve">orthern Italy and two from </w:t>
      </w:r>
      <w:r w:rsidR="00216A88">
        <w:rPr>
          <w:lang w:val="en-US"/>
        </w:rPr>
        <w:t>s</w:t>
      </w:r>
      <w:r w:rsidRPr="00040CDA">
        <w:rPr>
          <w:lang w:val="en-US"/>
        </w:rPr>
        <w:t>outhern Italy, to compare diets of these geographically</w:t>
      </w:r>
      <w:r w:rsidR="00216A88">
        <w:rPr>
          <w:lang w:val="en-US"/>
        </w:rPr>
        <w:t>-</w:t>
      </w:r>
      <w:r w:rsidRPr="00040CDA">
        <w:rPr>
          <w:lang w:val="en-US"/>
        </w:rPr>
        <w:t>dispersed yet contempora</w:t>
      </w:r>
      <w:r w:rsidR="00216A88">
        <w:rPr>
          <w:lang w:val="en-US"/>
        </w:rPr>
        <w:t>neous</w:t>
      </w:r>
      <w:r w:rsidRPr="00040CDA">
        <w:rPr>
          <w:lang w:val="en-US"/>
        </w:rPr>
        <w:t xml:space="preserve"> populations. The human and animal bones from the two sites in </w:t>
      </w:r>
      <w:r w:rsidR="00216A88">
        <w:rPr>
          <w:lang w:val="en-US"/>
        </w:rPr>
        <w:t>n</w:t>
      </w:r>
      <w:r w:rsidRPr="00040CDA">
        <w:rPr>
          <w:lang w:val="en-US"/>
        </w:rPr>
        <w:t xml:space="preserve">orthern Italy were significantly enriched in </w:t>
      </w:r>
      <w:r w:rsidRPr="00040CDA">
        <w:rPr>
          <w:vertAlign w:val="superscript"/>
          <w:lang w:val="en-US"/>
        </w:rPr>
        <w:t>13</w:t>
      </w:r>
      <w:r w:rsidRPr="00040CDA">
        <w:rPr>
          <w:lang w:val="en-US"/>
        </w:rPr>
        <w:t>C indicating that northern populations were consuming domestic millets (</w:t>
      </w:r>
      <w:r w:rsidRPr="00040CDA">
        <w:rPr>
          <w:i/>
          <w:lang w:val="en-US"/>
        </w:rPr>
        <w:t>Panicum miliaceum</w:t>
      </w:r>
      <w:r w:rsidRPr="00040CDA">
        <w:rPr>
          <w:lang w:val="en-US"/>
        </w:rPr>
        <w:t xml:space="preserve"> and/or </w:t>
      </w:r>
      <w:r w:rsidRPr="00040CDA">
        <w:rPr>
          <w:i/>
          <w:lang w:val="en-US"/>
        </w:rPr>
        <w:t>Setaria italica</w:t>
      </w:r>
      <w:r w:rsidRPr="00040CDA">
        <w:rPr>
          <w:lang w:val="en-US"/>
        </w:rPr>
        <w:t xml:space="preserve">) (Tafuri et al. 2009). Conversely, the authors found that the samples from the two Bronze Age sites in Southern Italy were significantly depleted in </w:t>
      </w:r>
      <w:r w:rsidRPr="00040CDA">
        <w:rPr>
          <w:vertAlign w:val="superscript"/>
          <w:lang w:val="en-US"/>
        </w:rPr>
        <w:t>13</w:t>
      </w:r>
      <w:r w:rsidRPr="00040CDA">
        <w:rPr>
          <w:lang w:val="en-US"/>
        </w:rPr>
        <w:t xml:space="preserve">C – suggesting that millet was absent from the diet and protein from plants such as wheat and barley largely contributed to the adult diet. Although this research does not explicitly discuss breastfeeding and weaning patterns during this period, the information from this study can be used to understand the general diet that was consumed by Bronze Age populations in Italy; thereby indicating the type of diet that </w:t>
      </w:r>
      <w:r w:rsidR="0062051E">
        <w:rPr>
          <w:lang w:val="en-US"/>
        </w:rPr>
        <w:t xml:space="preserve">most likely </w:t>
      </w:r>
      <w:r w:rsidRPr="00040CDA">
        <w:rPr>
          <w:lang w:val="en-US"/>
        </w:rPr>
        <w:t xml:space="preserve">would </w:t>
      </w:r>
      <w:r w:rsidR="0062051E">
        <w:rPr>
          <w:lang w:val="en-US"/>
        </w:rPr>
        <w:t xml:space="preserve">have </w:t>
      </w:r>
      <w:r w:rsidRPr="00040CDA">
        <w:rPr>
          <w:lang w:val="en-US"/>
        </w:rPr>
        <w:t>be</w:t>
      </w:r>
      <w:r w:rsidR="0062051E">
        <w:rPr>
          <w:lang w:val="en-US"/>
        </w:rPr>
        <w:t>en</w:t>
      </w:r>
      <w:r w:rsidRPr="00040CDA">
        <w:rPr>
          <w:lang w:val="en-US"/>
        </w:rPr>
        <w:t xml:space="preserve"> incorporated in the weaning process. </w:t>
      </w:r>
    </w:p>
    <w:p w14:paraId="31C6AA5B" w14:textId="77777777" w:rsidR="00AF6259" w:rsidRPr="00AF6259" w:rsidRDefault="00AF6259" w:rsidP="00FF0311">
      <w:pPr>
        <w:ind w:firstLine="720"/>
        <w:rPr>
          <w:lang w:val="en-US"/>
        </w:rPr>
      </w:pPr>
    </w:p>
    <w:p w14:paraId="4EC0C804" w14:textId="41C0732C" w:rsidR="003B5B7F" w:rsidRDefault="00EC772A" w:rsidP="003B5B7F">
      <w:pPr>
        <w:spacing w:line="480" w:lineRule="auto"/>
        <w:rPr>
          <w:lang w:val="en-US"/>
        </w:rPr>
      </w:pPr>
      <w:r>
        <w:rPr>
          <w:lang w:val="en-US"/>
        </w:rPr>
        <w:t>2.</w:t>
      </w:r>
      <w:r w:rsidR="00EE1717">
        <w:rPr>
          <w:lang w:val="en-US"/>
        </w:rPr>
        <w:t>5</w:t>
      </w:r>
      <w:r>
        <w:rPr>
          <w:lang w:val="en-US"/>
        </w:rPr>
        <w:t>.</w:t>
      </w:r>
      <w:r w:rsidR="00216A88">
        <w:rPr>
          <w:lang w:val="en-US"/>
        </w:rPr>
        <w:t>2</w:t>
      </w:r>
      <w:r>
        <w:rPr>
          <w:lang w:val="en-US"/>
        </w:rPr>
        <w:t xml:space="preserve"> Literary Sources</w:t>
      </w:r>
      <w:r w:rsidR="00216A88">
        <w:rPr>
          <w:lang w:val="en-US"/>
        </w:rPr>
        <w:t xml:space="preserve"> from the Roman Period</w:t>
      </w:r>
    </w:p>
    <w:p w14:paraId="0F0F46EA" w14:textId="77777777" w:rsidR="00FF0311" w:rsidRPr="008C4A6A" w:rsidRDefault="00FF0311" w:rsidP="00FF0311">
      <w:pPr>
        <w:rPr>
          <w:lang w:val="en-US"/>
        </w:rPr>
      </w:pPr>
    </w:p>
    <w:p w14:paraId="4E5CC611" w14:textId="1F5DF20C" w:rsidR="003B5B7F" w:rsidRDefault="003B5B7F" w:rsidP="00AF6259">
      <w:pPr>
        <w:spacing w:line="480" w:lineRule="auto"/>
        <w:ind w:firstLine="720"/>
        <w:rPr>
          <w:lang w:val="en-US"/>
        </w:rPr>
      </w:pPr>
      <w:r w:rsidRPr="008C4A6A">
        <w:rPr>
          <w:lang w:val="en-US"/>
        </w:rPr>
        <w:t>In Italy, studies on weaning patterns have focused</w:t>
      </w:r>
      <w:r w:rsidR="002657DC">
        <w:rPr>
          <w:lang w:val="en-US"/>
        </w:rPr>
        <w:t xml:space="preserve"> mainly</w:t>
      </w:r>
      <w:r w:rsidRPr="008C4A6A">
        <w:rPr>
          <w:lang w:val="en-US"/>
        </w:rPr>
        <w:t xml:space="preserve"> on Roman and Medieval </w:t>
      </w:r>
      <w:r w:rsidR="00683E1C">
        <w:rPr>
          <w:lang w:val="en-US"/>
        </w:rPr>
        <w:t>populations</w:t>
      </w:r>
      <w:r w:rsidR="000F693C">
        <w:rPr>
          <w:lang w:val="en-US"/>
        </w:rPr>
        <w:t xml:space="preserve">, </w:t>
      </w:r>
      <w:r w:rsidR="00683E1C">
        <w:rPr>
          <w:lang w:val="en-US"/>
        </w:rPr>
        <w:t xml:space="preserve">thus </w:t>
      </w:r>
      <w:r w:rsidR="000F693C">
        <w:rPr>
          <w:lang w:val="en-US"/>
        </w:rPr>
        <w:t xml:space="preserve">so much more is known about child-rearing practices </w:t>
      </w:r>
      <w:r w:rsidR="00683E1C">
        <w:rPr>
          <w:lang w:val="en-US"/>
        </w:rPr>
        <w:t xml:space="preserve">during these periods </w:t>
      </w:r>
      <w:r w:rsidR="000F693C">
        <w:rPr>
          <w:lang w:val="en-US"/>
        </w:rPr>
        <w:t>than in the pre-Roman period</w:t>
      </w:r>
      <w:r w:rsidRPr="008C4A6A">
        <w:rPr>
          <w:lang w:val="en-US"/>
        </w:rPr>
        <w:t xml:space="preserve"> (e.g. </w:t>
      </w:r>
      <w:r w:rsidR="00C21D97" w:rsidRPr="008C4A6A">
        <w:rPr>
          <w:lang w:val="en-US"/>
        </w:rPr>
        <w:t xml:space="preserve">Moggi-Cecchi et al. 1994; Prowse et al. </w:t>
      </w:r>
      <w:r w:rsidR="00C21D97" w:rsidRPr="008C4A6A">
        <w:rPr>
          <w:lang w:val="en-US"/>
        </w:rPr>
        <w:lastRenderedPageBreak/>
        <w:t xml:space="preserve">2008; </w:t>
      </w:r>
      <w:r w:rsidRPr="008C4A6A">
        <w:rPr>
          <w:lang w:val="en-US"/>
        </w:rPr>
        <w:t>Barbiera &amp; Dalla-Zuanna 2009). The Roman period in particular has been a focus for paleodietary research</w:t>
      </w:r>
      <w:r w:rsidR="00A90A88">
        <w:rPr>
          <w:lang w:val="en-US"/>
        </w:rPr>
        <w:t xml:space="preserve"> and</w:t>
      </w:r>
      <w:r w:rsidRPr="008C4A6A">
        <w:rPr>
          <w:lang w:val="en-US"/>
        </w:rPr>
        <w:t xml:space="preserve">, along with the textual and archaeological evidence, the isotopic data are an invaluable addition to our knowledge of food consumed in the past and weaning practices in antiquity. </w:t>
      </w:r>
    </w:p>
    <w:p w14:paraId="65DEB4FC" w14:textId="77777777" w:rsidR="00FF0311" w:rsidRPr="008C4A6A" w:rsidRDefault="00FF0311" w:rsidP="00FF0311">
      <w:pPr>
        <w:ind w:firstLine="720"/>
        <w:rPr>
          <w:lang w:val="en-US"/>
        </w:rPr>
      </w:pPr>
    </w:p>
    <w:p w14:paraId="0C93A9C1" w14:textId="33D272EA" w:rsidR="00A74318" w:rsidRDefault="003B5B7F" w:rsidP="00B437A2">
      <w:pPr>
        <w:spacing w:line="480" w:lineRule="auto"/>
        <w:ind w:firstLine="720"/>
        <w:rPr>
          <w:lang w:val="en-US"/>
        </w:rPr>
      </w:pPr>
      <w:r w:rsidRPr="008C4A6A">
        <w:rPr>
          <w:lang w:val="en-US"/>
        </w:rPr>
        <w:t xml:space="preserve">Historical evidence </w:t>
      </w:r>
      <w:r w:rsidR="00E23C58">
        <w:rPr>
          <w:lang w:val="en-US"/>
        </w:rPr>
        <w:t>for attitudes towards breastfeeding and</w:t>
      </w:r>
      <w:r w:rsidRPr="008C4A6A">
        <w:rPr>
          <w:lang w:val="en-US"/>
        </w:rPr>
        <w:t xml:space="preserve"> weaning during the Roman period is mainly based on medical texts and wet-nursing contracts. </w:t>
      </w:r>
      <w:r w:rsidRPr="00CF0B33">
        <w:rPr>
          <w:i/>
          <w:lang w:val="en-US"/>
        </w:rPr>
        <w:t>Gynaecology</w:t>
      </w:r>
      <w:r w:rsidRPr="008C4A6A">
        <w:rPr>
          <w:lang w:val="en-US"/>
        </w:rPr>
        <w:t xml:space="preserve"> </w:t>
      </w:r>
      <w:r w:rsidR="000B2139">
        <w:rPr>
          <w:lang w:val="en-US"/>
        </w:rPr>
        <w:t>by</w:t>
      </w:r>
      <w:r w:rsidRPr="008C4A6A">
        <w:rPr>
          <w:lang w:val="en-US"/>
        </w:rPr>
        <w:t xml:space="preserve"> Soranus of Ephesos (early 2</w:t>
      </w:r>
      <w:r w:rsidRPr="008C4A6A">
        <w:rPr>
          <w:vertAlign w:val="superscript"/>
          <w:lang w:val="en-US"/>
        </w:rPr>
        <w:t>nd</w:t>
      </w:r>
      <w:r w:rsidRPr="008C4A6A">
        <w:rPr>
          <w:lang w:val="en-US"/>
        </w:rPr>
        <w:t xml:space="preserve"> century CE), </w:t>
      </w:r>
      <w:r w:rsidRPr="00CF0B33">
        <w:rPr>
          <w:i/>
          <w:lang w:val="en-US"/>
        </w:rPr>
        <w:t>Hygiene</w:t>
      </w:r>
      <w:r w:rsidRPr="008C4A6A">
        <w:rPr>
          <w:lang w:val="en-US"/>
        </w:rPr>
        <w:t xml:space="preserve"> </w:t>
      </w:r>
      <w:r w:rsidR="000B2139">
        <w:rPr>
          <w:lang w:val="en-US"/>
        </w:rPr>
        <w:t>by</w:t>
      </w:r>
      <w:r w:rsidR="000B2139" w:rsidRPr="008C4A6A">
        <w:rPr>
          <w:lang w:val="en-US"/>
        </w:rPr>
        <w:t xml:space="preserve"> </w:t>
      </w:r>
      <w:r w:rsidRPr="008C4A6A">
        <w:rPr>
          <w:lang w:val="en-US"/>
        </w:rPr>
        <w:t>Galen of Pergamum (late 2</w:t>
      </w:r>
      <w:r w:rsidRPr="008C4A6A">
        <w:rPr>
          <w:vertAlign w:val="superscript"/>
          <w:lang w:val="en-US"/>
        </w:rPr>
        <w:t>nd</w:t>
      </w:r>
      <w:r w:rsidRPr="008C4A6A">
        <w:rPr>
          <w:lang w:val="en-US"/>
        </w:rPr>
        <w:t xml:space="preserve"> century CE) and the medical collections of Oribasius of Ephesos (mid</w:t>
      </w:r>
      <w:r w:rsidR="002105FB">
        <w:rPr>
          <w:lang w:val="en-US"/>
        </w:rPr>
        <w:t>-</w:t>
      </w:r>
      <w:r w:rsidRPr="008C4A6A">
        <w:rPr>
          <w:lang w:val="en-US"/>
        </w:rPr>
        <w:t>4</w:t>
      </w:r>
      <w:r w:rsidRPr="008C4A6A">
        <w:rPr>
          <w:vertAlign w:val="superscript"/>
          <w:lang w:val="en-US"/>
        </w:rPr>
        <w:t>th</w:t>
      </w:r>
      <w:r w:rsidRPr="008C4A6A">
        <w:rPr>
          <w:lang w:val="en-US"/>
        </w:rPr>
        <w:t xml:space="preserve"> century CE) (</w:t>
      </w:r>
      <w:r w:rsidRPr="008C4A6A">
        <w:rPr>
          <w:color w:val="000000" w:themeColor="text1"/>
          <w:lang w:val="en-US"/>
        </w:rPr>
        <w:t>Raeder 1933</w:t>
      </w:r>
      <w:r w:rsidRPr="008C4A6A">
        <w:rPr>
          <w:lang w:val="en-US"/>
        </w:rPr>
        <w:t>)</w:t>
      </w:r>
      <w:r w:rsidR="00C21D97" w:rsidRPr="008C4A6A">
        <w:rPr>
          <w:lang w:val="en-US"/>
        </w:rPr>
        <w:t xml:space="preserve"> </w:t>
      </w:r>
      <w:r w:rsidRPr="008C4A6A">
        <w:rPr>
          <w:lang w:val="en-US"/>
        </w:rPr>
        <w:t xml:space="preserve">contain the most useful material when analyzing Roman </w:t>
      </w:r>
      <w:r w:rsidR="003C7398">
        <w:rPr>
          <w:lang w:val="en-US"/>
        </w:rPr>
        <w:t xml:space="preserve">breastfeeding and </w:t>
      </w:r>
      <w:r w:rsidRPr="008C4A6A">
        <w:rPr>
          <w:lang w:val="en-US"/>
        </w:rPr>
        <w:t>weaning practices. Soranus</w:t>
      </w:r>
      <w:r w:rsidR="008A6A7B" w:rsidRPr="008C4A6A">
        <w:rPr>
          <w:lang w:val="en-US"/>
        </w:rPr>
        <w:t xml:space="preserve"> </w:t>
      </w:r>
      <w:r w:rsidRPr="008C4A6A">
        <w:rPr>
          <w:lang w:val="en-US"/>
        </w:rPr>
        <w:t>practiced medicine in Rome in the early 2</w:t>
      </w:r>
      <w:r w:rsidRPr="008C4A6A">
        <w:rPr>
          <w:vertAlign w:val="superscript"/>
          <w:lang w:val="en-US"/>
        </w:rPr>
        <w:t>nd</w:t>
      </w:r>
      <w:r w:rsidRPr="008C4A6A">
        <w:rPr>
          <w:lang w:val="en-US"/>
        </w:rPr>
        <w:t xml:space="preserve"> century CE and had immense influence during the Roman period and the Middle Ages. Of his 20 known publications, which rang</w:t>
      </w:r>
      <w:r w:rsidR="0054041B" w:rsidRPr="008C4A6A">
        <w:rPr>
          <w:lang w:val="en-US"/>
        </w:rPr>
        <w:t>e</w:t>
      </w:r>
      <w:r w:rsidRPr="008C4A6A">
        <w:rPr>
          <w:lang w:val="en-US"/>
        </w:rPr>
        <w:t xml:space="preserve"> over a wide field of biological and medical sciences,</w:t>
      </w:r>
      <w:r w:rsidRPr="008C4A6A">
        <w:rPr>
          <w:i/>
          <w:lang w:val="en-US"/>
        </w:rPr>
        <w:t xml:space="preserve"> Gynaecology</w:t>
      </w:r>
      <w:r w:rsidRPr="008C4A6A">
        <w:rPr>
          <w:lang w:val="en-US"/>
        </w:rPr>
        <w:t xml:space="preserve"> is the one of the most important as it represents ancient gynaecological and obstetrical practices (</w:t>
      </w:r>
      <w:r w:rsidR="00DE3F11" w:rsidRPr="008C4A6A">
        <w:rPr>
          <w:lang w:val="en-US"/>
        </w:rPr>
        <w:t xml:space="preserve">Temkin &amp; </w:t>
      </w:r>
      <w:r w:rsidRPr="008C4A6A">
        <w:rPr>
          <w:lang w:val="en-US"/>
        </w:rPr>
        <w:t>Eastman</w:t>
      </w:r>
      <w:r w:rsidR="00DE3F11" w:rsidRPr="008C4A6A">
        <w:rPr>
          <w:lang w:val="en-US"/>
        </w:rPr>
        <w:t xml:space="preserve"> </w:t>
      </w:r>
      <w:r w:rsidRPr="008C4A6A">
        <w:rPr>
          <w:lang w:val="en-US"/>
        </w:rPr>
        <w:t>1991). Soranus’ work was eventually eclipsed by the work of the Roman physician Galen (130–200</w:t>
      </w:r>
      <w:r w:rsidR="00F118CD">
        <w:rPr>
          <w:lang w:val="en-US"/>
        </w:rPr>
        <w:t xml:space="preserve"> </w:t>
      </w:r>
      <w:r w:rsidR="0025187E">
        <w:rPr>
          <w:lang w:val="en-US"/>
        </w:rPr>
        <w:t>CE</w:t>
      </w:r>
      <w:r w:rsidRPr="008C4A6A">
        <w:rPr>
          <w:lang w:val="en-US"/>
        </w:rPr>
        <w:t xml:space="preserve">). Of Galen’s work, </w:t>
      </w:r>
      <w:r w:rsidRPr="008C4A6A">
        <w:rPr>
          <w:i/>
          <w:lang w:val="en-US"/>
        </w:rPr>
        <w:t>Hygiene</w:t>
      </w:r>
      <w:r w:rsidRPr="008C4A6A">
        <w:rPr>
          <w:lang w:val="en-US"/>
        </w:rPr>
        <w:t xml:space="preserve"> is still relevant today providing a comprehensive account of preventive medi</w:t>
      </w:r>
      <w:r w:rsidR="008A6A7B" w:rsidRPr="008C4A6A">
        <w:rPr>
          <w:lang w:val="en-US"/>
        </w:rPr>
        <w:t>cal</w:t>
      </w:r>
      <w:r w:rsidRPr="008C4A6A">
        <w:rPr>
          <w:lang w:val="en-US"/>
        </w:rPr>
        <w:t xml:space="preserve"> practices as well as infant and child care</w:t>
      </w:r>
      <w:r w:rsidR="00616EB1">
        <w:rPr>
          <w:lang w:val="en-US"/>
        </w:rPr>
        <w:t xml:space="preserve">. </w:t>
      </w:r>
      <w:r w:rsidR="00AD5AB6">
        <w:rPr>
          <w:lang w:val="en-US"/>
        </w:rPr>
        <w:t>Oribasius</w:t>
      </w:r>
      <w:r w:rsidR="00A74318">
        <w:rPr>
          <w:lang w:val="en-US"/>
        </w:rPr>
        <w:t xml:space="preserve"> (70 – 110 </w:t>
      </w:r>
      <w:r w:rsidR="0025187E">
        <w:rPr>
          <w:lang w:val="en-US"/>
        </w:rPr>
        <w:t>CE</w:t>
      </w:r>
      <w:r w:rsidR="00A74318">
        <w:rPr>
          <w:lang w:val="en-US"/>
        </w:rPr>
        <w:t>)</w:t>
      </w:r>
      <w:r w:rsidR="00AD5AB6">
        <w:rPr>
          <w:lang w:val="en-US"/>
        </w:rPr>
        <w:t xml:space="preserve"> was a prolific writer</w:t>
      </w:r>
      <w:r w:rsidR="00A74318">
        <w:rPr>
          <w:lang w:val="en-US"/>
        </w:rPr>
        <w:t xml:space="preserve"> and Greek physician</w:t>
      </w:r>
      <w:r w:rsidR="00AD5AB6">
        <w:rPr>
          <w:lang w:val="en-US"/>
        </w:rPr>
        <w:t xml:space="preserve"> who compiled medical discoveries of other physicians </w:t>
      </w:r>
      <w:r w:rsidR="00A74318">
        <w:rPr>
          <w:lang w:val="en-US"/>
        </w:rPr>
        <w:t>and covered topics including dietetics, pathology</w:t>
      </w:r>
      <w:r w:rsidR="004E1CC4">
        <w:rPr>
          <w:lang w:val="en-US"/>
        </w:rPr>
        <w:t xml:space="preserve"> </w:t>
      </w:r>
      <w:r w:rsidR="00A74318">
        <w:rPr>
          <w:lang w:val="en-US"/>
        </w:rPr>
        <w:t xml:space="preserve">and anatomy. </w:t>
      </w:r>
    </w:p>
    <w:p w14:paraId="3F533208" w14:textId="77777777" w:rsidR="00B437A2" w:rsidRPr="008C4A6A" w:rsidRDefault="00B437A2" w:rsidP="00B437A2">
      <w:pPr>
        <w:ind w:firstLine="720"/>
        <w:rPr>
          <w:lang w:val="en-US"/>
        </w:rPr>
      </w:pPr>
    </w:p>
    <w:p w14:paraId="1B9DD656" w14:textId="5EEDC65E" w:rsidR="003B5B7F" w:rsidRDefault="003B5B7F" w:rsidP="00FF0311">
      <w:pPr>
        <w:spacing w:line="480" w:lineRule="auto"/>
        <w:ind w:firstLine="720"/>
        <w:rPr>
          <w:lang w:val="en-US"/>
        </w:rPr>
      </w:pPr>
      <w:r w:rsidRPr="008C4A6A">
        <w:rPr>
          <w:lang w:val="en-US"/>
        </w:rPr>
        <w:t>Soranus believed that during the first two days post-birth, infants were still digesting food acquired in-utero and should not be given additional food (</w:t>
      </w:r>
      <w:r w:rsidRPr="008C4A6A">
        <w:rPr>
          <w:color w:val="000000" w:themeColor="text1"/>
          <w:lang w:val="en-US"/>
        </w:rPr>
        <w:t>Temkin 1956</w:t>
      </w:r>
      <w:r w:rsidRPr="008C4A6A">
        <w:rPr>
          <w:lang w:val="en-US"/>
        </w:rPr>
        <w:t xml:space="preserve">).  </w:t>
      </w:r>
      <w:r w:rsidRPr="008C4A6A">
        <w:rPr>
          <w:lang w:val="en-US"/>
        </w:rPr>
        <w:lastRenderedPageBreak/>
        <w:t xml:space="preserve">After this period, he suggested that infants be given </w:t>
      </w:r>
      <w:r w:rsidR="00650F4A">
        <w:rPr>
          <w:lang w:val="en-US"/>
        </w:rPr>
        <w:t xml:space="preserve">moderately </w:t>
      </w:r>
      <w:r w:rsidRPr="008C4A6A">
        <w:rPr>
          <w:lang w:val="en-US"/>
        </w:rPr>
        <w:t>boiled honey to purge the stomach and bowels</w:t>
      </w:r>
      <w:r w:rsidR="00FD0261">
        <w:rPr>
          <w:lang w:val="en-US"/>
        </w:rPr>
        <w:t>,</w:t>
      </w:r>
      <w:r w:rsidRPr="008C4A6A">
        <w:rPr>
          <w:lang w:val="en-US"/>
        </w:rPr>
        <w:t xml:space="preserve"> and then breastfed. According to Soranus, breastmilk produced during the first 20 days </w:t>
      </w:r>
      <w:r w:rsidR="00FD0261">
        <w:rPr>
          <w:lang w:val="en-US"/>
        </w:rPr>
        <w:t>post-</w:t>
      </w:r>
      <w:r w:rsidRPr="008C4A6A">
        <w:rPr>
          <w:lang w:val="en-US"/>
        </w:rPr>
        <w:t>birth was unwholesome</w:t>
      </w:r>
      <w:r w:rsidR="0062051E">
        <w:rPr>
          <w:lang w:val="en-US"/>
        </w:rPr>
        <w:t xml:space="preserve">, </w:t>
      </w:r>
      <w:r w:rsidR="00FD0261">
        <w:rPr>
          <w:lang w:val="en-US"/>
        </w:rPr>
        <w:t>since</w:t>
      </w:r>
      <w:r w:rsidR="009946D2">
        <w:rPr>
          <w:lang w:val="en-US"/>
        </w:rPr>
        <w:t xml:space="preserve"> it </w:t>
      </w:r>
      <w:r w:rsidR="004E1CC4">
        <w:rPr>
          <w:lang w:val="en-US"/>
        </w:rPr>
        <w:t>was</w:t>
      </w:r>
      <w:r w:rsidR="009946D2">
        <w:rPr>
          <w:lang w:val="en-US"/>
        </w:rPr>
        <w:t xml:space="preserve"> considered to be thick and hard to digest</w:t>
      </w:r>
      <w:r w:rsidR="00FD0261">
        <w:rPr>
          <w:lang w:val="en-US"/>
        </w:rPr>
        <w:t>;</w:t>
      </w:r>
      <w:r w:rsidR="009946D2">
        <w:rPr>
          <w:lang w:val="en-US"/>
        </w:rPr>
        <w:t xml:space="preserve"> he</w:t>
      </w:r>
      <w:r w:rsidRPr="008C4A6A">
        <w:rPr>
          <w:lang w:val="en-US"/>
        </w:rPr>
        <w:t xml:space="preserve"> recommended that children be breastfed by a wet-nurse who had been nursing for </w:t>
      </w:r>
      <w:r w:rsidR="00BC529C">
        <w:rPr>
          <w:lang w:val="en-US"/>
        </w:rPr>
        <w:t>two to three</w:t>
      </w:r>
      <w:r w:rsidRPr="008C4A6A">
        <w:rPr>
          <w:lang w:val="en-US"/>
        </w:rPr>
        <w:t xml:space="preserve"> months.</w:t>
      </w:r>
      <w:r w:rsidR="009946D2">
        <w:rPr>
          <w:lang w:val="en-US"/>
        </w:rPr>
        <w:t xml:space="preserve"> If a woman who </w:t>
      </w:r>
      <w:r w:rsidR="004E1CC4">
        <w:rPr>
          <w:lang w:val="en-US"/>
        </w:rPr>
        <w:t>was</w:t>
      </w:r>
      <w:r w:rsidR="009946D2">
        <w:rPr>
          <w:lang w:val="en-US"/>
        </w:rPr>
        <w:t xml:space="preserve"> able to provide mil</w:t>
      </w:r>
      <w:r w:rsidR="00FD0261">
        <w:rPr>
          <w:lang w:val="en-US"/>
        </w:rPr>
        <w:t>k</w:t>
      </w:r>
      <w:r w:rsidR="004E1CC4">
        <w:rPr>
          <w:lang w:val="en-US"/>
        </w:rPr>
        <w:t xml:space="preserve"> was</w:t>
      </w:r>
      <w:r w:rsidR="009946D2">
        <w:rPr>
          <w:lang w:val="en-US"/>
        </w:rPr>
        <w:t xml:space="preserve"> not available, then it </w:t>
      </w:r>
      <w:r w:rsidR="00FD0261">
        <w:rPr>
          <w:lang w:val="en-US"/>
        </w:rPr>
        <w:t>was</w:t>
      </w:r>
      <w:r w:rsidR="009946D2">
        <w:rPr>
          <w:lang w:val="en-US"/>
        </w:rPr>
        <w:t xml:space="preserve"> suggested that for the first three days the baby </w:t>
      </w:r>
      <w:r w:rsidR="00FD0261">
        <w:rPr>
          <w:lang w:val="en-US"/>
        </w:rPr>
        <w:t>was</w:t>
      </w:r>
      <w:r w:rsidR="009946D2">
        <w:rPr>
          <w:lang w:val="en-US"/>
        </w:rPr>
        <w:t xml:space="preserve"> fed honey mixed with goat’s milk, followed by the mother’s milk (although the first portion </w:t>
      </w:r>
      <w:r w:rsidR="00FD0261">
        <w:rPr>
          <w:lang w:val="en-US"/>
        </w:rPr>
        <w:t>was</w:t>
      </w:r>
      <w:r w:rsidR="009946D2">
        <w:rPr>
          <w:lang w:val="en-US"/>
        </w:rPr>
        <w:t xml:space="preserve"> discarded).</w:t>
      </w:r>
      <w:r w:rsidR="00CB277F">
        <w:rPr>
          <w:lang w:val="en-US"/>
        </w:rPr>
        <w:t xml:space="preserve"> </w:t>
      </w:r>
      <w:r w:rsidR="000C719E">
        <w:rPr>
          <w:lang w:val="en-US"/>
        </w:rPr>
        <w:t xml:space="preserve">Exclusive breastfeeding </w:t>
      </w:r>
      <w:r w:rsidR="00FD0261">
        <w:rPr>
          <w:lang w:val="en-US"/>
        </w:rPr>
        <w:t>was</w:t>
      </w:r>
      <w:r w:rsidR="000C719E">
        <w:rPr>
          <w:lang w:val="en-US"/>
        </w:rPr>
        <w:t xml:space="preserve"> recommended beyond the first 40 days and up until the point the infant’s body </w:t>
      </w:r>
      <w:r w:rsidR="00FD0261">
        <w:rPr>
          <w:lang w:val="en-US"/>
        </w:rPr>
        <w:t>became</w:t>
      </w:r>
      <w:r w:rsidR="000C719E">
        <w:rPr>
          <w:lang w:val="en-US"/>
        </w:rPr>
        <w:t xml:space="preserve"> “firm</w:t>
      </w:r>
      <w:r w:rsidR="00FD0261">
        <w:rPr>
          <w:lang w:val="en-US"/>
        </w:rPr>
        <w:t>” or after the infant first attempted to sit up, which was</w:t>
      </w:r>
      <w:r w:rsidR="000C719E">
        <w:rPr>
          <w:lang w:val="en-US"/>
        </w:rPr>
        <w:t xml:space="preserve"> considered to happen after six months of age (Temkin 1956). </w:t>
      </w:r>
      <w:r w:rsidRPr="008C4A6A">
        <w:rPr>
          <w:lang w:val="en-US"/>
        </w:rPr>
        <w:t xml:space="preserve">The overall </w:t>
      </w:r>
      <w:r w:rsidR="003C7398">
        <w:rPr>
          <w:lang w:val="en-US"/>
        </w:rPr>
        <w:t xml:space="preserve">breastfeeding and </w:t>
      </w:r>
      <w:r w:rsidRPr="008C4A6A">
        <w:rPr>
          <w:lang w:val="en-US"/>
        </w:rPr>
        <w:t xml:space="preserve">weaning timetable that was prescribed indicates that transitional feeding </w:t>
      </w:r>
      <w:r w:rsidR="00374D93">
        <w:rPr>
          <w:lang w:val="en-US"/>
        </w:rPr>
        <w:t>could</w:t>
      </w:r>
      <w:r w:rsidR="00374D93" w:rsidRPr="008C4A6A">
        <w:rPr>
          <w:lang w:val="en-US"/>
        </w:rPr>
        <w:t xml:space="preserve"> </w:t>
      </w:r>
      <w:r w:rsidR="00374D93">
        <w:rPr>
          <w:lang w:val="en-US"/>
        </w:rPr>
        <w:t>begin</w:t>
      </w:r>
      <w:r w:rsidRPr="008C4A6A">
        <w:rPr>
          <w:lang w:val="en-US"/>
        </w:rPr>
        <w:t xml:space="preserve"> after </w:t>
      </w:r>
      <w:r w:rsidR="00BC529C">
        <w:rPr>
          <w:lang w:val="en-US"/>
        </w:rPr>
        <w:t>six</w:t>
      </w:r>
      <w:r w:rsidRPr="008C4A6A">
        <w:rPr>
          <w:lang w:val="en-US"/>
        </w:rPr>
        <w:t xml:space="preserve"> months of age</w:t>
      </w:r>
      <w:r w:rsidR="00374D93">
        <w:rPr>
          <w:lang w:val="en-US"/>
        </w:rPr>
        <w:t>,</w:t>
      </w:r>
      <w:r w:rsidRPr="008C4A6A">
        <w:rPr>
          <w:lang w:val="en-US"/>
        </w:rPr>
        <w:t xml:space="preserve"> and weaning was possibly completed around </w:t>
      </w:r>
      <w:r w:rsidR="00BC529C">
        <w:rPr>
          <w:lang w:val="en-US"/>
        </w:rPr>
        <w:t>two</w:t>
      </w:r>
      <w:r w:rsidRPr="008C4A6A">
        <w:rPr>
          <w:lang w:val="en-US"/>
        </w:rPr>
        <w:t xml:space="preserve"> to </w:t>
      </w:r>
      <w:r w:rsidR="00BC529C">
        <w:rPr>
          <w:lang w:val="en-US"/>
        </w:rPr>
        <w:t xml:space="preserve">three </w:t>
      </w:r>
      <w:r w:rsidRPr="008C4A6A">
        <w:rPr>
          <w:lang w:val="en-US"/>
        </w:rPr>
        <w:t xml:space="preserve">years of age, but this timetable was likely very flexible (Fildes 1986; Prowse 2011). </w:t>
      </w:r>
      <w:r w:rsidR="00AA0DBF" w:rsidRPr="008C4A6A">
        <w:rPr>
          <w:lang w:val="en-US"/>
        </w:rPr>
        <w:t>Poor families who could not afford a wet nurse may have been forced to wean children earlier or may have had to abandon their children to be sold into slavery (</w:t>
      </w:r>
      <w:r w:rsidR="00AA0DBF" w:rsidRPr="008C4A6A">
        <w:rPr>
          <w:color w:val="000000" w:themeColor="text1"/>
          <w:lang w:val="en-US"/>
        </w:rPr>
        <w:t>Garnsey 1998</w:t>
      </w:r>
      <w:r w:rsidR="00AA0DBF" w:rsidRPr="008C4A6A">
        <w:rPr>
          <w:lang w:val="en-US"/>
        </w:rPr>
        <w:t xml:space="preserve">). </w:t>
      </w:r>
      <w:r w:rsidRPr="008C4A6A">
        <w:rPr>
          <w:lang w:val="en-US"/>
        </w:rPr>
        <w:t xml:space="preserve">The use of artificial nipples was also mentioned in the context of weaning, including vessels that could be used to provide water or diluted wine to thirsty children (Temkin, 1956). This indicates that children may have also been artificially fed milk from animals, such as cows or goats; even though it is possible that this milk could potentially cause dysentery or diarrhea due to high bacterial levels (Allason-Jones 1989). The archaeological evidence of such infant feeding vessels in antiquity is far stronger </w:t>
      </w:r>
      <w:r w:rsidRPr="008C4A6A">
        <w:rPr>
          <w:lang w:val="en-US"/>
        </w:rPr>
        <w:lastRenderedPageBreak/>
        <w:t xml:space="preserve">than that from the literary sources </w:t>
      </w:r>
      <w:r w:rsidRPr="008C4A6A">
        <w:rPr>
          <w:color w:val="000000" w:themeColor="text1"/>
          <w:lang w:val="en-US"/>
        </w:rPr>
        <w:t xml:space="preserve">(Fildes </w:t>
      </w:r>
      <w:r w:rsidRPr="008C4A6A">
        <w:rPr>
          <w:lang w:val="en-US"/>
        </w:rPr>
        <w:t>1986), and these vessels have been commonly found in both Greek and Roman cemeteries (</w:t>
      </w:r>
      <w:r w:rsidR="00FD0261">
        <w:rPr>
          <w:lang w:val="en-US"/>
        </w:rPr>
        <w:t xml:space="preserve">as </w:t>
      </w:r>
      <w:r w:rsidRPr="008C4A6A">
        <w:rPr>
          <w:lang w:val="en-US"/>
        </w:rPr>
        <w:t xml:space="preserve">discussed </w:t>
      </w:r>
      <w:r w:rsidR="0078264C">
        <w:rPr>
          <w:lang w:val="en-US"/>
        </w:rPr>
        <w:t xml:space="preserve">in </w:t>
      </w:r>
      <w:r w:rsidR="00C80A2E">
        <w:rPr>
          <w:lang w:val="en-US"/>
        </w:rPr>
        <w:t>S</w:t>
      </w:r>
      <w:r w:rsidR="0078264C">
        <w:rPr>
          <w:lang w:val="en-US"/>
        </w:rPr>
        <w:t>ection 2.5.1</w:t>
      </w:r>
      <w:r w:rsidRPr="008C4A6A">
        <w:rPr>
          <w:lang w:val="en-US"/>
        </w:rPr>
        <w:t>).</w:t>
      </w:r>
    </w:p>
    <w:p w14:paraId="54BB0FF0" w14:textId="77777777" w:rsidR="0078264C" w:rsidRPr="008C4A6A" w:rsidRDefault="0078264C" w:rsidP="0078264C">
      <w:pPr>
        <w:ind w:firstLine="720"/>
        <w:rPr>
          <w:lang w:val="en-US"/>
        </w:rPr>
      </w:pPr>
    </w:p>
    <w:p w14:paraId="6C3F495A" w14:textId="1052D24D" w:rsidR="003B5B7F" w:rsidRPr="008C4A6A" w:rsidRDefault="003B5B7F" w:rsidP="00941C1B">
      <w:pPr>
        <w:spacing w:line="480" w:lineRule="auto"/>
        <w:ind w:firstLine="720"/>
        <w:rPr>
          <w:lang w:val="en-US"/>
        </w:rPr>
      </w:pPr>
      <w:r w:rsidRPr="008C4A6A">
        <w:rPr>
          <w:lang w:val="en-US"/>
        </w:rPr>
        <w:t>Generally, from the works of Soranus and Galen, it can be inferred that weaning food was often composed of semi-liquid cereals but also included bread softened with milk, honey, or wine, as well as porridge, eggs or vegetables and meat for upper-class families. The weaning diet according to Soranus included bread softened with milk, honey diluted with water, soups made from spelt, moist porridges and eggs (</w:t>
      </w:r>
      <w:r w:rsidRPr="008C4A6A">
        <w:rPr>
          <w:color w:val="000000" w:themeColor="text1"/>
          <w:lang w:val="en-US"/>
        </w:rPr>
        <w:t>Temkin 1956</w:t>
      </w:r>
      <w:r w:rsidRPr="008C4A6A">
        <w:rPr>
          <w:lang w:val="en-US"/>
        </w:rPr>
        <w:t xml:space="preserve">). Meanwhile, Galen suggested that children </w:t>
      </w:r>
      <w:r w:rsidR="00374D93">
        <w:rPr>
          <w:lang w:val="en-US"/>
        </w:rPr>
        <w:t>should be</w:t>
      </w:r>
      <w:r w:rsidR="00374D93" w:rsidRPr="008C4A6A">
        <w:rPr>
          <w:lang w:val="en-US"/>
        </w:rPr>
        <w:t xml:space="preserve"> </w:t>
      </w:r>
      <w:r w:rsidRPr="008C4A6A">
        <w:rPr>
          <w:lang w:val="en-US"/>
        </w:rPr>
        <w:t>weaned initially with bread, followed by other foods such as vegetables and meat (</w:t>
      </w:r>
      <w:r w:rsidRPr="008C4A6A">
        <w:rPr>
          <w:color w:val="000000" w:themeColor="text1"/>
          <w:lang w:val="en-US"/>
        </w:rPr>
        <w:t>Green 1951</w:t>
      </w:r>
      <w:r w:rsidRPr="008C4A6A">
        <w:rPr>
          <w:lang w:val="en-US"/>
        </w:rPr>
        <w:t xml:space="preserve">).  It is likely that the average Roman family would have been primarily </w:t>
      </w:r>
      <w:r w:rsidR="00F71180" w:rsidRPr="008C4A6A">
        <w:rPr>
          <w:lang w:val="en-US"/>
        </w:rPr>
        <w:t>dependent</w:t>
      </w:r>
      <w:r w:rsidRPr="008C4A6A">
        <w:rPr>
          <w:lang w:val="en-US"/>
        </w:rPr>
        <w:t xml:space="preserve"> on cereal-based weaning diet as historical accounts </w:t>
      </w:r>
      <w:r w:rsidR="00C166FA">
        <w:rPr>
          <w:lang w:val="en-US"/>
        </w:rPr>
        <w:t>identify</w:t>
      </w:r>
      <w:r w:rsidRPr="008C4A6A">
        <w:rPr>
          <w:lang w:val="en-US"/>
        </w:rPr>
        <w:t xml:space="preserve"> grain as the base of Roman diet (</w:t>
      </w:r>
      <w:r w:rsidRPr="008C4A6A">
        <w:rPr>
          <w:color w:val="000000" w:themeColor="text1"/>
          <w:lang w:val="en-US"/>
        </w:rPr>
        <w:t>Garnsey 1998</w:t>
      </w:r>
      <w:r w:rsidRPr="008C4A6A">
        <w:rPr>
          <w:lang w:val="en-US"/>
        </w:rPr>
        <w:t xml:space="preserve">). According to </w:t>
      </w:r>
      <w:r w:rsidRPr="008C4A6A">
        <w:rPr>
          <w:color w:val="000000" w:themeColor="text1"/>
          <w:lang w:val="en-US"/>
        </w:rPr>
        <w:t>Schmidt and colleagues (2016</w:t>
      </w:r>
      <w:r w:rsidRPr="008C4A6A">
        <w:rPr>
          <w:lang w:val="en-US"/>
        </w:rPr>
        <w:t>), information on foods consumed after the cessation of weaning is scarce in ancient literature</w:t>
      </w:r>
      <w:r w:rsidR="00710989">
        <w:rPr>
          <w:lang w:val="en-US"/>
        </w:rPr>
        <w:t>. R</w:t>
      </w:r>
      <w:r w:rsidRPr="008C4A6A">
        <w:rPr>
          <w:lang w:val="en-US"/>
        </w:rPr>
        <w:t>eferences in ancient literature indi</w:t>
      </w:r>
      <w:r w:rsidR="008A6A7B" w:rsidRPr="008C4A6A">
        <w:rPr>
          <w:lang w:val="en-US"/>
        </w:rPr>
        <w:t>c</w:t>
      </w:r>
      <w:r w:rsidRPr="008C4A6A">
        <w:rPr>
          <w:lang w:val="en-US"/>
        </w:rPr>
        <w:t xml:space="preserve">ate </w:t>
      </w:r>
      <w:r w:rsidRPr="008C4A6A">
        <w:rPr>
          <w:color w:val="000000" w:themeColor="text1"/>
          <w:lang w:val="en-US"/>
        </w:rPr>
        <w:t xml:space="preserve">that </w:t>
      </w:r>
      <w:r w:rsidRPr="008C4A6A">
        <w:rPr>
          <w:lang w:val="en-US"/>
        </w:rPr>
        <w:t>older children consumed foods that include</w:t>
      </w:r>
      <w:r w:rsidR="008A6A7B" w:rsidRPr="008C4A6A">
        <w:rPr>
          <w:lang w:val="en-US"/>
        </w:rPr>
        <w:t>d</w:t>
      </w:r>
      <w:r w:rsidRPr="008C4A6A">
        <w:rPr>
          <w:lang w:val="en-US"/>
        </w:rPr>
        <w:t xml:space="preserve"> the shoots of figs, honey, and meat such as pigs (Fildes 1986). This diet would have continued up until the age of 12 for girls and 14 for boys, at which </w:t>
      </w:r>
      <w:r w:rsidR="00C166FA">
        <w:rPr>
          <w:lang w:val="en-US"/>
        </w:rPr>
        <w:t xml:space="preserve">time </w:t>
      </w:r>
      <w:r w:rsidRPr="008C4A6A">
        <w:rPr>
          <w:lang w:val="en-US"/>
        </w:rPr>
        <w:t xml:space="preserve">they were considered to be adults (Allason-Jones 1989). </w:t>
      </w:r>
      <w:r w:rsidRPr="008C4A6A">
        <w:rPr>
          <w:color w:val="000000" w:themeColor="text1"/>
          <w:lang w:val="en-US"/>
        </w:rPr>
        <w:t xml:space="preserve">Garnsey (1999) </w:t>
      </w:r>
      <w:r w:rsidR="00C166FA">
        <w:rPr>
          <w:color w:val="000000" w:themeColor="text1"/>
          <w:lang w:val="en-US"/>
        </w:rPr>
        <w:t>contends that</w:t>
      </w:r>
      <w:r w:rsidR="00C166FA" w:rsidRPr="008C4A6A">
        <w:rPr>
          <w:color w:val="000000" w:themeColor="text1"/>
          <w:lang w:val="en-US"/>
        </w:rPr>
        <w:t xml:space="preserve"> </w:t>
      </w:r>
      <w:r w:rsidRPr="008C4A6A">
        <w:rPr>
          <w:lang w:val="en-US"/>
        </w:rPr>
        <w:t xml:space="preserve">girls and boys would have had a slightly different diet, with girls having had less access to meat and wine. This is due to the fact that patriarchal societies, as Greaco-Roman societies were, often did not generously allocate food for females. Boys likely got more food provisions based on the fact that they made the bulk of productive labour and because they were higher in the hierarchy of power and control. </w:t>
      </w:r>
      <w:r w:rsidR="00C166FA">
        <w:rPr>
          <w:lang w:val="en-US"/>
        </w:rPr>
        <w:t>The</w:t>
      </w:r>
      <w:r w:rsidRPr="008C4A6A">
        <w:rPr>
          <w:lang w:val="en-US"/>
        </w:rPr>
        <w:t xml:space="preserve"> 4</w:t>
      </w:r>
      <w:r w:rsidRPr="008C4A6A">
        <w:rPr>
          <w:vertAlign w:val="superscript"/>
          <w:lang w:val="en-US"/>
        </w:rPr>
        <w:t>th</w:t>
      </w:r>
      <w:r w:rsidRPr="008C4A6A">
        <w:rPr>
          <w:lang w:val="en-US"/>
        </w:rPr>
        <w:t xml:space="preserve"> century physician, Oribasius, wrote about the desir</w:t>
      </w:r>
      <w:r w:rsidR="00377F53" w:rsidRPr="008C4A6A">
        <w:rPr>
          <w:lang w:val="en-US"/>
        </w:rPr>
        <w:t>e</w:t>
      </w:r>
      <w:r w:rsidRPr="008C4A6A">
        <w:rPr>
          <w:lang w:val="en-US"/>
        </w:rPr>
        <w:t xml:space="preserve"> for girls to marry </w:t>
      </w:r>
      <w:r w:rsidR="00377F53" w:rsidRPr="008C4A6A">
        <w:rPr>
          <w:lang w:val="en-US"/>
        </w:rPr>
        <w:t xml:space="preserve">at </w:t>
      </w:r>
      <w:r w:rsidR="00377F53" w:rsidRPr="008C4A6A">
        <w:rPr>
          <w:lang w:val="en-US"/>
        </w:rPr>
        <w:lastRenderedPageBreak/>
        <w:t>the age of 18 years</w:t>
      </w:r>
      <w:r w:rsidRPr="008C4A6A">
        <w:rPr>
          <w:lang w:val="en-US"/>
        </w:rPr>
        <w:t xml:space="preserve"> (not the beginning of puberty), which he proposed could be achieved by regulating nourishing food (specifically meat) so that girls did not put on weight too quickly and experienced a delay in their </w:t>
      </w:r>
      <w:r w:rsidR="00377F53" w:rsidRPr="008C4A6A">
        <w:rPr>
          <w:lang w:val="en-US"/>
        </w:rPr>
        <w:t>ability</w:t>
      </w:r>
      <w:r w:rsidRPr="008C4A6A">
        <w:rPr>
          <w:lang w:val="en-US"/>
        </w:rPr>
        <w:t xml:space="preserve"> to have sexual relations and produce children (Garnsey 1999). </w:t>
      </w:r>
    </w:p>
    <w:p w14:paraId="75A982BA" w14:textId="77777777" w:rsidR="00941C1B" w:rsidRPr="008C4A6A" w:rsidRDefault="00941C1B" w:rsidP="00DC7DBA">
      <w:pPr>
        <w:ind w:firstLine="720"/>
        <w:rPr>
          <w:lang w:val="en-US"/>
        </w:rPr>
      </w:pPr>
    </w:p>
    <w:p w14:paraId="2B4101AA" w14:textId="41B00072" w:rsidR="00EC772A" w:rsidRDefault="003B5B7F" w:rsidP="00EC772A">
      <w:pPr>
        <w:spacing w:line="480" w:lineRule="auto"/>
        <w:ind w:firstLine="720"/>
        <w:rPr>
          <w:lang w:val="en-US"/>
        </w:rPr>
      </w:pPr>
      <w:r w:rsidRPr="008C4A6A">
        <w:rPr>
          <w:lang w:val="en-US"/>
        </w:rPr>
        <w:t>Forty wet-nurse contracts on Egyptian papyri from the Roman period (late 1</w:t>
      </w:r>
      <w:r w:rsidRPr="008C4A6A">
        <w:rPr>
          <w:vertAlign w:val="superscript"/>
          <w:lang w:val="en-US"/>
        </w:rPr>
        <w:t>st</w:t>
      </w:r>
      <w:r w:rsidRPr="008C4A6A">
        <w:rPr>
          <w:lang w:val="en-US"/>
        </w:rPr>
        <w:t xml:space="preserve"> century CE to early 4</w:t>
      </w:r>
      <w:r w:rsidRPr="008C4A6A">
        <w:rPr>
          <w:vertAlign w:val="superscript"/>
          <w:lang w:val="en-US"/>
        </w:rPr>
        <w:t>th</w:t>
      </w:r>
      <w:r w:rsidRPr="008C4A6A">
        <w:rPr>
          <w:lang w:val="en-US"/>
        </w:rPr>
        <w:t xml:space="preserve"> century CE) have also been included in analyses</w:t>
      </w:r>
      <w:r w:rsidR="00C166FA">
        <w:rPr>
          <w:lang w:val="en-US"/>
        </w:rPr>
        <w:t xml:space="preserve"> of </w:t>
      </w:r>
      <w:r w:rsidR="00C166FA" w:rsidRPr="00784634">
        <w:rPr>
          <w:color w:val="000000" w:themeColor="text1"/>
          <w:lang w:val="en-US"/>
        </w:rPr>
        <w:t xml:space="preserve">weaning patterns </w:t>
      </w:r>
      <w:r w:rsidRPr="008C4A6A">
        <w:rPr>
          <w:lang w:val="en-US"/>
        </w:rPr>
        <w:t xml:space="preserve">(Masciadri </w:t>
      </w:r>
      <w:r w:rsidR="00941C1B" w:rsidRPr="008C4A6A">
        <w:rPr>
          <w:lang w:val="en-US"/>
        </w:rPr>
        <w:t>&amp;</w:t>
      </w:r>
      <w:r w:rsidRPr="008C4A6A">
        <w:rPr>
          <w:lang w:val="en-US"/>
        </w:rPr>
        <w:t xml:space="preserve"> Montevecchi 1984).  One such nursing contract from 3</w:t>
      </w:r>
      <w:r w:rsidR="00784634">
        <w:rPr>
          <w:lang w:val="en-US"/>
        </w:rPr>
        <w:t>27</w:t>
      </w:r>
      <w:r w:rsidRPr="008C4A6A">
        <w:rPr>
          <w:lang w:val="en-US"/>
        </w:rPr>
        <w:t>–</w:t>
      </w:r>
      <w:r w:rsidR="00784634">
        <w:rPr>
          <w:lang w:val="en-US"/>
        </w:rPr>
        <w:t>32</w:t>
      </w:r>
      <w:r w:rsidR="00941C1B" w:rsidRPr="008C4A6A">
        <w:rPr>
          <w:lang w:val="en-US"/>
        </w:rPr>
        <w:t xml:space="preserve"> CE</w:t>
      </w:r>
      <w:r w:rsidRPr="008C4A6A">
        <w:rPr>
          <w:lang w:val="en-US"/>
        </w:rPr>
        <w:t xml:space="preserve"> mentions</w:t>
      </w:r>
      <w:r w:rsidR="003100E2">
        <w:rPr>
          <w:lang w:val="en-US"/>
        </w:rPr>
        <w:t xml:space="preserve"> that</w:t>
      </w:r>
      <w:r w:rsidRPr="008C4A6A">
        <w:rPr>
          <w:lang w:val="en-US"/>
        </w:rPr>
        <w:t xml:space="preserve"> exclusive breastfeeding </w:t>
      </w:r>
      <w:r w:rsidR="00941C1B" w:rsidRPr="008C4A6A">
        <w:rPr>
          <w:lang w:val="en-US"/>
        </w:rPr>
        <w:t xml:space="preserve">should occur </w:t>
      </w:r>
      <w:r w:rsidRPr="008C4A6A">
        <w:rPr>
          <w:lang w:val="en-US"/>
        </w:rPr>
        <w:t>for the first 6 months</w:t>
      </w:r>
      <w:r w:rsidR="003100E2">
        <w:rPr>
          <w:lang w:val="en-US"/>
        </w:rPr>
        <w:t>,</w:t>
      </w:r>
      <w:r w:rsidRPr="008C4A6A">
        <w:rPr>
          <w:lang w:val="en-US"/>
        </w:rPr>
        <w:t xml:space="preserve"> </w:t>
      </w:r>
      <w:r w:rsidR="00941C1B" w:rsidRPr="008C4A6A">
        <w:rPr>
          <w:lang w:val="en-US"/>
        </w:rPr>
        <w:t>followed by a</w:t>
      </w:r>
      <w:r w:rsidRPr="008C4A6A">
        <w:rPr>
          <w:lang w:val="en-US"/>
        </w:rPr>
        <w:t xml:space="preserve"> transition to cow’s milk for the </w:t>
      </w:r>
      <w:r w:rsidR="00941C1B" w:rsidRPr="008C4A6A">
        <w:rPr>
          <w:lang w:val="en-US"/>
        </w:rPr>
        <w:t>next</w:t>
      </w:r>
      <w:r w:rsidRPr="008C4A6A">
        <w:rPr>
          <w:lang w:val="en-US"/>
        </w:rPr>
        <w:t xml:space="preserve"> 18 months (Dupras et al. 2001). These contracts were used to </w:t>
      </w:r>
      <w:r w:rsidR="003100E2">
        <w:rPr>
          <w:lang w:val="en-US"/>
        </w:rPr>
        <w:t>regulate</w:t>
      </w:r>
      <w:r w:rsidR="003100E2" w:rsidRPr="008C4A6A">
        <w:rPr>
          <w:lang w:val="en-US"/>
        </w:rPr>
        <w:t xml:space="preserve"> </w:t>
      </w:r>
      <w:r w:rsidRPr="008C4A6A">
        <w:rPr>
          <w:lang w:val="en-US"/>
        </w:rPr>
        <w:t xml:space="preserve">wet-nurses </w:t>
      </w:r>
      <w:r w:rsidR="003100E2">
        <w:rPr>
          <w:lang w:val="en-US"/>
        </w:rPr>
        <w:t xml:space="preserve">according </w:t>
      </w:r>
      <w:r w:rsidRPr="008C4A6A">
        <w:rPr>
          <w:lang w:val="en-US"/>
        </w:rPr>
        <w:t>to these prescriptive nursing practices</w:t>
      </w:r>
      <w:r w:rsidR="003100E2">
        <w:rPr>
          <w:lang w:val="en-US"/>
        </w:rPr>
        <w:t>;</w:t>
      </w:r>
      <w:r w:rsidRPr="008C4A6A">
        <w:rPr>
          <w:lang w:val="en-US"/>
        </w:rPr>
        <w:t xml:space="preserve"> to that extent, they may very closely represent past practices for at least those </w:t>
      </w:r>
      <w:r w:rsidR="003100E2">
        <w:rPr>
          <w:lang w:val="en-US"/>
        </w:rPr>
        <w:t>who</w:t>
      </w:r>
      <w:r w:rsidRPr="008C4A6A">
        <w:rPr>
          <w:lang w:val="en-US"/>
        </w:rPr>
        <w:t xml:space="preserve"> used wet-nurse contracts. Yet, there are problems </w:t>
      </w:r>
      <w:r w:rsidR="00941C1B" w:rsidRPr="008C4A6A">
        <w:rPr>
          <w:lang w:val="en-US"/>
        </w:rPr>
        <w:t>with</w:t>
      </w:r>
      <w:r w:rsidRPr="008C4A6A">
        <w:rPr>
          <w:lang w:val="en-US"/>
        </w:rPr>
        <w:t xml:space="preserve"> using these contracts as historical documents as they do not discuss all the contextual information (Prowse et al. 2008). For instance, the contracts map a timeline for breastfeeding but not for weaning</w:t>
      </w:r>
      <w:r w:rsidR="00941C1B" w:rsidRPr="008C4A6A">
        <w:rPr>
          <w:lang w:val="en-US"/>
        </w:rPr>
        <w:t xml:space="preserve"> and </w:t>
      </w:r>
      <w:r w:rsidRPr="008C4A6A">
        <w:rPr>
          <w:lang w:val="en-US"/>
        </w:rPr>
        <w:t xml:space="preserve">there is no apparent clause preventing the wet-nurse to substitute her milk with other foods during the contract’s validity. The contracts also seem to typically end 6 months after </w:t>
      </w:r>
      <w:r w:rsidR="00941C1B" w:rsidRPr="008C4A6A">
        <w:rPr>
          <w:lang w:val="en-US"/>
        </w:rPr>
        <w:t xml:space="preserve">the cessation of </w:t>
      </w:r>
      <w:r w:rsidRPr="008C4A6A">
        <w:rPr>
          <w:lang w:val="en-US"/>
        </w:rPr>
        <w:t xml:space="preserve">breastfeeding (most often </w:t>
      </w:r>
      <w:r w:rsidR="003100E2">
        <w:rPr>
          <w:lang w:val="en-US"/>
        </w:rPr>
        <w:t xml:space="preserve">around </w:t>
      </w:r>
      <w:r w:rsidR="00BC529C">
        <w:rPr>
          <w:lang w:val="en-US"/>
        </w:rPr>
        <w:t>two</w:t>
      </w:r>
      <w:r w:rsidRPr="008C4A6A">
        <w:rPr>
          <w:lang w:val="en-US"/>
        </w:rPr>
        <w:t xml:space="preserve"> years</w:t>
      </w:r>
      <w:r w:rsidR="00441EDB" w:rsidRPr="008C4A6A">
        <w:rPr>
          <w:lang w:val="en-US"/>
        </w:rPr>
        <w:t>) and</w:t>
      </w:r>
      <w:r w:rsidR="003100E2">
        <w:rPr>
          <w:lang w:val="en-US"/>
        </w:rPr>
        <w:t xml:space="preserve"> </w:t>
      </w:r>
      <w:r w:rsidRPr="008C4A6A">
        <w:rPr>
          <w:lang w:val="en-US"/>
        </w:rPr>
        <w:t>provid</w:t>
      </w:r>
      <w:r w:rsidR="0062051E">
        <w:rPr>
          <w:lang w:val="en-US"/>
        </w:rPr>
        <w:t>e</w:t>
      </w:r>
      <w:r w:rsidRPr="008C4A6A">
        <w:rPr>
          <w:lang w:val="en-US"/>
        </w:rPr>
        <w:t xml:space="preserve"> little to no information on the weaning and post-weaning diet.</w:t>
      </w:r>
      <w:r w:rsidR="00EC772A">
        <w:rPr>
          <w:lang w:val="en-US"/>
        </w:rPr>
        <w:t xml:space="preserve"> </w:t>
      </w:r>
      <w:r w:rsidR="00941C1B" w:rsidRPr="008C4A6A">
        <w:rPr>
          <w:lang w:val="en-US"/>
        </w:rPr>
        <w:t xml:space="preserve">It is important to note that many of these literary sources are biased towards the Roman elite and their food preferences, so relying heavily on literary sources can misconstrue our understanding of Roman diet as well as breastfeeding and weaning practices. Further, these historical sources are </w:t>
      </w:r>
      <w:r w:rsidR="00941C1B" w:rsidRPr="008C4A6A">
        <w:rPr>
          <w:lang w:val="en-US"/>
        </w:rPr>
        <w:lastRenderedPageBreak/>
        <w:t>considered more prescriptive rather than descriptive of infant feeding practices in the Roman Empire (Garnsey 1999; Dupras et al. 200l; Schmidt et al. 2016).</w:t>
      </w:r>
      <w:r w:rsidR="000323A8">
        <w:rPr>
          <w:lang w:val="en-US"/>
        </w:rPr>
        <w:t xml:space="preserve">  </w:t>
      </w:r>
    </w:p>
    <w:p w14:paraId="5E5E3D8E" w14:textId="41C31590" w:rsidR="00EC772A" w:rsidRDefault="00EC772A" w:rsidP="00FF0311">
      <w:pPr>
        <w:rPr>
          <w:lang w:val="en-US"/>
        </w:rPr>
      </w:pPr>
    </w:p>
    <w:p w14:paraId="0941D87B" w14:textId="359CC155" w:rsidR="004E1CC4" w:rsidRDefault="00EC772A" w:rsidP="00EC772A">
      <w:pPr>
        <w:spacing w:line="480" w:lineRule="auto"/>
        <w:rPr>
          <w:lang w:val="en-US"/>
        </w:rPr>
      </w:pPr>
      <w:r>
        <w:rPr>
          <w:lang w:val="en-US"/>
        </w:rPr>
        <w:t>2.</w:t>
      </w:r>
      <w:r w:rsidR="00EE1717">
        <w:rPr>
          <w:lang w:val="en-US"/>
        </w:rPr>
        <w:t>5</w:t>
      </w:r>
      <w:r w:rsidR="003830D9">
        <w:rPr>
          <w:lang w:val="en-US"/>
        </w:rPr>
        <w:t>.3</w:t>
      </w:r>
      <w:r>
        <w:rPr>
          <w:lang w:val="en-US"/>
        </w:rPr>
        <w:t xml:space="preserve"> Stable Isotope</w:t>
      </w:r>
      <w:r w:rsidR="008E3CE1">
        <w:rPr>
          <w:lang w:val="en-US"/>
        </w:rPr>
        <w:t xml:space="preserve"> </w:t>
      </w:r>
      <w:r>
        <w:rPr>
          <w:lang w:val="en-US"/>
        </w:rPr>
        <w:t>Studies</w:t>
      </w:r>
    </w:p>
    <w:p w14:paraId="59B1A6C1" w14:textId="77777777" w:rsidR="00FF0311" w:rsidRDefault="00FF0311" w:rsidP="00FF0311">
      <w:pPr>
        <w:rPr>
          <w:lang w:val="en-US"/>
        </w:rPr>
      </w:pPr>
    </w:p>
    <w:p w14:paraId="63413256" w14:textId="52534BF6" w:rsidR="002D4194" w:rsidRDefault="003B5B7F" w:rsidP="00AF6259">
      <w:pPr>
        <w:spacing w:line="480" w:lineRule="auto"/>
        <w:ind w:firstLine="720"/>
        <w:rPr>
          <w:lang w:val="en-US"/>
        </w:rPr>
      </w:pPr>
      <w:r w:rsidRPr="008C4A6A">
        <w:rPr>
          <w:lang w:val="en-US"/>
        </w:rPr>
        <w:t>Isotopic studies of bones and teeth from the Roman period have shed more light on past feeding practices</w:t>
      </w:r>
      <w:r w:rsidR="00941C1B" w:rsidRPr="008C4A6A">
        <w:rPr>
          <w:lang w:val="en-US"/>
        </w:rPr>
        <w:t xml:space="preserve"> and </w:t>
      </w:r>
      <w:r w:rsidRPr="008C4A6A">
        <w:rPr>
          <w:lang w:val="en-US"/>
        </w:rPr>
        <w:t xml:space="preserve">as there are no published studies on breastfeeding and weaning practices in pre-Roman Italian samples this study will be the first. </w:t>
      </w:r>
      <w:r w:rsidR="00941C1B" w:rsidRPr="008C4A6A">
        <w:rPr>
          <w:lang w:val="en-US"/>
        </w:rPr>
        <w:t>Largely</w:t>
      </w:r>
      <w:r w:rsidRPr="008C4A6A">
        <w:rPr>
          <w:lang w:val="en-US"/>
        </w:rPr>
        <w:t>, the isotope data have been roughly consistent with historical accounts</w:t>
      </w:r>
      <w:r w:rsidR="00E42BDE">
        <w:rPr>
          <w:lang w:val="en-US"/>
        </w:rPr>
        <w:t xml:space="preserve"> of the weaning process</w:t>
      </w:r>
      <w:r w:rsidRPr="008C4A6A">
        <w:rPr>
          <w:lang w:val="en-US"/>
        </w:rPr>
        <w:t xml:space="preserve"> from the Roman period</w:t>
      </w:r>
      <w:r w:rsidR="007E6CE3">
        <w:rPr>
          <w:lang w:val="en-US"/>
        </w:rPr>
        <w:t xml:space="preserve"> falling anywhere between </w:t>
      </w:r>
      <w:r w:rsidR="00BC529C">
        <w:rPr>
          <w:lang w:val="en-US"/>
        </w:rPr>
        <w:t>six</w:t>
      </w:r>
      <w:r w:rsidR="007E6CE3">
        <w:rPr>
          <w:lang w:val="en-US"/>
        </w:rPr>
        <w:t xml:space="preserve"> months up until </w:t>
      </w:r>
      <w:r w:rsidR="00BC529C">
        <w:rPr>
          <w:lang w:val="en-US"/>
        </w:rPr>
        <w:t>four</w:t>
      </w:r>
      <w:r w:rsidR="007E6CE3">
        <w:rPr>
          <w:lang w:val="en-US"/>
        </w:rPr>
        <w:t xml:space="preserve"> years of age. </w:t>
      </w:r>
    </w:p>
    <w:p w14:paraId="1CBBF143" w14:textId="77777777" w:rsidR="00FF0311" w:rsidRDefault="00FF0311" w:rsidP="00FF0311">
      <w:pPr>
        <w:ind w:firstLine="720"/>
        <w:rPr>
          <w:lang w:val="en-US"/>
        </w:rPr>
      </w:pPr>
    </w:p>
    <w:p w14:paraId="6C82B5F9" w14:textId="77B8F467" w:rsidR="007C14AB" w:rsidRDefault="003B5B7F" w:rsidP="00AF6259">
      <w:pPr>
        <w:spacing w:line="480" w:lineRule="auto"/>
        <w:ind w:firstLine="720"/>
        <w:rPr>
          <w:lang w:val="en-US"/>
        </w:rPr>
      </w:pPr>
      <w:r w:rsidRPr="008C4A6A">
        <w:rPr>
          <w:lang w:val="en-US"/>
        </w:rPr>
        <w:t xml:space="preserve">Prowse and colleagues (2008) examined the patterns of breastfeeding and weaning in a skeletal sample </w:t>
      </w:r>
      <w:r w:rsidR="002B3348" w:rsidRPr="008C4A6A">
        <w:rPr>
          <w:lang w:val="en-US"/>
        </w:rPr>
        <w:t>(1</w:t>
      </w:r>
      <w:r w:rsidR="002B3348" w:rsidRPr="008C4A6A">
        <w:rPr>
          <w:vertAlign w:val="superscript"/>
          <w:lang w:val="en-US"/>
        </w:rPr>
        <w:t>st</w:t>
      </w:r>
      <w:r w:rsidR="002B3348" w:rsidRPr="008C4A6A">
        <w:rPr>
          <w:lang w:val="en-US"/>
        </w:rPr>
        <w:t xml:space="preserve"> – 2</w:t>
      </w:r>
      <w:r w:rsidR="002B3348" w:rsidRPr="008C4A6A">
        <w:rPr>
          <w:vertAlign w:val="superscript"/>
          <w:lang w:val="en-US"/>
        </w:rPr>
        <w:t>nd</w:t>
      </w:r>
      <w:r w:rsidR="002B3348" w:rsidRPr="008C4A6A">
        <w:rPr>
          <w:lang w:val="en-US"/>
        </w:rPr>
        <w:t xml:space="preserve"> centuries CE) </w:t>
      </w:r>
      <w:r w:rsidRPr="008C4A6A">
        <w:rPr>
          <w:lang w:val="en-US"/>
        </w:rPr>
        <w:t>from</w:t>
      </w:r>
      <w:r w:rsidR="002B3348" w:rsidRPr="008C4A6A">
        <w:rPr>
          <w:lang w:val="en-US"/>
        </w:rPr>
        <w:t xml:space="preserve"> the Imperial Roman necropolis of</w:t>
      </w:r>
      <w:r w:rsidRPr="008C4A6A">
        <w:rPr>
          <w:lang w:val="en-US"/>
        </w:rPr>
        <w:t xml:space="preserve"> Isola Sacra (located southwest of Rome) through </w:t>
      </w:r>
      <w:r w:rsidRPr="00040CDA">
        <w:rPr>
          <w:lang w:val="en-US"/>
        </w:rPr>
        <w:sym w:font="Symbol" w:char="F064"/>
      </w:r>
      <w:r w:rsidRPr="00040CDA">
        <w:rPr>
          <w:vertAlign w:val="superscript"/>
          <w:lang w:val="en-US"/>
        </w:rPr>
        <w:t>13</w:t>
      </w:r>
      <w:r w:rsidRPr="00040CDA">
        <w:rPr>
          <w:lang w:val="en-US"/>
        </w:rPr>
        <w:t xml:space="preserve">C and </w:t>
      </w:r>
      <w:r w:rsidRPr="00040CDA">
        <w:rPr>
          <w:lang w:val="en-US"/>
        </w:rPr>
        <w:sym w:font="Symbol" w:char="F064"/>
      </w:r>
      <w:r w:rsidRPr="00040CDA">
        <w:rPr>
          <w:vertAlign w:val="superscript"/>
          <w:lang w:val="en-US"/>
        </w:rPr>
        <w:t>15</w:t>
      </w:r>
      <w:r w:rsidRPr="00040CDA">
        <w:rPr>
          <w:lang w:val="en-US"/>
        </w:rPr>
        <w:t xml:space="preserve">N analysis of rib samples </w:t>
      </w:r>
      <w:r w:rsidR="002B3348" w:rsidRPr="00040CDA">
        <w:rPr>
          <w:lang w:val="en-US"/>
        </w:rPr>
        <w:t xml:space="preserve">obtained from </w:t>
      </w:r>
      <w:r w:rsidRPr="00040CDA">
        <w:rPr>
          <w:lang w:val="en-US"/>
        </w:rPr>
        <w:t xml:space="preserve">individuals ranging in age between birth </w:t>
      </w:r>
      <w:r w:rsidR="002B3348" w:rsidRPr="00040CDA">
        <w:rPr>
          <w:lang w:val="en-US"/>
        </w:rPr>
        <w:t xml:space="preserve">to </w:t>
      </w:r>
      <w:r w:rsidRPr="00040CDA">
        <w:rPr>
          <w:lang w:val="en-US"/>
        </w:rPr>
        <w:t xml:space="preserve">13 years. The results revealed that infants began transitional feeding between </w:t>
      </w:r>
      <w:r w:rsidR="00BC529C">
        <w:rPr>
          <w:lang w:val="en-US"/>
        </w:rPr>
        <w:t>one</w:t>
      </w:r>
      <w:r w:rsidR="002B3348" w:rsidRPr="00040CDA">
        <w:rPr>
          <w:lang w:val="en-US"/>
        </w:rPr>
        <w:t xml:space="preserve"> to </w:t>
      </w:r>
      <w:r w:rsidR="00BC529C">
        <w:rPr>
          <w:lang w:val="en-US"/>
        </w:rPr>
        <w:t>two</w:t>
      </w:r>
      <w:r w:rsidRPr="00040CDA">
        <w:rPr>
          <w:lang w:val="en-US"/>
        </w:rPr>
        <w:t xml:space="preserve"> years and were fully wean</w:t>
      </w:r>
      <w:r w:rsidR="002B3348" w:rsidRPr="00040CDA">
        <w:rPr>
          <w:lang w:val="en-US"/>
        </w:rPr>
        <w:t>ed</w:t>
      </w:r>
      <w:r w:rsidRPr="00040CDA">
        <w:rPr>
          <w:lang w:val="en-US"/>
        </w:rPr>
        <w:t xml:space="preserve"> by the age of ~ 2.5</w:t>
      </w:r>
      <w:r w:rsidR="00F30A5A">
        <w:rPr>
          <w:lang w:val="en-US"/>
        </w:rPr>
        <w:t xml:space="preserve"> –</w:t>
      </w:r>
      <w:r w:rsidRPr="00040CDA">
        <w:rPr>
          <w:lang w:val="en-US"/>
        </w:rPr>
        <w:t xml:space="preserve"> 3 years. By </w:t>
      </w:r>
      <w:r w:rsidR="00BC529C">
        <w:rPr>
          <w:lang w:val="en-US"/>
        </w:rPr>
        <w:t>four</w:t>
      </w:r>
      <w:r w:rsidRPr="00040CDA">
        <w:rPr>
          <w:lang w:val="en-US"/>
        </w:rPr>
        <w:t xml:space="preserve"> </w:t>
      </w:r>
      <w:r w:rsidR="00BC529C">
        <w:rPr>
          <w:lang w:val="en-US"/>
        </w:rPr>
        <w:t>to five</w:t>
      </w:r>
      <w:r w:rsidRPr="00040CDA">
        <w:rPr>
          <w:lang w:val="en-US"/>
        </w:rPr>
        <w:t xml:space="preserve"> years of age, </w:t>
      </w:r>
      <w:r w:rsidRPr="00040CDA">
        <w:rPr>
          <w:lang w:val="en-US"/>
        </w:rPr>
        <w:sym w:font="Symbol" w:char="F064"/>
      </w:r>
      <w:r w:rsidRPr="00040CDA">
        <w:rPr>
          <w:vertAlign w:val="superscript"/>
          <w:lang w:val="en-US"/>
        </w:rPr>
        <w:t>13</w:t>
      </w:r>
      <w:r w:rsidRPr="00040CDA">
        <w:rPr>
          <w:lang w:val="en-US"/>
        </w:rPr>
        <w:t xml:space="preserve">C and </w:t>
      </w:r>
      <w:r w:rsidRPr="00040CDA">
        <w:rPr>
          <w:lang w:val="en-US"/>
        </w:rPr>
        <w:sym w:font="Symbol" w:char="F064"/>
      </w:r>
      <w:r w:rsidRPr="00040CDA">
        <w:rPr>
          <w:vertAlign w:val="superscript"/>
          <w:lang w:val="en-US"/>
        </w:rPr>
        <w:t>15</w:t>
      </w:r>
      <w:r w:rsidRPr="00040CDA">
        <w:rPr>
          <w:lang w:val="en-US"/>
        </w:rPr>
        <w:t xml:space="preserve">N values were similar to adult values, that is to say, that any isotopic trace of breastfeeding in the bone was no longer present in individuals over the age of </w:t>
      </w:r>
      <w:r w:rsidR="00BC529C">
        <w:rPr>
          <w:lang w:val="en-US"/>
        </w:rPr>
        <w:t>five</w:t>
      </w:r>
      <w:r w:rsidRPr="00040CDA">
        <w:rPr>
          <w:lang w:val="en-US"/>
        </w:rPr>
        <w:t xml:space="preserve"> (Prowse 2008). Fitzgerald et al. (2006) also examined</w:t>
      </w:r>
      <w:r w:rsidR="002B3348" w:rsidRPr="00040CDA">
        <w:rPr>
          <w:lang w:val="en-US"/>
        </w:rPr>
        <w:t xml:space="preserve"> weaning</w:t>
      </w:r>
      <w:r w:rsidRPr="00040CDA">
        <w:rPr>
          <w:lang w:val="en-US"/>
        </w:rPr>
        <w:t xml:space="preserve"> </w:t>
      </w:r>
      <w:r w:rsidR="002B3348" w:rsidRPr="00040CDA">
        <w:rPr>
          <w:lang w:val="en-US"/>
        </w:rPr>
        <w:t>at</w:t>
      </w:r>
      <w:r w:rsidRPr="00040CDA">
        <w:rPr>
          <w:lang w:val="en-US"/>
        </w:rPr>
        <w:t xml:space="preserve"> </w:t>
      </w:r>
      <w:r w:rsidR="002B3348" w:rsidRPr="00040CDA">
        <w:rPr>
          <w:lang w:val="en-US"/>
        </w:rPr>
        <w:t>I</w:t>
      </w:r>
      <w:r w:rsidRPr="00040CDA">
        <w:rPr>
          <w:lang w:val="en-US"/>
        </w:rPr>
        <w:t>sola Sacra (2</w:t>
      </w:r>
      <w:r w:rsidRPr="00040CDA">
        <w:rPr>
          <w:vertAlign w:val="superscript"/>
          <w:lang w:val="en-US"/>
        </w:rPr>
        <w:t xml:space="preserve">nd </w:t>
      </w:r>
      <w:r w:rsidRPr="00040CDA">
        <w:rPr>
          <w:lang w:val="en-US"/>
        </w:rPr>
        <w:t>- 3</w:t>
      </w:r>
      <w:r w:rsidRPr="00040CDA">
        <w:rPr>
          <w:vertAlign w:val="superscript"/>
          <w:lang w:val="en-US"/>
        </w:rPr>
        <w:t>rd</w:t>
      </w:r>
      <w:r w:rsidRPr="00040CDA">
        <w:rPr>
          <w:lang w:val="en-US"/>
        </w:rPr>
        <w:t xml:space="preserve"> centuries CE) by observing</w:t>
      </w:r>
      <w:r w:rsidR="002B3348" w:rsidRPr="00040CDA">
        <w:rPr>
          <w:lang w:val="en-US"/>
        </w:rPr>
        <w:t xml:space="preserve"> Wilson bands</w:t>
      </w:r>
      <w:r w:rsidRPr="00040CDA">
        <w:rPr>
          <w:lang w:val="en-US"/>
        </w:rPr>
        <w:t xml:space="preserve"> in the enamel mantle of deciduous teeth. Wilson bands are enamel defects that arise due to developmental disturbances impacting the production of normal enamel matrix</w:t>
      </w:r>
      <w:r w:rsidR="002B3348" w:rsidRPr="00040CDA">
        <w:rPr>
          <w:lang w:val="en-US"/>
        </w:rPr>
        <w:t>; t</w:t>
      </w:r>
      <w:r w:rsidRPr="00040CDA">
        <w:rPr>
          <w:lang w:val="en-US"/>
        </w:rPr>
        <w:t>hese defects can be aged based crown development and from incremental growth markers</w:t>
      </w:r>
      <w:r w:rsidR="002B3348" w:rsidRPr="00040CDA">
        <w:rPr>
          <w:lang w:val="en-US"/>
        </w:rPr>
        <w:t xml:space="preserve"> (FitzGerald &amp; Saunders 2005).</w:t>
      </w:r>
      <w:r w:rsidRPr="00040CDA">
        <w:rPr>
          <w:lang w:val="en-US"/>
        </w:rPr>
        <w:t xml:space="preserve"> Results found that almost 40% of the sample (</w:t>
      </w:r>
      <w:r w:rsidR="002B3348" w:rsidRPr="00040CDA">
        <w:rPr>
          <w:lang w:val="en-US"/>
        </w:rPr>
        <w:t>n=</w:t>
      </w:r>
      <w:r w:rsidRPr="00040CDA">
        <w:rPr>
          <w:lang w:val="en-US"/>
        </w:rPr>
        <w:t xml:space="preserve">127 </w:t>
      </w:r>
      <w:r w:rsidRPr="00040CDA">
        <w:rPr>
          <w:lang w:val="en-US"/>
        </w:rPr>
        <w:lastRenderedPageBreak/>
        <w:t xml:space="preserve">subadults) </w:t>
      </w:r>
      <w:r w:rsidR="002B3348" w:rsidRPr="00040CDA">
        <w:rPr>
          <w:lang w:val="en-US"/>
        </w:rPr>
        <w:t>had</w:t>
      </w:r>
      <w:r w:rsidRPr="00040CDA">
        <w:rPr>
          <w:lang w:val="en-US"/>
        </w:rPr>
        <w:t xml:space="preserve"> at least one or more Wilson band</w:t>
      </w:r>
      <w:r w:rsidR="00E42BDE">
        <w:rPr>
          <w:lang w:val="en-US"/>
        </w:rPr>
        <w:t xml:space="preserve"> </w:t>
      </w:r>
      <w:r w:rsidRPr="00040CDA">
        <w:rPr>
          <w:lang w:val="en-US"/>
        </w:rPr>
        <w:t xml:space="preserve">in at least one of their teeth. </w:t>
      </w:r>
      <w:r w:rsidR="002B3348" w:rsidRPr="00040CDA">
        <w:rPr>
          <w:lang w:val="en-US"/>
        </w:rPr>
        <w:t>I</w:t>
      </w:r>
      <w:r w:rsidRPr="00040CDA">
        <w:rPr>
          <w:lang w:val="en-US"/>
        </w:rPr>
        <w:t xml:space="preserve">t was </w:t>
      </w:r>
      <w:r w:rsidR="002B3348" w:rsidRPr="00040CDA">
        <w:rPr>
          <w:lang w:val="en-US"/>
        </w:rPr>
        <w:t xml:space="preserve">also </w:t>
      </w:r>
      <w:r w:rsidRPr="00040CDA">
        <w:rPr>
          <w:lang w:val="en-US"/>
        </w:rPr>
        <w:t xml:space="preserve">noted that Wilson bands largely occurred between </w:t>
      </w:r>
      <w:r w:rsidR="00BC529C">
        <w:rPr>
          <w:lang w:val="en-US"/>
        </w:rPr>
        <w:t>six</w:t>
      </w:r>
      <w:r w:rsidRPr="00040CDA">
        <w:rPr>
          <w:lang w:val="en-US"/>
        </w:rPr>
        <w:t xml:space="preserve"> to </w:t>
      </w:r>
      <w:r w:rsidR="00BC529C">
        <w:rPr>
          <w:lang w:val="en-US"/>
        </w:rPr>
        <w:t>nine</w:t>
      </w:r>
      <w:r w:rsidRPr="00040CDA">
        <w:rPr>
          <w:lang w:val="en-US"/>
        </w:rPr>
        <w:t xml:space="preserve"> months</w:t>
      </w:r>
      <w:r w:rsidR="007C14AB" w:rsidRPr="00040CDA">
        <w:rPr>
          <w:lang w:val="en-US"/>
        </w:rPr>
        <w:t xml:space="preserve"> of age.</w:t>
      </w:r>
      <w:r w:rsidRPr="00040CDA">
        <w:rPr>
          <w:lang w:val="en-US"/>
        </w:rPr>
        <w:t xml:space="preserve"> </w:t>
      </w:r>
      <w:r w:rsidR="002B3348" w:rsidRPr="00040CDA">
        <w:rPr>
          <w:lang w:val="en-US"/>
        </w:rPr>
        <w:t xml:space="preserve">Correspondingly, </w:t>
      </w:r>
      <w:r w:rsidRPr="00040CDA">
        <w:rPr>
          <w:lang w:val="en-US"/>
        </w:rPr>
        <w:t xml:space="preserve">Fitzgerald </w:t>
      </w:r>
      <w:r w:rsidR="007C14AB" w:rsidRPr="00040CDA">
        <w:rPr>
          <w:lang w:val="en-US"/>
        </w:rPr>
        <w:t>and colleagues</w:t>
      </w:r>
      <w:r w:rsidRPr="00040CDA">
        <w:rPr>
          <w:lang w:val="en-US"/>
        </w:rPr>
        <w:t xml:space="preserve"> (2006) propose</w:t>
      </w:r>
      <w:r w:rsidR="002B3348" w:rsidRPr="00040CDA">
        <w:rPr>
          <w:lang w:val="en-US"/>
        </w:rPr>
        <w:t>d</w:t>
      </w:r>
      <w:r w:rsidRPr="00040CDA">
        <w:rPr>
          <w:lang w:val="en-US"/>
        </w:rPr>
        <w:t xml:space="preserve"> that the occurrence of Wilson bands may be tied to the initiation of weaning as infant vulnerability to</w:t>
      </w:r>
      <w:r w:rsidR="002B3348" w:rsidRPr="00040CDA">
        <w:rPr>
          <w:lang w:val="en-US"/>
        </w:rPr>
        <w:t xml:space="preserve"> growth faltering </w:t>
      </w:r>
      <w:r w:rsidR="007C14AB" w:rsidRPr="00040CDA">
        <w:rPr>
          <w:lang w:val="en-US"/>
        </w:rPr>
        <w:t>arises</w:t>
      </w:r>
      <w:r w:rsidRPr="00040CDA">
        <w:rPr>
          <w:lang w:val="en-US"/>
        </w:rPr>
        <w:t xml:space="preserve"> if the supply of breast milk is diminished and inadequate weaning foods are provided</w:t>
      </w:r>
      <w:r w:rsidR="007C14AB" w:rsidRPr="00040CDA">
        <w:rPr>
          <w:lang w:val="en-US"/>
        </w:rPr>
        <w:t xml:space="preserve"> which </w:t>
      </w:r>
      <w:r w:rsidRPr="00040CDA">
        <w:rPr>
          <w:lang w:val="en-US"/>
        </w:rPr>
        <w:t xml:space="preserve">often </w:t>
      </w:r>
      <w:r w:rsidR="002B3348" w:rsidRPr="00040CDA">
        <w:rPr>
          <w:lang w:val="en-US"/>
        </w:rPr>
        <w:t>occurs</w:t>
      </w:r>
      <w:r w:rsidRPr="00040CDA">
        <w:rPr>
          <w:lang w:val="en-US"/>
        </w:rPr>
        <w:t xml:space="preserve"> around </w:t>
      </w:r>
      <w:r w:rsidR="00BC529C">
        <w:rPr>
          <w:lang w:val="en-US"/>
        </w:rPr>
        <w:t>nine</w:t>
      </w:r>
      <w:r w:rsidRPr="00040CDA">
        <w:rPr>
          <w:lang w:val="en-US"/>
        </w:rPr>
        <w:t xml:space="preserve"> months</w:t>
      </w:r>
      <w:r w:rsidR="007C14AB" w:rsidRPr="00040CDA">
        <w:rPr>
          <w:lang w:val="en-US"/>
        </w:rPr>
        <w:t xml:space="preserve"> of age</w:t>
      </w:r>
      <w:r w:rsidRPr="00040CDA">
        <w:rPr>
          <w:lang w:val="en-US"/>
        </w:rPr>
        <w:t xml:space="preserve"> when there is </w:t>
      </w:r>
      <w:r w:rsidR="007C14AB" w:rsidRPr="00040CDA">
        <w:rPr>
          <w:lang w:val="en-US"/>
        </w:rPr>
        <w:t xml:space="preserve">growth </w:t>
      </w:r>
      <w:r w:rsidRPr="00040CDA">
        <w:rPr>
          <w:lang w:val="en-US"/>
        </w:rPr>
        <w:t>acceleration</w:t>
      </w:r>
      <w:r w:rsidR="007C14AB" w:rsidRPr="00040CDA">
        <w:rPr>
          <w:lang w:val="en-US"/>
        </w:rPr>
        <w:t>.</w:t>
      </w:r>
      <w:r w:rsidRPr="00040CDA">
        <w:rPr>
          <w:lang w:val="en-US"/>
        </w:rPr>
        <w:t xml:space="preserve"> </w:t>
      </w:r>
      <w:r w:rsidR="002D4194">
        <w:rPr>
          <w:lang w:val="en-US"/>
        </w:rPr>
        <w:t>The presence of</w:t>
      </w:r>
      <w:r w:rsidRPr="00040CDA">
        <w:rPr>
          <w:lang w:val="en-US"/>
        </w:rPr>
        <w:t xml:space="preserve"> Wilson bands </w:t>
      </w:r>
      <w:r w:rsidR="007C14AB" w:rsidRPr="00040CDA">
        <w:rPr>
          <w:lang w:val="en-US"/>
        </w:rPr>
        <w:t xml:space="preserve">between </w:t>
      </w:r>
      <w:r w:rsidR="00BC529C">
        <w:rPr>
          <w:lang w:val="en-US"/>
        </w:rPr>
        <w:t>six</w:t>
      </w:r>
      <w:r w:rsidRPr="00040CDA">
        <w:rPr>
          <w:lang w:val="en-US"/>
        </w:rPr>
        <w:t xml:space="preserve"> </w:t>
      </w:r>
      <w:r w:rsidR="007C14AB" w:rsidRPr="00040CDA">
        <w:rPr>
          <w:lang w:val="en-US"/>
        </w:rPr>
        <w:t>to</w:t>
      </w:r>
      <w:r w:rsidRPr="00040CDA">
        <w:rPr>
          <w:lang w:val="en-US"/>
        </w:rPr>
        <w:t xml:space="preserve"> </w:t>
      </w:r>
      <w:r w:rsidR="00BC529C">
        <w:rPr>
          <w:lang w:val="en-US"/>
        </w:rPr>
        <w:t xml:space="preserve">nine </w:t>
      </w:r>
      <w:r w:rsidR="007C14AB" w:rsidRPr="00040CDA">
        <w:rPr>
          <w:lang w:val="en-US"/>
        </w:rPr>
        <w:t>months of age</w:t>
      </w:r>
      <w:r w:rsidR="002D4194">
        <w:rPr>
          <w:lang w:val="en-US"/>
        </w:rPr>
        <w:t xml:space="preserve"> on these teeth supports </w:t>
      </w:r>
      <w:r w:rsidR="002D4194" w:rsidRPr="00040CDA">
        <w:rPr>
          <w:lang w:val="en-US"/>
        </w:rPr>
        <w:t xml:space="preserve">Soranus and Galen’s recommendations </w:t>
      </w:r>
      <w:r w:rsidR="002D4194">
        <w:rPr>
          <w:lang w:val="en-US"/>
        </w:rPr>
        <w:t>that</w:t>
      </w:r>
      <w:r w:rsidR="002D4194" w:rsidRPr="00040CDA">
        <w:rPr>
          <w:lang w:val="en-US"/>
        </w:rPr>
        <w:t xml:space="preserve"> weaning beg</w:t>
      </w:r>
      <w:r w:rsidR="00207DA1">
        <w:rPr>
          <w:lang w:val="en-US"/>
        </w:rPr>
        <w:t>a</w:t>
      </w:r>
      <w:r w:rsidR="002D4194" w:rsidRPr="00040CDA">
        <w:rPr>
          <w:lang w:val="en-US"/>
        </w:rPr>
        <w:t xml:space="preserve">n </w:t>
      </w:r>
      <w:r w:rsidR="002D4194">
        <w:rPr>
          <w:lang w:val="en-US"/>
        </w:rPr>
        <w:t>around</w:t>
      </w:r>
      <w:r w:rsidR="002D4194" w:rsidRPr="00040CDA">
        <w:rPr>
          <w:lang w:val="en-US"/>
        </w:rPr>
        <w:t xml:space="preserve"> 6 months</w:t>
      </w:r>
      <w:r w:rsidR="002D4194">
        <w:rPr>
          <w:lang w:val="en-US"/>
        </w:rPr>
        <w:t xml:space="preserve"> of age</w:t>
      </w:r>
      <w:r w:rsidR="007C14AB" w:rsidRPr="00040CDA">
        <w:rPr>
          <w:lang w:val="en-US"/>
        </w:rPr>
        <w:t>.</w:t>
      </w:r>
      <w:r w:rsidRPr="00040CDA">
        <w:rPr>
          <w:lang w:val="en-US"/>
        </w:rPr>
        <w:t xml:space="preserve"> </w:t>
      </w:r>
      <w:r w:rsidR="001D0FC4" w:rsidRPr="007D15AD">
        <w:rPr>
          <w:color w:val="000000" w:themeColor="text1"/>
          <w:lang w:val="en-US"/>
        </w:rPr>
        <w:t xml:space="preserve">The offset between the weaning age determined by Prowse and colleagues (2008) </w:t>
      </w:r>
      <w:r w:rsidR="00F57265" w:rsidRPr="007D15AD">
        <w:rPr>
          <w:color w:val="000000" w:themeColor="text1"/>
          <w:lang w:val="en-US"/>
        </w:rPr>
        <w:t xml:space="preserve">and Fitzgerald et al. (2006) </w:t>
      </w:r>
      <w:r w:rsidR="00E4729E" w:rsidRPr="007D15AD">
        <w:rPr>
          <w:color w:val="000000" w:themeColor="text1"/>
          <w:lang w:val="en-US"/>
        </w:rPr>
        <w:t xml:space="preserve">may be </w:t>
      </w:r>
      <w:r w:rsidR="00F57265" w:rsidRPr="007D15AD">
        <w:rPr>
          <w:color w:val="000000" w:themeColor="text1"/>
          <w:lang w:val="en-US"/>
        </w:rPr>
        <w:t>due to</w:t>
      </w:r>
      <w:r w:rsidR="00E4729E" w:rsidRPr="007D15AD">
        <w:rPr>
          <w:color w:val="000000" w:themeColor="text1"/>
          <w:lang w:val="en-US"/>
        </w:rPr>
        <w:t xml:space="preserve"> a</w:t>
      </w:r>
      <w:r w:rsidR="00F57265" w:rsidRPr="007D15AD">
        <w:rPr>
          <w:color w:val="000000" w:themeColor="text1"/>
          <w:lang w:val="en-US"/>
        </w:rPr>
        <w:t xml:space="preserve"> delayed incorporation of dietary elements into </w:t>
      </w:r>
      <w:r w:rsidR="00E4729E" w:rsidRPr="007D15AD">
        <w:rPr>
          <w:color w:val="000000" w:themeColor="text1"/>
          <w:lang w:val="en-US"/>
        </w:rPr>
        <w:t xml:space="preserve">ribs </w:t>
      </w:r>
      <w:r w:rsidR="007D15AD" w:rsidRPr="007D15AD">
        <w:rPr>
          <w:color w:val="000000" w:themeColor="text1"/>
          <w:lang w:val="en-US"/>
        </w:rPr>
        <w:t xml:space="preserve">as a result of </w:t>
      </w:r>
      <w:r w:rsidR="00F57265" w:rsidRPr="007D15AD">
        <w:rPr>
          <w:color w:val="000000" w:themeColor="text1"/>
          <w:lang w:val="en-US"/>
        </w:rPr>
        <w:t>bone turnover rates</w:t>
      </w:r>
      <w:r w:rsidR="007D15AD" w:rsidRPr="007D15AD">
        <w:rPr>
          <w:color w:val="000000" w:themeColor="text1"/>
          <w:lang w:val="en-US"/>
        </w:rPr>
        <w:t xml:space="preserve"> as well as time-averaging due to bone remodeling. </w:t>
      </w:r>
      <w:r w:rsidR="00F57265" w:rsidRPr="007D15AD">
        <w:rPr>
          <w:color w:val="000000" w:themeColor="text1"/>
          <w:lang w:val="en-US"/>
        </w:rPr>
        <w:t xml:space="preserve"> </w:t>
      </w:r>
      <w:r w:rsidR="007D15AD" w:rsidRPr="007D15AD">
        <w:rPr>
          <w:color w:val="000000" w:themeColor="text1"/>
          <w:lang w:val="en-US"/>
        </w:rPr>
        <w:t>Mean</w:t>
      </w:r>
      <w:r w:rsidR="00F57265" w:rsidRPr="007D15AD">
        <w:rPr>
          <w:color w:val="000000" w:themeColor="text1"/>
          <w:lang w:val="en-US"/>
        </w:rPr>
        <w:t>while</w:t>
      </w:r>
      <w:r w:rsidR="007D15AD" w:rsidRPr="007D15AD">
        <w:rPr>
          <w:color w:val="000000" w:themeColor="text1"/>
          <w:lang w:val="en-US"/>
        </w:rPr>
        <w:t>,</w:t>
      </w:r>
      <w:r w:rsidR="00F57265" w:rsidRPr="007D15AD">
        <w:rPr>
          <w:color w:val="000000" w:themeColor="text1"/>
          <w:lang w:val="en-US"/>
        </w:rPr>
        <w:t xml:space="preserve"> the </w:t>
      </w:r>
      <w:r w:rsidR="007D15AD" w:rsidRPr="007D15AD">
        <w:rPr>
          <w:color w:val="000000" w:themeColor="text1"/>
          <w:lang w:val="en-US"/>
        </w:rPr>
        <w:t xml:space="preserve">weaning </w:t>
      </w:r>
      <w:r w:rsidR="00F57265" w:rsidRPr="007D15AD">
        <w:rPr>
          <w:color w:val="000000" w:themeColor="text1"/>
          <w:lang w:val="en-US"/>
        </w:rPr>
        <w:t>event</w:t>
      </w:r>
      <w:r w:rsidR="007D15AD" w:rsidRPr="007D15AD">
        <w:rPr>
          <w:color w:val="000000" w:themeColor="text1"/>
          <w:lang w:val="en-US"/>
        </w:rPr>
        <w:t xml:space="preserve"> demonstrated by the occurrence of Wilson bands may be</w:t>
      </w:r>
      <w:r w:rsidR="00E4729E" w:rsidRPr="007D15AD">
        <w:rPr>
          <w:color w:val="000000" w:themeColor="text1"/>
          <w:lang w:val="en-US"/>
        </w:rPr>
        <w:t xml:space="preserve"> more </w:t>
      </w:r>
      <w:r w:rsidR="007D15AD" w:rsidRPr="007D15AD">
        <w:rPr>
          <w:color w:val="000000" w:themeColor="text1"/>
          <w:lang w:val="en-US"/>
        </w:rPr>
        <w:t xml:space="preserve">directly </w:t>
      </w:r>
      <w:r w:rsidR="00F57265" w:rsidRPr="007D15AD">
        <w:rPr>
          <w:color w:val="000000" w:themeColor="text1"/>
          <w:lang w:val="en-US"/>
        </w:rPr>
        <w:t xml:space="preserve">recorded in teeth </w:t>
      </w:r>
      <w:r w:rsidR="00E4729E" w:rsidRPr="007D15AD">
        <w:rPr>
          <w:color w:val="000000" w:themeColor="text1"/>
          <w:lang w:val="en-US"/>
        </w:rPr>
        <w:t xml:space="preserve">as a </w:t>
      </w:r>
      <w:r w:rsidR="00F57265" w:rsidRPr="007D15AD">
        <w:rPr>
          <w:color w:val="000000" w:themeColor="text1"/>
          <w:lang w:val="en-US"/>
        </w:rPr>
        <w:t>bodily response</w:t>
      </w:r>
      <w:r w:rsidR="007D15AD" w:rsidRPr="007D15AD">
        <w:rPr>
          <w:color w:val="000000" w:themeColor="text1"/>
          <w:lang w:val="en-US"/>
        </w:rPr>
        <w:t xml:space="preserve"> to stress</w:t>
      </w:r>
      <w:r w:rsidR="00F57265" w:rsidRPr="007D15AD">
        <w:rPr>
          <w:color w:val="000000" w:themeColor="text1"/>
          <w:lang w:val="en-US"/>
        </w:rPr>
        <w:t xml:space="preserve">. </w:t>
      </w:r>
      <w:r w:rsidRPr="00040CDA">
        <w:rPr>
          <w:lang w:val="en-US"/>
        </w:rPr>
        <w:t>Still, Wilson bands are similar to other stress indicators as they are non-specific</w:t>
      </w:r>
      <w:r w:rsidR="00B06000">
        <w:rPr>
          <w:lang w:val="en-US"/>
        </w:rPr>
        <w:t xml:space="preserve"> and</w:t>
      </w:r>
      <w:r w:rsidRPr="00040CDA">
        <w:rPr>
          <w:lang w:val="en-US"/>
        </w:rPr>
        <w:t xml:space="preserve"> it is </w:t>
      </w:r>
      <w:r w:rsidR="002D4194">
        <w:rPr>
          <w:lang w:val="en-US"/>
        </w:rPr>
        <w:t>possible</w:t>
      </w:r>
      <w:r w:rsidR="002D4194" w:rsidRPr="00040CDA">
        <w:rPr>
          <w:lang w:val="en-US"/>
        </w:rPr>
        <w:t xml:space="preserve"> </w:t>
      </w:r>
      <w:r w:rsidRPr="00040CDA">
        <w:rPr>
          <w:lang w:val="en-US"/>
        </w:rPr>
        <w:t>that morbidity events other than those associated with the weaning process may be involved.</w:t>
      </w:r>
    </w:p>
    <w:p w14:paraId="72058514" w14:textId="77777777" w:rsidR="00FF0311" w:rsidRPr="00040CDA" w:rsidRDefault="00FF0311" w:rsidP="00FF0311">
      <w:pPr>
        <w:ind w:firstLine="720"/>
        <w:rPr>
          <w:lang w:val="en-US"/>
        </w:rPr>
      </w:pPr>
    </w:p>
    <w:p w14:paraId="59E67CB6" w14:textId="7098DEE6" w:rsidR="007C14AB" w:rsidRDefault="002A025A" w:rsidP="00AF6259">
      <w:pPr>
        <w:spacing w:line="480" w:lineRule="auto"/>
        <w:ind w:firstLine="720"/>
        <w:rPr>
          <w:lang w:val="en-US"/>
        </w:rPr>
      </w:pPr>
      <w:r w:rsidRPr="00040CDA">
        <w:rPr>
          <w:lang w:val="en-US"/>
        </w:rPr>
        <w:t>Rutgers et al. (2009) found that in the late Roman, early Christian Period (4</w:t>
      </w:r>
      <w:r w:rsidRPr="00040CDA">
        <w:rPr>
          <w:vertAlign w:val="superscript"/>
          <w:lang w:val="en-US"/>
        </w:rPr>
        <w:t>th</w:t>
      </w:r>
      <w:r w:rsidRPr="00040CDA">
        <w:rPr>
          <w:lang w:val="en-US"/>
        </w:rPr>
        <w:t xml:space="preserve"> – 6</w:t>
      </w:r>
      <w:r w:rsidRPr="00040CDA">
        <w:rPr>
          <w:vertAlign w:val="superscript"/>
          <w:lang w:val="en-US"/>
        </w:rPr>
        <w:t>th</w:t>
      </w:r>
      <w:r w:rsidRPr="00040CDA">
        <w:rPr>
          <w:lang w:val="en-US"/>
        </w:rPr>
        <w:t xml:space="preserve"> century CE), a community from the St. Callixtus catacombs in Rome began transitional feeding</w:t>
      </w:r>
      <w:r>
        <w:rPr>
          <w:lang w:val="en-US"/>
        </w:rPr>
        <w:t xml:space="preserve"> of children</w:t>
      </w:r>
      <w:r w:rsidRPr="00040CDA">
        <w:rPr>
          <w:lang w:val="en-US"/>
        </w:rPr>
        <w:t xml:space="preserve"> between </w:t>
      </w:r>
      <w:r w:rsidR="00BC529C">
        <w:rPr>
          <w:lang w:val="en-US"/>
        </w:rPr>
        <w:t xml:space="preserve">two </w:t>
      </w:r>
      <w:r w:rsidRPr="00040CDA">
        <w:rPr>
          <w:lang w:val="en-US"/>
        </w:rPr>
        <w:t xml:space="preserve">to </w:t>
      </w:r>
      <w:r w:rsidR="00BC529C">
        <w:rPr>
          <w:lang w:val="en-US"/>
        </w:rPr>
        <w:t>three</w:t>
      </w:r>
      <w:r w:rsidRPr="00040CDA">
        <w:rPr>
          <w:lang w:val="en-US"/>
        </w:rPr>
        <w:t xml:space="preserve"> years</w:t>
      </w:r>
      <w:r w:rsidR="008E3CE1">
        <w:rPr>
          <w:lang w:val="en-US"/>
        </w:rPr>
        <w:t xml:space="preserve"> of age</w:t>
      </w:r>
      <w:r>
        <w:rPr>
          <w:lang w:val="en-US"/>
        </w:rPr>
        <w:t>,</w:t>
      </w:r>
      <w:r w:rsidRPr="00040CDA">
        <w:rPr>
          <w:lang w:val="en-US"/>
        </w:rPr>
        <w:t xml:space="preserve"> and were completely weaned </w:t>
      </w:r>
      <w:r w:rsidR="00E42BDE">
        <w:rPr>
          <w:lang w:val="en-US"/>
        </w:rPr>
        <w:t xml:space="preserve">within </w:t>
      </w:r>
      <w:r w:rsidRPr="00040CDA">
        <w:rPr>
          <w:lang w:val="en-US"/>
        </w:rPr>
        <w:t>approximately 1 year.</w:t>
      </w:r>
      <w:r w:rsidR="00F57265">
        <w:rPr>
          <w:lang w:val="en-US"/>
        </w:rPr>
        <w:t xml:space="preserve"> They conducted stable isotope analysis on twenty-two samples of human bone (femur and foot phalanx) from the Liberian region.</w:t>
      </w:r>
      <w:r w:rsidR="00AD6955">
        <w:rPr>
          <w:lang w:val="en-US"/>
        </w:rPr>
        <w:t xml:space="preserve"> </w:t>
      </w:r>
      <w:r w:rsidR="003B5B7F" w:rsidRPr="00040CDA">
        <w:rPr>
          <w:lang w:val="en-US"/>
        </w:rPr>
        <w:t xml:space="preserve">Another </w:t>
      </w:r>
      <w:r w:rsidR="00AD6955">
        <w:rPr>
          <w:lang w:val="en-US"/>
        </w:rPr>
        <w:t>stable isotope analytical study</w:t>
      </w:r>
      <w:r w:rsidR="007C14AB" w:rsidRPr="00040CDA">
        <w:rPr>
          <w:lang w:val="en-US"/>
        </w:rPr>
        <w:t xml:space="preserve"> conducted by </w:t>
      </w:r>
      <w:r w:rsidR="007C14AB" w:rsidRPr="00040CDA">
        <w:rPr>
          <w:color w:val="000000" w:themeColor="text1"/>
          <w:lang w:val="en-US"/>
        </w:rPr>
        <w:t>Semchuk (2016)</w:t>
      </w:r>
      <w:r w:rsidR="003B5B7F" w:rsidRPr="00040CDA">
        <w:rPr>
          <w:color w:val="000000" w:themeColor="text1"/>
          <w:lang w:val="en-US"/>
        </w:rPr>
        <w:t xml:space="preserve"> </w:t>
      </w:r>
      <w:r w:rsidR="00AD6955">
        <w:rPr>
          <w:color w:val="000000" w:themeColor="text1"/>
          <w:lang w:val="en-US"/>
        </w:rPr>
        <w:t xml:space="preserve">using bone rib and femoral fragments for 50 individuals, </w:t>
      </w:r>
      <w:r w:rsidR="003B5B7F" w:rsidRPr="00040CDA">
        <w:rPr>
          <w:lang w:val="en-US"/>
        </w:rPr>
        <w:t xml:space="preserve">looked at overall diet at a rural Roman estate in southern </w:t>
      </w:r>
      <w:r w:rsidR="003B5B7F" w:rsidRPr="00040CDA">
        <w:rPr>
          <w:lang w:val="en-US"/>
        </w:rPr>
        <w:lastRenderedPageBreak/>
        <w:t>Italy, Vagnari (1</w:t>
      </w:r>
      <w:r w:rsidR="003B5B7F" w:rsidRPr="00040CDA">
        <w:rPr>
          <w:vertAlign w:val="superscript"/>
          <w:lang w:val="en-US"/>
        </w:rPr>
        <w:t>st</w:t>
      </w:r>
      <w:r w:rsidR="003B5B7F" w:rsidRPr="00040CDA">
        <w:rPr>
          <w:lang w:val="en-US"/>
        </w:rPr>
        <w:t xml:space="preserve"> – 4</w:t>
      </w:r>
      <w:r w:rsidR="003B5B7F" w:rsidRPr="00040CDA">
        <w:rPr>
          <w:vertAlign w:val="superscript"/>
          <w:lang w:val="en-US"/>
        </w:rPr>
        <w:t>th</w:t>
      </w:r>
      <w:r w:rsidR="003B5B7F" w:rsidRPr="00040CDA">
        <w:rPr>
          <w:lang w:val="en-US"/>
        </w:rPr>
        <w:t xml:space="preserve"> centuries CE)</w:t>
      </w:r>
      <w:r w:rsidR="007C14AB" w:rsidRPr="00040CDA">
        <w:rPr>
          <w:lang w:val="en-US"/>
        </w:rPr>
        <w:t xml:space="preserve">. </w:t>
      </w:r>
      <w:r w:rsidR="003B5B7F" w:rsidRPr="00040CDA">
        <w:rPr>
          <w:lang w:val="en-US"/>
        </w:rPr>
        <w:t>Isotope ratios of individuals from infancy to early childhood exhibited</w:t>
      </w:r>
      <w:r w:rsidR="00E4768B">
        <w:rPr>
          <w:lang w:val="en-US"/>
        </w:rPr>
        <w:t xml:space="preserve"> </w:t>
      </w:r>
      <w:r w:rsidR="003B5B7F" w:rsidRPr="00040CDA">
        <w:rPr>
          <w:lang w:val="en-US"/>
        </w:rPr>
        <w:t xml:space="preserve">weaning in progress by </w:t>
      </w:r>
      <w:r w:rsidR="00BC529C">
        <w:rPr>
          <w:lang w:val="en-US"/>
        </w:rPr>
        <w:t>three</w:t>
      </w:r>
      <w:r w:rsidR="003B5B7F" w:rsidRPr="00040CDA">
        <w:rPr>
          <w:lang w:val="en-US"/>
        </w:rPr>
        <w:t xml:space="preserve"> years of age, with its completion by </w:t>
      </w:r>
      <w:r w:rsidR="00BC529C">
        <w:rPr>
          <w:lang w:val="en-US"/>
        </w:rPr>
        <w:t>five</w:t>
      </w:r>
      <w:r w:rsidR="003B5B7F" w:rsidRPr="00040CDA">
        <w:rPr>
          <w:lang w:val="en-US"/>
        </w:rPr>
        <w:t xml:space="preserve"> years of age, at the latest. A precise estimate of when complimentary foods </w:t>
      </w:r>
      <w:r w:rsidR="0024381D">
        <w:rPr>
          <w:lang w:val="en-US"/>
        </w:rPr>
        <w:t>were</w:t>
      </w:r>
      <w:r w:rsidR="0024381D" w:rsidRPr="00040CDA">
        <w:rPr>
          <w:lang w:val="en-US"/>
        </w:rPr>
        <w:t xml:space="preserve"> </w:t>
      </w:r>
      <w:r w:rsidR="003B5B7F" w:rsidRPr="00040CDA">
        <w:rPr>
          <w:lang w:val="en-US"/>
        </w:rPr>
        <w:t>introduced and individuals were weaned off breast</w:t>
      </w:r>
      <w:r w:rsidR="002D4194">
        <w:rPr>
          <w:lang w:val="en-US"/>
        </w:rPr>
        <w:t xml:space="preserve"> </w:t>
      </w:r>
      <w:r w:rsidR="003B5B7F" w:rsidRPr="00040CDA">
        <w:rPr>
          <w:lang w:val="en-US"/>
        </w:rPr>
        <w:t>milk could not be discerned as many subadults between 0-6 years of age did not have precise age estimates (Semchuk</w:t>
      </w:r>
      <w:r w:rsidR="007C14AB" w:rsidRPr="00040CDA">
        <w:rPr>
          <w:lang w:val="en-US"/>
        </w:rPr>
        <w:t xml:space="preserve"> </w:t>
      </w:r>
      <w:r w:rsidR="003B5B7F" w:rsidRPr="00040CDA">
        <w:rPr>
          <w:lang w:val="en-US"/>
        </w:rPr>
        <w:t xml:space="preserve">2016). </w:t>
      </w:r>
    </w:p>
    <w:p w14:paraId="21CAFA50" w14:textId="77777777" w:rsidR="00FF0311" w:rsidRPr="00040CDA" w:rsidRDefault="00FF0311" w:rsidP="00FF0311">
      <w:pPr>
        <w:ind w:firstLine="720"/>
        <w:rPr>
          <w:lang w:val="en-US"/>
        </w:rPr>
      </w:pPr>
    </w:p>
    <w:p w14:paraId="3664527A" w14:textId="6011438B" w:rsidR="003C5586" w:rsidRDefault="003B5B7F" w:rsidP="003B5B7F">
      <w:pPr>
        <w:spacing w:line="480" w:lineRule="auto"/>
        <w:rPr>
          <w:lang w:val="en-US"/>
        </w:rPr>
      </w:pPr>
      <w:r w:rsidRPr="00040CDA">
        <w:rPr>
          <w:lang w:val="en-US"/>
        </w:rPr>
        <w:t xml:space="preserve"> </w:t>
      </w:r>
      <w:r w:rsidR="007C14AB" w:rsidRPr="00040CDA">
        <w:rPr>
          <w:lang w:val="en-US"/>
        </w:rPr>
        <w:tab/>
      </w:r>
      <w:r w:rsidRPr="00040CDA">
        <w:rPr>
          <w:lang w:val="en-US"/>
        </w:rPr>
        <w:t xml:space="preserve">Weaning practices outside of </w:t>
      </w:r>
      <w:r w:rsidR="0024381D">
        <w:rPr>
          <w:lang w:val="en-US"/>
        </w:rPr>
        <w:t xml:space="preserve">Roman </w:t>
      </w:r>
      <w:r w:rsidRPr="00040CDA">
        <w:rPr>
          <w:lang w:val="en-US"/>
        </w:rPr>
        <w:t xml:space="preserve">Italy have also been </w:t>
      </w:r>
      <w:r w:rsidR="0024381D">
        <w:rPr>
          <w:lang w:val="en-US"/>
        </w:rPr>
        <w:t>investigated</w:t>
      </w:r>
      <w:r w:rsidRPr="00040CDA">
        <w:rPr>
          <w:lang w:val="en-US"/>
        </w:rPr>
        <w:t xml:space="preserve">. Dupras and colleagues (2001) conducted stable carbon and nitrogen analysis to </w:t>
      </w:r>
      <w:r w:rsidR="003C5586" w:rsidRPr="00040CDA">
        <w:rPr>
          <w:lang w:val="en-US"/>
        </w:rPr>
        <w:t>investigate</w:t>
      </w:r>
      <w:r w:rsidRPr="00040CDA">
        <w:rPr>
          <w:lang w:val="en-US"/>
        </w:rPr>
        <w:t xml:space="preserve"> infant feeding and weaning practices of individuals from </w:t>
      </w:r>
      <w:r w:rsidR="003C5586" w:rsidRPr="00040CDA">
        <w:rPr>
          <w:lang w:val="en-US"/>
        </w:rPr>
        <w:t>the</w:t>
      </w:r>
      <w:r w:rsidRPr="00040CDA">
        <w:rPr>
          <w:lang w:val="en-US"/>
        </w:rPr>
        <w:t xml:space="preserve"> Romano-Christian cemetery (250 </w:t>
      </w:r>
      <w:r w:rsidR="003C5586" w:rsidRPr="00040CDA">
        <w:rPr>
          <w:lang w:val="en-US"/>
        </w:rPr>
        <w:t>CE</w:t>
      </w:r>
      <w:r w:rsidRPr="00040CDA">
        <w:rPr>
          <w:lang w:val="en-US"/>
        </w:rPr>
        <w:t xml:space="preserve">) in </w:t>
      </w:r>
      <w:r w:rsidR="0024381D">
        <w:rPr>
          <w:lang w:val="en-US"/>
        </w:rPr>
        <w:t xml:space="preserve">the </w:t>
      </w:r>
      <w:r w:rsidRPr="00040CDA">
        <w:rPr>
          <w:lang w:val="en-US"/>
        </w:rPr>
        <w:t>Dakhleh Oasis, Egypt. After 30 BCE, Egypt was introduced to Roman ideas and practices surrounding IYCF</w:t>
      </w:r>
      <w:r w:rsidR="003C5586" w:rsidRPr="00040CDA">
        <w:rPr>
          <w:lang w:val="en-US"/>
        </w:rPr>
        <w:t>. However,</w:t>
      </w:r>
      <w:r w:rsidRPr="00040CDA">
        <w:rPr>
          <w:lang w:val="en-US"/>
        </w:rPr>
        <w:t xml:space="preserve"> as </w:t>
      </w:r>
      <w:r w:rsidR="0024381D">
        <w:rPr>
          <w:lang w:val="en-US"/>
        </w:rPr>
        <w:t xml:space="preserve">the </w:t>
      </w:r>
      <w:r w:rsidRPr="00040CDA">
        <w:rPr>
          <w:lang w:val="en-US"/>
        </w:rPr>
        <w:t xml:space="preserve">Dakhleh Oasis was at </w:t>
      </w:r>
      <w:r w:rsidR="0024381D">
        <w:rPr>
          <w:lang w:val="en-US"/>
        </w:rPr>
        <w:t xml:space="preserve">the </w:t>
      </w:r>
      <w:r w:rsidRPr="00040CDA">
        <w:rPr>
          <w:lang w:val="en-US"/>
        </w:rPr>
        <w:t xml:space="preserve">far reaches of the Roman Empire, prior to </w:t>
      </w:r>
      <w:r w:rsidR="003C5586" w:rsidRPr="00040CDA">
        <w:rPr>
          <w:lang w:val="en-US"/>
        </w:rPr>
        <w:t>the</w:t>
      </w:r>
      <w:r w:rsidRPr="00040CDA">
        <w:rPr>
          <w:lang w:val="en-US"/>
        </w:rPr>
        <w:t xml:space="preserve"> study by Dupras and colleagues (2001) it was not clear to what extent early Egyptians </w:t>
      </w:r>
      <w:r w:rsidR="0024381D">
        <w:rPr>
          <w:lang w:val="en-US"/>
        </w:rPr>
        <w:t>adopted</w:t>
      </w:r>
      <w:r w:rsidR="0024381D" w:rsidRPr="00040CDA">
        <w:rPr>
          <w:lang w:val="en-US"/>
        </w:rPr>
        <w:t xml:space="preserve"> </w:t>
      </w:r>
      <w:r w:rsidR="003C5586" w:rsidRPr="00040CDA">
        <w:rPr>
          <w:lang w:val="en-US"/>
        </w:rPr>
        <w:t>Roman</w:t>
      </w:r>
      <w:r w:rsidRPr="00040CDA">
        <w:rPr>
          <w:lang w:val="en-US"/>
        </w:rPr>
        <w:t xml:space="preserve"> child-rearing</w:t>
      </w:r>
      <w:r w:rsidR="003C5586" w:rsidRPr="00040CDA">
        <w:rPr>
          <w:lang w:val="en-US"/>
        </w:rPr>
        <w:t xml:space="preserve"> practices</w:t>
      </w:r>
      <w:r w:rsidRPr="00040CDA">
        <w:rPr>
          <w:lang w:val="en-US"/>
        </w:rPr>
        <w:t xml:space="preserve">. Stable isotope analysis of </w:t>
      </w:r>
      <w:r w:rsidR="00372E0B">
        <w:rPr>
          <w:lang w:val="en-US"/>
        </w:rPr>
        <w:t>49</w:t>
      </w:r>
      <w:r w:rsidR="0024381D">
        <w:rPr>
          <w:lang w:val="en-US"/>
        </w:rPr>
        <w:t xml:space="preserve"> </w:t>
      </w:r>
      <w:r w:rsidRPr="00040CDA">
        <w:rPr>
          <w:lang w:val="en-US"/>
        </w:rPr>
        <w:t xml:space="preserve">rib and humeral samples revealed that supplementary food was introduced around the age of </w:t>
      </w:r>
      <w:r w:rsidR="00BC529C">
        <w:rPr>
          <w:lang w:val="en-US"/>
        </w:rPr>
        <w:t>six</w:t>
      </w:r>
      <w:r w:rsidRPr="00040CDA">
        <w:rPr>
          <w:lang w:val="en-US"/>
        </w:rPr>
        <w:t xml:space="preserve"> months and breastfeeding continued up until 3 years of age</w:t>
      </w:r>
      <w:r w:rsidR="00372E0B">
        <w:rPr>
          <w:lang w:val="en-US"/>
        </w:rPr>
        <w:t>.</w:t>
      </w:r>
    </w:p>
    <w:p w14:paraId="077FCA6B" w14:textId="77777777" w:rsidR="00FF0311" w:rsidRPr="00040CDA" w:rsidRDefault="00FF0311" w:rsidP="00FF0311">
      <w:pPr>
        <w:rPr>
          <w:lang w:val="en-US"/>
        </w:rPr>
      </w:pPr>
    </w:p>
    <w:p w14:paraId="6F030813" w14:textId="5A26892B" w:rsidR="00593B5F" w:rsidRDefault="0024381D" w:rsidP="00AF6259">
      <w:pPr>
        <w:spacing w:line="480" w:lineRule="auto"/>
        <w:ind w:firstLine="720"/>
        <w:rPr>
          <w:lang w:val="en-US"/>
        </w:rPr>
      </w:pPr>
      <w:r w:rsidRPr="007827FA">
        <w:rPr>
          <w:color w:val="000000" w:themeColor="text1"/>
          <w:lang w:val="en-US"/>
        </w:rPr>
        <w:t>I</w:t>
      </w:r>
      <w:r w:rsidR="003B5B7F" w:rsidRPr="007827FA">
        <w:rPr>
          <w:color w:val="000000" w:themeColor="text1"/>
          <w:lang w:val="en-US"/>
        </w:rPr>
        <w:t xml:space="preserve">sotopic studies of </w:t>
      </w:r>
      <w:r w:rsidR="00AB2901" w:rsidRPr="007827FA">
        <w:rPr>
          <w:color w:val="000000" w:themeColor="text1"/>
          <w:lang w:val="en-US"/>
        </w:rPr>
        <w:t xml:space="preserve">bone </w:t>
      </w:r>
      <w:r w:rsidR="003B5B7F" w:rsidRPr="007827FA">
        <w:rPr>
          <w:color w:val="000000" w:themeColor="text1"/>
          <w:lang w:val="en-US"/>
        </w:rPr>
        <w:t>samples from a Roman era Queenford Farm in Britain (late 4</w:t>
      </w:r>
      <w:r w:rsidR="003B5B7F" w:rsidRPr="007827FA">
        <w:rPr>
          <w:color w:val="000000" w:themeColor="text1"/>
          <w:vertAlign w:val="superscript"/>
          <w:lang w:val="en-US"/>
        </w:rPr>
        <w:t>th</w:t>
      </w:r>
      <w:r w:rsidR="003B5B7F" w:rsidRPr="007827FA">
        <w:rPr>
          <w:color w:val="000000" w:themeColor="text1"/>
          <w:lang w:val="en-US"/>
        </w:rPr>
        <w:t xml:space="preserve"> – mid 6</w:t>
      </w:r>
      <w:r w:rsidR="003B5B7F" w:rsidRPr="007827FA">
        <w:rPr>
          <w:color w:val="000000" w:themeColor="text1"/>
          <w:vertAlign w:val="superscript"/>
          <w:lang w:val="en-US"/>
        </w:rPr>
        <w:t>th</w:t>
      </w:r>
      <w:r w:rsidR="003B5B7F" w:rsidRPr="007827FA">
        <w:rPr>
          <w:color w:val="000000" w:themeColor="text1"/>
          <w:lang w:val="en-US"/>
        </w:rPr>
        <w:t xml:space="preserve"> centuries </w:t>
      </w:r>
      <w:r w:rsidR="003C5586" w:rsidRPr="007827FA">
        <w:rPr>
          <w:color w:val="000000" w:themeColor="text1"/>
          <w:lang w:val="en-US"/>
        </w:rPr>
        <w:t>CE</w:t>
      </w:r>
      <w:r w:rsidR="003B5B7F" w:rsidRPr="007827FA">
        <w:rPr>
          <w:color w:val="000000" w:themeColor="text1"/>
          <w:lang w:val="en-US"/>
        </w:rPr>
        <w:t xml:space="preserve">) revealed that weaning </w:t>
      </w:r>
      <w:r w:rsidR="007827FA" w:rsidRPr="007827FA">
        <w:rPr>
          <w:color w:val="000000" w:themeColor="text1"/>
          <w:lang w:val="en-US"/>
        </w:rPr>
        <w:t xml:space="preserve">completion </w:t>
      </w:r>
      <w:r w:rsidR="003B5B7F" w:rsidRPr="007827FA">
        <w:rPr>
          <w:color w:val="000000" w:themeColor="text1"/>
          <w:lang w:val="en-US"/>
        </w:rPr>
        <w:t xml:space="preserve">was a gradual process occurring between the ages of </w:t>
      </w:r>
      <w:r w:rsidR="00BC529C" w:rsidRPr="007827FA">
        <w:rPr>
          <w:color w:val="000000" w:themeColor="text1"/>
          <w:lang w:val="en-US"/>
        </w:rPr>
        <w:t>two</w:t>
      </w:r>
      <w:r w:rsidR="003B5B7F" w:rsidRPr="007827FA">
        <w:rPr>
          <w:color w:val="000000" w:themeColor="text1"/>
          <w:lang w:val="en-US"/>
        </w:rPr>
        <w:t xml:space="preserve"> </w:t>
      </w:r>
      <w:r w:rsidR="003C5586" w:rsidRPr="007827FA">
        <w:rPr>
          <w:color w:val="000000" w:themeColor="text1"/>
          <w:lang w:val="en-US"/>
        </w:rPr>
        <w:t xml:space="preserve">to </w:t>
      </w:r>
      <w:r w:rsidR="00BC529C" w:rsidRPr="007827FA">
        <w:rPr>
          <w:color w:val="000000" w:themeColor="text1"/>
          <w:lang w:val="en-US"/>
        </w:rPr>
        <w:t>four</w:t>
      </w:r>
      <w:r w:rsidR="003B5B7F" w:rsidRPr="007827FA">
        <w:rPr>
          <w:color w:val="000000" w:themeColor="text1"/>
          <w:lang w:val="en-US"/>
        </w:rPr>
        <w:t xml:space="preserve"> years </w:t>
      </w:r>
      <w:r w:rsidR="003C5586" w:rsidRPr="007827FA">
        <w:rPr>
          <w:color w:val="000000" w:themeColor="text1"/>
          <w:lang w:val="en-US"/>
        </w:rPr>
        <w:t xml:space="preserve">of age </w:t>
      </w:r>
      <w:r w:rsidR="003B5B7F" w:rsidRPr="007827FA">
        <w:rPr>
          <w:color w:val="000000" w:themeColor="text1"/>
          <w:lang w:val="en-US"/>
        </w:rPr>
        <w:t xml:space="preserve">(Fuller et al. 2006; Nehlich et al. 2011). </w:t>
      </w:r>
      <w:r w:rsidR="006A5DBE" w:rsidRPr="00040CDA">
        <w:rPr>
          <w:lang w:val="en-US"/>
        </w:rPr>
        <w:t>Is</w:t>
      </w:r>
      <w:r w:rsidR="003B5B7F" w:rsidRPr="00040CDA">
        <w:rPr>
          <w:lang w:val="en-US"/>
        </w:rPr>
        <w:t>otopic analysis of human bone from the Roman Site of Leptiminus (</w:t>
      </w:r>
      <w:r w:rsidR="003B5B7F" w:rsidRPr="00040CDA">
        <w:rPr>
          <w:color w:val="000000" w:themeColor="text1"/>
          <w:lang w:val="en-US"/>
        </w:rPr>
        <w:t>3</w:t>
      </w:r>
      <w:r w:rsidR="003B5B7F" w:rsidRPr="00040CDA">
        <w:rPr>
          <w:color w:val="000000" w:themeColor="text1"/>
          <w:vertAlign w:val="superscript"/>
          <w:lang w:val="en-US"/>
        </w:rPr>
        <w:t>rd</w:t>
      </w:r>
      <w:r w:rsidR="003B5B7F" w:rsidRPr="00040CDA">
        <w:rPr>
          <w:color w:val="000000" w:themeColor="text1"/>
          <w:lang w:val="en-US"/>
        </w:rPr>
        <w:t xml:space="preserve"> </w:t>
      </w:r>
      <w:r w:rsidR="003C5586" w:rsidRPr="00040CDA">
        <w:rPr>
          <w:color w:val="000000" w:themeColor="text1"/>
          <w:lang w:val="en-US"/>
        </w:rPr>
        <w:t xml:space="preserve">– </w:t>
      </w:r>
      <w:r w:rsidR="003B5B7F" w:rsidRPr="00040CDA">
        <w:rPr>
          <w:color w:val="000000" w:themeColor="text1"/>
          <w:lang w:val="en-US"/>
        </w:rPr>
        <w:t>early 4</w:t>
      </w:r>
      <w:r w:rsidR="003B5B7F" w:rsidRPr="00040CDA">
        <w:rPr>
          <w:color w:val="000000" w:themeColor="text1"/>
          <w:vertAlign w:val="superscript"/>
          <w:lang w:val="en-US"/>
        </w:rPr>
        <w:t>th</w:t>
      </w:r>
      <w:r w:rsidR="003B5B7F" w:rsidRPr="00040CDA">
        <w:rPr>
          <w:color w:val="000000" w:themeColor="text1"/>
          <w:lang w:val="en-US"/>
        </w:rPr>
        <w:t xml:space="preserve"> centuries </w:t>
      </w:r>
      <w:r w:rsidR="003C5586" w:rsidRPr="00040CDA">
        <w:rPr>
          <w:color w:val="000000" w:themeColor="text1"/>
          <w:lang w:val="en-US"/>
        </w:rPr>
        <w:t>CE</w:t>
      </w:r>
      <w:r w:rsidR="003B5B7F" w:rsidRPr="00040CDA">
        <w:rPr>
          <w:lang w:val="en-US"/>
        </w:rPr>
        <w:t>), located on the eastern coast of Tunisia</w:t>
      </w:r>
      <w:r w:rsidR="003C5586" w:rsidRPr="00040CDA">
        <w:rPr>
          <w:lang w:val="en-US"/>
        </w:rPr>
        <w:t>,</w:t>
      </w:r>
      <w:r w:rsidR="003B5B7F" w:rsidRPr="00040CDA">
        <w:rPr>
          <w:lang w:val="en-US"/>
        </w:rPr>
        <w:t xml:space="preserve"> suggest</w:t>
      </w:r>
      <w:r w:rsidR="003C5586" w:rsidRPr="00040CDA">
        <w:rPr>
          <w:lang w:val="en-US"/>
        </w:rPr>
        <w:t>ed</w:t>
      </w:r>
      <w:r w:rsidR="003B5B7F" w:rsidRPr="00040CDA">
        <w:rPr>
          <w:lang w:val="en-US"/>
        </w:rPr>
        <w:t xml:space="preserve"> that weaning began before the age of </w:t>
      </w:r>
      <w:r w:rsidR="00BC529C">
        <w:rPr>
          <w:lang w:val="en-US"/>
        </w:rPr>
        <w:t>two</w:t>
      </w:r>
      <w:r w:rsidR="003B5B7F" w:rsidRPr="00040CDA">
        <w:rPr>
          <w:lang w:val="en-US"/>
        </w:rPr>
        <w:t xml:space="preserve"> years and was completed by about 3 years of age (Keenleyside et al. 2009). At two Roman-Iron Age sites on the island of Öland, Sweden (</w:t>
      </w:r>
      <w:r w:rsidR="003B5B7F" w:rsidRPr="00040CDA">
        <w:rPr>
          <w:color w:val="000000" w:themeColor="text1"/>
          <w:lang w:val="en-US"/>
        </w:rPr>
        <w:t xml:space="preserve">0-200 </w:t>
      </w:r>
      <w:r w:rsidR="003C5586" w:rsidRPr="00040CDA">
        <w:rPr>
          <w:color w:val="000000" w:themeColor="text1"/>
          <w:lang w:val="en-US"/>
        </w:rPr>
        <w:t>CE</w:t>
      </w:r>
      <w:r w:rsidR="003B5B7F" w:rsidRPr="00040CDA">
        <w:rPr>
          <w:color w:val="000000" w:themeColor="text1"/>
          <w:lang w:val="en-US"/>
        </w:rPr>
        <w:t xml:space="preserve">), </w:t>
      </w:r>
      <w:r w:rsidR="00ED549F">
        <w:rPr>
          <w:color w:val="000000" w:themeColor="text1"/>
          <w:lang w:val="en-US"/>
        </w:rPr>
        <w:t xml:space="preserve">bone </w:t>
      </w:r>
      <w:r w:rsidR="00ED549F">
        <w:rPr>
          <w:color w:val="000000" w:themeColor="text1"/>
          <w:lang w:val="en-US"/>
        </w:rPr>
        <w:lastRenderedPageBreak/>
        <w:t xml:space="preserve">collagen and dentine stable isotope analysis demonstrated that there was great variability in young child feeding practices, although </w:t>
      </w:r>
      <w:r w:rsidR="003B5B7F" w:rsidRPr="00040CDA">
        <w:rPr>
          <w:lang w:val="en-US"/>
        </w:rPr>
        <w:t>solid food was</w:t>
      </w:r>
      <w:r w:rsidR="00ED549F">
        <w:rPr>
          <w:lang w:val="en-US"/>
        </w:rPr>
        <w:t xml:space="preserve"> generally</w:t>
      </w:r>
      <w:r w:rsidR="003B5B7F" w:rsidRPr="00040CDA">
        <w:rPr>
          <w:lang w:val="en-US"/>
        </w:rPr>
        <w:t xml:space="preserve"> introduced around six months and breastfeeding cease</w:t>
      </w:r>
      <w:r>
        <w:rPr>
          <w:lang w:val="en-US"/>
        </w:rPr>
        <w:t>d</w:t>
      </w:r>
      <w:r w:rsidR="003B5B7F" w:rsidRPr="00040CDA">
        <w:rPr>
          <w:lang w:val="en-US"/>
        </w:rPr>
        <w:t xml:space="preserve"> around </w:t>
      </w:r>
      <w:r w:rsidR="00BC529C">
        <w:rPr>
          <w:lang w:val="en-US"/>
        </w:rPr>
        <w:t>three</w:t>
      </w:r>
      <w:r w:rsidR="003B5B7F" w:rsidRPr="00040CDA">
        <w:rPr>
          <w:lang w:val="en-US"/>
        </w:rPr>
        <w:t xml:space="preserve"> to </w:t>
      </w:r>
      <w:r w:rsidR="00BC529C">
        <w:rPr>
          <w:lang w:val="en-US"/>
        </w:rPr>
        <w:t>four</w:t>
      </w:r>
      <w:r w:rsidR="003B5B7F" w:rsidRPr="00040CDA">
        <w:rPr>
          <w:lang w:val="en-US"/>
        </w:rPr>
        <w:t xml:space="preserve"> years of age</w:t>
      </w:r>
      <w:r w:rsidR="00ED549F">
        <w:rPr>
          <w:lang w:val="en-US"/>
        </w:rPr>
        <w:t xml:space="preserve"> in the sample analyzed</w:t>
      </w:r>
      <w:r w:rsidR="003B5B7F" w:rsidRPr="00040CDA">
        <w:rPr>
          <w:lang w:val="en-US"/>
        </w:rPr>
        <w:t xml:space="preserve"> (Howcroft et al. 2012). </w:t>
      </w:r>
      <w:r w:rsidR="0015010C" w:rsidRPr="00040CDA">
        <w:rPr>
          <w:lang w:val="en-US"/>
        </w:rPr>
        <w:t xml:space="preserve"> </w:t>
      </w:r>
    </w:p>
    <w:p w14:paraId="2B17F76B" w14:textId="77777777" w:rsidR="00FF0311" w:rsidRDefault="00FF0311" w:rsidP="00FF0311">
      <w:pPr>
        <w:ind w:firstLine="720"/>
        <w:rPr>
          <w:lang w:val="en-US"/>
        </w:rPr>
      </w:pPr>
    </w:p>
    <w:p w14:paraId="16AC28AF" w14:textId="63A4425C" w:rsidR="009C515B" w:rsidRDefault="00593B5F" w:rsidP="007E6CE3">
      <w:pPr>
        <w:spacing w:line="480" w:lineRule="auto"/>
        <w:ind w:firstLine="720"/>
        <w:rPr>
          <w:lang w:val="en-US"/>
        </w:rPr>
      </w:pPr>
      <w:r>
        <w:rPr>
          <w:lang w:val="en-US"/>
        </w:rPr>
        <w:t>W</w:t>
      </w:r>
      <w:r w:rsidR="0015010C" w:rsidRPr="00040CDA">
        <w:rPr>
          <w:lang w:val="en-US"/>
        </w:rPr>
        <w:t>eaning</w:t>
      </w:r>
      <w:r w:rsidR="0015010C">
        <w:rPr>
          <w:lang w:val="en-US"/>
        </w:rPr>
        <w:t xml:space="preserve"> </w:t>
      </w:r>
      <w:r>
        <w:rPr>
          <w:lang w:val="en-US"/>
        </w:rPr>
        <w:t xml:space="preserve">onset </w:t>
      </w:r>
      <w:r w:rsidR="0015010C">
        <w:rPr>
          <w:lang w:val="en-US"/>
        </w:rPr>
        <w:t>in these populations</w:t>
      </w:r>
      <w:r w:rsidR="0015010C" w:rsidRPr="00040CDA">
        <w:rPr>
          <w:lang w:val="en-US"/>
        </w:rPr>
        <w:t xml:space="preserve"> </w:t>
      </w:r>
      <w:r w:rsidR="0015010C">
        <w:rPr>
          <w:lang w:val="en-US"/>
        </w:rPr>
        <w:t>ranges fro</w:t>
      </w:r>
      <w:r w:rsidR="0015010C" w:rsidRPr="006B5FBA">
        <w:rPr>
          <w:color w:val="000000" w:themeColor="text1"/>
          <w:lang w:val="en-US"/>
        </w:rPr>
        <w:t xml:space="preserve">m </w:t>
      </w:r>
      <w:r w:rsidR="00BC529C" w:rsidRPr="006B5FBA">
        <w:rPr>
          <w:color w:val="000000" w:themeColor="text1"/>
          <w:lang w:val="en-US"/>
        </w:rPr>
        <w:t>six</w:t>
      </w:r>
      <w:r w:rsidR="0015010C" w:rsidRPr="006B5FBA">
        <w:rPr>
          <w:color w:val="000000" w:themeColor="text1"/>
          <w:lang w:val="en-US"/>
        </w:rPr>
        <w:t xml:space="preserve"> months to </w:t>
      </w:r>
      <w:r w:rsidR="00BC529C" w:rsidRPr="006B5FBA">
        <w:rPr>
          <w:color w:val="000000" w:themeColor="text1"/>
          <w:lang w:val="en-US"/>
        </w:rPr>
        <w:t>three</w:t>
      </w:r>
      <w:r w:rsidR="0015010C" w:rsidRPr="006B5FBA">
        <w:rPr>
          <w:color w:val="000000" w:themeColor="text1"/>
          <w:lang w:val="en-US"/>
        </w:rPr>
        <w:t xml:space="preserve"> years and cessation of breastfeeding from </w:t>
      </w:r>
      <w:r w:rsidR="00BC529C" w:rsidRPr="006B5FBA">
        <w:rPr>
          <w:color w:val="000000" w:themeColor="text1"/>
          <w:lang w:val="en-US"/>
        </w:rPr>
        <w:t>two</w:t>
      </w:r>
      <w:r w:rsidR="0015010C" w:rsidRPr="006B5FBA">
        <w:rPr>
          <w:color w:val="000000" w:themeColor="text1"/>
          <w:lang w:val="en-US"/>
        </w:rPr>
        <w:t xml:space="preserve"> to </w:t>
      </w:r>
      <w:r w:rsidR="00BC529C" w:rsidRPr="006B5FBA">
        <w:rPr>
          <w:color w:val="000000" w:themeColor="text1"/>
          <w:lang w:val="en-US"/>
        </w:rPr>
        <w:t xml:space="preserve">four </w:t>
      </w:r>
      <w:r w:rsidR="0015010C" w:rsidRPr="006B5FBA">
        <w:rPr>
          <w:color w:val="000000" w:themeColor="text1"/>
          <w:lang w:val="en-US"/>
        </w:rPr>
        <w:t>years</w:t>
      </w:r>
      <w:r w:rsidRPr="006B5FBA">
        <w:rPr>
          <w:color w:val="000000" w:themeColor="text1"/>
          <w:lang w:val="en-US"/>
        </w:rPr>
        <w:t xml:space="preserve"> of age</w:t>
      </w:r>
      <w:r w:rsidR="0015010C" w:rsidRPr="006B5FBA">
        <w:rPr>
          <w:color w:val="000000" w:themeColor="text1"/>
          <w:lang w:val="en-US"/>
        </w:rPr>
        <w:t xml:space="preserve">. </w:t>
      </w:r>
      <w:r w:rsidR="006B5FBA" w:rsidRPr="006B5FBA">
        <w:rPr>
          <w:color w:val="000000" w:themeColor="text1"/>
          <w:lang w:val="en-US"/>
        </w:rPr>
        <w:t>D</w:t>
      </w:r>
      <w:r w:rsidR="003B5B7F" w:rsidRPr="006B5FBA">
        <w:rPr>
          <w:color w:val="000000" w:themeColor="text1"/>
          <w:lang w:val="en-US"/>
        </w:rPr>
        <w:t xml:space="preserve">espite </w:t>
      </w:r>
      <w:r w:rsidR="0015010C" w:rsidRPr="006B5FBA">
        <w:rPr>
          <w:color w:val="000000" w:themeColor="text1"/>
          <w:lang w:val="en-US"/>
        </w:rPr>
        <w:t>the variation in weaning ages demonstrated by these geographically separated populations that have their</w:t>
      </w:r>
      <w:r w:rsidR="003B5B7F" w:rsidRPr="006B5FBA">
        <w:rPr>
          <w:color w:val="000000" w:themeColor="text1"/>
          <w:lang w:val="en-US"/>
        </w:rPr>
        <w:t xml:space="preserve"> presumed local cultural differences, the majority of their stable isotope </w:t>
      </w:r>
      <w:r w:rsidR="003C5586" w:rsidRPr="006B5FBA">
        <w:rPr>
          <w:color w:val="000000" w:themeColor="text1"/>
          <w:lang w:val="en-US"/>
        </w:rPr>
        <w:t>results</w:t>
      </w:r>
      <w:r w:rsidR="003B5B7F" w:rsidRPr="006B5FBA">
        <w:rPr>
          <w:color w:val="000000" w:themeColor="text1"/>
          <w:lang w:val="en-US"/>
        </w:rPr>
        <w:t xml:space="preserve"> </w:t>
      </w:r>
      <w:r w:rsidR="003C5586" w:rsidRPr="006B5FBA">
        <w:rPr>
          <w:color w:val="000000" w:themeColor="text1"/>
          <w:lang w:val="en-US"/>
        </w:rPr>
        <w:t xml:space="preserve">indicate </w:t>
      </w:r>
      <w:r w:rsidR="003B5B7F" w:rsidRPr="006B5FBA">
        <w:rPr>
          <w:color w:val="000000" w:themeColor="text1"/>
          <w:lang w:val="en-US"/>
        </w:rPr>
        <w:t xml:space="preserve">a similar weaning </w:t>
      </w:r>
      <w:r w:rsidR="0015010C" w:rsidRPr="006B5FBA">
        <w:rPr>
          <w:color w:val="000000" w:themeColor="text1"/>
          <w:lang w:val="en-US"/>
        </w:rPr>
        <w:t xml:space="preserve">duration ranging from </w:t>
      </w:r>
      <w:r w:rsidR="00BC529C" w:rsidRPr="006B5FBA">
        <w:rPr>
          <w:color w:val="000000" w:themeColor="text1"/>
          <w:lang w:val="en-US"/>
        </w:rPr>
        <w:t>one</w:t>
      </w:r>
      <w:r w:rsidR="0015010C" w:rsidRPr="006B5FBA">
        <w:rPr>
          <w:color w:val="000000" w:themeColor="text1"/>
          <w:lang w:val="en-US"/>
        </w:rPr>
        <w:t xml:space="preserve"> to </w:t>
      </w:r>
      <w:r w:rsidR="00BC529C" w:rsidRPr="006B5FBA">
        <w:rPr>
          <w:color w:val="000000" w:themeColor="text1"/>
          <w:lang w:val="en-US"/>
        </w:rPr>
        <w:t>two</w:t>
      </w:r>
      <w:r w:rsidR="0015010C" w:rsidRPr="006B5FBA">
        <w:rPr>
          <w:color w:val="000000" w:themeColor="text1"/>
          <w:lang w:val="en-US"/>
        </w:rPr>
        <w:t xml:space="preserve"> years</w:t>
      </w:r>
      <w:r w:rsidR="006B5FBA" w:rsidRPr="006B5FBA">
        <w:rPr>
          <w:color w:val="000000" w:themeColor="text1"/>
          <w:lang w:val="en-US"/>
        </w:rPr>
        <w:t xml:space="preserve">. </w:t>
      </w:r>
      <w:r w:rsidR="0015010C" w:rsidRPr="006B5FBA">
        <w:rPr>
          <w:color w:val="000000" w:themeColor="text1"/>
          <w:lang w:val="en-US"/>
        </w:rPr>
        <w:t xml:space="preserve">This variation </w:t>
      </w:r>
      <w:r w:rsidR="0015010C">
        <w:rPr>
          <w:lang w:val="en-US"/>
        </w:rPr>
        <w:t xml:space="preserve">amongst temporally similar population groups indicates that the weaning table was quite flexible during the Roman period and may have often deviated from the prescribed feeding practices by Roman physicians.   </w:t>
      </w:r>
    </w:p>
    <w:p w14:paraId="313C4B09" w14:textId="77777777" w:rsidR="009C515B" w:rsidRDefault="009C515B" w:rsidP="007E6CE3">
      <w:pPr>
        <w:rPr>
          <w:lang w:val="en-US"/>
        </w:rPr>
      </w:pPr>
    </w:p>
    <w:p w14:paraId="54C13739" w14:textId="32EC8922" w:rsidR="003B5B7F" w:rsidRDefault="00F65EE8" w:rsidP="0018752B">
      <w:pPr>
        <w:pStyle w:val="ListParagraph"/>
        <w:numPr>
          <w:ilvl w:val="1"/>
          <w:numId w:val="0"/>
        </w:numPr>
        <w:spacing w:line="480" w:lineRule="auto"/>
        <w:rPr>
          <w:rFonts w:ascii="Times New Roman" w:hAnsi="Times New Roman" w:cs="Times New Roman"/>
          <w:b/>
        </w:rPr>
      </w:pPr>
      <w:r w:rsidRPr="008C4A6A">
        <w:rPr>
          <w:rFonts w:ascii="Times New Roman" w:hAnsi="Times New Roman" w:cs="Times New Roman"/>
          <w:b/>
        </w:rPr>
        <w:t>2.</w:t>
      </w:r>
      <w:r w:rsidR="00EE1717">
        <w:rPr>
          <w:rFonts w:ascii="Times New Roman" w:hAnsi="Times New Roman" w:cs="Times New Roman"/>
          <w:b/>
        </w:rPr>
        <w:t>6</w:t>
      </w:r>
      <w:r w:rsidRPr="008C4A6A">
        <w:rPr>
          <w:rFonts w:ascii="Times New Roman" w:hAnsi="Times New Roman" w:cs="Times New Roman"/>
          <w:b/>
        </w:rPr>
        <w:t xml:space="preserve"> </w:t>
      </w:r>
      <w:r w:rsidR="00240D4B">
        <w:rPr>
          <w:rFonts w:ascii="Times New Roman" w:hAnsi="Times New Roman" w:cs="Times New Roman"/>
          <w:b/>
        </w:rPr>
        <w:t>Summary</w:t>
      </w:r>
      <w:r w:rsidR="003B5B7F" w:rsidRPr="008C4A6A">
        <w:rPr>
          <w:rFonts w:ascii="Times New Roman" w:hAnsi="Times New Roman" w:cs="Times New Roman"/>
          <w:b/>
        </w:rPr>
        <w:t xml:space="preserve"> </w:t>
      </w:r>
    </w:p>
    <w:p w14:paraId="58805635" w14:textId="77777777" w:rsidR="00FF0311" w:rsidRPr="00FF0311" w:rsidRDefault="00FF0311" w:rsidP="00FF0311">
      <w:pPr>
        <w:pStyle w:val="ListParagraph"/>
        <w:numPr>
          <w:ilvl w:val="1"/>
          <w:numId w:val="0"/>
        </w:numPr>
        <w:ind w:firstLine="720"/>
        <w:rPr>
          <w:rFonts w:ascii="Times New Roman" w:hAnsi="Times New Roman" w:cs="Times New Roman"/>
          <w:b/>
        </w:rPr>
      </w:pPr>
    </w:p>
    <w:p w14:paraId="1370761A" w14:textId="2C0848C7" w:rsidR="003B5B7F" w:rsidRPr="00040CDA" w:rsidRDefault="003B5B7F" w:rsidP="00C020E0">
      <w:pPr>
        <w:spacing w:line="480" w:lineRule="auto"/>
        <w:ind w:firstLine="720"/>
        <w:rPr>
          <w:lang w:val="en-US"/>
        </w:rPr>
      </w:pPr>
      <w:r w:rsidRPr="00040CDA">
        <w:rPr>
          <w:lang w:val="en-US"/>
        </w:rPr>
        <w:t>Past research has clearly established that the length of exclusive breastfeeding and the weaning process are essential factors for the survival and health of young children. Subsequently, bioarchaeologists have looked at past populations to comprehend how these aspects influence child mortality and shape childhood experience. Studies have shown that during the Roman and pre-Roman per</w:t>
      </w:r>
      <w:r w:rsidRPr="00FA206F">
        <w:rPr>
          <w:color w:val="000000" w:themeColor="text1"/>
          <w:lang w:val="en-US"/>
        </w:rPr>
        <w:t xml:space="preserve">iod, weaning </w:t>
      </w:r>
      <w:r w:rsidR="00FA206F" w:rsidRPr="00FA206F">
        <w:rPr>
          <w:color w:val="000000" w:themeColor="text1"/>
          <w:lang w:val="en-US"/>
        </w:rPr>
        <w:t xml:space="preserve">may have been quite variable but was </w:t>
      </w:r>
      <w:r w:rsidR="0062051E">
        <w:rPr>
          <w:color w:val="000000" w:themeColor="text1"/>
          <w:lang w:val="en-US"/>
        </w:rPr>
        <w:t>found by bioarcheologists</w:t>
      </w:r>
      <w:r w:rsidR="00FA206F" w:rsidRPr="00FA206F">
        <w:rPr>
          <w:color w:val="000000" w:themeColor="text1"/>
          <w:lang w:val="en-US"/>
        </w:rPr>
        <w:t xml:space="preserve"> to </w:t>
      </w:r>
      <w:r w:rsidRPr="00FA206F">
        <w:rPr>
          <w:color w:val="000000" w:themeColor="text1"/>
          <w:lang w:val="en-US"/>
        </w:rPr>
        <w:t>generally b</w:t>
      </w:r>
      <w:r w:rsidR="00FA206F" w:rsidRPr="00FA206F">
        <w:rPr>
          <w:color w:val="000000" w:themeColor="text1"/>
          <w:lang w:val="en-US"/>
        </w:rPr>
        <w:t>e</w:t>
      </w:r>
      <w:r w:rsidRPr="00FA206F">
        <w:rPr>
          <w:color w:val="000000" w:themeColor="text1"/>
          <w:lang w:val="en-US"/>
        </w:rPr>
        <w:t>g</w:t>
      </w:r>
      <w:r w:rsidR="00FA206F" w:rsidRPr="00FA206F">
        <w:rPr>
          <w:color w:val="000000" w:themeColor="text1"/>
          <w:lang w:val="en-US"/>
        </w:rPr>
        <w:t>i</w:t>
      </w:r>
      <w:r w:rsidRPr="00FA206F">
        <w:rPr>
          <w:color w:val="000000" w:themeColor="text1"/>
          <w:lang w:val="en-US"/>
        </w:rPr>
        <w:t xml:space="preserve">n at </w:t>
      </w:r>
      <w:r w:rsidR="00BC529C">
        <w:rPr>
          <w:color w:val="000000" w:themeColor="text1"/>
          <w:lang w:val="en-US"/>
        </w:rPr>
        <w:t>six</w:t>
      </w:r>
      <w:r w:rsidRPr="00FA206F">
        <w:rPr>
          <w:color w:val="000000" w:themeColor="text1"/>
          <w:lang w:val="en-US"/>
        </w:rPr>
        <w:t xml:space="preserve"> months of age and en</w:t>
      </w:r>
      <w:r w:rsidR="00FA206F" w:rsidRPr="00FA206F">
        <w:rPr>
          <w:color w:val="000000" w:themeColor="text1"/>
          <w:lang w:val="en-US"/>
        </w:rPr>
        <w:t>d</w:t>
      </w:r>
      <w:r w:rsidRPr="00FA206F">
        <w:rPr>
          <w:color w:val="000000" w:themeColor="text1"/>
          <w:lang w:val="en-US"/>
        </w:rPr>
        <w:t xml:space="preserve"> at approximately </w:t>
      </w:r>
      <w:r w:rsidR="00BC529C">
        <w:rPr>
          <w:color w:val="000000" w:themeColor="text1"/>
          <w:lang w:val="en-US"/>
        </w:rPr>
        <w:t>three</w:t>
      </w:r>
      <w:r w:rsidRPr="00FA206F">
        <w:rPr>
          <w:color w:val="000000" w:themeColor="text1"/>
          <w:lang w:val="en-US"/>
        </w:rPr>
        <w:t xml:space="preserve"> years of age. These finding align with </w:t>
      </w:r>
      <w:r w:rsidR="0062051E">
        <w:rPr>
          <w:color w:val="000000" w:themeColor="text1"/>
          <w:lang w:val="en-US"/>
        </w:rPr>
        <w:t xml:space="preserve">Roman medical writers’ prescriptions described above, and </w:t>
      </w:r>
      <w:r w:rsidRPr="00FA206F">
        <w:rPr>
          <w:color w:val="000000" w:themeColor="text1"/>
          <w:lang w:val="en-US"/>
        </w:rPr>
        <w:t xml:space="preserve">the current clinical recommendations for optimal </w:t>
      </w:r>
      <w:r w:rsidRPr="00FA206F">
        <w:rPr>
          <w:color w:val="000000" w:themeColor="text1"/>
          <w:lang w:val="en-US"/>
        </w:rPr>
        <w:lastRenderedPageBreak/>
        <w:t xml:space="preserve">infant growth and development (Sellen 2007). However, information about weaning patterns during the pre-Roman period is still scarce and most of what we know is derived from archaeological finds and research based on overall population health and dietary behaviours. </w:t>
      </w:r>
    </w:p>
    <w:p w14:paraId="5C6F889A" w14:textId="77777777" w:rsidR="003B5B7F" w:rsidRPr="00040CDA" w:rsidRDefault="003B5B7F" w:rsidP="003B5B7F">
      <w:pPr>
        <w:spacing w:line="480" w:lineRule="auto"/>
        <w:rPr>
          <w:lang w:val="en-US"/>
        </w:rPr>
      </w:pPr>
    </w:p>
    <w:p w14:paraId="431E0CF9" w14:textId="2E6E093B" w:rsidR="003B5B7F" w:rsidRPr="00040CDA" w:rsidRDefault="003B5B7F">
      <w:pPr>
        <w:rPr>
          <w:lang w:val="en-US"/>
        </w:rPr>
      </w:pPr>
    </w:p>
    <w:p w14:paraId="4E64F752" w14:textId="5D632DC2" w:rsidR="002569F5" w:rsidRDefault="002569F5">
      <w:pPr>
        <w:rPr>
          <w:lang w:val="en-US"/>
        </w:rPr>
      </w:pPr>
    </w:p>
    <w:p w14:paraId="40DF5A98" w14:textId="53A3615E" w:rsidR="009E0A85" w:rsidRDefault="009E0A85">
      <w:pPr>
        <w:rPr>
          <w:lang w:val="en-US"/>
        </w:rPr>
      </w:pPr>
    </w:p>
    <w:p w14:paraId="5F0F172B" w14:textId="355498C0" w:rsidR="00277D12" w:rsidRDefault="00277D12">
      <w:pPr>
        <w:rPr>
          <w:lang w:val="en-US"/>
        </w:rPr>
      </w:pPr>
    </w:p>
    <w:p w14:paraId="0974D379" w14:textId="61E174A3" w:rsidR="00DC7DBA" w:rsidRDefault="00DC7DBA">
      <w:pPr>
        <w:rPr>
          <w:lang w:val="en-US"/>
        </w:rPr>
      </w:pPr>
    </w:p>
    <w:p w14:paraId="21448D73" w14:textId="5DF32E65" w:rsidR="00DC7DBA" w:rsidRDefault="00DC7DBA">
      <w:pPr>
        <w:rPr>
          <w:lang w:val="en-US"/>
        </w:rPr>
      </w:pPr>
    </w:p>
    <w:p w14:paraId="5547CCAE" w14:textId="3E840FF2" w:rsidR="00DC7DBA" w:rsidRDefault="00DC7DBA">
      <w:pPr>
        <w:rPr>
          <w:lang w:val="en-US"/>
        </w:rPr>
      </w:pPr>
    </w:p>
    <w:p w14:paraId="6B647D7F" w14:textId="092F4F07" w:rsidR="00DC7DBA" w:rsidRDefault="00DC7DBA">
      <w:pPr>
        <w:rPr>
          <w:lang w:val="en-US"/>
        </w:rPr>
      </w:pPr>
    </w:p>
    <w:p w14:paraId="76F76395" w14:textId="0BB43322" w:rsidR="00DC7DBA" w:rsidRDefault="00DC7DBA">
      <w:pPr>
        <w:rPr>
          <w:lang w:val="en-US"/>
        </w:rPr>
      </w:pPr>
    </w:p>
    <w:p w14:paraId="1B1A5753" w14:textId="5C94D8ED" w:rsidR="00DC7DBA" w:rsidRDefault="00DC7DBA">
      <w:pPr>
        <w:rPr>
          <w:lang w:val="en-US"/>
        </w:rPr>
      </w:pPr>
    </w:p>
    <w:p w14:paraId="5552EAC4" w14:textId="690545E8" w:rsidR="00DC7DBA" w:rsidRDefault="00DC7DBA">
      <w:pPr>
        <w:rPr>
          <w:lang w:val="en-US"/>
        </w:rPr>
      </w:pPr>
    </w:p>
    <w:p w14:paraId="0A57B3EB" w14:textId="619E01A8" w:rsidR="00DC7DBA" w:rsidRDefault="00DC7DBA">
      <w:pPr>
        <w:rPr>
          <w:lang w:val="en-US"/>
        </w:rPr>
      </w:pPr>
    </w:p>
    <w:p w14:paraId="05B26838" w14:textId="2854EC2F" w:rsidR="00DC7DBA" w:rsidRDefault="00DC7DBA">
      <w:pPr>
        <w:rPr>
          <w:lang w:val="en-US"/>
        </w:rPr>
      </w:pPr>
    </w:p>
    <w:p w14:paraId="5CF5979F" w14:textId="54C692B7" w:rsidR="00DC7DBA" w:rsidRDefault="00DC7DBA">
      <w:pPr>
        <w:rPr>
          <w:lang w:val="en-US"/>
        </w:rPr>
      </w:pPr>
    </w:p>
    <w:p w14:paraId="60F75C28" w14:textId="0C975708" w:rsidR="00DC7DBA" w:rsidRDefault="00DC7DBA">
      <w:pPr>
        <w:rPr>
          <w:lang w:val="en-US"/>
        </w:rPr>
      </w:pPr>
    </w:p>
    <w:p w14:paraId="24F281FC" w14:textId="06715D3E" w:rsidR="00DC7DBA" w:rsidRDefault="00DC7DBA">
      <w:pPr>
        <w:rPr>
          <w:lang w:val="en-US"/>
        </w:rPr>
      </w:pPr>
    </w:p>
    <w:p w14:paraId="4612CBF2" w14:textId="5A26D423" w:rsidR="00DC7DBA" w:rsidRDefault="00DC7DBA">
      <w:pPr>
        <w:rPr>
          <w:lang w:val="en-US"/>
        </w:rPr>
      </w:pPr>
    </w:p>
    <w:p w14:paraId="1EA518A9" w14:textId="3EAFCBFC" w:rsidR="00DC7DBA" w:rsidRDefault="00DC7DBA">
      <w:pPr>
        <w:rPr>
          <w:lang w:val="en-US"/>
        </w:rPr>
      </w:pPr>
    </w:p>
    <w:p w14:paraId="79314C0C" w14:textId="733F6FD4" w:rsidR="00DC7DBA" w:rsidRDefault="00DC7DBA">
      <w:pPr>
        <w:rPr>
          <w:lang w:val="en-US"/>
        </w:rPr>
      </w:pPr>
    </w:p>
    <w:p w14:paraId="63B20170" w14:textId="3EEE1568" w:rsidR="00DC7DBA" w:rsidRDefault="00DC7DBA">
      <w:pPr>
        <w:rPr>
          <w:lang w:val="en-US"/>
        </w:rPr>
      </w:pPr>
    </w:p>
    <w:p w14:paraId="4EB809F3" w14:textId="0562A0F3" w:rsidR="00DC7DBA" w:rsidRDefault="00DC7DBA">
      <w:pPr>
        <w:rPr>
          <w:lang w:val="en-US"/>
        </w:rPr>
      </w:pPr>
    </w:p>
    <w:p w14:paraId="33C52C72" w14:textId="2E46E4A9" w:rsidR="00DC7DBA" w:rsidRDefault="00DC7DBA">
      <w:pPr>
        <w:rPr>
          <w:lang w:val="en-US"/>
        </w:rPr>
      </w:pPr>
    </w:p>
    <w:p w14:paraId="70BEF9AA" w14:textId="697CD987" w:rsidR="00DC7DBA" w:rsidRDefault="00DC7DBA">
      <w:pPr>
        <w:rPr>
          <w:lang w:val="en-US"/>
        </w:rPr>
      </w:pPr>
    </w:p>
    <w:p w14:paraId="75B20A19" w14:textId="4A3A5D2A" w:rsidR="00DC7DBA" w:rsidRDefault="00DC7DBA">
      <w:pPr>
        <w:rPr>
          <w:lang w:val="en-US"/>
        </w:rPr>
      </w:pPr>
    </w:p>
    <w:p w14:paraId="3C14E64E" w14:textId="08D41435" w:rsidR="00DC7DBA" w:rsidRDefault="00DC7DBA">
      <w:pPr>
        <w:rPr>
          <w:lang w:val="en-US"/>
        </w:rPr>
      </w:pPr>
    </w:p>
    <w:p w14:paraId="4B17EEE0" w14:textId="7033D500" w:rsidR="00DC7DBA" w:rsidRDefault="00DC7DBA">
      <w:pPr>
        <w:rPr>
          <w:lang w:val="en-US"/>
        </w:rPr>
      </w:pPr>
    </w:p>
    <w:p w14:paraId="0F7F41BC" w14:textId="20098FF5" w:rsidR="00DC7DBA" w:rsidRDefault="00DC7DBA">
      <w:pPr>
        <w:rPr>
          <w:lang w:val="en-US"/>
        </w:rPr>
      </w:pPr>
    </w:p>
    <w:p w14:paraId="29E4687F" w14:textId="3A899658" w:rsidR="00DC7DBA" w:rsidRDefault="00DC7DBA">
      <w:pPr>
        <w:rPr>
          <w:lang w:val="en-US"/>
        </w:rPr>
      </w:pPr>
    </w:p>
    <w:p w14:paraId="4B598F60" w14:textId="45DE34CF" w:rsidR="00DC7DBA" w:rsidRDefault="00DC7DBA">
      <w:pPr>
        <w:rPr>
          <w:lang w:val="en-US"/>
        </w:rPr>
      </w:pPr>
    </w:p>
    <w:p w14:paraId="789CC85B" w14:textId="31BF3F20" w:rsidR="00DC7DBA" w:rsidRDefault="00DC7DBA">
      <w:pPr>
        <w:rPr>
          <w:lang w:val="en-US"/>
        </w:rPr>
      </w:pPr>
    </w:p>
    <w:p w14:paraId="10E5700A" w14:textId="4D07F910" w:rsidR="00DC7DBA" w:rsidRDefault="00DC7DBA">
      <w:pPr>
        <w:rPr>
          <w:lang w:val="en-US"/>
        </w:rPr>
      </w:pPr>
    </w:p>
    <w:p w14:paraId="23D5FB96" w14:textId="77777777" w:rsidR="0062051E" w:rsidRDefault="0062051E">
      <w:pPr>
        <w:rPr>
          <w:lang w:val="en-US"/>
        </w:rPr>
      </w:pPr>
    </w:p>
    <w:p w14:paraId="55BA000E" w14:textId="77777777" w:rsidR="00EB11F8" w:rsidRPr="00040CDA" w:rsidRDefault="00EB11F8" w:rsidP="003B5B7F">
      <w:pPr>
        <w:spacing w:line="480" w:lineRule="auto"/>
        <w:rPr>
          <w:b/>
          <w:lang w:val="en-US"/>
        </w:rPr>
      </w:pPr>
    </w:p>
    <w:p w14:paraId="0868B7CB" w14:textId="345F9760" w:rsidR="00FF0311" w:rsidRPr="00040CDA" w:rsidRDefault="00F01C69" w:rsidP="00984CB3">
      <w:pPr>
        <w:spacing w:line="480" w:lineRule="auto"/>
        <w:jc w:val="center"/>
        <w:rPr>
          <w:b/>
          <w:lang w:val="en-US"/>
        </w:rPr>
      </w:pPr>
      <w:r w:rsidRPr="00040CDA">
        <w:rPr>
          <w:b/>
          <w:lang w:val="en-US"/>
        </w:rPr>
        <w:lastRenderedPageBreak/>
        <w:t xml:space="preserve">Chapter </w:t>
      </w:r>
      <w:r w:rsidR="00F65EE8" w:rsidRPr="00040CDA">
        <w:rPr>
          <w:b/>
          <w:lang w:val="en-US"/>
        </w:rPr>
        <w:t>3: Stable Isotope Analysis</w:t>
      </w:r>
    </w:p>
    <w:p w14:paraId="577C1CA5" w14:textId="523F134B" w:rsidR="003B5B7F" w:rsidRDefault="00E32863" w:rsidP="00FF0311">
      <w:pPr>
        <w:ind w:left="-142" w:firstLine="142"/>
        <w:rPr>
          <w:b/>
          <w:lang w:val="en-US"/>
        </w:rPr>
      </w:pPr>
      <w:r w:rsidRPr="00040CDA">
        <w:rPr>
          <w:b/>
          <w:lang w:val="en-US"/>
        </w:rPr>
        <w:t xml:space="preserve">3.1 </w:t>
      </w:r>
      <w:r w:rsidR="003B5B7F" w:rsidRPr="00040CDA">
        <w:rPr>
          <w:b/>
          <w:lang w:val="en-US"/>
        </w:rPr>
        <w:t>Introduction</w:t>
      </w:r>
    </w:p>
    <w:p w14:paraId="58D400C8" w14:textId="77777777" w:rsidR="00FF0311" w:rsidRPr="00040CDA" w:rsidRDefault="00FF0311" w:rsidP="00FF0311">
      <w:pPr>
        <w:ind w:left="-142" w:firstLine="142"/>
        <w:rPr>
          <w:b/>
          <w:lang w:val="en-US"/>
        </w:rPr>
      </w:pPr>
    </w:p>
    <w:p w14:paraId="4F63D5BC" w14:textId="3F17BEF4" w:rsidR="003B5B7F" w:rsidRPr="00040CDA" w:rsidRDefault="003B5B7F" w:rsidP="00F65EE8">
      <w:pPr>
        <w:spacing w:before="100" w:beforeAutospacing="1" w:after="100" w:afterAutospacing="1" w:line="480" w:lineRule="auto"/>
        <w:ind w:firstLine="720"/>
        <w:rPr>
          <w:lang w:val="en-US"/>
        </w:rPr>
      </w:pPr>
      <w:r w:rsidRPr="00040CDA">
        <w:rPr>
          <w:lang w:val="en-US"/>
        </w:rPr>
        <w:t xml:space="preserve">Stable isotope analysis of skeletal and dental tissues is arguably one of the most direct methods bioarchaeologists use to analyze weaning and infant feeding patterns. As stable isotope values are preserved in bodily tissues, they provide </w:t>
      </w:r>
      <w:r w:rsidR="00362174">
        <w:rPr>
          <w:lang w:val="en-US"/>
        </w:rPr>
        <w:t>evidence</w:t>
      </w:r>
      <w:r w:rsidRPr="00040CDA">
        <w:rPr>
          <w:lang w:val="en-US"/>
        </w:rPr>
        <w:t xml:space="preserve"> of long-term diet, migration</w:t>
      </w:r>
      <w:r w:rsidR="00362174">
        <w:rPr>
          <w:lang w:val="en-US"/>
        </w:rPr>
        <w:t>,</w:t>
      </w:r>
      <w:r w:rsidRPr="00040CDA">
        <w:rPr>
          <w:lang w:val="en-US"/>
        </w:rPr>
        <w:t xml:space="preserve"> and </w:t>
      </w:r>
      <w:r w:rsidR="007C7D08">
        <w:rPr>
          <w:lang w:val="en-US"/>
        </w:rPr>
        <w:t>episodes of stress o</w:t>
      </w:r>
      <w:r w:rsidRPr="00040CDA">
        <w:rPr>
          <w:lang w:val="en-US"/>
        </w:rPr>
        <w:t xml:space="preserve">ver a period of time. This chapter will provide an overview of the biogeochemical background of stable isotope analysis, the wide range of applications and the new developments that are being made within </w:t>
      </w:r>
      <w:r w:rsidR="00AE42CC" w:rsidRPr="00040CDA">
        <w:rPr>
          <w:lang w:val="en-US"/>
        </w:rPr>
        <w:t>bioarcheology</w:t>
      </w:r>
      <w:r w:rsidRPr="00040CDA">
        <w:rPr>
          <w:lang w:val="en-US"/>
        </w:rPr>
        <w:t xml:space="preserve"> </w:t>
      </w:r>
      <w:r w:rsidR="00D57B98">
        <w:rPr>
          <w:lang w:val="en-US"/>
        </w:rPr>
        <w:t>with respect to</w:t>
      </w:r>
      <w:r w:rsidR="00D57B98" w:rsidRPr="00040CDA">
        <w:rPr>
          <w:lang w:val="en-US"/>
        </w:rPr>
        <w:t xml:space="preserve"> </w:t>
      </w:r>
      <w:r w:rsidRPr="00040CDA">
        <w:rPr>
          <w:lang w:val="en-US"/>
        </w:rPr>
        <w:t xml:space="preserve">stable isotope </w:t>
      </w:r>
      <w:r w:rsidR="0076447C">
        <w:rPr>
          <w:lang w:val="en-US"/>
        </w:rPr>
        <w:t>sampling techniques</w:t>
      </w:r>
      <w:r w:rsidRPr="00040CDA">
        <w:rPr>
          <w:lang w:val="en-US"/>
        </w:rPr>
        <w:t xml:space="preserve">. Further, </w:t>
      </w:r>
      <w:r w:rsidR="00714CF0" w:rsidRPr="00040CDA">
        <w:rPr>
          <w:lang w:val="en-US"/>
        </w:rPr>
        <w:t>this chapter</w:t>
      </w:r>
      <w:r w:rsidRPr="00040CDA">
        <w:rPr>
          <w:lang w:val="en-US"/>
        </w:rPr>
        <w:t xml:space="preserve"> will </w:t>
      </w:r>
      <w:r w:rsidR="00714CF0" w:rsidRPr="00040CDA">
        <w:rPr>
          <w:lang w:val="en-US"/>
        </w:rPr>
        <w:t>highlight</w:t>
      </w:r>
      <w:r w:rsidRPr="00040CDA">
        <w:rPr>
          <w:lang w:val="en-US"/>
        </w:rPr>
        <w:t xml:space="preserve"> the benefits of using </w:t>
      </w:r>
      <w:r w:rsidR="00D57B98">
        <w:rPr>
          <w:lang w:val="en-US"/>
        </w:rPr>
        <w:t xml:space="preserve">collagen in </w:t>
      </w:r>
      <w:r w:rsidRPr="00040CDA">
        <w:rPr>
          <w:lang w:val="en-US"/>
        </w:rPr>
        <w:t>incremental tooth dentine samples</w:t>
      </w:r>
      <w:r w:rsidR="00714CF0" w:rsidRPr="00040CDA">
        <w:rPr>
          <w:lang w:val="en-US"/>
        </w:rPr>
        <w:t xml:space="preserve"> as opposed to bone for stable isotope analysis</w:t>
      </w:r>
      <w:r w:rsidRPr="00040CDA">
        <w:rPr>
          <w:lang w:val="en-US"/>
        </w:rPr>
        <w:t xml:space="preserve">. </w:t>
      </w:r>
    </w:p>
    <w:p w14:paraId="048BFAE0" w14:textId="6A84C58A" w:rsidR="003B5B7F" w:rsidRDefault="003B5B7F" w:rsidP="00FF0311">
      <w:pPr>
        <w:spacing w:line="480" w:lineRule="auto"/>
        <w:rPr>
          <w:b/>
          <w:lang w:val="en-US"/>
        </w:rPr>
      </w:pPr>
      <w:r w:rsidRPr="00040CDA">
        <w:rPr>
          <w:b/>
          <w:lang w:val="en-US"/>
        </w:rPr>
        <w:t xml:space="preserve">3.2 Biogeochemical Background </w:t>
      </w:r>
    </w:p>
    <w:p w14:paraId="029B2C15" w14:textId="77777777" w:rsidR="00AF6259" w:rsidRPr="00040CDA" w:rsidRDefault="00AF6259" w:rsidP="00AF6259">
      <w:pPr>
        <w:rPr>
          <w:b/>
          <w:lang w:val="en-US"/>
        </w:rPr>
      </w:pPr>
    </w:p>
    <w:p w14:paraId="4603D818" w14:textId="02BB6BD9" w:rsidR="003B5B7F" w:rsidRDefault="003B5B7F" w:rsidP="00FF0311">
      <w:pPr>
        <w:pStyle w:val="ListParagraph"/>
        <w:spacing w:line="480" w:lineRule="auto"/>
        <w:ind w:left="0" w:firstLine="720"/>
        <w:rPr>
          <w:rFonts w:ascii="Times New Roman" w:hAnsi="Times New Roman" w:cs="Times New Roman"/>
        </w:rPr>
      </w:pPr>
      <w:r w:rsidRPr="008C4A6A">
        <w:rPr>
          <w:rFonts w:ascii="Times New Roman" w:hAnsi="Times New Roman" w:cs="Times New Roman"/>
        </w:rPr>
        <w:t xml:space="preserve">Isotopes can be either stable or unstable, the difference being that stable isotopes do not undergo radioactive decay, while unstable isotopes decay from one isotope into another (such as </w:t>
      </w:r>
      <w:r w:rsidRPr="008C4A6A">
        <w:rPr>
          <w:rFonts w:ascii="Times New Roman" w:hAnsi="Times New Roman" w:cs="Times New Roman"/>
          <w:vertAlign w:val="superscript"/>
        </w:rPr>
        <w:t>14</w:t>
      </w:r>
      <w:r w:rsidRPr="008C4A6A">
        <w:rPr>
          <w:rFonts w:ascii="Times New Roman" w:hAnsi="Times New Roman" w:cs="Times New Roman"/>
        </w:rPr>
        <w:t xml:space="preserve">C into </w:t>
      </w:r>
      <w:r w:rsidRPr="008C4A6A">
        <w:rPr>
          <w:rFonts w:ascii="Times New Roman" w:hAnsi="Times New Roman" w:cs="Times New Roman"/>
          <w:vertAlign w:val="superscript"/>
        </w:rPr>
        <w:t xml:space="preserve">14 </w:t>
      </w:r>
      <w:r w:rsidRPr="008C4A6A">
        <w:rPr>
          <w:rFonts w:ascii="Times New Roman" w:hAnsi="Times New Roman" w:cs="Times New Roman"/>
        </w:rPr>
        <w:t xml:space="preserve">N). For the purpose of investigating past diet and mobility stable isotopes are utilized as they remain unchanged </w:t>
      </w:r>
      <w:r w:rsidR="00D57B98">
        <w:rPr>
          <w:rFonts w:ascii="Times New Roman" w:hAnsi="Times New Roman" w:cs="Times New Roman"/>
        </w:rPr>
        <w:t xml:space="preserve">after death of </w:t>
      </w:r>
      <w:r w:rsidR="00AF78C4">
        <w:rPr>
          <w:rFonts w:ascii="Times New Roman" w:hAnsi="Times New Roman" w:cs="Times New Roman"/>
        </w:rPr>
        <w:t>an</w:t>
      </w:r>
      <w:r w:rsidR="00D57B98">
        <w:rPr>
          <w:rFonts w:ascii="Times New Roman" w:hAnsi="Times New Roman" w:cs="Times New Roman"/>
        </w:rPr>
        <w:t xml:space="preserve"> organism</w:t>
      </w:r>
      <w:r w:rsidRPr="008C4A6A">
        <w:rPr>
          <w:rFonts w:ascii="Times New Roman" w:hAnsi="Times New Roman" w:cs="Times New Roman"/>
        </w:rPr>
        <w:t>.</w:t>
      </w:r>
      <w:r w:rsidR="006E38E7">
        <w:rPr>
          <w:rFonts w:ascii="Times New Roman" w:hAnsi="Times New Roman" w:cs="Times New Roman"/>
        </w:rPr>
        <w:t xml:space="preserve"> Essentially,</w:t>
      </w:r>
      <w:r w:rsidRPr="008C4A6A">
        <w:rPr>
          <w:rFonts w:ascii="Times New Roman" w:hAnsi="Times New Roman" w:cs="Times New Roman"/>
        </w:rPr>
        <w:t xml:space="preserve"> </w:t>
      </w:r>
      <w:r w:rsidR="006E38E7">
        <w:rPr>
          <w:rFonts w:ascii="Times New Roman" w:hAnsi="Times New Roman" w:cs="Times New Roman"/>
        </w:rPr>
        <w:t>i</w:t>
      </w:r>
      <w:r w:rsidRPr="008C4A6A">
        <w:rPr>
          <w:rFonts w:ascii="Times New Roman" w:hAnsi="Times New Roman" w:cs="Times New Roman"/>
        </w:rPr>
        <w:t xml:space="preserve">sotopes are atoms of the same element with the same number of protons but different number of neutrons. This difference in the number of neutrons results in varying atomic masses. For example, </w:t>
      </w:r>
      <w:r w:rsidRPr="008C4A6A">
        <w:rPr>
          <w:rFonts w:ascii="Times New Roman" w:hAnsi="Times New Roman" w:cs="Times New Roman"/>
          <w:vertAlign w:val="superscript"/>
        </w:rPr>
        <w:t>12</w:t>
      </w:r>
      <w:r w:rsidRPr="008C4A6A">
        <w:rPr>
          <w:rFonts w:ascii="Times New Roman" w:hAnsi="Times New Roman" w:cs="Times New Roman"/>
        </w:rPr>
        <w:t xml:space="preserve">C and </w:t>
      </w:r>
      <w:r w:rsidRPr="008C4A6A">
        <w:rPr>
          <w:rFonts w:ascii="Times New Roman" w:hAnsi="Times New Roman" w:cs="Times New Roman"/>
          <w:vertAlign w:val="superscript"/>
        </w:rPr>
        <w:t>13</w:t>
      </w:r>
      <w:r w:rsidRPr="008C4A6A">
        <w:rPr>
          <w:rFonts w:ascii="Times New Roman" w:hAnsi="Times New Roman" w:cs="Times New Roman"/>
        </w:rPr>
        <w:t xml:space="preserve">C are two stable isotopes of the element carbon; </w:t>
      </w:r>
      <w:r w:rsidRPr="008C4A6A">
        <w:rPr>
          <w:rFonts w:ascii="Times New Roman" w:hAnsi="Times New Roman" w:cs="Times New Roman"/>
          <w:vertAlign w:val="superscript"/>
        </w:rPr>
        <w:t>12</w:t>
      </w:r>
      <w:r w:rsidRPr="008C4A6A">
        <w:rPr>
          <w:rFonts w:ascii="Times New Roman" w:hAnsi="Times New Roman" w:cs="Times New Roman"/>
        </w:rPr>
        <w:t xml:space="preserve">C has an atomic mass of 12, while </w:t>
      </w:r>
      <w:r w:rsidRPr="008C4A6A">
        <w:rPr>
          <w:rFonts w:ascii="Times New Roman" w:hAnsi="Times New Roman" w:cs="Times New Roman"/>
          <w:vertAlign w:val="superscript"/>
        </w:rPr>
        <w:t>13</w:t>
      </w:r>
      <w:r w:rsidRPr="008C4A6A">
        <w:rPr>
          <w:rFonts w:ascii="Times New Roman" w:hAnsi="Times New Roman" w:cs="Times New Roman"/>
        </w:rPr>
        <w:t xml:space="preserve">C has an atomic mass of 13. This leads to what are termed as </w:t>
      </w:r>
      <w:r w:rsidRPr="008C4A6A">
        <w:rPr>
          <w:rFonts w:ascii="Times New Roman" w:eastAsia="Helvetica" w:hAnsi="Times New Roman" w:cs="Times New Roman"/>
        </w:rPr>
        <w:t>‘</w:t>
      </w:r>
      <w:r w:rsidRPr="008C4A6A">
        <w:rPr>
          <w:rFonts w:ascii="Times New Roman" w:hAnsi="Times New Roman" w:cs="Times New Roman"/>
        </w:rPr>
        <w:t>heavy</w:t>
      </w:r>
      <w:r w:rsidRPr="008C4A6A">
        <w:rPr>
          <w:rFonts w:ascii="Times New Roman" w:eastAsia="Helvetica" w:hAnsi="Times New Roman" w:cs="Times New Roman"/>
        </w:rPr>
        <w:t>’</w:t>
      </w:r>
      <w:r w:rsidRPr="008C4A6A">
        <w:rPr>
          <w:rFonts w:ascii="Times New Roman" w:hAnsi="Times New Roman" w:cs="Times New Roman"/>
        </w:rPr>
        <w:t xml:space="preserve"> (</w:t>
      </w:r>
      <w:r w:rsidRPr="008C4A6A">
        <w:rPr>
          <w:rFonts w:ascii="Times New Roman" w:hAnsi="Times New Roman" w:cs="Times New Roman"/>
          <w:vertAlign w:val="superscript"/>
        </w:rPr>
        <w:t>13</w:t>
      </w:r>
      <w:r w:rsidRPr="008C4A6A">
        <w:rPr>
          <w:rFonts w:ascii="Times New Roman" w:hAnsi="Times New Roman" w:cs="Times New Roman"/>
        </w:rPr>
        <w:t xml:space="preserve">C) and </w:t>
      </w:r>
      <w:r w:rsidRPr="008C4A6A">
        <w:rPr>
          <w:rFonts w:ascii="Times New Roman" w:eastAsia="Helvetica" w:hAnsi="Times New Roman" w:cs="Times New Roman"/>
        </w:rPr>
        <w:t>‘</w:t>
      </w:r>
      <w:r w:rsidRPr="008C4A6A">
        <w:rPr>
          <w:rFonts w:ascii="Times New Roman" w:hAnsi="Times New Roman" w:cs="Times New Roman"/>
        </w:rPr>
        <w:t>light</w:t>
      </w:r>
      <w:r w:rsidRPr="008C4A6A">
        <w:rPr>
          <w:rFonts w:ascii="Times New Roman" w:eastAsia="Helvetica" w:hAnsi="Times New Roman" w:cs="Times New Roman"/>
        </w:rPr>
        <w:t>’</w:t>
      </w:r>
      <w:r w:rsidRPr="008C4A6A">
        <w:rPr>
          <w:rFonts w:ascii="Times New Roman" w:hAnsi="Times New Roman" w:cs="Times New Roman"/>
        </w:rPr>
        <w:t xml:space="preserve"> (</w:t>
      </w:r>
      <w:r w:rsidRPr="008C4A6A">
        <w:rPr>
          <w:rFonts w:ascii="Times New Roman" w:hAnsi="Times New Roman" w:cs="Times New Roman"/>
          <w:vertAlign w:val="superscript"/>
        </w:rPr>
        <w:t>12</w:t>
      </w:r>
      <w:r w:rsidRPr="008C4A6A">
        <w:rPr>
          <w:rFonts w:ascii="Times New Roman" w:hAnsi="Times New Roman" w:cs="Times New Roman"/>
        </w:rPr>
        <w:t xml:space="preserve">C) isotopes, with heavy isotopes having more </w:t>
      </w:r>
      <w:r w:rsidRPr="008C4A6A">
        <w:rPr>
          <w:rFonts w:ascii="Times New Roman" w:hAnsi="Times New Roman" w:cs="Times New Roman"/>
          <w:color w:val="000000" w:themeColor="text1"/>
        </w:rPr>
        <w:lastRenderedPageBreak/>
        <w:t>neutrons (Brady</w:t>
      </w:r>
      <w:r w:rsidR="005E3342" w:rsidRPr="008C4A6A">
        <w:rPr>
          <w:rFonts w:ascii="Times New Roman" w:hAnsi="Times New Roman" w:cs="Times New Roman"/>
          <w:color w:val="000000" w:themeColor="text1"/>
        </w:rPr>
        <w:t xml:space="preserve"> </w:t>
      </w:r>
      <w:r w:rsidRPr="008C4A6A">
        <w:rPr>
          <w:rFonts w:ascii="Times New Roman" w:hAnsi="Times New Roman" w:cs="Times New Roman"/>
          <w:color w:val="000000" w:themeColor="text1"/>
        </w:rPr>
        <w:t>20</w:t>
      </w:r>
      <w:r w:rsidR="0070015D" w:rsidRPr="008C4A6A">
        <w:rPr>
          <w:rFonts w:ascii="Times New Roman" w:hAnsi="Times New Roman" w:cs="Times New Roman"/>
          <w:color w:val="000000" w:themeColor="text1"/>
        </w:rPr>
        <w:t>04</w:t>
      </w:r>
      <w:r w:rsidRPr="008C4A6A">
        <w:rPr>
          <w:rFonts w:ascii="Times New Roman" w:hAnsi="Times New Roman" w:cs="Times New Roman"/>
          <w:color w:val="000000" w:themeColor="text1"/>
        </w:rPr>
        <w:t xml:space="preserve">). </w:t>
      </w:r>
      <w:r w:rsidRPr="008C4A6A">
        <w:rPr>
          <w:rFonts w:ascii="Times New Roman" w:hAnsi="Times New Roman" w:cs="Times New Roman"/>
        </w:rPr>
        <w:t>Although these stable isotopes act similarly in chemical reactions, lighter isotopes are preferentially used in these reactions</w:t>
      </w:r>
      <w:r w:rsidR="00D57B98">
        <w:rPr>
          <w:rFonts w:ascii="Times New Roman" w:hAnsi="Times New Roman" w:cs="Times New Roman"/>
        </w:rPr>
        <w:t xml:space="preserve"> </w:t>
      </w:r>
      <w:r w:rsidR="00D57B98" w:rsidRPr="008C4A6A">
        <w:rPr>
          <w:rFonts w:ascii="Times New Roman" w:hAnsi="Times New Roman" w:cs="Times New Roman"/>
        </w:rPr>
        <w:t>due to their different atomic masses</w:t>
      </w:r>
      <w:r w:rsidRPr="008C4A6A">
        <w:rPr>
          <w:rFonts w:ascii="Times New Roman" w:hAnsi="Times New Roman" w:cs="Times New Roman"/>
        </w:rPr>
        <w:t xml:space="preserve">. A lower atomic mass means that biological systems require lesser amounts of energy to use this particular isotope. Moreover, heavier isotopes react more slowly, which leads to the separation, or fractionation, of isotopes during physical or biochemical processes (Lee-Thorp 2008). Fractionation allows for the pathways of isotopes to be traced through a series of reactions, such as the changes from isotopic ratios at the environmental baseline to their incorporation into the tissues of organisms. As a result, the relative abundances of isotopes in various ecosystems differ. These relative abundances are referred to as isotope ratios and are generally expressed in terms of </w:t>
      </w:r>
      <w:r w:rsidRPr="008C4A6A">
        <w:rPr>
          <w:rFonts w:ascii="Times New Roman" w:hAnsi="Times New Roman" w:cs="Times New Roman"/>
        </w:rPr>
        <w:sym w:font="Symbol" w:char="F064"/>
      </w:r>
      <w:r w:rsidRPr="008C4A6A">
        <w:rPr>
          <w:rFonts w:ascii="Times New Roman" w:hAnsi="Times New Roman" w:cs="Times New Roman"/>
        </w:rPr>
        <w:t xml:space="preserve"> (delta) values reported in parts per thousand (</w:t>
      </w:r>
      <w:r w:rsidRPr="008C4A6A">
        <w:rPr>
          <w:rFonts w:ascii="Times New Roman" w:eastAsia="Helvetica" w:hAnsi="Times New Roman" w:cs="Times New Roman"/>
        </w:rPr>
        <w:t>‰</w:t>
      </w:r>
      <w:r w:rsidR="00887555">
        <w:rPr>
          <w:rFonts w:ascii="Times New Roman" w:eastAsia="Helvetica" w:hAnsi="Times New Roman" w:cs="Times New Roman"/>
        </w:rPr>
        <w:t>, or per mil</w:t>
      </w:r>
      <w:r w:rsidRPr="008C4A6A">
        <w:rPr>
          <w:rFonts w:ascii="Times New Roman" w:hAnsi="Times New Roman" w:cs="Times New Roman"/>
        </w:rPr>
        <w:t>) in relation to a recognized standard:</w:t>
      </w:r>
    </w:p>
    <w:p w14:paraId="6B251236" w14:textId="1E8B9FCA" w:rsidR="00E96F60" w:rsidRPr="00E96F60" w:rsidRDefault="00E96F60" w:rsidP="00E96F60">
      <w:pPr>
        <w:spacing w:line="480" w:lineRule="auto"/>
        <w:rPr>
          <w:i/>
        </w:rPr>
      </w:pPr>
      <w:r w:rsidRPr="00E96F60">
        <w:rPr>
          <w:i/>
        </w:rPr>
        <w:t>Equation 3.1</w:t>
      </w:r>
      <w:r w:rsidR="00965216">
        <w:rPr>
          <w:i/>
        </w:rPr>
        <w:t xml:space="preserve"> - </w:t>
      </w:r>
      <w:r w:rsidRPr="00E96F60">
        <w:rPr>
          <w:i/>
        </w:rPr>
        <w:t xml:space="preserve"> Formula to calculate isotope ratios in terms of </w:t>
      </w:r>
      <w:r w:rsidRPr="00E96F60">
        <w:rPr>
          <w:i/>
        </w:rPr>
        <w:sym w:font="Symbol" w:char="F064"/>
      </w:r>
      <w:r w:rsidRPr="00E96F60">
        <w:rPr>
          <w:i/>
        </w:rPr>
        <w:t xml:space="preserve"> values. </w:t>
      </w:r>
    </w:p>
    <w:p w14:paraId="1C85F4C0" w14:textId="77777777" w:rsidR="003B5B7F" w:rsidRPr="008C4A6A" w:rsidRDefault="003B5B7F" w:rsidP="003B5B7F">
      <w:pPr>
        <w:pStyle w:val="ListParagraph"/>
        <w:spacing w:line="480" w:lineRule="auto"/>
        <w:ind w:left="0"/>
        <w:rPr>
          <w:rFonts w:ascii="Times New Roman" w:hAnsi="Times New Roman" w:cs="Times New Roman"/>
        </w:rPr>
      </w:pPr>
      <m:oMathPara>
        <m:oMath>
          <m:r>
            <m:rPr>
              <m:sty m:val="p"/>
            </m:rPr>
            <w:rPr>
              <w:rFonts w:ascii="Cambria Math" w:hAnsi="Cambria Math" w:cs="Times New Roman"/>
            </w:rPr>
            <w:sym w:font="Symbol" w:char="F064"/>
          </m:r>
          <m:r>
            <m:rPr>
              <m:sty m:val="p"/>
            </m:rPr>
            <w:rPr>
              <w:rFonts w:ascii="Cambria Math" w:hAnsi="Cambria Math" w:cs="Times New Roman"/>
            </w:rPr>
            <m:t>X</m:t>
          </m:r>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sample</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standard</m:t>
                      </m:r>
                    </m:sub>
                  </m:sSub>
                </m:den>
              </m:f>
              <m:r>
                <w:rPr>
                  <w:rFonts w:ascii="Cambria Math" w:hAnsi="Cambria Math" w:cs="Times New Roman"/>
                </w:rPr>
                <m:t>-1</m:t>
              </m:r>
            </m:e>
          </m:d>
          <m:r>
            <w:rPr>
              <w:rFonts w:ascii="Cambria Math" w:hAnsi="Cambria Math" w:cs="Times New Roman"/>
            </w:rPr>
            <m:t xml:space="preserve"> </m:t>
          </m:r>
          <m:r>
            <m:rPr>
              <m:sty m:val="p"/>
            </m:rPr>
            <w:rPr>
              <w:rFonts w:ascii="Cambria Math" w:hAnsi="Cambria Math" w:cs="Times New Roman"/>
            </w:rPr>
            <w:sym w:font="Symbol" w:char="F0B4"/>
          </m:r>
          <m:r>
            <m:rPr>
              <m:sty m:val="p"/>
            </m:rPr>
            <w:rPr>
              <w:rFonts w:ascii="Cambria Math" w:hAnsi="Cambria Math" w:cs="Times New Roman"/>
            </w:rPr>
            <m:t xml:space="preserve">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3</m:t>
              </m:r>
            </m:sup>
          </m:sSup>
        </m:oMath>
      </m:oMathPara>
    </w:p>
    <w:p w14:paraId="5A0B3008" w14:textId="77777777" w:rsidR="003B5B7F" w:rsidRPr="008C4A6A" w:rsidRDefault="003B5B7F" w:rsidP="003B5B7F">
      <w:pPr>
        <w:pStyle w:val="ListParagraph"/>
        <w:spacing w:line="480" w:lineRule="auto"/>
        <w:ind w:left="0"/>
        <w:rPr>
          <w:rFonts w:ascii="Times New Roman" w:hAnsi="Times New Roman" w:cs="Times New Roman"/>
        </w:rPr>
      </w:pPr>
    </w:p>
    <w:p w14:paraId="7A3E8B47" w14:textId="77777777" w:rsidR="003B5B7F" w:rsidRPr="008C4A6A" w:rsidRDefault="003B5B7F" w:rsidP="003B5B7F">
      <w:pPr>
        <w:pStyle w:val="ListParagraph"/>
        <w:spacing w:line="480" w:lineRule="auto"/>
        <w:ind w:left="0"/>
        <w:rPr>
          <w:rFonts w:ascii="Times New Roman" w:hAnsi="Times New Roman" w:cs="Times New Roman"/>
        </w:rPr>
      </w:pPr>
      <w:r w:rsidRPr="008C4A6A">
        <w:rPr>
          <w:rFonts w:ascii="Times New Roman" w:hAnsi="Times New Roman" w:cs="Times New Roman"/>
        </w:rPr>
        <w:t xml:space="preserve">Where X is the element (e.g., C) and R is the corresponding isotope ratio (e.g. </w:t>
      </w:r>
      <w:r w:rsidRPr="008C4A6A">
        <w:rPr>
          <w:rFonts w:ascii="Times New Roman" w:hAnsi="Times New Roman" w:cs="Times New Roman"/>
          <w:vertAlign w:val="superscript"/>
        </w:rPr>
        <w:t>13</w:t>
      </w:r>
      <w:r w:rsidRPr="008C4A6A">
        <w:rPr>
          <w:rFonts w:ascii="Times New Roman" w:hAnsi="Times New Roman" w:cs="Times New Roman"/>
        </w:rPr>
        <w:t>C/</w:t>
      </w:r>
      <w:r w:rsidRPr="008C4A6A">
        <w:rPr>
          <w:rFonts w:ascii="Times New Roman" w:hAnsi="Times New Roman" w:cs="Times New Roman"/>
          <w:vertAlign w:val="superscript"/>
        </w:rPr>
        <w:t>12</w:t>
      </w:r>
      <w:r w:rsidRPr="008C4A6A">
        <w:rPr>
          <w:rFonts w:ascii="Times New Roman" w:hAnsi="Times New Roman" w:cs="Times New Roman"/>
        </w:rPr>
        <w:t xml:space="preserve">C). </w:t>
      </w:r>
    </w:p>
    <w:p w14:paraId="4DF09359" w14:textId="2F92A641" w:rsidR="00256B10" w:rsidRPr="006B5FBA" w:rsidRDefault="003B5B7F" w:rsidP="006B5FBA">
      <w:pPr>
        <w:spacing w:before="100" w:beforeAutospacing="1" w:after="100" w:afterAutospacing="1" w:line="480" w:lineRule="auto"/>
        <w:ind w:firstLine="720"/>
        <w:rPr>
          <w:lang w:val="en-US"/>
        </w:rPr>
      </w:pPr>
      <w:r w:rsidRPr="00D277A8">
        <w:rPr>
          <w:lang w:val="en-US"/>
        </w:rPr>
        <w:t xml:space="preserve">Internationally recognized standards have been set in place when determining isotope ratios so that the comparison of δ values can be made between different laboratories. For stable carbon isotopes, Vienna PeeDee Belemnite (VPDB) </w:t>
      </w:r>
      <w:r w:rsidR="00764FC4">
        <w:rPr>
          <w:lang w:val="en-US"/>
        </w:rPr>
        <w:t xml:space="preserve">is the </w:t>
      </w:r>
      <w:r w:rsidR="00076800">
        <w:rPr>
          <w:lang w:val="en-US"/>
        </w:rPr>
        <w:t>recognized</w:t>
      </w:r>
      <w:r w:rsidRPr="00D277A8">
        <w:rPr>
          <w:lang w:val="en-US"/>
        </w:rPr>
        <w:t xml:space="preserve"> standard calibrated to the same ratio as the calcareous fossil</w:t>
      </w:r>
      <w:r w:rsidR="00076800">
        <w:rPr>
          <w:lang w:val="en-US"/>
        </w:rPr>
        <w:t xml:space="preserve"> and f</w:t>
      </w:r>
      <w:r w:rsidRPr="00D277A8">
        <w:rPr>
          <w:lang w:val="en-US"/>
        </w:rPr>
        <w:t>or stable nitrogen isotopes, atmospheric N</w:t>
      </w:r>
      <w:r w:rsidRPr="00D277A8">
        <w:rPr>
          <w:vertAlign w:val="subscript"/>
          <w:lang w:val="en-US"/>
        </w:rPr>
        <w:t xml:space="preserve">2 </w:t>
      </w:r>
      <w:r w:rsidRPr="00D277A8">
        <w:rPr>
          <w:lang w:val="en-US"/>
        </w:rPr>
        <w:t xml:space="preserve">is used as the reference sample, referred to as AIR. </w:t>
      </w:r>
    </w:p>
    <w:p w14:paraId="132269AE" w14:textId="2363FD13" w:rsidR="003B5B7F" w:rsidRDefault="003B5B7F" w:rsidP="003B5B7F">
      <w:pPr>
        <w:spacing w:line="480" w:lineRule="auto"/>
        <w:rPr>
          <w:b/>
          <w:lang w:val="en-US"/>
        </w:rPr>
      </w:pPr>
      <w:r w:rsidRPr="00D277A8">
        <w:rPr>
          <w:b/>
          <w:lang w:val="en-US"/>
        </w:rPr>
        <w:lastRenderedPageBreak/>
        <w:t>3.</w:t>
      </w:r>
      <w:r w:rsidR="00C867C6" w:rsidRPr="00D277A8">
        <w:rPr>
          <w:b/>
          <w:lang w:val="en-US"/>
        </w:rPr>
        <w:t>3</w:t>
      </w:r>
      <w:r w:rsidRPr="00D277A8">
        <w:rPr>
          <w:b/>
          <w:lang w:val="en-US"/>
        </w:rPr>
        <w:t xml:space="preserve"> Applications </w:t>
      </w:r>
    </w:p>
    <w:p w14:paraId="39F57780" w14:textId="77777777" w:rsidR="00AF6259" w:rsidRPr="00D277A8" w:rsidRDefault="00AF6259" w:rsidP="00AF6259">
      <w:pPr>
        <w:rPr>
          <w:b/>
          <w:lang w:val="en-US"/>
        </w:rPr>
      </w:pPr>
    </w:p>
    <w:p w14:paraId="7EED8270" w14:textId="594802CC" w:rsidR="00B63782" w:rsidRDefault="003B5B7F" w:rsidP="00AF6259">
      <w:pPr>
        <w:widowControl w:val="0"/>
        <w:autoSpaceDE w:val="0"/>
        <w:autoSpaceDN w:val="0"/>
        <w:adjustRightInd w:val="0"/>
        <w:spacing w:after="240" w:line="480" w:lineRule="auto"/>
        <w:ind w:firstLine="720"/>
        <w:contextualSpacing/>
        <w:rPr>
          <w:lang w:val="en-US"/>
        </w:rPr>
      </w:pPr>
      <w:r w:rsidRPr="00D277A8">
        <w:rPr>
          <w:lang w:val="en-US"/>
        </w:rPr>
        <w:t xml:space="preserve">The use of stable isotopes is based on the observation that the isotopic composition of animal tissue is a direct reflection of the isotopic composition of the food and water consumed </w:t>
      </w:r>
      <w:r w:rsidRPr="00D277A8">
        <w:rPr>
          <w:color w:val="000000" w:themeColor="text1"/>
          <w:lang w:val="en-US"/>
        </w:rPr>
        <w:t>(DeNiro &amp; Epstein 1978</w:t>
      </w:r>
      <w:r w:rsidR="005E3342" w:rsidRPr="00D277A8">
        <w:rPr>
          <w:color w:val="000000" w:themeColor="text1"/>
          <w:lang w:val="en-US"/>
        </w:rPr>
        <w:t xml:space="preserve">, </w:t>
      </w:r>
      <w:r w:rsidRPr="00D277A8">
        <w:rPr>
          <w:color w:val="000000" w:themeColor="text1"/>
          <w:lang w:val="en-US"/>
        </w:rPr>
        <w:t xml:space="preserve">1981). </w:t>
      </w:r>
      <w:r w:rsidRPr="00D277A8">
        <w:rPr>
          <w:lang w:val="en-US"/>
        </w:rPr>
        <w:t>As food is consumed, it gets broken down into its constituent elements and absorbed by the body</w:t>
      </w:r>
      <w:r w:rsidR="00E96F60">
        <w:rPr>
          <w:lang w:val="en-US"/>
        </w:rPr>
        <w:t>;</w:t>
      </w:r>
      <w:r w:rsidRPr="00D277A8">
        <w:rPr>
          <w:lang w:val="en-US"/>
        </w:rPr>
        <w:t xml:space="preserve"> </w:t>
      </w:r>
      <w:r w:rsidR="008022E1">
        <w:rPr>
          <w:lang w:val="en-US"/>
        </w:rPr>
        <w:t>e</w:t>
      </w:r>
      <w:r w:rsidRPr="00D277A8">
        <w:rPr>
          <w:lang w:val="en-US"/>
        </w:rPr>
        <w:t>ventually</w:t>
      </w:r>
      <w:r w:rsidR="008022E1">
        <w:rPr>
          <w:lang w:val="en-US"/>
        </w:rPr>
        <w:t>,</w:t>
      </w:r>
      <w:r w:rsidRPr="00D277A8">
        <w:rPr>
          <w:lang w:val="en-US"/>
        </w:rPr>
        <w:t xml:space="preserve"> these elements become incorporated into tissues such as bones and teeth.</w:t>
      </w:r>
    </w:p>
    <w:p w14:paraId="1BAFA955" w14:textId="77777777" w:rsidR="00FF0311" w:rsidRPr="00D277A8" w:rsidRDefault="00FF0311" w:rsidP="00FF0311">
      <w:pPr>
        <w:widowControl w:val="0"/>
        <w:autoSpaceDE w:val="0"/>
        <w:autoSpaceDN w:val="0"/>
        <w:adjustRightInd w:val="0"/>
        <w:spacing w:after="240"/>
        <w:ind w:firstLine="720"/>
        <w:contextualSpacing/>
        <w:rPr>
          <w:lang w:val="en-US"/>
        </w:rPr>
      </w:pPr>
    </w:p>
    <w:p w14:paraId="616D67D4" w14:textId="324F438A" w:rsidR="00B63782" w:rsidRDefault="003B5B7F" w:rsidP="00AF6259">
      <w:pPr>
        <w:widowControl w:val="0"/>
        <w:autoSpaceDE w:val="0"/>
        <w:autoSpaceDN w:val="0"/>
        <w:adjustRightInd w:val="0"/>
        <w:spacing w:after="240" w:line="480" w:lineRule="auto"/>
        <w:ind w:firstLine="720"/>
        <w:contextualSpacing/>
        <w:rPr>
          <w:color w:val="000000" w:themeColor="text1"/>
          <w:lang w:val="en-US"/>
        </w:rPr>
      </w:pPr>
      <w:r w:rsidRPr="00D277A8">
        <w:rPr>
          <w:lang w:val="en-US"/>
        </w:rPr>
        <w:t xml:space="preserve">Human bones are made of both organic and inorganic components. The organic component of the bone is </w:t>
      </w:r>
      <w:r w:rsidR="005E3342" w:rsidRPr="00D277A8">
        <w:rPr>
          <w:lang w:val="en-US"/>
        </w:rPr>
        <w:t xml:space="preserve">~ </w:t>
      </w:r>
      <w:r w:rsidRPr="00D277A8">
        <w:rPr>
          <w:lang w:val="en-US"/>
        </w:rPr>
        <w:t xml:space="preserve">90% collagen and small amounts of non-collagenous organics (White </w:t>
      </w:r>
      <w:r w:rsidR="0003536A" w:rsidRPr="00D277A8">
        <w:rPr>
          <w:lang w:val="en-US"/>
        </w:rPr>
        <w:t>&amp;</w:t>
      </w:r>
      <w:r w:rsidRPr="00D277A8">
        <w:rPr>
          <w:lang w:val="en-US"/>
        </w:rPr>
        <w:t xml:space="preserve"> Folkens 2000). Collagen extracted from bone provides both organic carbon and nitrogen</w:t>
      </w:r>
      <w:r w:rsidR="005E3342" w:rsidRPr="00D277A8">
        <w:rPr>
          <w:lang w:val="en-US"/>
        </w:rPr>
        <w:t>;</w:t>
      </w:r>
      <w:r w:rsidRPr="00D277A8">
        <w:rPr>
          <w:lang w:val="en-US"/>
        </w:rPr>
        <w:t xml:space="preserve"> 30 – 40% of</w:t>
      </w:r>
      <w:r w:rsidR="00887555">
        <w:rPr>
          <w:lang w:val="en-US"/>
        </w:rPr>
        <w:t xml:space="preserve"> modern bone’s dry weight is composed of</w:t>
      </w:r>
      <w:r w:rsidRPr="00D277A8">
        <w:rPr>
          <w:lang w:val="en-US"/>
        </w:rPr>
        <w:t xml:space="preserve"> this organic matrix, meanwhile archaeolog</w:t>
      </w:r>
      <w:r w:rsidR="00887555">
        <w:rPr>
          <w:lang w:val="en-US"/>
        </w:rPr>
        <w:t>ical</w:t>
      </w:r>
      <w:r w:rsidRPr="00D277A8">
        <w:rPr>
          <w:lang w:val="en-US"/>
        </w:rPr>
        <w:t xml:space="preserve"> samples </w:t>
      </w:r>
      <w:r w:rsidR="00887555">
        <w:rPr>
          <w:lang w:val="en-US"/>
        </w:rPr>
        <w:t>contai</w:t>
      </w:r>
      <w:r w:rsidR="00154E53">
        <w:rPr>
          <w:lang w:val="en-US"/>
        </w:rPr>
        <w:t>n</w:t>
      </w:r>
      <w:r w:rsidR="00887555" w:rsidRPr="00D277A8">
        <w:rPr>
          <w:lang w:val="en-US"/>
        </w:rPr>
        <w:t xml:space="preserve"> </w:t>
      </w:r>
      <w:r w:rsidR="00887555">
        <w:rPr>
          <w:lang w:val="en-US"/>
        </w:rPr>
        <w:t>between</w:t>
      </w:r>
      <w:r w:rsidR="00887555" w:rsidRPr="00D277A8">
        <w:rPr>
          <w:lang w:val="en-US"/>
        </w:rPr>
        <w:t xml:space="preserve"> </w:t>
      </w:r>
      <w:r w:rsidRPr="00D277A8">
        <w:rPr>
          <w:lang w:val="en-US"/>
        </w:rPr>
        <w:t>0 – 22% (</w:t>
      </w:r>
      <w:r w:rsidRPr="00D277A8">
        <w:rPr>
          <w:color w:val="000000" w:themeColor="text1"/>
          <w:lang w:val="en-US"/>
        </w:rPr>
        <w:t>Hoppe et al. 2003</w:t>
      </w:r>
      <w:r w:rsidRPr="00D277A8">
        <w:rPr>
          <w:lang w:val="en-US"/>
        </w:rPr>
        <w:t xml:space="preserve">; Schwarcz </w:t>
      </w:r>
      <w:r w:rsidR="002A36BA" w:rsidRPr="00D277A8">
        <w:rPr>
          <w:lang w:val="en-US"/>
        </w:rPr>
        <w:t>&amp;</w:t>
      </w:r>
      <w:r w:rsidRPr="00D277A8">
        <w:rPr>
          <w:lang w:val="en-US"/>
        </w:rPr>
        <w:t xml:space="preserve"> Schoeninger 2012). The inorganic component of bone is made up of mineral and hydroxyapatite (or bone carbonate), comprising the remaining 60 – 70% of a bone’s dry weight. Bone carbonate provides bioarchaeologists with inorganic carbon as well as oxygen and strontium</w:t>
      </w:r>
      <w:r w:rsidRPr="00D277A8">
        <w:rPr>
          <w:color w:val="000000" w:themeColor="text1"/>
          <w:lang w:val="en-US"/>
        </w:rPr>
        <w:t xml:space="preserve">. Carbonate is more susceptible to diagenesis in comparison to collagen </w:t>
      </w:r>
      <w:r w:rsidRPr="00D277A8">
        <w:rPr>
          <w:lang w:val="en-US"/>
        </w:rPr>
        <w:t xml:space="preserve">as </w:t>
      </w:r>
      <w:r w:rsidR="009C79CE" w:rsidRPr="00D277A8">
        <w:rPr>
          <w:lang w:val="en-US"/>
        </w:rPr>
        <w:t xml:space="preserve">sedimentary carbonates </w:t>
      </w:r>
      <w:r w:rsidRPr="00D277A8">
        <w:rPr>
          <w:lang w:val="en-US"/>
        </w:rPr>
        <w:t>from the soil leach into the bone</w:t>
      </w:r>
      <w:r w:rsidR="006718B9">
        <w:rPr>
          <w:lang w:val="en-US"/>
        </w:rPr>
        <w:t>,</w:t>
      </w:r>
      <w:r w:rsidRPr="00D277A8">
        <w:rPr>
          <w:lang w:val="en-US"/>
        </w:rPr>
        <w:t xml:space="preserve"> impacting isotope values </w:t>
      </w:r>
      <w:r w:rsidR="009C79CE" w:rsidRPr="00D277A8">
        <w:rPr>
          <w:lang w:val="en-US"/>
        </w:rPr>
        <w:t>and</w:t>
      </w:r>
      <w:r w:rsidRPr="00D277A8">
        <w:rPr>
          <w:lang w:val="en-US"/>
        </w:rPr>
        <w:t xml:space="preserve"> reflecting the isotope composition</w:t>
      </w:r>
      <w:r w:rsidR="006718B9">
        <w:rPr>
          <w:lang w:val="en-US"/>
        </w:rPr>
        <w:t xml:space="preserve"> of </w:t>
      </w:r>
      <w:r w:rsidR="006718B9" w:rsidRPr="00D277A8">
        <w:rPr>
          <w:lang w:val="en-US"/>
        </w:rPr>
        <w:t>soil</w:t>
      </w:r>
      <w:r w:rsidRPr="00D277A8">
        <w:rPr>
          <w:lang w:val="en-US"/>
        </w:rPr>
        <w:t xml:space="preserve"> rather </w:t>
      </w:r>
      <w:r w:rsidR="002A36BA" w:rsidRPr="00D277A8">
        <w:rPr>
          <w:lang w:val="en-US"/>
        </w:rPr>
        <w:t xml:space="preserve">than the </w:t>
      </w:r>
      <w:r w:rsidRPr="00D277A8">
        <w:rPr>
          <w:lang w:val="en-US"/>
        </w:rPr>
        <w:t xml:space="preserve">isotope values </w:t>
      </w:r>
      <w:r w:rsidR="00F40340">
        <w:rPr>
          <w:lang w:val="en-US"/>
        </w:rPr>
        <w:t>representing</w:t>
      </w:r>
      <w:r w:rsidR="00F40340" w:rsidRPr="00D277A8">
        <w:rPr>
          <w:lang w:val="en-US"/>
        </w:rPr>
        <w:t xml:space="preserve"> </w:t>
      </w:r>
      <w:r w:rsidRPr="00D277A8">
        <w:rPr>
          <w:lang w:val="en-US"/>
        </w:rPr>
        <w:t>huma</w:t>
      </w:r>
      <w:r w:rsidR="008D285D">
        <w:rPr>
          <w:lang w:val="en-US"/>
        </w:rPr>
        <w:t>n</w:t>
      </w:r>
      <w:r w:rsidRPr="00D277A8">
        <w:rPr>
          <w:lang w:val="en-US"/>
        </w:rPr>
        <w:t xml:space="preserve"> diet (Koch et al. 1997).</w:t>
      </w:r>
      <w:r w:rsidR="00E96F60">
        <w:rPr>
          <w:lang w:val="en-US"/>
        </w:rPr>
        <w:t xml:space="preserve"> </w:t>
      </w:r>
      <w:r w:rsidR="008D285D" w:rsidRPr="00194914">
        <w:rPr>
          <w:color w:val="000000" w:themeColor="text1"/>
          <w:lang w:val="en-US"/>
        </w:rPr>
        <w:t xml:space="preserve">Still, collagen is also susceptible to diagenesis as noted by researchers (e.g., </w:t>
      </w:r>
      <w:r w:rsidR="00194914" w:rsidRPr="00194914">
        <w:rPr>
          <w:color w:val="000000" w:themeColor="text1"/>
          <w:lang w:val="en-US"/>
        </w:rPr>
        <w:t>Budd et al. 2000) and</w:t>
      </w:r>
      <w:r w:rsidR="002A36BA" w:rsidRPr="00194914">
        <w:rPr>
          <w:color w:val="000000" w:themeColor="text1"/>
          <w:lang w:val="en-US"/>
        </w:rPr>
        <w:t xml:space="preserve"> a</w:t>
      </w:r>
      <w:r w:rsidRPr="00194914">
        <w:rPr>
          <w:color w:val="000000" w:themeColor="text1"/>
          <w:lang w:val="en-US"/>
        </w:rPr>
        <w:t>ssess</w:t>
      </w:r>
      <w:r w:rsidR="00194914" w:rsidRPr="00194914">
        <w:rPr>
          <w:color w:val="000000" w:themeColor="text1"/>
          <w:lang w:val="en-US"/>
        </w:rPr>
        <w:t>ment of</w:t>
      </w:r>
      <w:r w:rsidRPr="00194914">
        <w:rPr>
          <w:color w:val="000000" w:themeColor="text1"/>
          <w:lang w:val="en-US"/>
        </w:rPr>
        <w:t xml:space="preserve"> diagenesis is essential when carrying out stable isotope analysis and will be discussed in </w:t>
      </w:r>
      <w:r w:rsidR="003E4B12" w:rsidRPr="00194914">
        <w:rPr>
          <w:color w:val="000000" w:themeColor="text1"/>
          <w:lang w:val="en-US"/>
        </w:rPr>
        <w:t>S</w:t>
      </w:r>
      <w:r w:rsidR="008314A1" w:rsidRPr="00194914">
        <w:rPr>
          <w:color w:val="000000" w:themeColor="text1"/>
          <w:lang w:val="en-US"/>
        </w:rPr>
        <w:t>ection 5.2.</w:t>
      </w:r>
    </w:p>
    <w:p w14:paraId="3F8BC001" w14:textId="77777777" w:rsidR="00FF0311" w:rsidRPr="00AF6259" w:rsidRDefault="00FF0311" w:rsidP="00FF0311">
      <w:pPr>
        <w:widowControl w:val="0"/>
        <w:autoSpaceDE w:val="0"/>
        <w:autoSpaceDN w:val="0"/>
        <w:adjustRightInd w:val="0"/>
        <w:spacing w:after="240"/>
        <w:ind w:firstLine="720"/>
        <w:contextualSpacing/>
        <w:rPr>
          <w:color w:val="000000" w:themeColor="text1"/>
          <w:lang w:val="en-US"/>
        </w:rPr>
      </w:pPr>
    </w:p>
    <w:p w14:paraId="7E658552" w14:textId="595C51D5" w:rsidR="003B5B7F" w:rsidRPr="00D277A8" w:rsidRDefault="003B5B7F" w:rsidP="00B63782">
      <w:pPr>
        <w:widowControl w:val="0"/>
        <w:autoSpaceDE w:val="0"/>
        <w:autoSpaceDN w:val="0"/>
        <w:adjustRightInd w:val="0"/>
        <w:spacing w:after="240" w:line="480" w:lineRule="auto"/>
        <w:ind w:firstLine="720"/>
        <w:contextualSpacing/>
        <w:rPr>
          <w:color w:val="000000"/>
          <w:lang w:val="en-US"/>
        </w:rPr>
      </w:pPr>
      <w:r w:rsidRPr="00D277A8">
        <w:rPr>
          <w:lang w:val="en-US"/>
        </w:rPr>
        <w:t xml:space="preserve">By analyzing the stable isotope values conserved in human bone, bioarcheologists </w:t>
      </w:r>
      <w:r w:rsidRPr="00D277A8">
        <w:rPr>
          <w:lang w:val="en-US"/>
        </w:rPr>
        <w:lastRenderedPageBreak/>
        <w:t xml:space="preserve">can infer long term diet. More accurately, stable isotopes can be used to indicate the types of food eaten by an individual over a period of time, depending on the bone turnover rate. </w:t>
      </w:r>
      <w:r w:rsidRPr="00D277A8">
        <w:rPr>
          <w:color w:val="000000"/>
          <w:lang w:val="en-US"/>
        </w:rPr>
        <w:t>The stable isotopes of nitrogen (</w:t>
      </w:r>
      <w:r w:rsidRPr="00D277A8">
        <w:rPr>
          <w:color w:val="000000"/>
          <w:lang w:val="en-US"/>
        </w:rPr>
        <w:sym w:font="Symbol" w:char="F064"/>
      </w:r>
      <w:r w:rsidRPr="00D277A8">
        <w:rPr>
          <w:color w:val="000000"/>
          <w:position w:val="5"/>
          <w:vertAlign w:val="superscript"/>
          <w:lang w:val="en-US"/>
        </w:rPr>
        <w:t>15</w:t>
      </w:r>
      <w:r w:rsidRPr="00D277A8">
        <w:rPr>
          <w:color w:val="000000"/>
          <w:lang w:val="en-US"/>
        </w:rPr>
        <w:t>N) and carbon (</w:t>
      </w:r>
      <w:r w:rsidRPr="00D277A8">
        <w:rPr>
          <w:color w:val="000000"/>
          <w:lang w:val="en-US"/>
        </w:rPr>
        <w:sym w:font="Symbol" w:char="F064"/>
      </w:r>
      <w:r w:rsidRPr="00D277A8">
        <w:rPr>
          <w:color w:val="000000"/>
          <w:position w:val="5"/>
          <w:vertAlign w:val="superscript"/>
          <w:lang w:val="en-US"/>
        </w:rPr>
        <w:t>13</w:t>
      </w:r>
      <w:r w:rsidRPr="00D277A8">
        <w:rPr>
          <w:color w:val="000000"/>
          <w:lang w:val="en-US"/>
        </w:rPr>
        <w:t>C) are most often used in biochemical studies of breastfeeding and weaning, although oxygen (</w:t>
      </w:r>
      <w:r w:rsidRPr="00D277A8">
        <w:rPr>
          <w:color w:val="000000"/>
          <w:lang w:val="en-US"/>
        </w:rPr>
        <w:sym w:font="Symbol" w:char="F064"/>
      </w:r>
      <w:r w:rsidRPr="00D277A8">
        <w:rPr>
          <w:color w:val="000000"/>
          <w:position w:val="5"/>
          <w:vertAlign w:val="superscript"/>
          <w:lang w:val="en-US"/>
        </w:rPr>
        <w:t>18</w:t>
      </w:r>
      <w:r w:rsidRPr="00D277A8">
        <w:rPr>
          <w:color w:val="000000"/>
          <w:lang w:val="en-US"/>
        </w:rPr>
        <w:t xml:space="preserve">O) isotopes have also been employed. </w:t>
      </w:r>
    </w:p>
    <w:p w14:paraId="17B89A2C" w14:textId="77777777" w:rsidR="003B5B7F" w:rsidRPr="00D277A8" w:rsidRDefault="003B5B7F" w:rsidP="00BC529C">
      <w:pPr>
        <w:widowControl w:val="0"/>
        <w:autoSpaceDE w:val="0"/>
        <w:autoSpaceDN w:val="0"/>
        <w:adjustRightInd w:val="0"/>
        <w:spacing w:after="240"/>
        <w:contextualSpacing/>
        <w:rPr>
          <w:color w:val="000000"/>
          <w:lang w:val="en-US"/>
        </w:rPr>
      </w:pPr>
    </w:p>
    <w:p w14:paraId="1FFF4C73" w14:textId="3538E084" w:rsidR="003B5B7F" w:rsidRDefault="00AF6259" w:rsidP="00FF0311">
      <w:pPr>
        <w:rPr>
          <w:lang w:val="en-US"/>
        </w:rPr>
      </w:pPr>
      <w:r w:rsidRPr="00FF0311">
        <w:rPr>
          <w:lang w:val="en-US"/>
        </w:rPr>
        <w:t>3.3.1</w:t>
      </w:r>
      <w:r w:rsidR="003B5B7F" w:rsidRPr="00FF0311">
        <w:rPr>
          <w:lang w:val="en-US"/>
        </w:rPr>
        <w:t xml:space="preserve"> Nitrogen</w:t>
      </w:r>
    </w:p>
    <w:p w14:paraId="58D93688" w14:textId="77777777" w:rsidR="00FF0311" w:rsidRPr="00FF0311" w:rsidRDefault="00FF0311" w:rsidP="00AF6259">
      <w:pPr>
        <w:rPr>
          <w:lang w:val="en-US"/>
        </w:rPr>
      </w:pPr>
    </w:p>
    <w:p w14:paraId="20248FAD" w14:textId="33F60266" w:rsidR="003B5B7F" w:rsidRPr="00D277A8" w:rsidRDefault="00FF0311" w:rsidP="00AF6259">
      <w:pPr>
        <w:spacing w:before="100" w:beforeAutospacing="1" w:after="100" w:afterAutospacing="1" w:line="480" w:lineRule="auto"/>
        <w:ind w:firstLine="720"/>
        <w:rPr>
          <w:lang w:val="en-US"/>
        </w:rPr>
      </w:pPr>
      <w:r>
        <w:rPr>
          <w:lang w:val="en-US"/>
        </w:rPr>
        <w:t>N</w:t>
      </w:r>
      <w:r w:rsidR="003B5B7F" w:rsidRPr="00D277A8">
        <w:rPr>
          <w:lang w:val="en-US"/>
        </w:rPr>
        <w:t>itr</w:t>
      </w:r>
      <w:r w:rsidR="00AF6259">
        <w:rPr>
          <w:lang w:val="en-US"/>
        </w:rPr>
        <w:t>o</w:t>
      </w:r>
      <w:r w:rsidR="003B5B7F" w:rsidRPr="00D277A8">
        <w:rPr>
          <w:lang w:val="en-US"/>
        </w:rPr>
        <w:t xml:space="preserve">gen has two naturally occurring stable isotopes, </w:t>
      </w:r>
      <w:r w:rsidR="003B5B7F" w:rsidRPr="00D277A8">
        <w:rPr>
          <w:vertAlign w:val="superscript"/>
          <w:lang w:val="en-US"/>
        </w:rPr>
        <w:t>14</w:t>
      </w:r>
      <w:r w:rsidR="003B5B7F" w:rsidRPr="00D277A8">
        <w:rPr>
          <w:lang w:val="en-US"/>
        </w:rPr>
        <w:t xml:space="preserve">N and </w:t>
      </w:r>
      <w:r w:rsidR="003B5B7F" w:rsidRPr="00D277A8">
        <w:rPr>
          <w:vertAlign w:val="superscript"/>
          <w:lang w:val="en-US"/>
        </w:rPr>
        <w:t>15</w:t>
      </w:r>
      <w:r w:rsidR="003B5B7F" w:rsidRPr="00D277A8">
        <w:rPr>
          <w:lang w:val="en-US"/>
        </w:rPr>
        <w:t>N, the ratio (</w:t>
      </w:r>
      <w:r w:rsidR="003B5B7F" w:rsidRPr="00D277A8">
        <w:rPr>
          <w:vertAlign w:val="superscript"/>
          <w:lang w:val="en-US"/>
        </w:rPr>
        <w:t>15</w:t>
      </w:r>
      <w:r w:rsidR="003B5B7F" w:rsidRPr="00D277A8">
        <w:rPr>
          <w:lang w:val="en-US"/>
        </w:rPr>
        <w:t>N /</w:t>
      </w:r>
      <w:r w:rsidR="003B5B7F" w:rsidRPr="00D277A8">
        <w:rPr>
          <w:vertAlign w:val="superscript"/>
          <w:lang w:val="en-US"/>
        </w:rPr>
        <w:t>14</w:t>
      </w:r>
      <w:r w:rsidR="003B5B7F" w:rsidRPr="00D277A8">
        <w:rPr>
          <w:lang w:val="en-US"/>
        </w:rPr>
        <w:t xml:space="preserve">N) </w:t>
      </w:r>
      <w:r w:rsidR="00183079">
        <w:rPr>
          <w:lang w:val="en-US"/>
        </w:rPr>
        <w:t xml:space="preserve">of which </w:t>
      </w:r>
      <w:r w:rsidR="003B5B7F" w:rsidRPr="00D277A8">
        <w:rPr>
          <w:lang w:val="en-US"/>
        </w:rPr>
        <w:t>provides the bas</w:t>
      </w:r>
      <w:r w:rsidR="002A36BA" w:rsidRPr="00D277A8">
        <w:rPr>
          <w:lang w:val="en-US"/>
        </w:rPr>
        <w:t>i</w:t>
      </w:r>
      <w:r w:rsidR="003B5B7F" w:rsidRPr="00D277A8">
        <w:rPr>
          <w:lang w:val="en-US"/>
        </w:rPr>
        <w:t xml:space="preserve">s for dietary studies. Stable nitrogen isotope analysis is regularly used in studies that investigate IYCF practices in past populations (e.g. </w:t>
      </w:r>
      <w:r w:rsidR="002A36BA" w:rsidRPr="00D277A8">
        <w:rPr>
          <w:lang w:val="en-US"/>
        </w:rPr>
        <w:t xml:space="preserve">Wright &amp; Schwarcz 1999; </w:t>
      </w:r>
      <w:r w:rsidR="003B5B7F" w:rsidRPr="00D277A8">
        <w:rPr>
          <w:lang w:val="en-US"/>
        </w:rPr>
        <w:t xml:space="preserve">Fuller et al. 2006; Tsutaya &amp; Yoneda 2013). The first application of nitrogen stable isotope analysis in a breastfeeding and weaning study was conducted by Fogel and colleagues (1989). By </w:t>
      </w:r>
      <w:r w:rsidR="00F40340">
        <w:rPr>
          <w:lang w:val="en-US"/>
        </w:rPr>
        <w:t>analyzing isotope values in</w:t>
      </w:r>
      <w:r w:rsidR="00F40340" w:rsidRPr="00D277A8">
        <w:rPr>
          <w:lang w:val="en-US"/>
        </w:rPr>
        <w:t xml:space="preserve"> </w:t>
      </w:r>
      <w:r w:rsidR="003B5B7F" w:rsidRPr="00D277A8">
        <w:rPr>
          <w:lang w:val="en-US"/>
        </w:rPr>
        <w:t>fingernails from modern breastfeeding infants and mothers, the authors demonstrate</w:t>
      </w:r>
      <w:r w:rsidR="00F40340">
        <w:rPr>
          <w:lang w:val="en-US"/>
        </w:rPr>
        <w:t>d</w:t>
      </w:r>
      <w:r w:rsidR="003B5B7F" w:rsidRPr="00D277A8">
        <w:rPr>
          <w:lang w:val="en-US"/>
        </w:rPr>
        <w:t xml:space="preserve"> increased </w:t>
      </w:r>
      <w:r w:rsidR="003B5B7F" w:rsidRPr="00D277A8">
        <w:rPr>
          <w:lang w:val="en-US"/>
        </w:rPr>
        <w:sym w:font="Symbol" w:char="F064"/>
      </w:r>
      <w:r w:rsidR="003B5B7F" w:rsidRPr="00D277A8">
        <w:rPr>
          <w:vertAlign w:val="superscript"/>
          <w:lang w:val="en-US"/>
        </w:rPr>
        <w:t>15</w:t>
      </w:r>
      <w:r w:rsidR="003B5B7F" w:rsidRPr="00D277A8">
        <w:rPr>
          <w:lang w:val="en-US"/>
        </w:rPr>
        <w:t xml:space="preserve">N values for infants in comparison to their mothers while they breastfed, decreased values with the onset of weaning, and similar </w:t>
      </w:r>
      <w:r w:rsidR="00237141">
        <w:rPr>
          <w:lang w:val="en-US"/>
        </w:rPr>
        <w:t>child/subadult</w:t>
      </w:r>
      <w:r w:rsidR="00237141" w:rsidRPr="00D277A8">
        <w:rPr>
          <w:lang w:val="en-US"/>
        </w:rPr>
        <w:t xml:space="preserve"> </w:t>
      </w:r>
      <w:r w:rsidR="003B5B7F" w:rsidRPr="00D277A8">
        <w:rPr>
          <w:lang w:val="en-US"/>
        </w:rPr>
        <w:t xml:space="preserve">and mother </w:t>
      </w:r>
      <w:r w:rsidR="003B5B7F" w:rsidRPr="00D277A8">
        <w:rPr>
          <w:lang w:val="en-US"/>
        </w:rPr>
        <w:sym w:font="Symbol" w:char="F064"/>
      </w:r>
      <w:r w:rsidR="003B5B7F" w:rsidRPr="00D277A8">
        <w:rPr>
          <w:vertAlign w:val="superscript"/>
          <w:lang w:val="en-US"/>
        </w:rPr>
        <w:t>15</w:t>
      </w:r>
      <w:r w:rsidR="003B5B7F" w:rsidRPr="00D277A8">
        <w:rPr>
          <w:lang w:val="en-US"/>
        </w:rPr>
        <w:t xml:space="preserve">N values shortly after the cessation of weaning. The same study applied this method to an archaeological sample using estimated age-at-death </w:t>
      </w:r>
      <w:r w:rsidR="002A36BA" w:rsidRPr="00D277A8">
        <w:rPr>
          <w:lang w:val="en-US"/>
        </w:rPr>
        <w:t xml:space="preserve">and identified a pattern of </w:t>
      </w:r>
      <w:r w:rsidR="003B5B7F" w:rsidRPr="00D277A8">
        <w:rPr>
          <w:lang w:val="en-US"/>
        </w:rPr>
        <w:t xml:space="preserve">high </w:t>
      </w:r>
      <w:r w:rsidR="003B5B7F" w:rsidRPr="00D277A8">
        <w:rPr>
          <w:color w:val="000000"/>
          <w:lang w:val="en-US"/>
        </w:rPr>
        <w:sym w:font="Symbol" w:char="F064"/>
      </w:r>
      <w:r w:rsidR="003B5B7F" w:rsidRPr="00D277A8">
        <w:rPr>
          <w:color w:val="000000"/>
          <w:vertAlign w:val="superscript"/>
          <w:lang w:val="en-US"/>
        </w:rPr>
        <w:t>15</w:t>
      </w:r>
      <w:r w:rsidR="003B5B7F" w:rsidRPr="00D277A8">
        <w:rPr>
          <w:color w:val="000000"/>
          <w:lang w:val="en-US"/>
        </w:rPr>
        <w:t xml:space="preserve">N </w:t>
      </w:r>
      <w:r w:rsidR="009F3938">
        <w:rPr>
          <w:color w:val="000000"/>
          <w:lang w:val="en-US"/>
        </w:rPr>
        <w:t xml:space="preserve">values </w:t>
      </w:r>
      <w:r w:rsidR="003B5B7F" w:rsidRPr="00D277A8">
        <w:rPr>
          <w:color w:val="000000"/>
          <w:lang w:val="en-US"/>
        </w:rPr>
        <w:t xml:space="preserve">among individuals who they hypothesized were breastfeeding and low </w:t>
      </w:r>
      <w:r w:rsidR="003B5B7F" w:rsidRPr="00D277A8">
        <w:rPr>
          <w:color w:val="000000"/>
          <w:lang w:val="en-US"/>
        </w:rPr>
        <w:sym w:font="Symbol" w:char="F064"/>
      </w:r>
      <w:r w:rsidR="003B5B7F" w:rsidRPr="00D277A8">
        <w:rPr>
          <w:color w:val="000000"/>
          <w:vertAlign w:val="superscript"/>
          <w:lang w:val="en-US"/>
        </w:rPr>
        <w:t>15</w:t>
      </w:r>
      <w:r w:rsidR="003B5B7F" w:rsidRPr="00D277A8">
        <w:rPr>
          <w:color w:val="000000"/>
          <w:lang w:val="en-US"/>
        </w:rPr>
        <w:t>N</w:t>
      </w:r>
      <w:r w:rsidR="009F3938">
        <w:rPr>
          <w:color w:val="000000"/>
          <w:lang w:val="en-US"/>
        </w:rPr>
        <w:t xml:space="preserve"> values</w:t>
      </w:r>
      <w:r w:rsidR="003B5B7F" w:rsidRPr="00D277A8">
        <w:rPr>
          <w:color w:val="000000"/>
          <w:lang w:val="en-US"/>
        </w:rPr>
        <w:t xml:space="preserve"> among individuals who were potentially undergoing the weaning process. This study was</w:t>
      </w:r>
      <w:r w:rsidR="009F3938">
        <w:rPr>
          <w:color w:val="000000"/>
          <w:lang w:val="en-US"/>
        </w:rPr>
        <w:t xml:space="preserve"> later</w:t>
      </w:r>
      <w:r w:rsidR="003B5B7F" w:rsidRPr="00D277A8">
        <w:rPr>
          <w:color w:val="000000"/>
          <w:lang w:val="en-US"/>
        </w:rPr>
        <w:t xml:space="preserve"> confirmed by Fuller and colleagues (2006)</w:t>
      </w:r>
      <w:r w:rsidR="009F3938">
        <w:rPr>
          <w:color w:val="000000"/>
          <w:lang w:val="en-US"/>
        </w:rPr>
        <w:t>,</w:t>
      </w:r>
      <w:r w:rsidR="003B5B7F" w:rsidRPr="00D277A8">
        <w:rPr>
          <w:color w:val="000000"/>
          <w:lang w:val="en-US"/>
        </w:rPr>
        <w:t xml:space="preserve"> who also demonstrated a relationship between breastfeeding infants and maternal </w:t>
      </w:r>
      <w:r w:rsidR="003B5B7F" w:rsidRPr="00D277A8">
        <w:rPr>
          <w:lang w:val="en-US"/>
        </w:rPr>
        <w:t>δ</w:t>
      </w:r>
      <w:r w:rsidR="003B5B7F" w:rsidRPr="00D277A8">
        <w:rPr>
          <w:vertAlign w:val="superscript"/>
          <w:lang w:val="en-US"/>
        </w:rPr>
        <w:t>15</w:t>
      </w:r>
      <w:r w:rsidR="003B5B7F" w:rsidRPr="00D277A8">
        <w:rPr>
          <w:lang w:val="en-US"/>
        </w:rPr>
        <w:t xml:space="preserve">N values in a modern study group.  </w:t>
      </w:r>
    </w:p>
    <w:p w14:paraId="35A8A6A8" w14:textId="65855BAC" w:rsidR="003B5B7F" w:rsidRPr="00003A82" w:rsidRDefault="003B5B7F" w:rsidP="008209B5">
      <w:pPr>
        <w:spacing w:line="480" w:lineRule="auto"/>
        <w:ind w:firstLine="720"/>
        <w:rPr>
          <w:lang w:val="en-US"/>
        </w:rPr>
      </w:pPr>
      <w:r w:rsidRPr="00D277A8">
        <w:rPr>
          <w:lang w:val="en-US"/>
        </w:rPr>
        <w:lastRenderedPageBreak/>
        <w:t xml:space="preserve">This increase in </w:t>
      </w:r>
      <w:r w:rsidRPr="00D277A8">
        <w:sym w:font="Symbol" w:char="F064"/>
      </w:r>
      <w:r w:rsidRPr="00D277A8">
        <w:rPr>
          <w:vertAlign w:val="superscript"/>
          <w:lang w:val="en-US"/>
        </w:rPr>
        <w:t>15</w:t>
      </w:r>
      <w:r w:rsidRPr="00D277A8">
        <w:rPr>
          <w:lang w:val="en-US"/>
        </w:rPr>
        <w:t>N values is a result of a trophic</w:t>
      </w:r>
      <w:r w:rsidR="009F3938">
        <w:rPr>
          <w:lang w:val="en-US"/>
        </w:rPr>
        <w:t xml:space="preserve"> level</w:t>
      </w:r>
      <w:r w:rsidRPr="00D277A8">
        <w:rPr>
          <w:lang w:val="en-US"/>
        </w:rPr>
        <w:t xml:space="preserve"> effect</w:t>
      </w:r>
      <w:r w:rsidRPr="00D277A8">
        <w:rPr>
          <w:rFonts w:eastAsia="Helvetica"/>
          <w:lang w:val="en-US"/>
        </w:rPr>
        <w:t xml:space="preserve">, where the </w:t>
      </w:r>
      <w:r w:rsidRPr="00D277A8">
        <w:rPr>
          <w:lang w:val="en-US"/>
        </w:rPr>
        <w:sym w:font="Symbol" w:char="F064"/>
      </w:r>
      <w:r w:rsidRPr="00003A82">
        <w:rPr>
          <w:vertAlign w:val="superscript"/>
          <w:lang w:val="en-US"/>
        </w:rPr>
        <w:t>15</w:t>
      </w:r>
      <w:r w:rsidRPr="00003A82">
        <w:rPr>
          <w:lang w:val="en-US"/>
        </w:rPr>
        <w:t>N values of an organism are typically 3</w:t>
      </w:r>
      <w:r w:rsidRPr="00003A82">
        <w:rPr>
          <w:rFonts w:eastAsia="Helvetica"/>
          <w:lang w:val="en-US"/>
        </w:rPr>
        <w:t>‰</w:t>
      </w:r>
      <w:r w:rsidRPr="00003A82">
        <w:rPr>
          <w:lang w:val="en-US"/>
        </w:rPr>
        <w:t xml:space="preserve"> higher than that of their diet, with successive enrichment effects for higher trophic-level organisms (DeNiro &amp; Epstein 1981). For instance, herbivores will have </w:t>
      </w:r>
      <w:r w:rsidRPr="00003A82">
        <w:rPr>
          <w:lang w:val="en-US"/>
        </w:rPr>
        <w:sym w:font="Symbol" w:char="F064"/>
      </w:r>
      <w:r w:rsidRPr="00003A82">
        <w:rPr>
          <w:vertAlign w:val="superscript"/>
          <w:lang w:val="en-US"/>
        </w:rPr>
        <w:t>15</w:t>
      </w:r>
      <w:r w:rsidRPr="00003A82">
        <w:rPr>
          <w:lang w:val="en-US"/>
        </w:rPr>
        <w:t>N values that are 3</w:t>
      </w:r>
      <w:r w:rsidRPr="00003A82">
        <w:rPr>
          <w:rFonts w:eastAsia="Helvetica"/>
          <w:lang w:val="en-US"/>
        </w:rPr>
        <w:t xml:space="preserve">‰ higher than the plants they eat, and carnivores with have </w:t>
      </w:r>
      <w:r w:rsidRPr="00003A82">
        <w:rPr>
          <w:lang w:val="en-US"/>
        </w:rPr>
        <w:sym w:font="Symbol" w:char="F064"/>
      </w:r>
      <w:r w:rsidRPr="00003A82">
        <w:rPr>
          <w:vertAlign w:val="superscript"/>
          <w:lang w:val="en-US"/>
        </w:rPr>
        <w:t>15</w:t>
      </w:r>
      <w:r w:rsidRPr="00003A82">
        <w:rPr>
          <w:lang w:val="en-US"/>
        </w:rPr>
        <w:t>N values that are 3</w:t>
      </w:r>
      <w:r w:rsidRPr="00003A82">
        <w:rPr>
          <w:rFonts w:eastAsia="Helvetica"/>
          <w:lang w:val="en-US"/>
        </w:rPr>
        <w:t xml:space="preserve">‰ higher than the herbivores they eat (Schoeninger 1985). Infants </w:t>
      </w:r>
      <w:r w:rsidRPr="00003A82">
        <w:rPr>
          <w:lang w:val="en-US"/>
        </w:rPr>
        <w:t xml:space="preserve">are enriched in </w:t>
      </w:r>
      <w:r w:rsidRPr="00003A82">
        <w:rPr>
          <w:vertAlign w:val="superscript"/>
          <w:lang w:val="en-US"/>
        </w:rPr>
        <w:t>15</w:t>
      </w:r>
      <w:r w:rsidRPr="00003A82">
        <w:rPr>
          <w:lang w:val="en-US"/>
        </w:rPr>
        <w:t>N from consuming breastmilk (as their only source of dietary nitrogen is the mother</w:t>
      </w:r>
      <w:r w:rsidRPr="00003A82">
        <w:rPr>
          <w:rFonts w:eastAsia="Helvetica"/>
          <w:lang w:val="en-US"/>
        </w:rPr>
        <w:t>’</w:t>
      </w:r>
      <w:r w:rsidRPr="00003A82">
        <w:rPr>
          <w:lang w:val="en-US"/>
        </w:rPr>
        <w:t>s milk</w:t>
      </w:r>
      <w:r w:rsidR="009F3938">
        <w:rPr>
          <w:lang w:val="en-US"/>
        </w:rPr>
        <w:t xml:space="preserve"> if they are exclusively breastfe</w:t>
      </w:r>
      <w:r w:rsidR="009D578C">
        <w:rPr>
          <w:lang w:val="en-US"/>
        </w:rPr>
        <w:t>d</w:t>
      </w:r>
      <w:r w:rsidRPr="00003A82">
        <w:rPr>
          <w:lang w:val="en-US"/>
        </w:rPr>
        <w:t>) and exhibi</w:t>
      </w:r>
      <w:r w:rsidR="008209B5" w:rsidRPr="00003A82">
        <w:rPr>
          <w:lang w:val="en-US"/>
        </w:rPr>
        <w:t>t</w:t>
      </w:r>
      <w:r w:rsidRPr="00003A82">
        <w:rPr>
          <w:lang w:val="en-US"/>
        </w:rPr>
        <w:t xml:space="preserve"> </w:t>
      </w:r>
      <w:r w:rsidRPr="00194914">
        <w:rPr>
          <w:color w:val="000000" w:themeColor="text1"/>
          <w:lang w:val="en-US"/>
        </w:rPr>
        <w:t>a trophic level effect (</w:t>
      </w:r>
      <w:r w:rsidR="00E96F60" w:rsidRPr="00194914">
        <w:rPr>
          <w:rFonts w:eastAsia="Helvetica"/>
          <w:color w:val="000000" w:themeColor="text1"/>
          <w:lang w:val="en-US"/>
        </w:rPr>
        <w:t>ranging from 2 – 4‰</w:t>
      </w:r>
      <w:r w:rsidRPr="00194914">
        <w:rPr>
          <w:rFonts w:eastAsia="Helvetica"/>
          <w:color w:val="000000" w:themeColor="text1"/>
          <w:lang w:val="en-US"/>
        </w:rPr>
        <w:t xml:space="preserve">) over the </w:t>
      </w:r>
      <w:r w:rsidRPr="00194914">
        <w:rPr>
          <w:color w:val="000000" w:themeColor="text1"/>
          <w:lang w:val="en-US"/>
        </w:rPr>
        <w:sym w:font="Symbol" w:char="F064"/>
      </w:r>
      <w:r w:rsidRPr="00194914">
        <w:rPr>
          <w:color w:val="000000" w:themeColor="text1"/>
          <w:vertAlign w:val="superscript"/>
          <w:lang w:val="en-US"/>
        </w:rPr>
        <w:t>15</w:t>
      </w:r>
      <w:r w:rsidRPr="00194914">
        <w:rPr>
          <w:color w:val="000000" w:themeColor="text1"/>
          <w:lang w:val="en-US"/>
        </w:rPr>
        <w:t>N values of their mothers (</w:t>
      </w:r>
      <w:r w:rsidR="00194914" w:rsidRPr="00194914">
        <w:rPr>
          <w:color w:val="000000" w:themeColor="text1"/>
          <w:lang w:val="en-US"/>
        </w:rPr>
        <w:t>Fuller et al. 2006</w:t>
      </w:r>
      <w:r w:rsidRPr="00194914">
        <w:rPr>
          <w:color w:val="000000" w:themeColor="text1"/>
          <w:lang w:val="en-US"/>
        </w:rPr>
        <w:t xml:space="preserve">). Once the </w:t>
      </w:r>
      <w:r w:rsidRPr="00003A82">
        <w:rPr>
          <w:lang w:val="en-US"/>
        </w:rPr>
        <w:t xml:space="preserve">weaning process begins and breast milk is removed from the diet, the </w:t>
      </w:r>
      <w:r w:rsidRPr="00003A82">
        <w:rPr>
          <w:lang w:val="en-US"/>
        </w:rPr>
        <w:sym w:font="Symbol" w:char="F064"/>
      </w:r>
      <w:r w:rsidRPr="00003A82">
        <w:rPr>
          <w:vertAlign w:val="superscript"/>
          <w:lang w:val="en-US"/>
        </w:rPr>
        <w:t>15</w:t>
      </w:r>
      <w:r w:rsidRPr="00003A82">
        <w:rPr>
          <w:lang w:val="en-US"/>
        </w:rPr>
        <w:t xml:space="preserve">N values decrease to mirror the removal of breast milk (as most typical weaning foods contain less </w:t>
      </w:r>
      <w:r w:rsidRPr="00003A82">
        <w:rPr>
          <w:vertAlign w:val="superscript"/>
          <w:lang w:val="en-US"/>
        </w:rPr>
        <w:t>15</w:t>
      </w:r>
      <w:r w:rsidRPr="00003A82">
        <w:rPr>
          <w:lang w:val="en-US"/>
        </w:rPr>
        <w:t xml:space="preserve">N than breast milk). A sharp decrease in </w:t>
      </w:r>
      <w:r w:rsidRPr="00003A82">
        <w:rPr>
          <w:lang w:val="en-US"/>
        </w:rPr>
        <w:sym w:font="Symbol" w:char="F064"/>
      </w:r>
      <w:r w:rsidRPr="00003A82">
        <w:rPr>
          <w:vertAlign w:val="superscript"/>
          <w:lang w:val="en-US"/>
        </w:rPr>
        <w:t>15</w:t>
      </w:r>
      <w:r w:rsidRPr="00003A82">
        <w:rPr>
          <w:lang w:val="en-US"/>
        </w:rPr>
        <w:t xml:space="preserve">N values is observed when there is rapid removal of breast milk and a gradual decrease in </w:t>
      </w:r>
      <w:r w:rsidRPr="00003A82">
        <w:rPr>
          <w:lang w:val="en-US"/>
        </w:rPr>
        <w:sym w:font="Symbol" w:char="F064"/>
      </w:r>
      <w:r w:rsidRPr="00003A82">
        <w:rPr>
          <w:vertAlign w:val="superscript"/>
          <w:lang w:val="en-US"/>
        </w:rPr>
        <w:t>15</w:t>
      </w:r>
      <w:r w:rsidRPr="00003A82">
        <w:rPr>
          <w:lang w:val="en-US"/>
        </w:rPr>
        <w:t xml:space="preserve">N values is observed during a more prolonged weaning process. Consequently, change in </w:t>
      </w:r>
      <w:r w:rsidRPr="00003A82">
        <w:rPr>
          <w:lang w:val="en-US"/>
        </w:rPr>
        <w:sym w:font="Symbol" w:char="F064"/>
      </w:r>
      <w:r w:rsidRPr="00003A82">
        <w:rPr>
          <w:vertAlign w:val="superscript"/>
          <w:lang w:val="en-US"/>
        </w:rPr>
        <w:t>15</w:t>
      </w:r>
      <w:r w:rsidRPr="00003A82">
        <w:rPr>
          <w:lang w:val="en-US"/>
        </w:rPr>
        <w:t>N values within human remains in relation to age provides evidence for prehistoric and historic weaning behavior (Katzenberg et al. 1993; Schurr</w:t>
      </w:r>
      <w:r w:rsidR="009B7C2B" w:rsidRPr="00003A82">
        <w:rPr>
          <w:lang w:val="en-US"/>
        </w:rPr>
        <w:t xml:space="preserve"> </w:t>
      </w:r>
      <w:r w:rsidRPr="00003A82">
        <w:rPr>
          <w:lang w:val="en-US"/>
        </w:rPr>
        <w:t xml:space="preserve">1997). </w:t>
      </w:r>
    </w:p>
    <w:p w14:paraId="220E4776" w14:textId="2DE46DB4" w:rsidR="003B5B7F" w:rsidRPr="00003A82" w:rsidRDefault="003B5B7F" w:rsidP="008209B5">
      <w:pPr>
        <w:spacing w:before="100" w:beforeAutospacing="1" w:after="100" w:afterAutospacing="1" w:line="480" w:lineRule="auto"/>
        <w:ind w:firstLine="720"/>
        <w:rPr>
          <w:lang w:val="en-US"/>
        </w:rPr>
      </w:pPr>
      <w:r w:rsidRPr="00003A82">
        <w:rPr>
          <w:lang w:val="en-US"/>
        </w:rPr>
        <w:t xml:space="preserve">Using this information, stable isotope analysis has been used to observe weaning patterns for a variety of periods and </w:t>
      </w:r>
      <w:r w:rsidR="009B7C2B" w:rsidRPr="00003A82">
        <w:rPr>
          <w:lang w:val="en-US"/>
        </w:rPr>
        <w:t xml:space="preserve">geographic </w:t>
      </w:r>
      <w:r w:rsidRPr="00003A82">
        <w:rPr>
          <w:lang w:val="en-US"/>
        </w:rPr>
        <w:t xml:space="preserve">locations, such as </w:t>
      </w:r>
      <w:r w:rsidR="009B7C2B" w:rsidRPr="00003A82">
        <w:rPr>
          <w:color w:val="000000" w:themeColor="text1"/>
          <w:lang w:val="en-US"/>
        </w:rPr>
        <w:t xml:space="preserve">for </w:t>
      </w:r>
      <w:r w:rsidR="009B7C2B" w:rsidRPr="00003A82">
        <w:rPr>
          <w:lang w:val="en-US"/>
        </w:rPr>
        <w:t>Iroquoian Ontario (Katzenberg et al.</w:t>
      </w:r>
      <w:r w:rsidR="002379DD" w:rsidRPr="00003A82">
        <w:rPr>
          <w:lang w:val="en-US"/>
        </w:rPr>
        <w:t xml:space="preserve"> </w:t>
      </w:r>
      <w:r w:rsidR="009B7C2B" w:rsidRPr="00003A82">
        <w:rPr>
          <w:lang w:val="en-US"/>
        </w:rPr>
        <w:t>1993), Medieval England (</w:t>
      </w:r>
      <w:r w:rsidR="0003536A" w:rsidRPr="00003A82">
        <w:rPr>
          <w:lang w:val="en-US"/>
        </w:rPr>
        <w:t>Richards</w:t>
      </w:r>
      <w:r w:rsidR="009B7C2B" w:rsidRPr="00003A82">
        <w:rPr>
          <w:lang w:val="en-US"/>
        </w:rPr>
        <w:t xml:space="preserve"> et al. 2002), 18</w:t>
      </w:r>
      <w:r w:rsidR="009B7C2B" w:rsidRPr="00003A82">
        <w:rPr>
          <w:vertAlign w:val="superscript"/>
          <w:lang w:val="en-US"/>
        </w:rPr>
        <w:t>th</w:t>
      </w:r>
      <w:r w:rsidR="009B7C2B" w:rsidRPr="00003A82">
        <w:rPr>
          <w:lang w:val="en-US"/>
        </w:rPr>
        <w:t xml:space="preserve"> and 19</w:t>
      </w:r>
      <w:r w:rsidR="009B7C2B" w:rsidRPr="00003A82">
        <w:rPr>
          <w:vertAlign w:val="superscript"/>
          <w:lang w:val="en-US"/>
        </w:rPr>
        <w:t>th</w:t>
      </w:r>
      <w:r w:rsidR="009B7C2B" w:rsidRPr="00003A82">
        <w:rPr>
          <w:lang w:val="en-US"/>
        </w:rPr>
        <w:t xml:space="preserve"> century Britain (Nitsch et al. 2011) Neolithic Turkey (Richards et al. 2003) and </w:t>
      </w:r>
      <w:r w:rsidRPr="00003A82">
        <w:rPr>
          <w:lang w:val="en-US"/>
        </w:rPr>
        <w:t>during the Roman period (</w:t>
      </w:r>
      <w:r w:rsidR="00110262" w:rsidRPr="00003A82">
        <w:rPr>
          <w:lang w:val="en-US"/>
        </w:rPr>
        <w:t>Dupras et al. 200</w:t>
      </w:r>
      <w:r w:rsidR="00110262" w:rsidRPr="00003A82">
        <w:rPr>
          <w:color w:val="000000" w:themeColor="text1"/>
          <w:lang w:val="en-US"/>
        </w:rPr>
        <w:t xml:space="preserve">1; </w:t>
      </w:r>
      <w:r w:rsidRPr="00003A82">
        <w:rPr>
          <w:lang w:val="en-US"/>
        </w:rPr>
        <w:t>Prowse et al. 2008</w:t>
      </w:r>
      <w:r w:rsidR="00322CCD" w:rsidRPr="00003A82">
        <w:rPr>
          <w:color w:val="000000" w:themeColor="text1"/>
          <w:lang w:val="en-US"/>
        </w:rPr>
        <w:t xml:space="preserve">; </w:t>
      </w:r>
      <w:r w:rsidR="00110262" w:rsidRPr="00003A82">
        <w:rPr>
          <w:lang w:val="en-US"/>
        </w:rPr>
        <w:t>Rutgers et al. 200</w:t>
      </w:r>
      <w:r w:rsidR="00110262" w:rsidRPr="00003A82">
        <w:rPr>
          <w:color w:val="000000" w:themeColor="text1"/>
          <w:lang w:val="en-US"/>
        </w:rPr>
        <w:t xml:space="preserve">9; </w:t>
      </w:r>
      <w:r w:rsidR="00322CCD" w:rsidRPr="00003A82">
        <w:rPr>
          <w:lang w:val="en-US"/>
        </w:rPr>
        <w:t>Semchuk 2016</w:t>
      </w:r>
      <w:r w:rsidR="00322CCD" w:rsidRPr="00003A82">
        <w:rPr>
          <w:color w:val="000000" w:themeColor="text1"/>
          <w:lang w:val="en-US"/>
        </w:rPr>
        <w:t>)</w:t>
      </w:r>
      <w:r w:rsidR="002379DD" w:rsidRPr="00003A82">
        <w:rPr>
          <w:color w:val="000000" w:themeColor="text1"/>
          <w:lang w:val="en-US"/>
        </w:rPr>
        <w:t xml:space="preserve">, </w:t>
      </w:r>
      <w:r w:rsidR="009B7C2B" w:rsidRPr="00003A82">
        <w:rPr>
          <w:color w:val="000000" w:themeColor="text1"/>
          <w:lang w:val="en-US"/>
        </w:rPr>
        <w:t>which</w:t>
      </w:r>
      <w:r w:rsidRPr="00003A82">
        <w:rPr>
          <w:color w:val="000000" w:themeColor="text1"/>
          <w:lang w:val="en-US"/>
        </w:rPr>
        <w:t xml:space="preserve"> </w:t>
      </w:r>
      <w:r w:rsidRPr="00003A82">
        <w:rPr>
          <w:lang w:val="en-US"/>
        </w:rPr>
        <w:t>I have previously discussed</w:t>
      </w:r>
      <w:r w:rsidR="009B7C2B" w:rsidRPr="00003A82">
        <w:rPr>
          <w:lang w:val="en-US"/>
        </w:rPr>
        <w:t xml:space="preserve"> in Chapter 2. </w:t>
      </w:r>
      <w:r w:rsidRPr="00003A82">
        <w:rPr>
          <w:lang w:val="en-US"/>
        </w:rPr>
        <w:t xml:space="preserve">These studies investigate </w:t>
      </w:r>
      <w:r w:rsidR="00E01402">
        <w:rPr>
          <w:lang w:val="en-US"/>
        </w:rPr>
        <w:t xml:space="preserve">breastfeeding </w:t>
      </w:r>
      <w:r w:rsidR="00E01402">
        <w:rPr>
          <w:lang w:val="en-US"/>
        </w:rPr>
        <w:lastRenderedPageBreak/>
        <w:t xml:space="preserve">and </w:t>
      </w:r>
      <w:r w:rsidRPr="00003A82">
        <w:rPr>
          <w:lang w:val="en-US"/>
        </w:rPr>
        <w:t>weaning trends by conducting isotopic analysis on bones from large samples</w:t>
      </w:r>
      <w:r w:rsidR="002379DD" w:rsidRPr="00003A82">
        <w:rPr>
          <w:lang w:val="en-US"/>
        </w:rPr>
        <w:t xml:space="preserve"> with</w:t>
      </w:r>
      <w:r w:rsidRPr="00003A82">
        <w:rPr>
          <w:lang w:val="en-US"/>
        </w:rPr>
        <w:t xml:space="preserve"> adequate representations of infant and child remains</w:t>
      </w:r>
      <w:r w:rsidR="00165A51">
        <w:rPr>
          <w:lang w:val="en-US"/>
        </w:rPr>
        <w:t>,</w:t>
      </w:r>
      <w:r w:rsidRPr="00003A82">
        <w:rPr>
          <w:lang w:val="en-US"/>
        </w:rPr>
        <w:t xml:space="preserve"> as δ</w:t>
      </w:r>
      <w:r w:rsidRPr="00003A82">
        <w:rPr>
          <w:vertAlign w:val="superscript"/>
          <w:lang w:val="en-US"/>
        </w:rPr>
        <w:t>15</w:t>
      </w:r>
      <w:r w:rsidRPr="00003A82">
        <w:rPr>
          <w:lang w:val="en-US"/>
        </w:rPr>
        <w:t>N values of th</w:t>
      </w:r>
      <w:r w:rsidR="00D612CD">
        <w:rPr>
          <w:lang w:val="en-US"/>
        </w:rPr>
        <w:t>e</w:t>
      </w:r>
      <w:r w:rsidRPr="00003A82">
        <w:rPr>
          <w:lang w:val="en-US"/>
        </w:rPr>
        <w:t>se</w:t>
      </w:r>
      <w:r w:rsidR="00D612CD">
        <w:rPr>
          <w:lang w:val="en-US"/>
        </w:rPr>
        <w:t xml:space="preserve"> subadult</w:t>
      </w:r>
      <w:r w:rsidRPr="00003A82">
        <w:rPr>
          <w:lang w:val="en-US"/>
        </w:rPr>
        <w:t xml:space="preserve"> individuals are representative of the weaning age. Researchers create charts that depict the distribution of δ</w:t>
      </w:r>
      <w:r w:rsidRPr="00003A82">
        <w:rPr>
          <w:vertAlign w:val="superscript"/>
          <w:lang w:val="en-US"/>
        </w:rPr>
        <w:t>15</w:t>
      </w:r>
      <w:r w:rsidRPr="00003A82">
        <w:rPr>
          <w:lang w:val="en-US"/>
        </w:rPr>
        <w:t xml:space="preserve">N </w:t>
      </w:r>
      <w:r w:rsidR="00422B7F">
        <w:rPr>
          <w:lang w:val="en-US"/>
        </w:rPr>
        <w:t xml:space="preserve">data </w:t>
      </w:r>
      <w:r w:rsidRPr="00003A82">
        <w:rPr>
          <w:lang w:val="en-US"/>
        </w:rPr>
        <w:t>by age, where higher δ</w:t>
      </w:r>
      <w:r w:rsidRPr="00003A82">
        <w:rPr>
          <w:vertAlign w:val="superscript"/>
          <w:lang w:val="en-US"/>
        </w:rPr>
        <w:t>15</w:t>
      </w:r>
      <w:r w:rsidRPr="00003A82">
        <w:rPr>
          <w:lang w:val="en-US"/>
        </w:rPr>
        <w:t xml:space="preserve">N </w:t>
      </w:r>
      <w:r w:rsidR="002379DD" w:rsidRPr="00003A82">
        <w:rPr>
          <w:lang w:val="en-US"/>
        </w:rPr>
        <w:t xml:space="preserve">values </w:t>
      </w:r>
      <w:r w:rsidRPr="00003A82">
        <w:rPr>
          <w:lang w:val="en-US"/>
        </w:rPr>
        <w:t xml:space="preserve">among </w:t>
      </w:r>
      <w:r w:rsidR="00422B7F">
        <w:rPr>
          <w:lang w:val="en-US"/>
        </w:rPr>
        <w:t>subadults</w:t>
      </w:r>
      <w:r w:rsidR="00422B7F" w:rsidRPr="00003A82">
        <w:rPr>
          <w:lang w:val="en-US"/>
        </w:rPr>
        <w:t xml:space="preserve"> </w:t>
      </w:r>
      <w:r w:rsidRPr="00003A82">
        <w:rPr>
          <w:lang w:val="en-US"/>
        </w:rPr>
        <w:t xml:space="preserve">in the first years of life would be indicative of breastfeeding, and the lower values seen in older </w:t>
      </w:r>
      <w:r w:rsidR="00422B7F">
        <w:rPr>
          <w:lang w:val="en-US"/>
        </w:rPr>
        <w:t>children</w:t>
      </w:r>
      <w:r w:rsidR="00422B7F" w:rsidRPr="00003A82">
        <w:rPr>
          <w:lang w:val="en-US"/>
        </w:rPr>
        <w:t xml:space="preserve"> </w:t>
      </w:r>
      <w:r w:rsidRPr="00003A82">
        <w:rPr>
          <w:lang w:val="en-US"/>
        </w:rPr>
        <w:t>would indicate the gradual cessation of breastfeeding and introduction of complementary foods.</w:t>
      </w:r>
    </w:p>
    <w:p w14:paraId="1AF37AE9" w14:textId="1574159F" w:rsidR="00AF6259" w:rsidRDefault="00DB43C8" w:rsidP="00FF0311">
      <w:pPr>
        <w:spacing w:line="480" w:lineRule="auto"/>
        <w:ind w:firstLine="720"/>
        <w:rPr>
          <w:lang w:val="en-US"/>
        </w:rPr>
      </w:pPr>
      <w:r w:rsidRPr="00003A82">
        <w:rPr>
          <w:lang w:val="en-US"/>
        </w:rPr>
        <w:t>T</w:t>
      </w:r>
      <w:r w:rsidR="003B5B7F" w:rsidRPr="00003A82">
        <w:rPr>
          <w:lang w:val="en-US"/>
        </w:rPr>
        <w:t xml:space="preserve">here are a number of underlying assumptions implicit in the use of </w:t>
      </w:r>
      <w:r w:rsidR="003B5B7F" w:rsidRPr="00003A82">
        <w:rPr>
          <w:lang w:val="en-US"/>
        </w:rPr>
        <w:sym w:font="Symbol" w:char="F064"/>
      </w:r>
      <w:r w:rsidR="003B5B7F" w:rsidRPr="00003A82">
        <w:rPr>
          <w:vertAlign w:val="superscript"/>
          <w:lang w:val="en-US"/>
        </w:rPr>
        <w:t>15</w:t>
      </w:r>
      <w:r w:rsidR="003B5B7F" w:rsidRPr="00003A82">
        <w:rPr>
          <w:lang w:val="en-US"/>
        </w:rPr>
        <w:t xml:space="preserve">N data in weaning studies. First, it is assumed that the adult female </w:t>
      </w:r>
      <w:r w:rsidR="003B5B7F" w:rsidRPr="00003A82">
        <w:rPr>
          <w:lang w:val="en-US"/>
        </w:rPr>
        <w:sym w:font="Symbol" w:char="F064"/>
      </w:r>
      <w:r w:rsidR="003B5B7F" w:rsidRPr="00003A82">
        <w:rPr>
          <w:vertAlign w:val="superscript"/>
          <w:lang w:val="en-US"/>
        </w:rPr>
        <w:t>15</w:t>
      </w:r>
      <w:r w:rsidR="003B5B7F" w:rsidRPr="00003A82">
        <w:rPr>
          <w:lang w:val="en-US"/>
        </w:rPr>
        <w:t xml:space="preserve">N mean value of the sample is equal to that of breastfeeding mothers, in other words it is assumed that there is very little flexibility in adult female diet (Reynard &amp; Tuross 2015). Another assumption is that the </w:t>
      </w:r>
      <w:r w:rsidR="003B5B7F" w:rsidRPr="00003A82">
        <w:rPr>
          <w:color w:val="000000" w:themeColor="text1"/>
          <w:lang w:val="en-US"/>
        </w:rPr>
        <w:t>δ</w:t>
      </w:r>
      <w:r w:rsidR="003B5B7F" w:rsidRPr="00003A82">
        <w:rPr>
          <w:color w:val="000000" w:themeColor="text1"/>
          <w:vertAlign w:val="superscript"/>
          <w:lang w:val="en-US"/>
        </w:rPr>
        <w:t>15</w:t>
      </w:r>
      <w:r w:rsidR="003B5B7F" w:rsidRPr="00003A82">
        <w:rPr>
          <w:color w:val="000000" w:themeColor="text1"/>
          <w:lang w:val="en-US"/>
        </w:rPr>
        <w:t xml:space="preserve">N values from the skeletal remains of young children represent diet at approximately the time of death and that the infants who died are representative of the diet and physiology of the entire population at that age (Beaumont et al. 2013). </w:t>
      </w:r>
      <w:r w:rsidR="003663F5">
        <w:rPr>
          <w:color w:val="000000" w:themeColor="text1"/>
          <w:lang w:val="en-US"/>
        </w:rPr>
        <w:t>B</w:t>
      </w:r>
      <w:r w:rsidR="003B5B7F" w:rsidRPr="00003A82">
        <w:rPr>
          <w:color w:val="000000" w:themeColor="text1"/>
          <w:lang w:val="en-US"/>
        </w:rPr>
        <w:t xml:space="preserve">one turnover rates average isotope values obtained over several months and cause a delay in observable shifts in isotopic values, thus bones cannot represent diet at a specific time. Bone turnover rates and the implications of this process on weaning studies is further discussed in </w:t>
      </w:r>
      <w:r w:rsidR="003E4B12">
        <w:rPr>
          <w:color w:val="000000" w:themeColor="text1"/>
          <w:lang w:val="en-US"/>
        </w:rPr>
        <w:t>S</w:t>
      </w:r>
      <w:r w:rsidR="003B5B7F" w:rsidRPr="00003A82">
        <w:rPr>
          <w:color w:val="000000" w:themeColor="text1"/>
          <w:lang w:val="en-US"/>
        </w:rPr>
        <w:t>ection 3.</w:t>
      </w:r>
      <w:r w:rsidR="002D4B4B">
        <w:rPr>
          <w:color w:val="000000" w:themeColor="text1"/>
          <w:lang w:val="en-US"/>
        </w:rPr>
        <w:t>4</w:t>
      </w:r>
      <w:r w:rsidR="003B5B7F" w:rsidRPr="00003A82">
        <w:rPr>
          <w:color w:val="000000" w:themeColor="text1"/>
          <w:lang w:val="en-US"/>
        </w:rPr>
        <w:t xml:space="preserve">. </w:t>
      </w:r>
      <w:r w:rsidR="003B5B7F" w:rsidRPr="00003A82">
        <w:rPr>
          <w:lang w:val="en-US"/>
        </w:rPr>
        <w:t xml:space="preserve">An additional complicating issue is that </w:t>
      </w:r>
      <w:r w:rsidR="003B5B7F" w:rsidRPr="00223ED3">
        <w:rPr>
          <w:lang w:val="en-US"/>
        </w:rPr>
        <w:sym w:font="Symbol" w:char="F064"/>
      </w:r>
      <w:r w:rsidR="003B5B7F" w:rsidRPr="00223ED3">
        <w:rPr>
          <w:vertAlign w:val="superscript"/>
          <w:lang w:val="en-US"/>
        </w:rPr>
        <w:t>15</w:t>
      </w:r>
      <w:r w:rsidR="003B5B7F" w:rsidRPr="00223ED3">
        <w:rPr>
          <w:lang w:val="en-US"/>
        </w:rPr>
        <w:t xml:space="preserve">N in </w:t>
      </w:r>
      <w:r w:rsidR="00422B7F">
        <w:rPr>
          <w:lang w:val="en-US"/>
        </w:rPr>
        <w:t>subadult</w:t>
      </w:r>
      <w:r w:rsidR="00422B7F" w:rsidRPr="00223ED3">
        <w:rPr>
          <w:lang w:val="en-US"/>
        </w:rPr>
        <w:t xml:space="preserve"> </w:t>
      </w:r>
      <w:r w:rsidR="006E499D">
        <w:rPr>
          <w:lang w:val="en-US"/>
        </w:rPr>
        <w:t>tissues</w:t>
      </w:r>
      <w:r w:rsidR="003B5B7F" w:rsidRPr="00223ED3">
        <w:rPr>
          <w:lang w:val="en-US"/>
        </w:rPr>
        <w:t xml:space="preserve"> can be impacted by various factors such as maternal diet, stress during fetal development, stress associated with malnutrition or disease, and the physiological demands of growth (Reynard &amp; Tuross 2015).</w:t>
      </w:r>
      <w:r w:rsidR="009D530F">
        <w:rPr>
          <w:lang w:val="en-US"/>
        </w:rPr>
        <w:t xml:space="preserve"> However an approach used</w:t>
      </w:r>
      <w:r w:rsidR="00B17CA1">
        <w:rPr>
          <w:lang w:val="en-US"/>
        </w:rPr>
        <w:t xml:space="preserve"> </w:t>
      </w:r>
      <w:r w:rsidR="000E4FDE">
        <w:rPr>
          <w:lang w:val="en-US"/>
        </w:rPr>
        <w:t xml:space="preserve">to differentiate dietary changes </w:t>
      </w:r>
      <w:r w:rsidR="000E4FDE">
        <w:rPr>
          <w:lang w:val="en-US"/>
        </w:rPr>
        <w:lastRenderedPageBreak/>
        <w:t xml:space="preserve">from </w:t>
      </w:r>
      <w:r w:rsidR="009D530F">
        <w:rPr>
          <w:lang w:val="en-US"/>
        </w:rPr>
        <w:t xml:space="preserve">these factors </w:t>
      </w:r>
      <w:r w:rsidR="00B17CA1">
        <w:rPr>
          <w:lang w:val="en-US"/>
        </w:rPr>
        <w:t xml:space="preserve">is to compare stable </w:t>
      </w:r>
      <w:r w:rsidR="00241B0B" w:rsidRPr="00D277A8">
        <w:rPr>
          <w:color w:val="000000"/>
          <w:lang w:val="en-US"/>
        </w:rPr>
        <w:sym w:font="Symbol" w:char="F064"/>
      </w:r>
      <w:r w:rsidR="00241B0B" w:rsidRPr="00D277A8">
        <w:rPr>
          <w:color w:val="000000"/>
          <w:position w:val="5"/>
          <w:vertAlign w:val="superscript"/>
          <w:lang w:val="en-US"/>
        </w:rPr>
        <w:t>1</w:t>
      </w:r>
      <w:r w:rsidR="00241B0B">
        <w:rPr>
          <w:color w:val="000000"/>
          <w:position w:val="5"/>
          <w:vertAlign w:val="superscript"/>
          <w:lang w:val="en-US"/>
        </w:rPr>
        <w:t>5</w:t>
      </w:r>
      <w:r w:rsidR="00241B0B">
        <w:rPr>
          <w:color w:val="000000"/>
          <w:lang w:val="en-US"/>
        </w:rPr>
        <w:t xml:space="preserve">N </w:t>
      </w:r>
      <w:r w:rsidR="00B17CA1">
        <w:rPr>
          <w:lang w:val="en-US"/>
        </w:rPr>
        <w:t xml:space="preserve">with </w:t>
      </w:r>
      <w:r w:rsidR="00B17CA1" w:rsidRPr="00D277A8">
        <w:rPr>
          <w:color w:val="000000"/>
          <w:lang w:val="en-US"/>
        </w:rPr>
        <w:sym w:font="Symbol" w:char="F064"/>
      </w:r>
      <w:r w:rsidR="00B17CA1" w:rsidRPr="00D277A8">
        <w:rPr>
          <w:color w:val="000000"/>
          <w:position w:val="5"/>
          <w:vertAlign w:val="superscript"/>
          <w:lang w:val="en-US"/>
        </w:rPr>
        <w:t>13</w:t>
      </w:r>
      <w:r w:rsidR="00B17CA1" w:rsidRPr="00D277A8">
        <w:rPr>
          <w:color w:val="000000"/>
          <w:lang w:val="en-US"/>
        </w:rPr>
        <w:t>C</w:t>
      </w:r>
      <w:r w:rsidR="00B17CA1">
        <w:rPr>
          <w:color w:val="000000"/>
          <w:lang w:val="en-US"/>
        </w:rPr>
        <w:t xml:space="preserve"> values. </w:t>
      </w:r>
      <w:r w:rsidR="00A27BCC">
        <w:rPr>
          <w:lang w:val="en-US"/>
        </w:rPr>
        <w:t>D</w:t>
      </w:r>
      <w:r w:rsidR="00B17CA1">
        <w:rPr>
          <w:lang w:val="en-US"/>
        </w:rPr>
        <w:t xml:space="preserve">ietary change is reflected in both nitrogen and carbon isotope values, </w:t>
      </w:r>
      <w:r w:rsidR="00C15CC9">
        <w:rPr>
          <w:lang w:val="en-US"/>
        </w:rPr>
        <w:t>thus</w:t>
      </w:r>
      <w:r w:rsidR="00A27BCC">
        <w:rPr>
          <w:lang w:val="en-US"/>
        </w:rPr>
        <w:t xml:space="preserve"> </w:t>
      </w:r>
      <w:r w:rsidR="00B17CA1">
        <w:rPr>
          <w:lang w:val="en-US"/>
        </w:rPr>
        <w:t xml:space="preserve">any observable </w:t>
      </w:r>
      <w:r w:rsidR="00A27BCC">
        <w:rPr>
          <w:lang w:val="en-US"/>
        </w:rPr>
        <w:t>change</w:t>
      </w:r>
      <w:r w:rsidR="00B17CA1">
        <w:rPr>
          <w:lang w:val="en-US"/>
        </w:rPr>
        <w:t xml:space="preserve"> in </w:t>
      </w:r>
      <w:r w:rsidR="00B17CA1" w:rsidRPr="00223ED3">
        <w:rPr>
          <w:lang w:val="en-US"/>
        </w:rPr>
        <w:sym w:font="Symbol" w:char="F064"/>
      </w:r>
      <w:r w:rsidR="00B17CA1" w:rsidRPr="00223ED3">
        <w:rPr>
          <w:vertAlign w:val="superscript"/>
          <w:lang w:val="en-US"/>
        </w:rPr>
        <w:t>15</w:t>
      </w:r>
      <w:r w:rsidR="00B17CA1" w:rsidRPr="00223ED3">
        <w:rPr>
          <w:lang w:val="en-US"/>
        </w:rPr>
        <w:t xml:space="preserve">N </w:t>
      </w:r>
      <w:r w:rsidR="00B17CA1">
        <w:rPr>
          <w:lang w:val="en-US"/>
        </w:rPr>
        <w:t xml:space="preserve">values </w:t>
      </w:r>
      <w:r w:rsidR="00A27BCC">
        <w:rPr>
          <w:lang w:val="en-US"/>
        </w:rPr>
        <w:t>that is not</w:t>
      </w:r>
      <w:r w:rsidR="00B17CA1">
        <w:rPr>
          <w:lang w:val="en-US"/>
        </w:rPr>
        <w:t xml:space="preserve"> mirrored in </w:t>
      </w:r>
      <w:r w:rsidR="00B17CA1" w:rsidRPr="00D277A8">
        <w:rPr>
          <w:color w:val="000000"/>
          <w:lang w:val="en-US"/>
        </w:rPr>
        <w:sym w:font="Symbol" w:char="F064"/>
      </w:r>
      <w:r w:rsidR="00B17CA1" w:rsidRPr="00D277A8">
        <w:rPr>
          <w:color w:val="000000"/>
          <w:position w:val="5"/>
          <w:vertAlign w:val="superscript"/>
          <w:lang w:val="en-US"/>
        </w:rPr>
        <w:t>13</w:t>
      </w:r>
      <w:r w:rsidR="00B17CA1" w:rsidRPr="00D277A8">
        <w:rPr>
          <w:color w:val="000000"/>
          <w:lang w:val="en-US"/>
        </w:rPr>
        <w:t>C</w:t>
      </w:r>
      <w:r w:rsidR="00B17CA1">
        <w:rPr>
          <w:color w:val="000000"/>
          <w:lang w:val="en-US"/>
        </w:rPr>
        <w:t xml:space="preserve">, </w:t>
      </w:r>
      <w:r w:rsidR="00A27BCC">
        <w:rPr>
          <w:color w:val="000000"/>
          <w:lang w:val="en-US"/>
        </w:rPr>
        <w:t xml:space="preserve">would be indicative of </w:t>
      </w:r>
      <w:r w:rsidR="00004C1A">
        <w:rPr>
          <w:color w:val="000000"/>
          <w:lang w:val="en-US"/>
        </w:rPr>
        <w:t>other influencers such as stress or growth</w:t>
      </w:r>
      <w:r w:rsidR="009D530F">
        <w:rPr>
          <w:color w:val="000000"/>
          <w:lang w:val="en-US"/>
        </w:rPr>
        <w:t>.</w:t>
      </w:r>
      <w:r w:rsidR="009D530F">
        <w:rPr>
          <w:lang w:val="en-US"/>
        </w:rPr>
        <w:t xml:space="preserve"> </w:t>
      </w:r>
    </w:p>
    <w:p w14:paraId="31251BAF" w14:textId="77777777" w:rsidR="002105FB" w:rsidRPr="00223ED3" w:rsidRDefault="002105FB" w:rsidP="009C515B">
      <w:pPr>
        <w:ind w:firstLine="720"/>
        <w:rPr>
          <w:lang w:val="en-US"/>
        </w:rPr>
      </w:pPr>
    </w:p>
    <w:p w14:paraId="36C23199" w14:textId="581EB9FA" w:rsidR="00DB43C8" w:rsidRPr="00FF0311" w:rsidRDefault="003B5B7F" w:rsidP="00FF0311">
      <w:pPr>
        <w:pStyle w:val="ListParagraph"/>
        <w:numPr>
          <w:ilvl w:val="2"/>
          <w:numId w:val="26"/>
        </w:numPr>
        <w:tabs>
          <w:tab w:val="left" w:pos="567"/>
        </w:tabs>
        <w:spacing w:line="480" w:lineRule="auto"/>
        <w:rPr>
          <w:rFonts w:ascii="Times New Roman" w:hAnsi="Times New Roman" w:cs="Times New Roman"/>
        </w:rPr>
      </w:pPr>
      <w:r w:rsidRPr="00FF0311">
        <w:rPr>
          <w:rFonts w:ascii="Times New Roman" w:hAnsi="Times New Roman" w:cs="Times New Roman"/>
        </w:rPr>
        <w:t>Carbon</w:t>
      </w:r>
    </w:p>
    <w:p w14:paraId="2DD19732" w14:textId="77777777" w:rsidR="00FF0311" w:rsidRPr="00AF6259" w:rsidRDefault="00FF0311" w:rsidP="00FF0311">
      <w:pPr>
        <w:pStyle w:val="ListParagraph"/>
        <w:rPr>
          <w:rFonts w:ascii="Times New Roman" w:hAnsi="Times New Roman" w:cs="Times New Roman"/>
          <w:i/>
        </w:rPr>
      </w:pPr>
    </w:p>
    <w:p w14:paraId="1A058334" w14:textId="3807A674" w:rsidR="003B5B7F" w:rsidRDefault="003B5B7F" w:rsidP="00A967FB">
      <w:pPr>
        <w:spacing w:line="480" w:lineRule="auto"/>
        <w:ind w:firstLine="851"/>
        <w:rPr>
          <w:rFonts w:eastAsia="Helvetica"/>
          <w:lang w:val="en-US"/>
        </w:rPr>
      </w:pPr>
      <w:r w:rsidRPr="00223ED3">
        <w:rPr>
          <w:lang w:val="en-US"/>
        </w:rPr>
        <w:t xml:space="preserve">The first major application of carbon isotopes in archaeology looked at the spread of maize agriculture in North America and the associated implications on diet (e.g., </w:t>
      </w:r>
      <w:r w:rsidR="00DB43C8" w:rsidRPr="00223ED3">
        <w:rPr>
          <w:lang w:val="en-US"/>
        </w:rPr>
        <w:t xml:space="preserve">Vogel &amp; van der Merwe 1977; </w:t>
      </w:r>
      <w:r w:rsidRPr="00223ED3">
        <w:rPr>
          <w:lang w:val="en-US"/>
        </w:rPr>
        <w:t>van der Merwe &amp; Vogel 1978). Terrestrial plants differ isotopically as a result of varying photosynthetic pathways</w:t>
      </w:r>
      <w:r w:rsidR="00B84B25" w:rsidRPr="00223ED3">
        <w:rPr>
          <w:lang w:val="en-US"/>
        </w:rPr>
        <w:t xml:space="preserve"> and</w:t>
      </w:r>
      <w:r w:rsidRPr="00223ED3">
        <w:rPr>
          <w:lang w:val="en-US"/>
        </w:rPr>
        <w:t xml:space="preserve"> these different pathways cause a difference in the number of carbon atoms fixed by the plants from atmospheric CO</w:t>
      </w:r>
      <w:r w:rsidRPr="00223ED3">
        <w:rPr>
          <w:vertAlign w:val="subscript"/>
          <w:lang w:val="en-US"/>
        </w:rPr>
        <w:t>2</w:t>
      </w:r>
      <w:r w:rsidRPr="00223ED3">
        <w:rPr>
          <w:lang w:val="en-US"/>
        </w:rPr>
        <w:t xml:space="preserve"> (Vogel &amp; van der Merwe, 1977). The three pathways are Calvin (C</w:t>
      </w:r>
      <w:r w:rsidRPr="00223ED3">
        <w:rPr>
          <w:vertAlign w:val="subscript"/>
          <w:lang w:val="en-US"/>
        </w:rPr>
        <w:t>3</w:t>
      </w:r>
      <w:r w:rsidRPr="00223ED3">
        <w:rPr>
          <w:lang w:val="en-US"/>
        </w:rPr>
        <w:t>), Hatch-Slack (C</w:t>
      </w:r>
      <w:r w:rsidRPr="00223ED3">
        <w:rPr>
          <w:vertAlign w:val="subscript"/>
          <w:lang w:val="en-US"/>
        </w:rPr>
        <w:t>4</w:t>
      </w:r>
      <w:r w:rsidRPr="00223ED3">
        <w:rPr>
          <w:lang w:val="en-US"/>
        </w:rPr>
        <w:t>) and Crassulacean acid metabolism (CAM). C</w:t>
      </w:r>
      <w:r w:rsidRPr="00223ED3">
        <w:rPr>
          <w:vertAlign w:val="subscript"/>
          <w:lang w:val="en-US"/>
        </w:rPr>
        <w:t xml:space="preserve">3 </w:t>
      </w:r>
      <w:r w:rsidRPr="00223ED3">
        <w:rPr>
          <w:lang w:val="en-US"/>
        </w:rPr>
        <w:t>and C</w:t>
      </w:r>
      <w:r w:rsidRPr="00223ED3">
        <w:rPr>
          <w:vertAlign w:val="subscript"/>
          <w:lang w:val="en-US"/>
        </w:rPr>
        <w:t xml:space="preserve">4 </w:t>
      </w:r>
      <w:r w:rsidRPr="00223ED3">
        <w:rPr>
          <w:lang w:val="en-US"/>
        </w:rPr>
        <w:t>plants fix three and four carbon atoms, respectively, while CAM</w:t>
      </w:r>
      <w:r w:rsidR="00B51EED">
        <w:rPr>
          <w:lang w:val="en-US"/>
        </w:rPr>
        <w:t xml:space="preserve"> plants</w:t>
      </w:r>
      <w:r w:rsidRPr="00223ED3">
        <w:rPr>
          <w:lang w:val="en-US"/>
        </w:rPr>
        <w:t xml:space="preserve"> </w:t>
      </w:r>
      <w:r w:rsidR="00B51EED" w:rsidRPr="00223ED3">
        <w:rPr>
          <w:lang w:val="en-US"/>
        </w:rPr>
        <w:t>utilize both photosynthetic pathways</w:t>
      </w:r>
      <w:r w:rsidR="00B51EED">
        <w:rPr>
          <w:lang w:val="en-US"/>
        </w:rPr>
        <w:t xml:space="preserve"> and subsequently have</w:t>
      </w:r>
      <w:r w:rsidR="00B51EED" w:rsidRPr="00223ED3">
        <w:rPr>
          <w:lang w:val="en-US"/>
        </w:rPr>
        <w:t xml:space="preserve"> </w:t>
      </w:r>
      <w:r w:rsidRPr="00223ED3">
        <w:rPr>
          <w:lang w:val="en-US"/>
        </w:rPr>
        <w:t>δ</w:t>
      </w:r>
      <w:r w:rsidRPr="00223ED3">
        <w:rPr>
          <w:vertAlign w:val="superscript"/>
          <w:lang w:val="en-US"/>
        </w:rPr>
        <w:t>13</w:t>
      </w:r>
      <w:r w:rsidRPr="00223ED3">
        <w:rPr>
          <w:lang w:val="en-US"/>
        </w:rPr>
        <w:t>C values that overlap between both C</w:t>
      </w:r>
      <w:r w:rsidRPr="00223ED3">
        <w:rPr>
          <w:vertAlign w:val="subscript"/>
          <w:lang w:val="en-US"/>
        </w:rPr>
        <w:t>3</w:t>
      </w:r>
      <w:r w:rsidRPr="00223ED3">
        <w:rPr>
          <w:lang w:val="en-US"/>
        </w:rPr>
        <w:t xml:space="preserve"> and C</w:t>
      </w:r>
      <w:r w:rsidRPr="00223ED3">
        <w:rPr>
          <w:vertAlign w:val="subscript"/>
          <w:lang w:val="en-US"/>
        </w:rPr>
        <w:t>4</w:t>
      </w:r>
      <w:r w:rsidRPr="00223ED3">
        <w:rPr>
          <w:lang w:val="en-US"/>
        </w:rPr>
        <w:t xml:space="preserve"> plants (O’Leary 1988). CAM plants include </w:t>
      </w:r>
      <w:r w:rsidR="00DA3A94" w:rsidRPr="00223ED3">
        <w:rPr>
          <w:lang w:val="en-US"/>
        </w:rPr>
        <w:t>pineapple</w:t>
      </w:r>
      <w:r w:rsidR="00DA3A94">
        <w:rPr>
          <w:lang w:val="en-US"/>
        </w:rPr>
        <w:t>,</w:t>
      </w:r>
      <w:r w:rsidR="00DA3A94" w:rsidRPr="00223ED3">
        <w:rPr>
          <w:lang w:val="en-US"/>
        </w:rPr>
        <w:t xml:space="preserve"> </w:t>
      </w:r>
      <w:r w:rsidRPr="00223ED3">
        <w:rPr>
          <w:lang w:val="en-US"/>
        </w:rPr>
        <w:t>succulents, and other desert plants. The majority of native plants that grow in temperate zones are typically C</w:t>
      </w:r>
      <w:r w:rsidRPr="00223ED3">
        <w:rPr>
          <w:vertAlign w:val="subscript"/>
          <w:lang w:val="en-US"/>
        </w:rPr>
        <w:t>3</w:t>
      </w:r>
      <w:r w:rsidRPr="00223ED3">
        <w:rPr>
          <w:lang w:val="en-US"/>
        </w:rPr>
        <w:t xml:space="preserve"> plants, meanwhile C</w:t>
      </w:r>
      <w:r w:rsidRPr="00223ED3">
        <w:rPr>
          <w:vertAlign w:val="subscript"/>
          <w:lang w:val="en-US"/>
        </w:rPr>
        <w:t>4</w:t>
      </w:r>
      <w:r w:rsidRPr="00223ED3">
        <w:rPr>
          <w:lang w:val="en-US"/>
        </w:rPr>
        <w:t xml:space="preserve"> plants thrive in hot and arid environments. Some examples of C</w:t>
      </w:r>
      <w:r w:rsidRPr="00223ED3">
        <w:rPr>
          <w:vertAlign w:val="subscript"/>
          <w:lang w:val="en-US"/>
        </w:rPr>
        <w:t>3</w:t>
      </w:r>
      <w:r w:rsidRPr="00223ED3">
        <w:rPr>
          <w:lang w:val="en-US"/>
        </w:rPr>
        <w:t xml:space="preserve"> plants include: wheat, barley, oats, rice</w:t>
      </w:r>
      <w:r w:rsidR="000C7F14">
        <w:rPr>
          <w:lang w:val="en-US"/>
        </w:rPr>
        <w:t>,</w:t>
      </w:r>
      <w:r w:rsidRPr="00223ED3">
        <w:rPr>
          <w:lang w:val="en-US"/>
        </w:rPr>
        <w:t xml:space="preserve"> and root starches such as potato, manioc and yam, which have </w:t>
      </w:r>
      <w:r w:rsidRPr="00223ED3">
        <w:rPr>
          <w:lang w:val="en-US"/>
        </w:rPr>
        <w:sym w:font="Symbol" w:char="F064"/>
      </w:r>
      <w:r w:rsidRPr="00223ED3">
        <w:rPr>
          <w:vertAlign w:val="superscript"/>
          <w:lang w:val="en-US"/>
        </w:rPr>
        <w:t>13</w:t>
      </w:r>
      <w:r w:rsidRPr="00223ED3">
        <w:rPr>
          <w:lang w:val="en-US"/>
        </w:rPr>
        <w:t>C values from -22 to -38</w:t>
      </w:r>
      <w:r w:rsidRPr="00223ED3">
        <w:rPr>
          <w:rFonts w:eastAsia="Helvetica"/>
          <w:lang w:val="en-US"/>
        </w:rPr>
        <w:t>‰ but averag</w:t>
      </w:r>
      <w:r w:rsidR="000C7F14">
        <w:rPr>
          <w:rFonts w:eastAsia="Helvetica"/>
          <w:lang w:val="en-US"/>
        </w:rPr>
        <w:t>e</w:t>
      </w:r>
      <w:r w:rsidRPr="00223ED3">
        <w:rPr>
          <w:rFonts w:eastAsia="Helvetica"/>
          <w:lang w:val="en-US"/>
        </w:rPr>
        <w:t xml:space="preserve"> at -26‰</w:t>
      </w:r>
      <w:r w:rsidRPr="00223ED3">
        <w:rPr>
          <w:lang w:val="en-US"/>
        </w:rPr>
        <w:t>. C</w:t>
      </w:r>
      <w:r w:rsidRPr="00223ED3">
        <w:rPr>
          <w:vertAlign w:val="subscript"/>
          <w:lang w:val="en-US"/>
        </w:rPr>
        <w:t xml:space="preserve">4 </w:t>
      </w:r>
      <w:r w:rsidRPr="00223ED3">
        <w:rPr>
          <w:lang w:val="en-US"/>
        </w:rPr>
        <w:t xml:space="preserve">plants include: maize, millet, and sorghum, which have </w:t>
      </w:r>
      <w:r w:rsidRPr="00223ED3">
        <w:rPr>
          <w:lang w:val="en-US"/>
        </w:rPr>
        <w:sym w:font="Symbol" w:char="F064"/>
      </w:r>
      <w:r w:rsidRPr="00223ED3">
        <w:rPr>
          <w:vertAlign w:val="superscript"/>
          <w:lang w:val="en-US"/>
        </w:rPr>
        <w:t>13</w:t>
      </w:r>
      <w:r w:rsidRPr="00223ED3">
        <w:rPr>
          <w:lang w:val="en-US"/>
        </w:rPr>
        <w:t>C values averaging around -13</w:t>
      </w:r>
      <w:r w:rsidRPr="00223ED3">
        <w:rPr>
          <w:rFonts w:eastAsia="Helvetica"/>
          <w:lang w:val="en-US"/>
        </w:rPr>
        <w:t xml:space="preserve">‰ </w:t>
      </w:r>
      <w:r w:rsidRPr="00223ED3">
        <w:rPr>
          <w:lang w:val="en-US"/>
        </w:rPr>
        <w:t>and range from -9 to -21</w:t>
      </w:r>
      <w:r w:rsidRPr="00223ED3">
        <w:rPr>
          <w:rFonts w:eastAsia="Helvetica"/>
          <w:lang w:val="en-US"/>
        </w:rPr>
        <w:t xml:space="preserve">‰. </w:t>
      </w:r>
      <w:r w:rsidRPr="00223ED3">
        <w:rPr>
          <w:lang w:val="en-US"/>
        </w:rPr>
        <w:t xml:space="preserve">Since the </w:t>
      </w:r>
      <w:r w:rsidRPr="00223ED3">
        <w:rPr>
          <w:lang w:val="en-US"/>
        </w:rPr>
        <w:sym w:font="Symbol" w:char="F064"/>
      </w:r>
      <w:r w:rsidRPr="00223ED3">
        <w:rPr>
          <w:vertAlign w:val="superscript"/>
          <w:lang w:val="en-US"/>
        </w:rPr>
        <w:t>13</w:t>
      </w:r>
      <w:r w:rsidRPr="00223ED3">
        <w:rPr>
          <w:lang w:val="en-US"/>
        </w:rPr>
        <w:t>C values of C</w:t>
      </w:r>
      <w:r w:rsidRPr="00223ED3">
        <w:rPr>
          <w:vertAlign w:val="subscript"/>
          <w:lang w:val="en-US"/>
        </w:rPr>
        <w:t>3</w:t>
      </w:r>
      <w:r w:rsidRPr="00223ED3">
        <w:rPr>
          <w:lang w:val="en-US"/>
        </w:rPr>
        <w:t xml:space="preserve"> plants differ from those of C</w:t>
      </w:r>
      <w:r w:rsidRPr="00223ED3">
        <w:rPr>
          <w:vertAlign w:val="subscript"/>
          <w:lang w:val="en-US"/>
        </w:rPr>
        <w:t>4</w:t>
      </w:r>
      <w:r w:rsidRPr="00223ED3">
        <w:rPr>
          <w:lang w:val="en-US"/>
        </w:rPr>
        <w:t xml:space="preserve"> plants, carbon isotope ratios of </w:t>
      </w:r>
      <w:r w:rsidRPr="00223ED3">
        <w:rPr>
          <w:lang w:val="en-US"/>
        </w:rPr>
        <w:lastRenderedPageBreak/>
        <w:t>human remains can indicate the</w:t>
      </w:r>
      <w:r w:rsidR="000C7F14">
        <w:rPr>
          <w:lang w:val="en-US"/>
        </w:rPr>
        <w:t xml:space="preserve"> broad</w:t>
      </w:r>
      <w:r w:rsidRPr="00223ED3">
        <w:rPr>
          <w:lang w:val="en-US"/>
        </w:rPr>
        <w:t xml:space="preserve"> type of diet that was consumed (Katzenberg et al. 1995). Additionally, stable carbon isotope analysis can be used to indicate the amount of marine versus terrestrial foods that was present in an individual</w:t>
      </w:r>
      <w:r w:rsidRPr="00223ED3">
        <w:rPr>
          <w:rFonts w:eastAsia="Helvetica"/>
          <w:lang w:val="en-US"/>
        </w:rPr>
        <w:t>’</w:t>
      </w:r>
      <w:r w:rsidRPr="00223ED3">
        <w:rPr>
          <w:lang w:val="en-US"/>
        </w:rPr>
        <w:t>s diet. Marine plants draw their carbon from dissolved bicarbonate (</w:t>
      </w:r>
      <w:r w:rsidRPr="00223ED3">
        <w:rPr>
          <w:color w:val="222222"/>
          <w:shd w:val="clear" w:color="auto" w:fill="FFFFFF"/>
          <w:lang w:val="en-US"/>
        </w:rPr>
        <w:t>HCO</w:t>
      </w:r>
      <w:r w:rsidRPr="00223ED3">
        <w:rPr>
          <w:color w:val="222222"/>
          <w:shd w:val="clear" w:color="auto" w:fill="FFFFFF"/>
          <w:vertAlign w:val="subscript"/>
          <w:lang w:val="en-US"/>
        </w:rPr>
        <w:t>3</w:t>
      </w:r>
      <w:r w:rsidRPr="00223ED3">
        <w:rPr>
          <w:color w:val="222222"/>
          <w:shd w:val="clear" w:color="auto" w:fill="FFFFFF"/>
          <w:lang w:val="en-US"/>
        </w:rPr>
        <w:t xml:space="preserve">-) </w:t>
      </w:r>
      <w:r w:rsidRPr="00223ED3">
        <w:rPr>
          <w:lang w:val="en-US"/>
        </w:rPr>
        <w:t xml:space="preserve">in the ocean, resulting in </w:t>
      </w:r>
      <w:r w:rsidRPr="00223ED3">
        <w:rPr>
          <w:vertAlign w:val="superscript"/>
          <w:lang w:val="en-US"/>
        </w:rPr>
        <w:t>13</w:t>
      </w:r>
      <w:r w:rsidRPr="00223ED3">
        <w:rPr>
          <w:lang w:val="en-US"/>
        </w:rPr>
        <w:t>C-enriched tissues over terrestrial C</w:t>
      </w:r>
      <w:r w:rsidRPr="00223ED3">
        <w:rPr>
          <w:vertAlign w:val="subscript"/>
          <w:lang w:val="en-US"/>
        </w:rPr>
        <w:t>3</w:t>
      </w:r>
      <w:r w:rsidRPr="00223ED3">
        <w:rPr>
          <w:lang w:val="en-US"/>
        </w:rPr>
        <w:t xml:space="preserve"> plants, </w:t>
      </w:r>
      <w:r w:rsidR="00BD214D">
        <w:rPr>
          <w:lang w:val="en-US"/>
        </w:rPr>
        <w:t>hence</w:t>
      </w:r>
      <w:r w:rsidRPr="00223ED3">
        <w:rPr>
          <w:lang w:val="en-US"/>
        </w:rPr>
        <w:t xml:space="preserve"> humans consuming an exclusive marine diet would have higher </w:t>
      </w:r>
      <w:r w:rsidRPr="00223ED3">
        <w:rPr>
          <w:lang w:val="en-US"/>
        </w:rPr>
        <w:sym w:font="Symbol" w:char="F064"/>
      </w:r>
      <w:r w:rsidRPr="00223ED3">
        <w:rPr>
          <w:vertAlign w:val="superscript"/>
          <w:lang w:val="en-US"/>
        </w:rPr>
        <w:t>13</w:t>
      </w:r>
      <w:r w:rsidRPr="00223ED3">
        <w:rPr>
          <w:lang w:val="en-US"/>
        </w:rPr>
        <w:t>C values</w:t>
      </w:r>
      <w:r w:rsidR="000C7F14">
        <w:rPr>
          <w:lang w:val="en-US"/>
        </w:rPr>
        <w:t>,</w:t>
      </w:r>
      <w:r w:rsidRPr="00223ED3">
        <w:rPr>
          <w:lang w:val="en-US"/>
        </w:rPr>
        <w:t xml:space="preserve"> between -11 to -12</w:t>
      </w:r>
      <w:r w:rsidRPr="00223ED3">
        <w:rPr>
          <w:rFonts w:eastAsia="Helvetica"/>
          <w:lang w:val="en-US"/>
        </w:rPr>
        <w:t>‰ (Chisholm et al. 1982; Katzenberg 200</w:t>
      </w:r>
      <w:r w:rsidR="00B569CF" w:rsidRPr="00223ED3">
        <w:rPr>
          <w:rFonts w:eastAsia="Helvetica"/>
          <w:lang w:val="en-US"/>
        </w:rPr>
        <w:t>8</w:t>
      </w:r>
      <w:r w:rsidRPr="00223ED3">
        <w:rPr>
          <w:rFonts w:eastAsia="Helvetica"/>
          <w:lang w:val="en-US"/>
        </w:rPr>
        <w:t>; Lee-Thor</w:t>
      </w:r>
      <w:r w:rsidR="00B84B25" w:rsidRPr="00223ED3">
        <w:rPr>
          <w:rFonts w:eastAsia="Helvetica"/>
          <w:lang w:val="en-US"/>
        </w:rPr>
        <w:t>p</w:t>
      </w:r>
      <w:r w:rsidRPr="00223ED3">
        <w:rPr>
          <w:rFonts w:eastAsia="Helvetica"/>
          <w:lang w:val="en-US"/>
        </w:rPr>
        <w:t xml:space="preserve"> 2008). </w:t>
      </w:r>
    </w:p>
    <w:p w14:paraId="51780DFB" w14:textId="77777777" w:rsidR="00FF0311" w:rsidRPr="00223ED3" w:rsidRDefault="00FF0311" w:rsidP="00FF0311">
      <w:pPr>
        <w:ind w:firstLine="360"/>
        <w:rPr>
          <w:lang w:val="en-US"/>
        </w:rPr>
      </w:pPr>
    </w:p>
    <w:p w14:paraId="0CA36891" w14:textId="0E29486B" w:rsidR="00AF6259" w:rsidRDefault="003B5B7F" w:rsidP="00FC3473">
      <w:pPr>
        <w:spacing w:line="480" w:lineRule="auto"/>
        <w:ind w:firstLine="720"/>
        <w:rPr>
          <w:lang w:val="en-US"/>
        </w:rPr>
      </w:pPr>
      <w:bookmarkStart w:id="1" w:name="OLE_LINK6"/>
      <w:bookmarkStart w:id="2" w:name="OLE_LINK7"/>
      <w:r w:rsidRPr="00223ED3">
        <w:rPr>
          <w:lang w:val="en-US"/>
        </w:rPr>
        <w:t>Carbon isotope ratios are not often used on their own to understand breastfeeding and weaning due to the fact that carbon has a smaller trophic level effect (i.e., ~1</w:t>
      </w:r>
      <w:r w:rsidRPr="00223ED3">
        <w:rPr>
          <w:rFonts w:eastAsia="Helvetica"/>
          <w:lang w:val="en-US"/>
        </w:rPr>
        <w:t xml:space="preserve">‰) </w:t>
      </w:r>
      <w:r w:rsidRPr="00223ED3">
        <w:rPr>
          <w:rFonts w:eastAsia="Helvetica"/>
          <w:color w:val="000000" w:themeColor="text1"/>
          <w:lang w:val="en-US"/>
        </w:rPr>
        <w:t>(</w:t>
      </w:r>
      <w:r w:rsidR="00837720" w:rsidRPr="00223ED3">
        <w:rPr>
          <w:rFonts w:eastAsia="Helvetica"/>
          <w:color w:val="000000" w:themeColor="text1"/>
          <w:lang w:val="en-US"/>
        </w:rPr>
        <w:t xml:space="preserve">Richards et al. 2002; Fuller et al. 2003). </w:t>
      </w:r>
      <w:r w:rsidRPr="00223ED3">
        <w:rPr>
          <w:lang w:val="en-US"/>
        </w:rPr>
        <w:t xml:space="preserve">Accordingly, </w:t>
      </w:r>
      <w:r w:rsidRPr="00223ED3">
        <w:rPr>
          <w:lang w:val="en-US"/>
        </w:rPr>
        <w:sym w:font="Symbol" w:char="F064"/>
      </w:r>
      <w:r w:rsidRPr="00223ED3">
        <w:rPr>
          <w:vertAlign w:val="superscript"/>
          <w:lang w:val="en-US"/>
        </w:rPr>
        <w:t>13</w:t>
      </w:r>
      <w:r w:rsidRPr="00223ED3">
        <w:rPr>
          <w:lang w:val="en-US"/>
        </w:rPr>
        <w:t xml:space="preserve">C values are analyzed along with </w:t>
      </w:r>
      <w:r w:rsidRPr="00223ED3">
        <w:rPr>
          <w:lang w:val="en-US"/>
        </w:rPr>
        <w:sym w:font="Symbol" w:char="F064"/>
      </w:r>
      <w:r w:rsidRPr="00223ED3">
        <w:rPr>
          <w:vertAlign w:val="superscript"/>
          <w:lang w:val="en-US"/>
        </w:rPr>
        <w:t>15</w:t>
      </w:r>
      <w:r w:rsidRPr="00223ED3">
        <w:rPr>
          <w:lang w:val="en-US"/>
        </w:rPr>
        <w:t xml:space="preserve">N data to detect the introduction of complementary foods during the weaning process. </w:t>
      </w:r>
      <w:r w:rsidR="000C7F14">
        <w:rPr>
          <w:lang w:val="en-US"/>
        </w:rPr>
        <w:t>Delta</w:t>
      </w:r>
      <w:r w:rsidRPr="00223ED3">
        <w:rPr>
          <w:vertAlign w:val="superscript"/>
          <w:lang w:val="en-US"/>
        </w:rPr>
        <w:t>13</w:t>
      </w:r>
      <w:r w:rsidRPr="00223ED3">
        <w:rPr>
          <w:lang w:val="en-US"/>
        </w:rPr>
        <w:t>C data can be</w:t>
      </w:r>
      <w:r w:rsidR="00DB3F42" w:rsidRPr="00223ED3">
        <w:rPr>
          <w:lang w:val="en-US"/>
        </w:rPr>
        <w:t xml:space="preserve"> also</w:t>
      </w:r>
      <w:r w:rsidRPr="00223ED3">
        <w:rPr>
          <w:lang w:val="en-US"/>
        </w:rPr>
        <w:t xml:space="preserve"> used to infer the use of C</w:t>
      </w:r>
      <w:r w:rsidRPr="00223ED3">
        <w:rPr>
          <w:vertAlign w:val="subscript"/>
          <w:lang w:val="en-US"/>
        </w:rPr>
        <w:t>4</w:t>
      </w:r>
      <w:r w:rsidRPr="00223ED3">
        <w:rPr>
          <w:lang w:val="en-US"/>
        </w:rPr>
        <w:t xml:space="preserve">-based weaning foods or possibly early introduction of marine foods in the weanling diet, all of which would result in higher </w:t>
      </w:r>
      <w:r w:rsidRPr="00223ED3">
        <w:rPr>
          <w:lang w:val="en-US"/>
        </w:rPr>
        <w:sym w:font="Symbol" w:char="F064"/>
      </w:r>
      <w:r w:rsidRPr="00223ED3">
        <w:rPr>
          <w:vertAlign w:val="superscript"/>
          <w:lang w:val="en-US"/>
        </w:rPr>
        <w:t>13</w:t>
      </w:r>
      <w:r w:rsidRPr="00223ED3">
        <w:rPr>
          <w:lang w:val="en-US"/>
        </w:rPr>
        <w:t>C values.</w:t>
      </w:r>
    </w:p>
    <w:bookmarkEnd w:id="1"/>
    <w:bookmarkEnd w:id="2"/>
    <w:p w14:paraId="60CBE17F" w14:textId="77777777" w:rsidR="00FC3473" w:rsidRPr="00223ED3" w:rsidRDefault="00FC3473" w:rsidP="00FC3473">
      <w:pPr>
        <w:ind w:firstLine="720"/>
        <w:rPr>
          <w:lang w:val="en-US"/>
        </w:rPr>
      </w:pPr>
    </w:p>
    <w:p w14:paraId="7589DFED" w14:textId="05BD2F5A" w:rsidR="00DB3F42" w:rsidRDefault="003B5B7F" w:rsidP="00FF0311">
      <w:pPr>
        <w:pStyle w:val="ListParagraph"/>
        <w:numPr>
          <w:ilvl w:val="2"/>
          <w:numId w:val="26"/>
        </w:numPr>
        <w:tabs>
          <w:tab w:val="left" w:pos="142"/>
          <w:tab w:val="left" w:pos="284"/>
          <w:tab w:val="left" w:pos="709"/>
        </w:tabs>
        <w:spacing w:line="480" w:lineRule="auto"/>
        <w:rPr>
          <w:rFonts w:ascii="Times New Roman" w:hAnsi="Times New Roman" w:cs="Times New Roman"/>
        </w:rPr>
      </w:pPr>
      <w:r w:rsidRPr="00FF0311">
        <w:rPr>
          <w:rFonts w:ascii="Times New Roman" w:hAnsi="Times New Roman" w:cs="Times New Roman"/>
        </w:rPr>
        <w:t>Oxygen</w:t>
      </w:r>
    </w:p>
    <w:p w14:paraId="45CE4904" w14:textId="77777777" w:rsidR="00FF0311" w:rsidRPr="00FF0311" w:rsidRDefault="00FF0311" w:rsidP="00FF0311">
      <w:pPr>
        <w:pStyle w:val="ListParagraph"/>
        <w:rPr>
          <w:rFonts w:ascii="Times New Roman" w:hAnsi="Times New Roman" w:cs="Times New Roman"/>
        </w:rPr>
      </w:pPr>
    </w:p>
    <w:p w14:paraId="6DAF1727" w14:textId="1A58273A" w:rsidR="003B5B7F" w:rsidRPr="00223ED3" w:rsidRDefault="003B5B7F" w:rsidP="00C36CC1">
      <w:pPr>
        <w:spacing w:line="480" w:lineRule="auto"/>
        <w:ind w:firstLine="720"/>
        <w:rPr>
          <w:lang w:val="en-US"/>
        </w:rPr>
      </w:pPr>
      <w:r w:rsidRPr="00223ED3">
        <w:rPr>
          <w:lang w:val="en-US"/>
        </w:rPr>
        <w:t>Oxygen isotopes (</w:t>
      </w:r>
      <w:r w:rsidRPr="00223ED3">
        <w:rPr>
          <w:lang w:val="en-US"/>
        </w:rPr>
        <w:sym w:font="Symbol" w:char="F064"/>
      </w:r>
      <w:r w:rsidRPr="00223ED3">
        <w:rPr>
          <w:vertAlign w:val="superscript"/>
          <w:lang w:val="en-US"/>
        </w:rPr>
        <w:t>18</w:t>
      </w:r>
      <w:r w:rsidRPr="00223ED3">
        <w:rPr>
          <w:lang w:val="en-US"/>
        </w:rPr>
        <w:t xml:space="preserve">O) are predominantly used to investigate geographic origins and mobility in past human populations rather than diet or breastfeeding. This is because the oxygen in local precipitation largely determines the </w:t>
      </w:r>
      <w:r w:rsidRPr="00223ED3">
        <w:rPr>
          <w:lang w:val="en-US"/>
        </w:rPr>
        <w:sym w:font="Symbol" w:char="F064"/>
      </w:r>
      <w:r w:rsidRPr="00223ED3">
        <w:rPr>
          <w:vertAlign w:val="superscript"/>
          <w:lang w:val="en-US"/>
        </w:rPr>
        <w:t>18</w:t>
      </w:r>
      <w:r w:rsidRPr="00223ED3">
        <w:rPr>
          <w:lang w:val="en-US"/>
        </w:rPr>
        <w:t xml:space="preserve">O values in human tissues and this differs according to latitude, temperature, humidity, and distance from water. However, </w:t>
      </w:r>
      <w:r w:rsidRPr="00223ED3">
        <w:rPr>
          <w:lang w:val="en-US"/>
        </w:rPr>
        <w:sym w:font="Symbol" w:char="F064"/>
      </w:r>
      <w:r w:rsidRPr="00223ED3">
        <w:rPr>
          <w:vertAlign w:val="superscript"/>
          <w:lang w:val="en-US"/>
        </w:rPr>
        <w:t>18</w:t>
      </w:r>
      <w:r w:rsidRPr="00223ED3">
        <w:rPr>
          <w:lang w:val="en-US"/>
        </w:rPr>
        <w:t xml:space="preserve">O can be used to signal exclusively breastfed infants, due to the fact that </w:t>
      </w:r>
      <w:r w:rsidRPr="00223ED3">
        <w:rPr>
          <w:lang w:val="en-US"/>
        </w:rPr>
        <w:lastRenderedPageBreak/>
        <w:t xml:space="preserve">they have higher </w:t>
      </w:r>
      <w:r w:rsidRPr="00223ED3">
        <w:rPr>
          <w:lang w:val="en-US"/>
        </w:rPr>
        <w:sym w:font="Symbol" w:char="F064"/>
      </w:r>
      <w:r w:rsidRPr="00223ED3">
        <w:rPr>
          <w:vertAlign w:val="superscript"/>
          <w:lang w:val="en-US"/>
        </w:rPr>
        <w:t>18</w:t>
      </w:r>
      <w:r w:rsidRPr="00223ED3">
        <w:rPr>
          <w:lang w:val="en-US"/>
        </w:rPr>
        <w:t>O values than adult females</w:t>
      </w:r>
      <w:r w:rsidR="00690949">
        <w:rPr>
          <w:lang w:val="en-US"/>
        </w:rPr>
        <w:t>,</w:t>
      </w:r>
      <w:r w:rsidRPr="00223ED3">
        <w:rPr>
          <w:lang w:val="en-US"/>
        </w:rPr>
        <w:t xml:space="preserve"> by approximately 2</w:t>
      </w:r>
      <w:r w:rsidRPr="00223ED3">
        <w:rPr>
          <w:rFonts w:eastAsia="Helvetica"/>
          <w:lang w:val="en-US"/>
        </w:rPr>
        <w:t>‰</w:t>
      </w:r>
      <w:r w:rsidRPr="00223ED3">
        <w:rPr>
          <w:lang w:val="en-US"/>
        </w:rPr>
        <w:t xml:space="preserve"> (Moffat &amp; Prowse</w:t>
      </w:r>
      <w:r w:rsidR="000F3297" w:rsidRPr="00223ED3">
        <w:rPr>
          <w:lang w:val="en-US"/>
        </w:rPr>
        <w:t xml:space="preserve"> </w:t>
      </w:r>
      <w:r w:rsidRPr="00223ED3">
        <w:rPr>
          <w:lang w:val="en-US"/>
        </w:rPr>
        <w:t>2018)</w:t>
      </w:r>
      <w:r w:rsidRPr="00223ED3">
        <w:rPr>
          <w:rFonts w:eastAsia="Helvetica"/>
          <w:color w:val="000000"/>
          <w:lang w:val="en-US"/>
        </w:rPr>
        <w:t xml:space="preserve">. As human breast milk is produced from available sources of water, it becomes enriched in </w:t>
      </w:r>
      <w:r w:rsidRPr="00223ED3">
        <w:rPr>
          <w:vertAlign w:val="superscript"/>
          <w:lang w:val="en-US"/>
        </w:rPr>
        <w:t>18</w:t>
      </w:r>
      <w:r w:rsidRPr="00223ED3">
        <w:rPr>
          <w:lang w:val="en-US"/>
        </w:rPr>
        <w:t xml:space="preserve">O over the water consumed by the mother. In addition to documenting this </w:t>
      </w:r>
      <w:r w:rsidR="00DC7DBA">
        <w:rPr>
          <w:lang w:val="en-US"/>
        </w:rPr>
        <w:t>“</w:t>
      </w:r>
      <w:r w:rsidRPr="00223ED3">
        <w:rPr>
          <w:lang w:val="en-US"/>
        </w:rPr>
        <w:t>weaning signal</w:t>
      </w:r>
      <w:r w:rsidR="00DC7DBA">
        <w:rPr>
          <w:lang w:val="en-US"/>
        </w:rPr>
        <w:t>”</w:t>
      </w:r>
      <w:r w:rsidRPr="00223ED3">
        <w:rPr>
          <w:lang w:val="en-US"/>
        </w:rPr>
        <w:t xml:space="preserve"> in archaeological </w:t>
      </w:r>
      <w:r w:rsidR="00690949">
        <w:rPr>
          <w:lang w:val="en-US"/>
        </w:rPr>
        <w:t>samples</w:t>
      </w:r>
      <w:r w:rsidR="00690949" w:rsidRPr="00223ED3">
        <w:rPr>
          <w:lang w:val="en-US"/>
        </w:rPr>
        <w:t xml:space="preserve"> </w:t>
      </w:r>
      <w:r w:rsidRPr="00223ED3">
        <w:rPr>
          <w:lang w:val="en-US"/>
        </w:rPr>
        <w:t>(</w:t>
      </w:r>
      <w:r w:rsidR="00153E5C">
        <w:rPr>
          <w:lang w:val="en-US"/>
        </w:rPr>
        <w:t xml:space="preserve">e.g., </w:t>
      </w:r>
      <w:r w:rsidRPr="00223ED3">
        <w:rPr>
          <w:color w:val="000000" w:themeColor="text1"/>
          <w:lang w:val="en-US"/>
        </w:rPr>
        <w:t xml:space="preserve">Wright &amp; Schwarcz 1998; </w:t>
      </w:r>
      <w:r w:rsidR="000F3297" w:rsidRPr="00223ED3">
        <w:rPr>
          <w:color w:val="000000" w:themeColor="text1"/>
          <w:lang w:val="en-US"/>
        </w:rPr>
        <w:t xml:space="preserve">White et al. 2004; Williams et al. 2005; </w:t>
      </w:r>
      <w:r w:rsidRPr="00223ED3">
        <w:rPr>
          <w:color w:val="000000" w:themeColor="text1"/>
          <w:lang w:val="en-US"/>
        </w:rPr>
        <w:t xml:space="preserve">Britton et al. 2015) </w:t>
      </w:r>
      <w:r w:rsidRPr="00223ED3">
        <w:rPr>
          <w:lang w:val="en-US"/>
        </w:rPr>
        <w:t xml:space="preserve">it has also been </w:t>
      </w:r>
      <w:r w:rsidR="000F3297" w:rsidRPr="00223ED3">
        <w:rPr>
          <w:lang w:val="en-US"/>
        </w:rPr>
        <w:t>used to infer weaning in</w:t>
      </w:r>
      <w:r w:rsidRPr="00223ED3">
        <w:rPr>
          <w:lang w:val="en-US"/>
        </w:rPr>
        <w:t xml:space="preserve"> both extant and extinct animals (</w:t>
      </w:r>
      <w:r w:rsidR="00153E5C">
        <w:rPr>
          <w:lang w:val="en-US"/>
        </w:rPr>
        <w:t xml:space="preserve">e.g., </w:t>
      </w:r>
      <w:r w:rsidRPr="00223ED3">
        <w:rPr>
          <w:lang w:val="en-US"/>
        </w:rPr>
        <w:t>Franz-Odendaal et al. 2003).</w:t>
      </w:r>
    </w:p>
    <w:p w14:paraId="711830E5" w14:textId="77777777" w:rsidR="003B5B7F" w:rsidRPr="00223ED3" w:rsidRDefault="003B5B7F" w:rsidP="00FF0311">
      <w:pPr>
        <w:rPr>
          <w:lang w:val="en-US"/>
        </w:rPr>
      </w:pPr>
    </w:p>
    <w:p w14:paraId="77951EE3" w14:textId="3B41788D" w:rsidR="003B5B7F" w:rsidRPr="00FF0311" w:rsidRDefault="003B5B7F" w:rsidP="00FF0311">
      <w:pPr>
        <w:pStyle w:val="ListParagraph"/>
        <w:numPr>
          <w:ilvl w:val="1"/>
          <w:numId w:val="26"/>
        </w:numPr>
        <w:spacing w:line="480" w:lineRule="auto"/>
        <w:rPr>
          <w:rFonts w:ascii="Times New Roman" w:hAnsi="Times New Roman" w:cs="Times New Roman"/>
          <w:b/>
        </w:rPr>
      </w:pPr>
      <w:r w:rsidRPr="00FF0311">
        <w:rPr>
          <w:rFonts w:ascii="Times New Roman" w:hAnsi="Times New Roman" w:cs="Times New Roman"/>
          <w:b/>
        </w:rPr>
        <w:t xml:space="preserve">Sampling for Stable Isotope Analysis in IYCF Archaeological Studies </w:t>
      </w:r>
    </w:p>
    <w:p w14:paraId="46335B46" w14:textId="77777777" w:rsidR="00FF0311" w:rsidRPr="00FF0311" w:rsidRDefault="00FF0311" w:rsidP="00FF0311">
      <w:pPr>
        <w:pStyle w:val="ListParagraph"/>
        <w:ind w:left="480"/>
        <w:rPr>
          <w:b/>
        </w:rPr>
      </w:pPr>
    </w:p>
    <w:p w14:paraId="4F44BF86" w14:textId="1EDEFE1A" w:rsidR="003B5B7F" w:rsidRDefault="003B5B7F" w:rsidP="00AF6259">
      <w:pPr>
        <w:pStyle w:val="ListParagraph"/>
        <w:spacing w:line="480" w:lineRule="auto"/>
        <w:ind w:left="0" w:firstLine="720"/>
        <w:rPr>
          <w:rFonts w:ascii="Times New Roman" w:hAnsi="Times New Roman" w:cs="Times New Roman"/>
        </w:rPr>
      </w:pPr>
      <w:r w:rsidRPr="00754EB2">
        <w:rPr>
          <w:rFonts w:ascii="Times New Roman" w:hAnsi="Times New Roman" w:cs="Times New Roman"/>
        </w:rPr>
        <w:t>Isotopic analysis can essentially be performed on any tissue created through metabolic processes, including blood, hair, skin and fingernails (</w:t>
      </w:r>
      <w:r w:rsidRPr="008C4A6A">
        <w:rPr>
          <w:rFonts w:ascii="Times New Roman" w:hAnsi="Times New Roman" w:cs="Times New Roman"/>
          <w:color w:val="000000" w:themeColor="text1"/>
        </w:rPr>
        <w:t>Brady 20</w:t>
      </w:r>
      <w:r w:rsidR="00420782" w:rsidRPr="008C4A6A">
        <w:rPr>
          <w:rFonts w:ascii="Times New Roman" w:hAnsi="Times New Roman" w:cs="Times New Roman"/>
          <w:color w:val="000000" w:themeColor="text1"/>
        </w:rPr>
        <w:t>04</w:t>
      </w:r>
      <w:r w:rsidRPr="008C4A6A">
        <w:rPr>
          <w:rFonts w:ascii="Times New Roman" w:hAnsi="Times New Roman" w:cs="Times New Roman"/>
          <w:color w:val="000000" w:themeColor="text1"/>
        </w:rPr>
        <w:t xml:space="preserve">). </w:t>
      </w:r>
      <w:r w:rsidRPr="008C4A6A">
        <w:rPr>
          <w:rFonts w:ascii="Times New Roman" w:hAnsi="Times New Roman" w:cs="Times New Roman"/>
        </w:rPr>
        <w:t xml:space="preserve">Yet the most commonly used materials for isotopic analysis of past human diet are bones and teeth, as other fragile materials preserve poorly. </w:t>
      </w:r>
      <w:r w:rsidR="00EB0CB9">
        <w:rPr>
          <w:rFonts w:ascii="Times New Roman" w:hAnsi="Times New Roman" w:cs="Times New Roman"/>
        </w:rPr>
        <w:t>B</w:t>
      </w:r>
      <w:r w:rsidRPr="008C4A6A">
        <w:rPr>
          <w:rFonts w:ascii="Times New Roman" w:hAnsi="Times New Roman" w:cs="Times New Roman"/>
        </w:rPr>
        <w:t>one is made up of an organic (collagen) component that principally reflects dietary protein, and an inorganic (hydroxyapatite) component that reflects total diet (protein, carbohydrates, and lipids). Both the organic and inorganic components can be analyzed for dietary reconstruction as both contain carbon, but only collagen contains nitrogen and only hydroxyapatite contains oxygen (Brady 20</w:t>
      </w:r>
      <w:r w:rsidR="00B519E4" w:rsidRPr="008C4A6A">
        <w:rPr>
          <w:rFonts w:ascii="Times New Roman" w:hAnsi="Times New Roman" w:cs="Times New Roman"/>
        </w:rPr>
        <w:t>04</w:t>
      </w:r>
      <w:r w:rsidRPr="008C4A6A">
        <w:rPr>
          <w:rFonts w:ascii="Times New Roman" w:hAnsi="Times New Roman" w:cs="Times New Roman"/>
        </w:rPr>
        <w:t xml:space="preserve">). For the study of breastfeeding and weaning, collagen is useful because it has relatively large amounts of nitrogen. </w:t>
      </w:r>
    </w:p>
    <w:p w14:paraId="6616C929" w14:textId="77777777" w:rsidR="002105FB" w:rsidRPr="008C4A6A" w:rsidRDefault="002105FB" w:rsidP="00DC7DBA">
      <w:pPr>
        <w:pStyle w:val="ListParagraph"/>
        <w:ind w:left="0" w:firstLine="720"/>
        <w:rPr>
          <w:rFonts w:ascii="Times New Roman" w:hAnsi="Times New Roman" w:cs="Times New Roman"/>
        </w:rPr>
      </w:pPr>
    </w:p>
    <w:p w14:paraId="7D2A28CB" w14:textId="7D338ED8" w:rsidR="00836D71" w:rsidRDefault="003B5B7F" w:rsidP="00AF6259">
      <w:pPr>
        <w:pStyle w:val="ListParagraph"/>
        <w:spacing w:line="480" w:lineRule="auto"/>
        <w:ind w:left="0" w:firstLine="720"/>
        <w:rPr>
          <w:rFonts w:ascii="Times New Roman" w:eastAsia="Times New Roman" w:hAnsi="Times New Roman" w:cs="Times New Roman"/>
        </w:rPr>
      </w:pPr>
      <w:r w:rsidRPr="008C4A6A">
        <w:rPr>
          <w:rFonts w:ascii="Times New Roman" w:hAnsi="Times New Roman" w:cs="Times New Roman"/>
        </w:rPr>
        <w:t>Bone is a dynamic tissue that undergoes continual remodeling to attain and preserve skeletal size, shape and structural integrity as well as regulate mineral homeostasis (Raggatt</w:t>
      </w:r>
      <w:r w:rsidR="00DA7BDD" w:rsidRPr="008C4A6A">
        <w:rPr>
          <w:rFonts w:ascii="Times New Roman" w:hAnsi="Times New Roman" w:cs="Times New Roman"/>
        </w:rPr>
        <w:t xml:space="preserve"> &amp;</w:t>
      </w:r>
      <w:r w:rsidRPr="008C4A6A">
        <w:rPr>
          <w:rFonts w:ascii="Times New Roman" w:hAnsi="Times New Roman" w:cs="Times New Roman"/>
        </w:rPr>
        <w:t xml:space="preserve"> Partridge 2010). This constant remodeling creates a lag between the isotopic values in diet and the values observed in bone. It also means that the isotopic </w:t>
      </w:r>
      <w:r w:rsidRPr="008C4A6A">
        <w:rPr>
          <w:rFonts w:ascii="Times New Roman" w:hAnsi="Times New Roman" w:cs="Times New Roman"/>
        </w:rPr>
        <w:lastRenderedPageBreak/>
        <w:t xml:space="preserve">values obtained from bone are averages rather than precise measures from a particular time period. Hence, </w:t>
      </w:r>
      <w:r w:rsidRPr="008C4A6A">
        <w:rPr>
          <w:rFonts w:ascii="Times New Roman" w:hAnsi="Times New Roman" w:cs="Times New Roman"/>
          <w:color w:val="000000"/>
        </w:rPr>
        <w:t>as a breastfeeding infant synthesizes bone collagen</w:t>
      </w:r>
      <w:r w:rsidR="003C13A2" w:rsidRPr="008C4A6A">
        <w:rPr>
          <w:rFonts w:ascii="Times New Roman" w:hAnsi="Times New Roman" w:cs="Times New Roman"/>
          <w:color w:val="000000"/>
        </w:rPr>
        <w:t xml:space="preserve"> </w:t>
      </w:r>
      <w:r w:rsidRPr="008C4A6A">
        <w:rPr>
          <w:rFonts w:ascii="Times New Roman" w:hAnsi="Times New Roman" w:cs="Times New Roman"/>
          <w:color w:val="000000"/>
        </w:rPr>
        <w:t xml:space="preserve">over time, the </w:t>
      </w:r>
      <w:r w:rsidRPr="008C4A6A">
        <w:rPr>
          <w:rFonts w:ascii="Times New Roman" w:hAnsi="Times New Roman" w:cs="Times New Roman"/>
          <w:color w:val="000000"/>
          <w:vertAlign w:val="superscript"/>
        </w:rPr>
        <w:t>15</w:t>
      </w:r>
      <w:r w:rsidRPr="008C4A6A">
        <w:rPr>
          <w:rFonts w:ascii="Times New Roman" w:hAnsi="Times New Roman" w:cs="Times New Roman"/>
          <w:color w:val="000000"/>
        </w:rPr>
        <w:t xml:space="preserve">N content of new collagen increases due to the breast milk consumption. If breast milk was the only food consumed and nursing continued indefinitely, the </w:t>
      </w:r>
      <w:r w:rsidRPr="00754EB2">
        <w:rPr>
          <w:rFonts w:ascii="Times New Roman" w:hAnsi="Times New Roman" w:cs="Times New Roman"/>
        </w:rPr>
        <w:sym w:font="Symbol" w:char="F064"/>
      </w:r>
      <w:r w:rsidRPr="00754EB2">
        <w:rPr>
          <w:rFonts w:ascii="Times New Roman" w:hAnsi="Times New Roman" w:cs="Times New Roman"/>
          <w:vertAlign w:val="superscript"/>
        </w:rPr>
        <w:t>15</w:t>
      </w:r>
      <w:r w:rsidRPr="008C4A6A">
        <w:rPr>
          <w:rFonts w:ascii="Times New Roman" w:hAnsi="Times New Roman" w:cs="Times New Roman"/>
        </w:rPr>
        <w:t xml:space="preserve">N </w:t>
      </w:r>
      <w:r w:rsidRPr="008C4A6A">
        <w:rPr>
          <w:rFonts w:ascii="Times New Roman" w:hAnsi="Times New Roman" w:cs="Times New Roman"/>
          <w:color w:val="000000"/>
        </w:rPr>
        <w:t xml:space="preserve">value of bone collagen would eventually approach a </w:t>
      </w:r>
      <w:r w:rsidR="00722374" w:rsidRPr="008C4A6A">
        <w:rPr>
          <w:rFonts w:ascii="Times New Roman" w:hAnsi="Times New Roman" w:cs="Times New Roman"/>
          <w:color w:val="000000"/>
        </w:rPr>
        <w:t xml:space="preserve">higher </w:t>
      </w:r>
      <w:r w:rsidRPr="008C4A6A">
        <w:rPr>
          <w:rFonts w:ascii="Times New Roman" w:hAnsi="Times New Roman" w:cs="Times New Roman"/>
          <w:color w:val="000000"/>
        </w:rPr>
        <w:t xml:space="preserve">maximum value </w:t>
      </w:r>
      <w:r w:rsidR="00690949">
        <w:rPr>
          <w:rFonts w:ascii="Times New Roman" w:hAnsi="Times New Roman" w:cs="Times New Roman"/>
          <w:color w:val="000000"/>
        </w:rPr>
        <w:t>(by</w:t>
      </w:r>
      <w:r w:rsidRPr="008C4A6A">
        <w:rPr>
          <w:rFonts w:ascii="Times New Roman" w:hAnsi="Times New Roman" w:cs="Times New Roman"/>
          <w:color w:val="000000"/>
        </w:rPr>
        <w:t xml:space="preserve"> 2 to </w:t>
      </w:r>
      <w:r w:rsidR="00153E5C">
        <w:rPr>
          <w:rFonts w:ascii="Times New Roman" w:hAnsi="Times New Roman" w:cs="Times New Roman"/>
          <w:color w:val="000000"/>
        </w:rPr>
        <w:t>4</w:t>
      </w:r>
      <w:r w:rsidRPr="008C4A6A">
        <w:rPr>
          <w:rFonts w:ascii="Times New Roman" w:eastAsia="Helvetica" w:hAnsi="Times New Roman" w:cs="Times New Roman"/>
        </w:rPr>
        <w:t>‰</w:t>
      </w:r>
      <w:r w:rsidR="00690949">
        <w:rPr>
          <w:rFonts w:ascii="Times New Roman" w:eastAsia="Helvetica" w:hAnsi="Times New Roman" w:cs="Times New Roman"/>
        </w:rPr>
        <w:t xml:space="preserve"> due to the trophic level effect)</w:t>
      </w:r>
      <w:r w:rsidRPr="008C4A6A">
        <w:rPr>
          <w:rFonts w:ascii="Times New Roman" w:eastAsia="Helvetica" w:hAnsi="Times New Roman" w:cs="Times New Roman"/>
        </w:rPr>
        <w:t xml:space="preserve"> </w:t>
      </w:r>
      <w:r w:rsidR="00690949">
        <w:rPr>
          <w:rFonts w:ascii="Times New Roman" w:hAnsi="Times New Roman" w:cs="Times New Roman"/>
          <w:color w:val="000000"/>
        </w:rPr>
        <w:t>in relation to</w:t>
      </w:r>
      <w:r w:rsidR="00690949" w:rsidRPr="008C4A6A">
        <w:rPr>
          <w:rFonts w:ascii="Times New Roman" w:hAnsi="Times New Roman" w:cs="Times New Roman"/>
          <w:color w:val="000000"/>
        </w:rPr>
        <w:t xml:space="preserve"> </w:t>
      </w:r>
      <w:r w:rsidRPr="008C4A6A">
        <w:rPr>
          <w:rFonts w:ascii="Times New Roman" w:hAnsi="Times New Roman" w:cs="Times New Roman"/>
          <w:color w:val="000000"/>
        </w:rPr>
        <w:t>the mother</w:t>
      </w:r>
      <w:r w:rsidR="00DC7DBA">
        <w:rPr>
          <w:rFonts w:ascii="Times New Roman" w:hAnsi="Times New Roman" w:cs="Times New Roman"/>
          <w:color w:val="000000"/>
        </w:rPr>
        <w:t>’</w:t>
      </w:r>
      <w:r w:rsidRPr="008C4A6A">
        <w:rPr>
          <w:rFonts w:ascii="Times New Roman" w:hAnsi="Times New Roman" w:cs="Times New Roman"/>
          <w:color w:val="000000"/>
        </w:rPr>
        <w:t xml:space="preserve">s diet. As weaning begins, there is some lag observed between the decline in milk consumption and a decline in </w:t>
      </w:r>
      <w:r w:rsidRPr="00754EB2">
        <w:rPr>
          <w:rFonts w:ascii="Times New Roman" w:hAnsi="Times New Roman" w:cs="Times New Roman"/>
        </w:rPr>
        <w:sym w:font="Symbol" w:char="F064"/>
      </w:r>
      <w:r w:rsidRPr="00754EB2">
        <w:rPr>
          <w:rFonts w:ascii="Times New Roman" w:hAnsi="Times New Roman" w:cs="Times New Roman"/>
          <w:vertAlign w:val="superscript"/>
        </w:rPr>
        <w:t>15</w:t>
      </w:r>
      <w:r w:rsidRPr="008C4A6A">
        <w:rPr>
          <w:rFonts w:ascii="Times New Roman" w:hAnsi="Times New Roman" w:cs="Times New Roman"/>
        </w:rPr>
        <w:t xml:space="preserve">N values </w:t>
      </w:r>
      <w:r w:rsidRPr="008C4A6A">
        <w:rPr>
          <w:rFonts w:ascii="Times New Roman" w:hAnsi="Times New Roman" w:cs="Times New Roman"/>
          <w:color w:val="000000"/>
        </w:rPr>
        <w:t xml:space="preserve">of collagen, perhaps </w:t>
      </w:r>
      <w:r w:rsidR="00CE6503">
        <w:rPr>
          <w:rFonts w:ascii="Times New Roman" w:hAnsi="Times New Roman" w:cs="Times New Roman"/>
          <w:color w:val="000000"/>
        </w:rPr>
        <w:t xml:space="preserve">by </w:t>
      </w:r>
      <w:r w:rsidRPr="008C4A6A">
        <w:rPr>
          <w:rFonts w:ascii="Times New Roman" w:hAnsi="Times New Roman" w:cs="Times New Roman"/>
          <w:color w:val="000000"/>
        </w:rPr>
        <w:t>as much as 1 year, even though bone is remodeled fairly quickly in growing children (</w:t>
      </w:r>
      <w:r w:rsidR="00801C88" w:rsidRPr="008C4A6A">
        <w:rPr>
          <w:rFonts w:ascii="Times New Roman" w:hAnsi="Times New Roman" w:cs="Times New Roman"/>
          <w:color w:val="000000" w:themeColor="text1"/>
        </w:rPr>
        <w:t>Tuross &amp; Fogel 1994</w:t>
      </w:r>
      <w:r w:rsidR="00801C88" w:rsidRPr="008C4A6A">
        <w:rPr>
          <w:rFonts w:ascii="Times New Roman" w:hAnsi="Times New Roman" w:cs="Times New Roman"/>
          <w:color w:val="000000"/>
        </w:rPr>
        <w:t xml:space="preserve">; </w:t>
      </w:r>
      <w:r w:rsidRPr="008C4A6A">
        <w:rPr>
          <w:rFonts w:ascii="Times New Roman" w:hAnsi="Times New Roman" w:cs="Times New Roman"/>
          <w:color w:val="000000"/>
        </w:rPr>
        <w:t xml:space="preserve">Katzenberg &amp; Pfeiffer 1995; Schurr 1997). </w:t>
      </w:r>
      <w:r w:rsidR="00033BD7" w:rsidRPr="008C4A6A">
        <w:rPr>
          <w:rFonts w:ascii="Times New Roman" w:hAnsi="Times New Roman" w:cs="Times New Roman"/>
          <w:color w:val="000000"/>
        </w:rPr>
        <w:t xml:space="preserve">For instance, </w:t>
      </w:r>
      <w:r w:rsidRPr="008C4A6A">
        <w:rPr>
          <w:rFonts w:ascii="Times New Roman" w:hAnsi="Times New Roman" w:cs="Times New Roman"/>
          <w:color w:val="000000"/>
        </w:rPr>
        <w:t xml:space="preserve">Hedges </w:t>
      </w:r>
      <w:r w:rsidR="003C13A2" w:rsidRPr="008C4A6A">
        <w:rPr>
          <w:rFonts w:ascii="Times New Roman" w:hAnsi="Times New Roman" w:cs="Times New Roman"/>
          <w:color w:val="000000"/>
        </w:rPr>
        <w:t>and Reynard</w:t>
      </w:r>
      <w:r w:rsidRPr="008C4A6A">
        <w:rPr>
          <w:rFonts w:ascii="Times New Roman" w:hAnsi="Times New Roman" w:cs="Times New Roman"/>
          <w:color w:val="000000"/>
        </w:rPr>
        <w:t xml:space="preserve"> (2007) observed that collagen turnover rate of the femoral mid-shaft in adolescents (10-30% per year for </w:t>
      </w:r>
      <w:r w:rsidR="00CE6503">
        <w:rPr>
          <w:rFonts w:ascii="Times New Roman" w:hAnsi="Times New Roman" w:cs="Times New Roman"/>
          <w:color w:val="000000"/>
        </w:rPr>
        <w:t xml:space="preserve">individuals between </w:t>
      </w:r>
      <w:r w:rsidRPr="008C4A6A">
        <w:rPr>
          <w:rFonts w:ascii="Times New Roman" w:hAnsi="Times New Roman" w:cs="Times New Roman"/>
          <w:color w:val="000000"/>
        </w:rPr>
        <w:t>1</w:t>
      </w:r>
      <w:r w:rsidR="00BC529C">
        <w:rPr>
          <w:rFonts w:ascii="Times New Roman" w:hAnsi="Times New Roman" w:cs="Times New Roman"/>
          <w:color w:val="000000"/>
        </w:rPr>
        <w:t xml:space="preserve"> </w:t>
      </w:r>
      <w:r w:rsidR="00CE6503">
        <w:rPr>
          <w:rFonts w:ascii="Times New Roman" w:hAnsi="Times New Roman" w:cs="Times New Roman"/>
          <w:color w:val="000000"/>
        </w:rPr>
        <w:t>and</w:t>
      </w:r>
      <w:r w:rsidR="009C3B58">
        <w:rPr>
          <w:rFonts w:ascii="Times New Roman" w:hAnsi="Times New Roman" w:cs="Times New Roman"/>
          <w:color w:val="000000"/>
        </w:rPr>
        <w:t xml:space="preserve"> </w:t>
      </w:r>
      <w:r w:rsidRPr="008C4A6A">
        <w:rPr>
          <w:rFonts w:ascii="Times New Roman" w:hAnsi="Times New Roman" w:cs="Times New Roman"/>
          <w:color w:val="000000"/>
        </w:rPr>
        <w:t xml:space="preserve">15 years </w:t>
      </w:r>
      <w:r w:rsidR="00CE6503">
        <w:rPr>
          <w:rFonts w:ascii="Times New Roman" w:hAnsi="Times New Roman" w:cs="Times New Roman"/>
          <w:color w:val="000000"/>
        </w:rPr>
        <w:t>of age</w:t>
      </w:r>
      <w:r w:rsidRPr="008C4A6A">
        <w:rPr>
          <w:rFonts w:ascii="Times New Roman" w:hAnsi="Times New Roman" w:cs="Times New Roman"/>
          <w:color w:val="000000"/>
        </w:rPr>
        <w:t>) was higher than that of adults (4% per year for females aged 20 years</w:t>
      </w:r>
      <w:r w:rsidR="00033BD7" w:rsidRPr="008C4A6A">
        <w:rPr>
          <w:rFonts w:ascii="Times New Roman" w:hAnsi="Times New Roman" w:cs="Times New Roman"/>
          <w:color w:val="000000"/>
        </w:rPr>
        <w:t>,</w:t>
      </w:r>
      <w:r w:rsidRPr="008C4A6A">
        <w:rPr>
          <w:rFonts w:ascii="Times New Roman" w:hAnsi="Times New Roman" w:cs="Times New Roman"/>
          <w:color w:val="000000"/>
        </w:rPr>
        <w:t xml:space="preserve"> 3% per year for females aged 80 years, and </w:t>
      </w:r>
      <w:r w:rsidR="00033BD7" w:rsidRPr="008C4A6A">
        <w:rPr>
          <w:rFonts w:ascii="Times New Roman" w:hAnsi="Times New Roman" w:cs="Times New Roman"/>
          <w:color w:val="000000"/>
        </w:rPr>
        <w:t>1.5 – 3</w:t>
      </w:r>
      <w:r w:rsidRPr="008C4A6A">
        <w:rPr>
          <w:rFonts w:ascii="Times New Roman" w:hAnsi="Times New Roman" w:cs="Times New Roman"/>
          <w:color w:val="000000"/>
        </w:rPr>
        <w:t xml:space="preserve">% per year in males of the same ages). </w:t>
      </w:r>
      <w:r w:rsidR="00722374" w:rsidRPr="008C4A6A">
        <w:rPr>
          <w:rFonts w:ascii="Times New Roman" w:hAnsi="Times New Roman" w:cs="Times New Roman"/>
          <w:color w:val="000000"/>
        </w:rPr>
        <w:t>Furthermore, r</w:t>
      </w:r>
      <w:r w:rsidRPr="008C4A6A">
        <w:rPr>
          <w:rFonts w:ascii="Times New Roman" w:hAnsi="Times New Roman" w:cs="Times New Roman"/>
          <w:color w:val="000000"/>
        </w:rPr>
        <w:t>ib samples are often used from infants for isotopic work as they have faster bone turnover rate</w:t>
      </w:r>
      <w:r w:rsidR="004C6BF3" w:rsidRPr="008C4A6A">
        <w:rPr>
          <w:rFonts w:ascii="Times New Roman" w:hAnsi="Times New Roman" w:cs="Times New Roman"/>
          <w:color w:val="000000"/>
        </w:rPr>
        <w:t xml:space="preserve"> (Wright &amp; Schwarcz</w:t>
      </w:r>
      <w:r w:rsidR="00033BD7" w:rsidRPr="008C4A6A">
        <w:rPr>
          <w:rFonts w:ascii="Times New Roman" w:hAnsi="Times New Roman" w:cs="Times New Roman"/>
          <w:color w:val="000000"/>
        </w:rPr>
        <w:t xml:space="preserve"> </w:t>
      </w:r>
      <w:r w:rsidR="004C6BF3" w:rsidRPr="008C4A6A">
        <w:rPr>
          <w:rFonts w:ascii="Times New Roman" w:hAnsi="Times New Roman" w:cs="Times New Roman"/>
          <w:color w:val="000000"/>
        </w:rPr>
        <w:t>1999).</w:t>
      </w:r>
      <w:r w:rsidR="00AC4D17" w:rsidRPr="008C4A6A">
        <w:rPr>
          <w:rFonts w:ascii="Times New Roman" w:hAnsi="Times New Roman" w:cs="Times New Roman"/>
          <w:color w:val="000000"/>
        </w:rPr>
        <w:t xml:space="preserve"> </w:t>
      </w:r>
      <w:r w:rsidR="007C56D9" w:rsidRPr="008C4A6A">
        <w:rPr>
          <w:rFonts w:ascii="Times New Roman" w:hAnsi="Times New Roman" w:cs="Times New Roman"/>
          <w:color w:val="000000"/>
        </w:rPr>
        <w:t>This is due to the fact that</w:t>
      </w:r>
      <w:r w:rsidR="000E059A" w:rsidRPr="008C4A6A">
        <w:rPr>
          <w:rFonts w:ascii="Times New Roman" w:hAnsi="Times New Roman" w:cs="Times New Roman"/>
          <w:color w:val="000000"/>
        </w:rPr>
        <w:t xml:space="preserve"> r</w:t>
      </w:r>
      <w:r w:rsidR="000E059A" w:rsidRPr="008C4A6A">
        <w:rPr>
          <w:rFonts w:ascii="Times New Roman" w:hAnsi="Times New Roman" w:cs="Times New Roman"/>
          <w:color w:val="000000" w:themeColor="text1"/>
        </w:rPr>
        <w:t xml:space="preserve">ibs have relatively high proportions of cancellous and thin cortical parts, whereas femora have lower proportion of cancellous and thick cortical parts; in other words, </w:t>
      </w:r>
      <w:r w:rsidR="007C56D9" w:rsidRPr="008C4A6A">
        <w:rPr>
          <w:rFonts w:ascii="Times New Roman" w:hAnsi="Times New Roman" w:cs="Times New Roman"/>
          <w:color w:val="000000" w:themeColor="text1"/>
        </w:rPr>
        <w:t>t</w:t>
      </w:r>
      <w:r w:rsidR="00853338" w:rsidRPr="008C4A6A">
        <w:rPr>
          <w:rFonts w:ascii="Times New Roman" w:hAnsi="Times New Roman" w:cs="Times New Roman"/>
          <w:color w:val="000000" w:themeColor="text1"/>
        </w:rPr>
        <w:t>he turnover rates are higher in bones with greater surface to volume ratios than those in bones with smaller ratios</w:t>
      </w:r>
      <w:r w:rsidR="007C56D9" w:rsidRPr="008C4A6A">
        <w:rPr>
          <w:rFonts w:ascii="Times New Roman" w:hAnsi="Times New Roman" w:cs="Times New Roman"/>
          <w:color w:val="000000" w:themeColor="text1"/>
        </w:rPr>
        <w:t xml:space="preserve"> (Tsutaya </w:t>
      </w:r>
      <w:r w:rsidR="00033BD7" w:rsidRPr="008C4A6A">
        <w:rPr>
          <w:rFonts w:ascii="Times New Roman" w:hAnsi="Times New Roman" w:cs="Times New Roman"/>
          <w:color w:val="000000" w:themeColor="text1"/>
        </w:rPr>
        <w:t xml:space="preserve">&amp; </w:t>
      </w:r>
      <w:r w:rsidR="007C56D9" w:rsidRPr="008C4A6A">
        <w:rPr>
          <w:rFonts w:ascii="Times New Roman" w:hAnsi="Times New Roman" w:cs="Times New Roman"/>
          <w:color w:val="000000" w:themeColor="text1"/>
        </w:rPr>
        <w:t>Yoneda</w:t>
      </w:r>
      <w:r w:rsidR="00033BD7" w:rsidRPr="008C4A6A">
        <w:rPr>
          <w:rFonts w:ascii="Times New Roman" w:hAnsi="Times New Roman" w:cs="Times New Roman"/>
          <w:color w:val="000000" w:themeColor="text1"/>
        </w:rPr>
        <w:t xml:space="preserve"> </w:t>
      </w:r>
      <w:r w:rsidR="007C56D9" w:rsidRPr="008C4A6A">
        <w:rPr>
          <w:rFonts w:ascii="Times New Roman" w:hAnsi="Times New Roman" w:cs="Times New Roman"/>
          <w:color w:val="000000" w:themeColor="text1"/>
        </w:rPr>
        <w:t xml:space="preserve">2013). </w:t>
      </w:r>
      <w:r w:rsidRPr="008C4A6A">
        <w:rPr>
          <w:rFonts w:ascii="Times New Roman" w:hAnsi="Times New Roman" w:cs="Times New Roman"/>
          <w:color w:val="000000" w:themeColor="text1"/>
        </w:rPr>
        <w:t xml:space="preserve">In </w:t>
      </w:r>
      <w:r w:rsidRPr="008C4A6A">
        <w:rPr>
          <w:rFonts w:ascii="Times New Roman" w:hAnsi="Times New Roman" w:cs="Times New Roman"/>
          <w:color w:val="000000"/>
        </w:rPr>
        <w:t xml:space="preserve">young juveniles, </w:t>
      </w:r>
      <w:r w:rsidRPr="00754EB2">
        <w:rPr>
          <w:rFonts w:ascii="Times New Roman" w:hAnsi="Times New Roman" w:cs="Times New Roman"/>
        </w:rPr>
        <w:sym w:font="Symbol" w:char="F064"/>
      </w:r>
      <w:r w:rsidRPr="00754EB2">
        <w:rPr>
          <w:rFonts w:ascii="Times New Roman" w:hAnsi="Times New Roman" w:cs="Times New Roman"/>
          <w:vertAlign w:val="superscript"/>
        </w:rPr>
        <w:t>15</w:t>
      </w:r>
      <w:r w:rsidRPr="008C4A6A">
        <w:rPr>
          <w:rFonts w:ascii="Times New Roman" w:hAnsi="Times New Roman" w:cs="Times New Roman"/>
        </w:rPr>
        <w:t>N</w:t>
      </w:r>
      <w:r w:rsidRPr="008C4A6A">
        <w:rPr>
          <w:rFonts w:ascii="Times New Roman" w:hAnsi="Times New Roman" w:cs="Times New Roman"/>
          <w:color w:val="000000"/>
        </w:rPr>
        <w:t xml:space="preserve"> and</w:t>
      </w:r>
      <w:r w:rsidRPr="008C4A6A">
        <w:rPr>
          <w:rFonts w:ascii="Times New Roman" w:hAnsi="Times New Roman" w:cs="Times New Roman"/>
        </w:rPr>
        <w:t xml:space="preserve"> </w:t>
      </w:r>
      <w:r w:rsidRPr="00754EB2">
        <w:rPr>
          <w:rFonts w:ascii="Times New Roman" w:hAnsi="Times New Roman" w:cs="Times New Roman"/>
        </w:rPr>
        <w:sym w:font="Symbol" w:char="F064"/>
      </w:r>
      <w:r w:rsidRPr="00754EB2">
        <w:rPr>
          <w:rFonts w:ascii="Times New Roman" w:hAnsi="Times New Roman" w:cs="Times New Roman"/>
          <w:vertAlign w:val="superscript"/>
        </w:rPr>
        <w:t>13</w:t>
      </w:r>
      <w:r w:rsidRPr="008C4A6A">
        <w:rPr>
          <w:rFonts w:ascii="Times New Roman" w:hAnsi="Times New Roman" w:cs="Times New Roman"/>
        </w:rPr>
        <w:t>C</w:t>
      </w:r>
      <w:r w:rsidRPr="008C4A6A">
        <w:rPr>
          <w:rFonts w:ascii="Times New Roman" w:hAnsi="Times New Roman" w:cs="Times New Roman"/>
          <w:color w:val="000000"/>
        </w:rPr>
        <w:t xml:space="preserve"> values from ribs likely reflect diet from a few months prior to death due to rapid bone remodeling (Fuller et al. 2006; Nitsch et al. 2011). </w:t>
      </w:r>
      <w:r w:rsidRPr="00223ED3">
        <w:rPr>
          <w:rFonts w:ascii="Times New Roman" w:eastAsia="Times New Roman" w:hAnsi="Times New Roman" w:cs="Times New Roman"/>
        </w:rPr>
        <w:t xml:space="preserve">While </w:t>
      </w:r>
      <w:r w:rsidR="00AB1C95">
        <w:rPr>
          <w:rFonts w:ascii="Times New Roman" w:eastAsia="Times New Roman" w:hAnsi="Times New Roman" w:cs="Times New Roman"/>
        </w:rPr>
        <w:t xml:space="preserve">turnover rates in </w:t>
      </w:r>
      <w:r w:rsidRPr="00223ED3">
        <w:rPr>
          <w:rFonts w:ascii="Times New Roman" w:eastAsia="Times New Roman" w:hAnsi="Times New Roman" w:cs="Times New Roman"/>
        </w:rPr>
        <w:t>adult bone</w:t>
      </w:r>
      <w:r w:rsidR="00AB1C95">
        <w:rPr>
          <w:rFonts w:ascii="Times New Roman" w:eastAsia="Times New Roman" w:hAnsi="Times New Roman" w:cs="Times New Roman"/>
        </w:rPr>
        <w:t>s</w:t>
      </w:r>
      <w:r w:rsidRPr="00223ED3">
        <w:rPr>
          <w:rFonts w:ascii="Times New Roman" w:eastAsia="Times New Roman" w:hAnsi="Times New Roman" w:cs="Times New Roman"/>
        </w:rPr>
        <w:t xml:space="preserve"> are difficult to define in </w:t>
      </w:r>
      <w:r w:rsidRPr="00223ED3">
        <w:rPr>
          <w:rFonts w:ascii="Times New Roman" w:eastAsia="Times New Roman" w:hAnsi="Times New Roman" w:cs="Times New Roman"/>
        </w:rPr>
        <w:lastRenderedPageBreak/>
        <w:t xml:space="preserve">terms of a time frame; it is generally understood that they represent the last 10 </w:t>
      </w:r>
      <w:r w:rsidR="00DC7DBA">
        <w:rPr>
          <w:rFonts w:ascii="Times New Roman" w:eastAsia="Times New Roman" w:hAnsi="Times New Roman" w:cs="Times New Roman"/>
        </w:rPr>
        <w:t>–</w:t>
      </w:r>
      <w:r w:rsidRPr="00223ED3">
        <w:rPr>
          <w:rFonts w:ascii="Times New Roman" w:eastAsia="Times New Roman" w:hAnsi="Times New Roman" w:cs="Times New Roman"/>
        </w:rPr>
        <w:t xml:space="preserve"> 20 years of an individual’s life</w:t>
      </w:r>
      <w:r w:rsidR="002F0B0C">
        <w:rPr>
          <w:rFonts w:ascii="Times New Roman" w:eastAsia="Times New Roman" w:hAnsi="Times New Roman" w:cs="Times New Roman"/>
        </w:rPr>
        <w:t xml:space="preserve"> depending on the type of bone</w:t>
      </w:r>
      <w:r w:rsidRPr="00223ED3">
        <w:rPr>
          <w:rFonts w:ascii="Times New Roman" w:eastAsia="Times New Roman" w:hAnsi="Times New Roman" w:cs="Times New Roman"/>
        </w:rPr>
        <w:t xml:space="preserve"> (</w:t>
      </w:r>
      <w:r w:rsidR="00033BD7" w:rsidRPr="00223ED3">
        <w:rPr>
          <w:rFonts w:ascii="Times New Roman" w:eastAsia="Times New Roman" w:hAnsi="Times New Roman" w:cs="Times New Roman"/>
        </w:rPr>
        <w:t xml:space="preserve">Sealy et al. 1995; </w:t>
      </w:r>
      <w:r w:rsidRPr="00223ED3">
        <w:rPr>
          <w:rFonts w:ascii="Times New Roman" w:eastAsia="Times New Roman" w:hAnsi="Times New Roman" w:cs="Times New Roman"/>
          <w:color w:val="000000" w:themeColor="text1"/>
        </w:rPr>
        <w:t>Price et al. 2000</w:t>
      </w:r>
      <w:r w:rsidRPr="00223ED3">
        <w:rPr>
          <w:rFonts w:ascii="Times New Roman" w:eastAsia="Times New Roman" w:hAnsi="Times New Roman" w:cs="Times New Roman"/>
        </w:rPr>
        <w:t>).</w:t>
      </w:r>
    </w:p>
    <w:p w14:paraId="3F57F569" w14:textId="77777777" w:rsidR="00FF0311" w:rsidRPr="00AF6259" w:rsidRDefault="00FF0311" w:rsidP="00FF0311">
      <w:pPr>
        <w:pStyle w:val="ListParagraph"/>
        <w:ind w:left="0" w:firstLine="720"/>
        <w:rPr>
          <w:rFonts w:ascii="Times New Roman" w:eastAsia="Times New Roman" w:hAnsi="Times New Roman" w:cs="Times New Roman"/>
        </w:rPr>
      </w:pPr>
    </w:p>
    <w:p w14:paraId="3755BA7C" w14:textId="0D81A15F" w:rsidR="00AF6259" w:rsidRDefault="003B5B7F" w:rsidP="00984CB3">
      <w:pPr>
        <w:pStyle w:val="NormalWeb"/>
        <w:spacing w:line="480" w:lineRule="auto"/>
        <w:ind w:firstLine="720"/>
        <w:contextualSpacing/>
        <w:rPr>
          <w:color w:val="000000" w:themeColor="text1"/>
          <w:lang w:val="en-US"/>
        </w:rPr>
      </w:pPr>
      <w:r w:rsidRPr="00223ED3">
        <w:rPr>
          <w:color w:val="000000" w:themeColor="text1"/>
          <w:lang w:val="en-US"/>
        </w:rPr>
        <w:t>Sampling different areas of a bone may also impact the isotope values researchers obtain. Bellis et al. (2006) investigated le</w:t>
      </w:r>
      <w:r w:rsidR="00FF0311">
        <w:rPr>
          <w:color w:val="000000" w:themeColor="text1"/>
          <w:lang w:val="en-US"/>
        </w:rPr>
        <w:t>a</w:t>
      </w:r>
      <w:r w:rsidRPr="00223ED3">
        <w:rPr>
          <w:color w:val="000000" w:themeColor="text1"/>
          <w:lang w:val="en-US"/>
        </w:rPr>
        <w:t>d</w:t>
      </w:r>
      <w:r w:rsidR="00FF0311">
        <w:rPr>
          <w:color w:val="000000" w:themeColor="text1"/>
          <w:lang w:val="en-US"/>
        </w:rPr>
        <w:t xml:space="preserve"> (Pb)</w:t>
      </w:r>
      <w:r w:rsidRPr="00223ED3">
        <w:rPr>
          <w:color w:val="000000" w:themeColor="text1"/>
          <w:lang w:val="en-US"/>
        </w:rPr>
        <w:t xml:space="preserve"> content in long bone</w:t>
      </w:r>
      <w:r w:rsidR="00AA58A7" w:rsidRPr="00223ED3">
        <w:rPr>
          <w:color w:val="000000" w:themeColor="text1"/>
          <w:lang w:val="en-US"/>
        </w:rPr>
        <w:t>s</w:t>
      </w:r>
      <w:r w:rsidRPr="00223ED3">
        <w:rPr>
          <w:color w:val="000000" w:themeColor="text1"/>
          <w:lang w:val="en-US"/>
        </w:rPr>
        <w:t xml:space="preserve"> and found that the results were variable and complex. Generally, the authors noted a high Pb content in the center of the bone than at the outer edges. </w:t>
      </w:r>
      <w:r w:rsidR="008741E1">
        <w:rPr>
          <w:color w:val="000000" w:themeColor="text1"/>
          <w:lang w:val="en-US"/>
        </w:rPr>
        <w:t>Lead accumulate</w:t>
      </w:r>
      <w:r w:rsidR="00E979E8">
        <w:rPr>
          <w:color w:val="000000" w:themeColor="text1"/>
          <w:lang w:val="en-US"/>
        </w:rPr>
        <w:t>s in bone over many years or decades and variation in Pb content within bone</w:t>
      </w:r>
      <w:r w:rsidRPr="00223ED3">
        <w:rPr>
          <w:color w:val="000000" w:themeColor="text1"/>
          <w:lang w:val="en-US"/>
        </w:rPr>
        <w:t xml:space="preserve"> may be due to differential blood supply (trabecular bone </w:t>
      </w:r>
      <w:r w:rsidR="00E979E8">
        <w:rPr>
          <w:color w:val="000000" w:themeColor="text1"/>
          <w:lang w:val="en-US"/>
        </w:rPr>
        <w:t xml:space="preserve">in the center </w:t>
      </w:r>
      <w:r w:rsidRPr="00223ED3">
        <w:rPr>
          <w:color w:val="000000" w:themeColor="text1"/>
          <w:lang w:val="en-US"/>
        </w:rPr>
        <w:t xml:space="preserve">is typically more vascularized compared with cortical </w:t>
      </w:r>
      <w:r w:rsidR="00AB1C95" w:rsidRPr="00223ED3">
        <w:rPr>
          <w:color w:val="000000" w:themeColor="text1"/>
          <w:lang w:val="en-US"/>
        </w:rPr>
        <w:t>bone</w:t>
      </w:r>
      <w:r w:rsidR="00E979E8">
        <w:rPr>
          <w:color w:val="000000" w:themeColor="text1"/>
          <w:lang w:val="en-US"/>
        </w:rPr>
        <w:t xml:space="preserve"> in the peripheral</w:t>
      </w:r>
      <w:r w:rsidR="00AB1C95" w:rsidRPr="00223ED3">
        <w:rPr>
          <w:color w:val="000000" w:themeColor="text1"/>
          <w:lang w:val="en-US"/>
        </w:rPr>
        <w:t xml:space="preserve"> </w:t>
      </w:r>
      <w:r w:rsidR="00E979E8">
        <w:rPr>
          <w:color w:val="000000" w:themeColor="text1"/>
          <w:lang w:val="en-US"/>
        </w:rPr>
        <w:t xml:space="preserve">areas </w:t>
      </w:r>
      <w:r w:rsidR="00AB1C95" w:rsidRPr="00223ED3">
        <w:rPr>
          <w:color w:val="000000" w:themeColor="text1"/>
          <w:lang w:val="en-US"/>
        </w:rPr>
        <w:t>and</w:t>
      </w:r>
      <w:r w:rsidRPr="00223ED3">
        <w:rPr>
          <w:color w:val="000000" w:themeColor="text1"/>
          <w:lang w:val="en-US"/>
        </w:rPr>
        <w:t xml:space="preserve"> has greater blood capacity) and subsequently may be some</w:t>
      </w:r>
      <w:r w:rsidR="00AF6259">
        <w:rPr>
          <w:color w:val="000000" w:themeColor="text1"/>
          <w:lang w:val="en-US"/>
        </w:rPr>
        <w:t>t</w:t>
      </w:r>
      <w:r w:rsidRPr="00223ED3">
        <w:rPr>
          <w:color w:val="000000" w:themeColor="text1"/>
          <w:lang w:val="en-US"/>
        </w:rPr>
        <w:t xml:space="preserve">hing to consider when conducting stable isotope analysis using bone. </w:t>
      </w:r>
    </w:p>
    <w:p w14:paraId="2947175C" w14:textId="77777777" w:rsidR="00FF0311" w:rsidRDefault="00FF0311" w:rsidP="00984CB3">
      <w:pPr>
        <w:pStyle w:val="NormalWeb"/>
        <w:ind w:firstLine="720"/>
        <w:contextualSpacing/>
        <w:rPr>
          <w:color w:val="000000" w:themeColor="text1"/>
          <w:lang w:val="en-US"/>
        </w:rPr>
      </w:pPr>
    </w:p>
    <w:p w14:paraId="5BD7D121" w14:textId="62930E8F" w:rsidR="00FF0311" w:rsidRPr="00965216" w:rsidRDefault="003B5B7F" w:rsidP="00965216">
      <w:pPr>
        <w:pStyle w:val="NormalWeb"/>
        <w:spacing w:line="480" w:lineRule="auto"/>
        <w:ind w:firstLine="720"/>
        <w:contextualSpacing/>
        <w:rPr>
          <w:color w:val="000000"/>
          <w:lang w:val="en-US"/>
        </w:rPr>
      </w:pPr>
      <w:r w:rsidRPr="00223ED3">
        <w:rPr>
          <w:color w:val="000000" w:themeColor="text1"/>
          <w:lang w:val="en-US"/>
        </w:rPr>
        <w:t>Presumed nursing infants often demonstrate a nitrogen trophic shift that is lower than the expect</w:t>
      </w:r>
      <w:r w:rsidR="00D53DBC">
        <w:rPr>
          <w:color w:val="000000" w:themeColor="text1"/>
          <w:lang w:val="en-US"/>
        </w:rPr>
        <w:t>ed</w:t>
      </w:r>
      <w:r w:rsidRPr="00223ED3">
        <w:rPr>
          <w:color w:val="000000" w:themeColor="text1"/>
          <w:lang w:val="en-US"/>
        </w:rPr>
        <w:t xml:space="preserve"> </w:t>
      </w:r>
      <w:r w:rsidR="00230B5E">
        <w:rPr>
          <w:color w:val="000000" w:themeColor="text1"/>
          <w:lang w:val="en-US"/>
        </w:rPr>
        <w:t>3</w:t>
      </w:r>
      <w:r w:rsidR="00230B5E" w:rsidRPr="00223ED3">
        <w:rPr>
          <w:rFonts w:eastAsia="Helvetica"/>
          <w:lang w:val="en-US"/>
        </w:rPr>
        <w:t>‰</w:t>
      </w:r>
      <w:r w:rsidRPr="00223ED3">
        <w:rPr>
          <w:color w:val="000000" w:themeColor="text1"/>
          <w:lang w:val="en-US"/>
        </w:rPr>
        <w:t>, which i</w:t>
      </w:r>
      <w:r w:rsidR="00F90C69" w:rsidRPr="00223ED3">
        <w:rPr>
          <w:color w:val="000000" w:themeColor="text1"/>
          <w:lang w:val="en-US"/>
        </w:rPr>
        <w:t>n</w:t>
      </w:r>
      <w:r w:rsidRPr="00223ED3">
        <w:rPr>
          <w:color w:val="000000" w:themeColor="text1"/>
          <w:lang w:val="en-US"/>
        </w:rPr>
        <w:t xml:space="preserve"> some cases might be due to infants not being breastfed for a variety of reasons as well as variability in the duration of nursing; however it </w:t>
      </w:r>
      <w:r w:rsidR="00EA7EEF" w:rsidRPr="00223ED3">
        <w:rPr>
          <w:color w:val="000000" w:themeColor="text1"/>
          <w:lang w:val="en-US"/>
        </w:rPr>
        <w:t>has been hypothesized</w:t>
      </w:r>
      <w:r w:rsidRPr="00223ED3">
        <w:rPr>
          <w:color w:val="000000" w:themeColor="text1"/>
          <w:lang w:val="en-US"/>
        </w:rPr>
        <w:t xml:space="preserve"> that growth may</w:t>
      </w:r>
      <w:r w:rsidR="003663F5">
        <w:rPr>
          <w:color w:val="000000" w:themeColor="text1"/>
          <w:lang w:val="en-US"/>
        </w:rPr>
        <w:t xml:space="preserve"> </w:t>
      </w:r>
      <w:r w:rsidRPr="00223ED3">
        <w:rPr>
          <w:color w:val="000000" w:themeColor="text1"/>
          <w:lang w:val="en-US"/>
        </w:rPr>
        <w:t>be be a factor contributing to lower trophic shifts in nursing infants (Fuller et al.</w:t>
      </w:r>
      <w:r w:rsidR="007F47C1" w:rsidRPr="00223ED3">
        <w:rPr>
          <w:color w:val="000000" w:themeColor="text1"/>
          <w:lang w:val="en-US"/>
        </w:rPr>
        <w:t xml:space="preserve"> </w:t>
      </w:r>
      <w:r w:rsidRPr="00223ED3">
        <w:rPr>
          <w:color w:val="000000" w:themeColor="text1"/>
          <w:lang w:val="en-US"/>
        </w:rPr>
        <w:t xml:space="preserve">2006). </w:t>
      </w:r>
      <w:r w:rsidRPr="00223ED3">
        <w:rPr>
          <w:color w:val="000000"/>
          <w:lang w:val="en-US"/>
        </w:rPr>
        <w:t xml:space="preserve">In the past, researchers investigated nitrogen isotope fractionation during growth to observe the effect </w:t>
      </w:r>
      <w:r w:rsidR="00722374" w:rsidRPr="00223ED3">
        <w:rPr>
          <w:color w:val="000000"/>
          <w:lang w:val="en-US"/>
        </w:rPr>
        <w:t>of</w:t>
      </w:r>
      <w:r w:rsidRPr="00223ED3">
        <w:rPr>
          <w:color w:val="000000"/>
          <w:lang w:val="en-US"/>
        </w:rPr>
        <w:t xml:space="preserve"> differential </w:t>
      </w:r>
      <w:r w:rsidR="00722374" w:rsidRPr="00223ED3">
        <w:rPr>
          <w:color w:val="000000"/>
          <w:lang w:val="en-US"/>
        </w:rPr>
        <w:t>amino aci</w:t>
      </w:r>
      <w:r w:rsidR="002F1FF5">
        <w:rPr>
          <w:color w:val="000000"/>
          <w:lang w:val="en-US"/>
        </w:rPr>
        <w:t>d</w:t>
      </w:r>
      <w:r w:rsidR="00722374" w:rsidRPr="00223ED3">
        <w:rPr>
          <w:color w:val="000000"/>
          <w:lang w:val="en-US"/>
        </w:rPr>
        <w:t xml:space="preserve"> </w:t>
      </w:r>
      <w:r w:rsidRPr="00223ED3">
        <w:rPr>
          <w:color w:val="000000"/>
          <w:lang w:val="en-US"/>
        </w:rPr>
        <w:t xml:space="preserve">routing towards protein synthesis on </w:t>
      </w:r>
      <w:r w:rsidRPr="00223ED3">
        <w:rPr>
          <w:lang w:val="en-US"/>
        </w:rPr>
        <w:sym w:font="Symbol" w:char="F064"/>
      </w:r>
      <w:r w:rsidRPr="00223ED3">
        <w:rPr>
          <w:vertAlign w:val="superscript"/>
          <w:lang w:val="en-US"/>
        </w:rPr>
        <w:t>15</w:t>
      </w:r>
      <w:r w:rsidRPr="00223ED3">
        <w:rPr>
          <w:lang w:val="en-US"/>
        </w:rPr>
        <w:t>N</w:t>
      </w:r>
      <w:r w:rsidR="00230B5E">
        <w:rPr>
          <w:color w:val="000000"/>
          <w:lang w:val="en-US"/>
        </w:rPr>
        <w:t xml:space="preserve"> </w:t>
      </w:r>
      <w:r w:rsidR="00944373">
        <w:rPr>
          <w:color w:val="000000"/>
          <w:lang w:val="en-US"/>
        </w:rPr>
        <w:t xml:space="preserve">values obtained from bones </w:t>
      </w:r>
      <w:r w:rsidRPr="00223ED3">
        <w:rPr>
          <w:color w:val="000000"/>
          <w:lang w:val="en-US"/>
        </w:rPr>
        <w:t xml:space="preserve">(Sick et al. 1997; Ponsard &amp; Averbuch 1999; Gaye- Siessegger et al. 2003, 2004). Essentially, it is hypothesized that amino acids </w:t>
      </w:r>
      <w:r w:rsidR="00230B5E">
        <w:rPr>
          <w:color w:val="000000"/>
          <w:lang w:val="en-US"/>
        </w:rPr>
        <w:t>that</w:t>
      </w:r>
      <w:r w:rsidR="00230B5E" w:rsidRPr="00223ED3">
        <w:rPr>
          <w:color w:val="000000"/>
          <w:lang w:val="en-US"/>
        </w:rPr>
        <w:t xml:space="preserve"> </w:t>
      </w:r>
      <w:r w:rsidRPr="00223ED3">
        <w:rPr>
          <w:color w:val="000000"/>
          <w:lang w:val="en-US"/>
        </w:rPr>
        <w:t>do not undergo transamination or deamination reactions (often because</w:t>
      </w:r>
      <w:r w:rsidR="00722374" w:rsidRPr="00223ED3">
        <w:rPr>
          <w:color w:val="000000"/>
          <w:lang w:val="en-US"/>
        </w:rPr>
        <w:t xml:space="preserve"> these amino acids</w:t>
      </w:r>
      <w:r w:rsidRPr="00223ED3">
        <w:rPr>
          <w:color w:val="000000"/>
          <w:lang w:val="en-US"/>
        </w:rPr>
        <w:t xml:space="preserve"> </w:t>
      </w:r>
      <w:r w:rsidR="002149DD" w:rsidRPr="00223ED3">
        <w:rPr>
          <w:color w:val="000000"/>
          <w:lang w:val="en-US"/>
        </w:rPr>
        <w:t xml:space="preserve">contain </w:t>
      </w:r>
      <w:r w:rsidR="002149DD" w:rsidRPr="00223ED3">
        <w:rPr>
          <w:color w:val="000000"/>
          <w:vertAlign w:val="superscript"/>
          <w:lang w:val="en-US"/>
        </w:rPr>
        <w:t>15</w:t>
      </w:r>
      <w:r w:rsidRPr="00223ED3">
        <w:rPr>
          <w:lang w:val="en-US"/>
        </w:rPr>
        <w:t>N</w:t>
      </w:r>
      <w:r w:rsidR="002149DD" w:rsidRPr="00223ED3">
        <w:rPr>
          <w:lang w:val="en-US"/>
        </w:rPr>
        <w:t>, the heavier nitrogen isotope</w:t>
      </w:r>
      <w:r w:rsidRPr="00223ED3">
        <w:rPr>
          <w:lang w:val="en-US"/>
        </w:rPr>
        <w:t>)</w:t>
      </w:r>
      <w:r w:rsidRPr="00223ED3">
        <w:rPr>
          <w:color w:val="000000"/>
          <w:lang w:val="en-US"/>
        </w:rPr>
        <w:t xml:space="preserve">  are directly deposited into new tissue during growth, resulting in an overall</w:t>
      </w:r>
      <w:r w:rsidR="002149DD" w:rsidRPr="00223ED3">
        <w:rPr>
          <w:color w:val="000000"/>
          <w:lang w:val="en-US"/>
        </w:rPr>
        <w:t xml:space="preserve"> increase</w:t>
      </w:r>
      <w:r w:rsidRPr="00223ED3">
        <w:rPr>
          <w:color w:val="000000"/>
          <w:lang w:val="en-US"/>
        </w:rPr>
        <w:t xml:space="preserve"> of tissue </w:t>
      </w:r>
      <w:r w:rsidRPr="00223ED3">
        <w:rPr>
          <w:lang w:val="en-US"/>
        </w:rPr>
        <w:sym w:font="Symbol" w:char="F064"/>
      </w:r>
      <w:r w:rsidRPr="00223ED3">
        <w:rPr>
          <w:vertAlign w:val="superscript"/>
          <w:lang w:val="en-US"/>
        </w:rPr>
        <w:t>15</w:t>
      </w:r>
      <w:r w:rsidRPr="00223ED3">
        <w:rPr>
          <w:lang w:val="en-US"/>
        </w:rPr>
        <w:t xml:space="preserve">N </w:t>
      </w:r>
      <w:r w:rsidRPr="00223ED3">
        <w:rPr>
          <w:color w:val="000000"/>
          <w:lang w:val="en-US"/>
        </w:rPr>
        <w:lastRenderedPageBreak/>
        <w:t>(</w:t>
      </w:r>
      <w:r w:rsidRPr="00223ED3">
        <w:rPr>
          <w:color w:val="000000" w:themeColor="text1"/>
          <w:lang w:val="en-US"/>
        </w:rPr>
        <w:t>Fuller et al. 2004, 2005; Trueman et al. 2005</w:t>
      </w:r>
      <w:r w:rsidRPr="00223ED3">
        <w:rPr>
          <w:color w:val="000000"/>
          <w:lang w:val="en-US"/>
        </w:rPr>
        <w:t xml:space="preserve">). </w:t>
      </w:r>
      <w:r w:rsidRPr="00223ED3">
        <w:rPr>
          <w:color w:val="000000" w:themeColor="text1"/>
          <w:lang w:val="en-US"/>
        </w:rPr>
        <w:t xml:space="preserve"> In 2010, Waters-Rist and Katzenberg investigated long bones from subadults (n=11) of various ages (ranging from 7 -19 years) from the </w:t>
      </w:r>
      <w:r w:rsidRPr="00223ED3">
        <w:rPr>
          <w:lang w:val="en-US"/>
        </w:rPr>
        <w:t>Uxbridge Ossuary, located northeast of Toronto, Ontario</w:t>
      </w:r>
      <w:r w:rsidR="005F0950" w:rsidRPr="00223ED3">
        <w:rPr>
          <w:lang w:val="en-US"/>
        </w:rPr>
        <w:t>,</w:t>
      </w:r>
      <w:r w:rsidRPr="00223ED3">
        <w:rPr>
          <w:lang w:val="en-US"/>
        </w:rPr>
        <w:t xml:space="preserve"> to </w:t>
      </w:r>
      <w:r w:rsidR="005F0950" w:rsidRPr="00223ED3">
        <w:rPr>
          <w:lang w:val="en-US"/>
        </w:rPr>
        <w:t xml:space="preserve">compare </w:t>
      </w:r>
      <w:r w:rsidRPr="00223ED3">
        <w:rPr>
          <w:lang w:val="en-US"/>
        </w:rPr>
        <w:sym w:font="Symbol" w:char="F064"/>
      </w:r>
      <w:r w:rsidRPr="00223ED3">
        <w:rPr>
          <w:vertAlign w:val="superscript"/>
          <w:lang w:val="en-US"/>
        </w:rPr>
        <w:t>15</w:t>
      </w:r>
      <w:r w:rsidRPr="00223ED3">
        <w:rPr>
          <w:lang w:val="en-US"/>
        </w:rPr>
        <w:t>N obtained from the different areas of growing long bones</w:t>
      </w:r>
      <w:r w:rsidR="005F0950" w:rsidRPr="00223ED3">
        <w:rPr>
          <w:lang w:val="en-US"/>
        </w:rPr>
        <w:t>. The goal of this study was to investigate</w:t>
      </w:r>
      <w:r w:rsidRPr="00223ED3">
        <w:rPr>
          <w:lang w:val="en-US"/>
        </w:rPr>
        <w:t xml:space="preserve"> the relationship between growth and </w:t>
      </w:r>
      <w:r w:rsidRPr="00223ED3">
        <w:rPr>
          <w:color w:val="000000"/>
          <w:lang w:val="en-US"/>
        </w:rPr>
        <w:t xml:space="preserve">nitrogen isotope fractionation. Bone samples from the metaphyses, diaphyses and epiphyses demonstrated that there was no statistical difference </w:t>
      </w:r>
      <w:r w:rsidR="005F0950" w:rsidRPr="00223ED3">
        <w:rPr>
          <w:color w:val="000000"/>
          <w:lang w:val="en-US"/>
        </w:rPr>
        <w:t xml:space="preserve">in the </w:t>
      </w:r>
      <w:r w:rsidRPr="00223ED3">
        <w:rPr>
          <w:color w:val="000000"/>
          <w:lang w:val="en-US"/>
        </w:rPr>
        <w:t xml:space="preserve">mean </w:t>
      </w:r>
      <w:r w:rsidRPr="00223ED3">
        <w:rPr>
          <w:lang w:val="en-US"/>
        </w:rPr>
        <w:sym w:font="Symbol" w:char="F064"/>
      </w:r>
      <w:r w:rsidRPr="00223ED3">
        <w:rPr>
          <w:vertAlign w:val="superscript"/>
          <w:lang w:val="en-US"/>
        </w:rPr>
        <w:t>15</w:t>
      </w:r>
      <w:r w:rsidRPr="00223ED3">
        <w:rPr>
          <w:lang w:val="en-US"/>
        </w:rPr>
        <w:t xml:space="preserve">N ratios of proximal </w:t>
      </w:r>
      <w:r w:rsidR="005F0950" w:rsidRPr="00223ED3">
        <w:rPr>
          <w:lang w:val="en-US"/>
        </w:rPr>
        <w:t xml:space="preserve">and distal </w:t>
      </w:r>
      <w:r w:rsidRPr="00223ED3">
        <w:rPr>
          <w:lang w:val="en-US"/>
        </w:rPr>
        <w:t>metaphys</w:t>
      </w:r>
      <w:r w:rsidR="005F0950" w:rsidRPr="00223ED3">
        <w:rPr>
          <w:lang w:val="en-US"/>
        </w:rPr>
        <w:t xml:space="preserve">es and </w:t>
      </w:r>
      <w:r w:rsidRPr="00223ED3">
        <w:rPr>
          <w:lang w:val="en-US"/>
        </w:rPr>
        <w:t>diaphysis, indicating that</w:t>
      </w:r>
      <w:r w:rsidR="00D32C62">
        <w:rPr>
          <w:lang w:val="en-US"/>
        </w:rPr>
        <w:t xml:space="preserve"> a</w:t>
      </w:r>
      <w:r w:rsidRPr="00223ED3">
        <w:rPr>
          <w:lang w:val="en-US"/>
        </w:rPr>
        <w:t xml:space="preserve"> nitrogen isotope growth effect </w:t>
      </w:r>
      <w:r w:rsidR="00722374" w:rsidRPr="00223ED3">
        <w:rPr>
          <w:lang w:val="en-US"/>
        </w:rPr>
        <w:t>was</w:t>
      </w:r>
      <w:r w:rsidRPr="00223ED3">
        <w:rPr>
          <w:lang w:val="en-US"/>
        </w:rPr>
        <w:t xml:space="preserve"> not reflect</w:t>
      </w:r>
      <w:r w:rsidR="00D32C62">
        <w:rPr>
          <w:lang w:val="en-US"/>
        </w:rPr>
        <w:t>ed</w:t>
      </w:r>
      <w:r w:rsidRPr="00223ED3">
        <w:rPr>
          <w:lang w:val="en-US"/>
        </w:rPr>
        <w:t xml:space="preserve"> in </w:t>
      </w:r>
      <w:r w:rsidR="00D32C62">
        <w:rPr>
          <w:lang w:val="en-US"/>
        </w:rPr>
        <w:t xml:space="preserve">nitrogen isotope values of </w:t>
      </w:r>
      <w:r w:rsidRPr="00223ED3">
        <w:rPr>
          <w:lang w:val="en-US"/>
        </w:rPr>
        <w:t xml:space="preserve">subadult long bones. </w:t>
      </w:r>
      <w:r w:rsidRPr="00223ED3">
        <w:rPr>
          <w:color w:val="000000" w:themeColor="text1"/>
          <w:lang w:val="en-US"/>
        </w:rPr>
        <w:t xml:space="preserve">Waters-Rist and Katzenberg (2010) </w:t>
      </w:r>
      <w:r w:rsidR="009B0E16" w:rsidRPr="00223ED3">
        <w:rPr>
          <w:color w:val="000000" w:themeColor="text1"/>
          <w:lang w:val="en-US"/>
        </w:rPr>
        <w:t xml:space="preserve">suggested </w:t>
      </w:r>
      <w:r w:rsidRPr="00223ED3">
        <w:rPr>
          <w:color w:val="000000" w:themeColor="text1"/>
          <w:lang w:val="en-US"/>
        </w:rPr>
        <w:t xml:space="preserve">that this may be </w:t>
      </w:r>
      <w:r w:rsidR="00722374" w:rsidRPr="00223ED3">
        <w:rPr>
          <w:color w:val="000000" w:themeColor="text1"/>
          <w:lang w:val="en-US"/>
        </w:rPr>
        <w:t>a result of</w:t>
      </w:r>
      <w:r w:rsidRPr="00223ED3">
        <w:rPr>
          <w:color w:val="000000" w:themeColor="text1"/>
          <w:lang w:val="en-US"/>
        </w:rPr>
        <w:t xml:space="preserve"> long bone</w:t>
      </w:r>
      <w:r w:rsidR="009B0E16" w:rsidRPr="00223ED3">
        <w:rPr>
          <w:color w:val="000000" w:themeColor="text1"/>
          <w:lang w:val="en-US"/>
        </w:rPr>
        <w:t>s</w:t>
      </w:r>
      <w:r w:rsidRPr="00223ED3">
        <w:rPr>
          <w:color w:val="000000" w:themeColor="text1"/>
          <w:lang w:val="en-US"/>
        </w:rPr>
        <w:t xml:space="preserve"> grow</w:t>
      </w:r>
      <w:r w:rsidR="00722374" w:rsidRPr="00223ED3">
        <w:rPr>
          <w:color w:val="000000" w:themeColor="text1"/>
          <w:lang w:val="en-US"/>
        </w:rPr>
        <w:t>ing in</w:t>
      </w:r>
      <w:r w:rsidRPr="00223ED3">
        <w:rPr>
          <w:color w:val="000000" w:themeColor="text1"/>
          <w:lang w:val="en-US"/>
        </w:rPr>
        <w:t xml:space="preserve"> circumference</w:t>
      </w:r>
      <w:r w:rsidR="00722374" w:rsidRPr="00223ED3">
        <w:rPr>
          <w:color w:val="000000" w:themeColor="text1"/>
          <w:lang w:val="en-US"/>
        </w:rPr>
        <w:t xml:space="preserve"> </w:t>
      </w:r>
      <w:r w:rsidRPr="00223ED3">
        <w:rPr>
          <w:color w:val="000000" w:themeColor="text1"/>
          <w:lang w:val="en-US"/>
        </w:rPr>
        <w:t xml:space="preserve">(termed appositional growth) through the </w:t>
      </w:r>
      <w:r w:rsidR="00E61B41">
        <w:rPr>
          <w:color w:val="000000" w:themeColor="text1"/>
          <w:lang w:val="en-US"/>
        </w:rPr>
        <w:t>addition</w:t>
      </w:r>
      <w:r w:rsidR="00E61B41" w:rsidRPr="00223ED3">
        <w:rPr>
          <w:color w:val="000000" w:themeColor="text1"/>
          <w:lang w:val="en-US"/>
        </w:rPr>
        <w:t xml:space="preserve"> </w:t>
      </w:r>
      <w:r w:rsidRPr="00223ED3">
        <w:rPr>
          <w:color w:val="000000" w:themeColor="text1"/>
          <w:lang w:val="en-US"/>
        </w:rPr>
        <w:t>of successive layers of lamellae</w:t>
      </w:r>
      <w:r w:rsidR="00E61B41">
        <w:rPr>
          <w:color w:val="000000" w:themeColor="text1"/>
          <w:lang w:val="en-US"/>
        </w:rPr>
        <w:t>,</w:t>
      </w:r>
      <w:r w:rsidRPr="00223ED3">
        <w:rPr>
          <w:color w:val="000000" w:themeColor="text1"/>
          <w:lang w:val="en-US"/>
        </w:rPr>
        <w:t xml:space="preserve"> which could minimize the variation in metaphyseal and diaphyseal </w:t>
      </w:r>
      <w:r w:rsidRPr="00223ED3">
        <w:rPr>
          <w:lang w:val="en-US"/>
        </w:rPr>
        <w:sym w:font="Symbol" w:char="F064"/>
      </w:r>
      <w:r w:rsidRPr="00223ED3">
        <w:rPr>
          <w:vertAlign w:val="superscript"/>
          <w:lang w:val="en-US"/>
        </w:rPr>
        <w:t>15</w:t>
      </w:r>
      <w:r w:rsidRPr="00223ED3">
        <w:rPr>
          <w:lang w:val="en-US"/>
        </w:rPr>
        <w:t>N</w:t>
      </w:r>
      <w:r w:rsidR="00E61B41">
        <w:rPr>
          <w:lang w:val="en-US"/>
        </w:rPr>
        <w:t xml:space="preserve"> values</w:t>
      </w:r>
      <w:r w:rsidRPr="00223ED3">
        <w:rPr>
          <w:lang w:val="en-US"/>
        </w:rPr>
        <w:t xml:space="preserve">. This study also compared </w:t>
      </w:r>
      <w:r w:rsidRPr="00223ED3">
        <w:rPr>
          <w:lang w:val="en-US"/>
        </w:rPr>
        <w:sym w:font="Symbol" w:char="F064"/>
      </w:r>
      <w:r w:rsidRPr="00223ED3">
        <w:rPr>
          <w:vertAlign w:val="superscript"/>
          <w:lang w:val="en-US"/>
        </w:rPr>
        <w:t>15</w:t>
      </w:r>
      <w:r w:rsidRPr="00223ED3">
        <w:rPr>
          <w:lang w:val="en-US"/>
        </w:rPr>
        <w:t>N from fast growing metaphyses with slow growing metaphys</w:t>
      </w:r>
      <w:r w:rsidR="009B0E16" w:rsidRPr="00223ED3">
        <w:rPr>
          <w:lang w:val="en-US"/>
        </w:rPr>
        <w:t>e</w:t>
      </w:r>
      <w:r w:rsidRPr="00223ED3">
        <w:rPr>
          <w:lang w:val="en-US"/>
        </w:rPr>
        <w:t xml:space="preserve">s, since in long bones proportionally more growth will occur at one of the metaphysis than the other (Scheuer &amp; Black 2000). The results once again indicated that there was no significant difference in the mean </w:t>
      </w:r>
      <w:r w:rsidRPr="00223ED3">
        <w:rPr>
          <w:lang w:val="en-US"/>
        </w:rPr>
        <w:sym w:font="Symbol" w:char="F064"/>
      </w:r>
      <w:r w:rsidRPr="00223ED3">
        <w:rPr>
          <w:vertAlign w:val="superscript"/>
          <w:lang w:val="en-US"/>
        </w:rPr>
        <w:t>15</w:t>
      </w:r>
      <w:r w:rsidRPr="00223ED3">
        <w:rPr>
          <w:lang w:val="en-US"/>
        </w:rPr>
        <w:t xml:space="preserve">N values between the two </w:t>
      </w:r>
      <w:r w:rsidR="00A00AEB">
        <w:rPr>
          <w:lang w:val="en-US"/>
        </w:rPr>
        <w:t>areas of long bones</w:t>
      </w:r>
      <w:r w:rsidRPr="00223ED3">
        <w:rPr>
          <w:lang w:val="en-US"/>
        </w:rPr>
        <w:t xml:space="preserve">. The third comparison made was between growing (unfused) and fused bones; results demonstrated that a nitrogen isotope growth effect </w:t>
      </w:r>
      <w:r w:rsidR="00722374" w:rsidRPr="00223ED3">
        <w:rPr>
          <w:lang w:val="en-US"/>
        </w:rPr>
        <w:t>was</w:t>
      </w:r>
      <w:r w:rsidRPr="00223ED3">
        <w:rPr>
          <w:lang w:val="en-US"/>
        </w:rPr>
        <w:t xml:space="preserve"> either not manifested, or was not detectable in adolescent bone collagen. </w:t>
      </w:r>
      <w:r w:rsidR="00722374" w:rsidRPr="00223ED3">
        <w:rPr>
          <w:lang w:val="en-US"/>
        </w:rPr>
        <w:t>Based on these observations,</w:t>
      </w:r>
      <w:r w:rsidRPr="00223ED3">
        <w:rPr>
          <w:lang w:val="en-US"/>
        </w:rPr>
        <w:t xml:space="preserve"> </w:t>
      </w:r>
      <w:r w:rsidRPr="00223ED3">
        <w:rPr>
          <w:color w:val="000000" w:themeColor="text1"/>
          <w:lang w:val="en-US"/>
        </w:rPr>
        <w:t xml:space="preserve">Waters-Rist and Katzenberg (2010) </w:t>
      </w:r>
      <w:r w:rsidR="00722374" w:rsidRPr="00223ED3">
        <w:rPr>
          <w:color w:val="000000" w:themeColor="text1"/>
          <w:lang w:val="en-US"/>
        </w:rPr>
        <w:t>proposed</w:t>
      </w:r>
      <w:r w:rsidRPr="00223ED3">
        <w:rPr>
          <w:color w:val="000000" w:themeColor="text1"/>
          <w:lang w:val="en-US"/>
        </w:rPr>
        <w:t xml:space="preserve"> </w:t>
      </w:r>
      <w:r w:rsidR="00722374" w:rsidRPr="00223ED3">
        <w:rPr>
          <w:color w:val="000000" w:themeColor="text1"/>
          <w:lang w:val="en-US"/>
        </w:rPr>
        <w:t xml:space="preserve">that </w:t>
      </w:r>
      <w:r w:rsidR="009B0E16" w:rsidRPr="00223ED3">
        <w:rPr>
          <w:color w:val="000000" w:themeColor="text1"/>
          <w:lang w:val="en-US"/>
        </w:rPr>
        <w:t xml:space="preserve">no </w:t>
      </w:r>
      <w:r w:rsidRPr="00223ED3">
        <w:rPr>
          <w:color w:val="000000" w:themeColor="text1"/>
          <w:lang w:val="en-US"/>
        </w:rPr>
        <w:t>isotopic difference</w:t>
      </w:r>
      <w:r w:rsidR="00722374" w:rsidRPr="00223ED3">
        <w:rPr>
          <w:color w:val="000000" w:themeColor="text1"/>
          <w:lang w:val="en-US"/>
        </w:rPr>
        <w:t xml:space="preserve"> should be observable</w:t>
      </w:r>
      <w:r w:rsidRPr="00223ED3">
        <w:rPr>
          <w:color w:val="000000" w:themeColor="text1"/>
          <w:lang w:val="en-US"/>
        </w:rPr>
        <w:t xml:space="preserve"> between an adult and a growing individual fed on the same food. </w:t>
      </w:r>
      <w:r w:rsidRPr="00223ED3">
        <w:rPr>
          <w:color w:val="000000"/>
          <w:lang w:val="en-US"/>
        </w:rPr>
        <w:t>Nonetheless, isotopic studies investigating paleodiets, especially breastfeeding and weaning, are shifting away from bone and are utilizing other bodily tissues.</w:t>
      </w:r>
    </w:p>
    <w:p w14:paraId="7873F8FA" w14:textId="3DF74BEB" w:rsidR="002105FB" w:rsidRDefault="003B5B7F" w:rsidP="009C515B">
      <w:pPr>
        <w:pStyle w:val="NormalWeb"/>
        <w:spacing w:line="480" w:lineRule="auto"/>
        <w:ind w:firstLine="720"/>
        <w:rPr>
          <w:color w:val="000000" w:themeColor="text1"/>
          <w:lang w:val="en-US"/>
        </w:rPr>
      </w:pPr>
      <w:r w:rsidRPr="00223ED3">
        <w:rPr>
          <w:color w:val="000000"/>
          <w:lang w:val="en-US"/>
        </w:rPr>
        <w:lastRenderedPageBreak/>
        <w:t xml:space="preserve">Teeth are </w:t>
      </w:r>
      <w:r w:rsidR="00593195" w:rsidRPr="00223ED3">
        <w:rPr>
          <w:color w:val="000000"/>
          <w:lang w:val="en-US"/>
        </w:rPr>
        <w:t>increasingly being utilized in isotope investigations as t</w:t>
      </w:r>
      <w:r w:rsidRPr="00223ED3">
        <w:rPr>
          <w:color w:val="000000"/>
          <w:lang w:val="en-US"/>
        </w:rPr>
        <w:t xml:space="preserve">ooth enamel (inorganic component) can </w:t>
      </w:r>
      <w:r w:rsidR="00593195" w:rsidRPr="00223ED3">
        <w:rPr>
          <w:color w:val="000000"/>
          <w:lang w:val="en-US"/>
        </w:rPr>
        <w:t xml:space="preserve">also </w:t>
      </w:r>
      <w:r w:rsidRPr="00223ED3">
        <w:rPr>
          <w:color w:val="000000"/>
          <w:lang w:val="en-US"/>
        </w:rPr>
        <w:t>be analyzed for carbon and oxygen isotopes</w:t>
      </w:r>
      <w:r w:rsidR="00722374" w:rsidRPr="00223ED3">
        <w:rPr>
          <w:color w:val="000000"/>
          <w:lang w:val="en-US"/>
        </w:rPr>
        <w:t>. Tooth enamel</w:t>
      </w:r>
      <w:r w:rsidRPr="00223ED3">
        <w:rPr>
          <w:color w:val="000000"/>
          <w:lang w:val="en-US"/>
        </w:rPr>
        <w:t xml:space="preserve"> is made up of 96% </w:t>
      </w:r>
      <w:r w:rsidRPr="00223ED3">
        <w:rPr>
          <w:lang w:val="en-US"/>
        </w:rPr>
        <w:t xml:space="preserve">hydroxyapatite, with the remaining 4% composed of non-collagenous proteins (Gutiérrez-Salazar </w:t>
      </w:r>
      <w:r w:rsidR="00716B77" w:rsidRPr="00223ED3">
        <w:rPr>
          <w:lang w:val="en-US"/>
        </w:rPr>
        <w:t>&amp;</w:t>
      </w:r>
      <w:r w:rsidRPr="00223ED3">
        <w:rPr>
          <w:lang w:val="en-US"/>
        </w:rPr>
        <w:t xml:space="preserve"> Reyes-Gasga 2003). Enamel of permanent teeth forms in early childhood and undergoes no </w:t>
      </w:r>
      <w:r w:rsidR="00A00AEB">
        <w:rPr>
          <w:lang w:val="en-US"/>
        </w:rPr>
        <w:t>remodeling</w:t>
      </w:r>
      <w:r w:rsidRPr="00223ED3">
        <w:rPr>
          <w:lang w:val="en-US"/>
        </w:rPr>
        <w:t xml:space="preserve"> during later life, thereby allowing for the study of breastfeeding and weaning practices of individuals who survived into adulthood. Tooth dentine (the organic component) is more like bone, as it is composed of hydroxyapatite and collagen, 70% and 30% by weight, respectively. </w:t>
      </w:r>
      <w:r w:rsidR="00593195" w:rsidRPr="00223ED3">
        <w:rPr>
          <w:lang w:val="en-US"/>
        </w:rPr>
        <w:t>Yet unlike bone,</w:t>
      </w:r>
      <w:r w:rsidRPr="00223ED3">
        <w:rPr>
          <w:lang w:val="en-US"/>
        </w:rPr>
        <w:t xml:space="preserve"> tooth dentine</w:t>
      </w:r>
      <w:r w:rsidR="00282E6D">
        <w:rPr>
          <w:lang w:val="en-US"/>
        </w:rPr>
        <w:t xml:space="preserve"> structure</w:t>
      </w:r>
      <w:r w:rsidRPr="00223ED3">
        <w:rPr>
          <w:lang w:val="en-US"/>
        </w:rPr>
        <w:t xml:space="preserve"> undergoes very little </w:t>
      </w:r>
      <w:r w:rsidR="00282E6D">
        <w:rPr>
          <w:lang w:val="en-US"/>
        </w:rPr>
        <w:t>alteration</w:t>
      </w:r>
      <w:r w:rsidRPr="00223ED3">
        <w:rPr>
          <w:lang w:val="en-US"/>
        </w:rPr>
        <w:t xml:space="preserve"> through life and can be used to recover dietary signals from earlier periods of childhood.  While bones are constantly remodeling throughout an individual’s life, teeth develop during infancy and childhood and do not remodel. </w:t>
      </w:r>
      <w:r w:rsidR="00593195" w:rsidRPr="00223ED3">
        <w:rPr>
          <w:lang w:val="en-US"/>
        </w:rPr>
        <w:t xml:space="preserve">Tooth dentine begins to develop </w:t>
      </w:r>
      <w:r w:rsidR="00593195" w:rsidRPr="00223ED3">
        <w:rPr>
          <w:i/>
          <w:iCs/>
          <w:lang w:val="en-US"/>
        </w:rPr>
        <w:t xml:space="preserve">in utero </w:t>
      </w:r>
      <w:r w:rsidR="00593195" w:rsidRPr="00223ED3">
        <w:rPr>
          <w:lang w:val="en-US"/>
        </w:rPr>
        <w:t xml:space="preserve">and forms through a two-stage process (discussed below).  It also </w:t>
      </w:r>
      <w:r w:rsidRPr="00223ED3">
        <w:rPr>
          <w:lang w:val="en-US"/>
        </w:rPr>
        <w:t>makes up the bulk of a tooth</w:t>
      </w:r>
      <w:r w:rsidR="008D2680">
        <w:rPr>
          <w:lang w:val="en-US"/>
        </w:rPr>
        <w:t>,</w:t>
      </w:r>
      <w:r w:rsidRPr="00223ED3">
        <w:rPr>
          <w:lang w:val="en-US"/>
        </w:rPr>
        <w:t xml:space="preserve"> including its roots</w:t>
      </w:r>
      <w:r w:rsidR="008D2680">
        <w:rPr>
          <w:lang w:val="en-US"/>
        </w:rPr>
        <w:t>,</w:t>
      </w:r>
      <w:r w:rsidR="00593195" w:rsidRPr="00223ED3">
        <w:rPr>
          <w:lang w:val="en-US"/>
        </w:rPr>
        <w:t xml:space="preserve"> and t</w:t>
      </w:r>
      <w:r w:rsidRPr="00223ED3">
        <w:rPr>
          <w:lang w:val="en-US"/>
        </w:rPr>
        <w:t xml:space="preserve">he presence of a collagenous component allows researchers to analyze dentine for carbon and nitrogen isotope ratios. It is generally expected that teeth are less susceptible to diagenesis than bones, due to the absence of a vascular network in tooth </w:t>
      </w:r>
      <w:r w:rsidR="00E55E5F">
        <w:rPr>
          <w:lang w:val="en-US"/>
        </w:rPr>
        <w:t>dentine</w:t>
      </w:r>
      <w:r w:rsidRPr="00223ED3">
        <w:rPr>
          <w:lang w:val="en-US"/>
        </w:rPr>
        <w:t xml:space="preserve"> and the enamel protecting the crown. Although </w:t>
      </w:r>
      <w:r w:rsidR="008D2680">
        <w:rPr>
          <w:lang w:val="en-US"/>
        </w:rPr>
        <w:t xml:space="preserve">some </w:t>
      </w:r>
      <w:r w:rsidR="003672C2" w:rsidRPr="00223ED3">
        <w:rPr>
          <w:lang w:val="en-US"/>
        </w:rPr>
        <w:t>studies</w:t>
      </w:r>
      <w:r w:rsidRPr="00223ED3">
        <w:rPr>
          <w:lang w:val="en-US"/>
        </w:rPr>
        <w:t xml:space="preserve"> (</w:t>
      </w:r>
      <w:r w:rsidR="008D2680">
        <w:rPr>
          <w:lang w:val="en-US"/>
        </w:rPr>
        <w:t xml:space="preserve">e.g., </w:t>
      </w:r>
      <w:r w:rsidRPr="00223ED3">
        <w:rPr>
          <w:lang w:val="en-US"/>
        </w:rPr>
        <w:t xml:space="preserve">Götherström et al. 2002; Sampietro et al. 2006) support this view, teeth by no means are resistant to the diagenetic changes that impact bone tissues. As tooth enamel is compact and dentine is relatively porous, </w:t>
      </w:r>
      <w:r w:rsidR="00E55E5F">
        <w:rPr>
          <w:lang w:val="en-US"/>
        </w:rPr>
        <w:t>dentine</w:t>
      </w:r>
      <w:r w:rsidRPr="00223ED3">
        <w:rPr>
          <w:lang w:val="en-US"/>
        </w:rPr>
        <w:t xml:space="preserve"> is more susceptible to diagenetic alteration than enamel. In addition, the high organic content of </w:t>
      </w:r>
      <w:r w:rsidR="00E55E5F">
        <w:rPr>
          <w:lang w:val="en-US"/>
        </w:rPr>
        <w:t>dentine</w:t>
      </w:r>
      <w:r w:rsidRPr="00223ED3">
        <w:rPr>
          <w:lang w:val="en-US"/>
        </w:rPr>
        <w:t xml:space="preserve"> is also a contributing factor</w:t>
      </w:r>
      <w:r w:rsidR="003663F5">
        <w:rPr>
          <w:lang w:val="en-US"/>
        </w:rPr>
        <w:t>,</w:t>
      </w:r>
      <w:r w:rsidRPr="00223ED3">
        <w:rPr>
          <w:lang w:val="en-US"/>
        </w:rPr>
        <w:t xml:space="preserve"> </w:t>
      </w:r>
      <w:r w:rsidR="00722374" w:rsidRPr="00223ED3">
        <w:rPr>
          <w:lang w:val="en-US"/>
        </w:rPr>
        <w:t xml:space="preserve">since </w:t>
      </w:r>
      <w:r w:rsidRPr="00223ED3">
        <w:rPr>
          <w:lang w:val="en-US"/>
        </w:rPr>
        <w:t xml:space="preserve">it is more easily destroyed during </w:t>
      </w:r>
      <w:r w:rsidR="00C43313" w:rsidRPr="00223ED3">
        <w:rPr>
          <w:lang w:val="en-US"/>
        </w:rPr>
        <w:t>diagenesis and</w:t>
      </w:r>
      <w:r w:rsidRPr="00223ED3">
        <w:rPr>
          <w:lang w:val="en-US"/>
        </w:rPr>
        <w:t xml:space="preserve"> can cause an increase in porosity and </w:t>
      </w:r>
      <w:r w:rsidRPr="00223ED3">
        <w:rPr>
          <w:color w:val="000000" w:themeColor="text1"/>
          <w:lang w:val="en-US"/>
        </w:rPr>
        <w:lastRenderedPageBreak/>
        <w:t xml:space="preserve">fragilities in the structure (Dauphin </w:t>
      </w:r>
      <w:r w:rsidR="00593195" w:rsidRPr="00223ED3">
        <w:rPr>
          <w:color w:val="000000" w:themeColor="text1"/>
          <w:lang w:val="en-US"/>
        </w:rPr>
        <w:t>&amp;</w:t>
      </w:r>
      <w:r w:rsidRPr="00223ED3">
        <w:rPr>
          <w:color w:val="000000" w:themeColor="text1"/>
          <w:lang w:val="en-US"/>
        </w:rPr>
        <w:t xml:space="preserve"> Williams 2004). Consequently, assessing diagenesis is essential when carrying out stable isotope analysis regardless of the tissue used</w:t>
      </w:r>
      <w:r w:rsidR="00494551">
        <w:rPr>
          <w:color w:val="000000" w:themeColor="text1"/>
          <w:lang w:val="en-US"/>
        </w:rPr>
        <w:t>. This i</w:t>
      </w:r>
      <w:r w:rsidR="003672C2" w:rsidRPr="00223ED3">
        <w:rPr>
          <w:color w:val="000000" w:themeColor="text1"/>
          <w:lang w:val="en-US"/>
        </w:rPr>
        <w:t>s further</w:t>
      </w:r>
      <w:r w:rsidRPr="00223ED3">
        <w:rPr>
          <w:color w:val="000000" w:themeColor="text1"/>
          <w:lang w:val="en-US"/>
        </w:rPr>
        <w:t xml:space="preserve"> discussed in </w:t>
      </w:r>
      <w:r w:rsidR="003E4B12">
        <w:rPr>
          <w:color w:val="000000" w:themeColor="text1"/>
          <w:lang w:val="en-US"/>
        </w:rPr>
        <w:t>S</w:t>
      </w:r>
      <w:r w:rsidR="008314A1" w:rsidRPr="00223ED3">
        <w:rPr>
          <w:color w:val="000000" w:themeColor="text1"/>
          <w:lang w:val="en-US"/>
        </w:rPr>
        <w:t>ection 5.2.</w:t>
      </w:r>
      <w:r w:rsidRPr="00223ED3">
        <w:rPr>
          <w:color w:val="000000" w:themeColor="text1"/>
          <w:lang w:val="en-US"/>
        </w:rPr>
        <w:t xml:space="preserve">  </w:t>
      </w:r>
    </w:p>
    <w:p w14:paraId="15EB8756" w14:textId="77777777" w:rsidR="00C43313" w:rsidRPr="00223ED3" w:rsidRDefault="00C43313" w:rsidP="00FF0311">
      <w:pPr>
        <w:pStyle w:val="NormalWeb"/>
        <w:ind w:firstLine="720"/>
        <w:rPr>
          <w:lang w:val="en-US"/>
        </w:rPr>
      </w:pPr>
    </w:p>
    <w:p w14:paraId="2DACE333" w14:textId="017EC652" w:rsidR="003672C2" w:rsidRDefault="003B5B7F" w:rsidP="00FF0311">
      <w:pPr>
        <w:pStyle w:val="ListParagraph"/>
        <w:numPr>
          <w:ilvl w:val="2"/>
          <w:numId w:val="27"/>
        </w:numPr>
        <w:spacing w:line="480" w:lineRule="auto"/>
        <w:ind w:left="567" w:hanging="567"/>
        <w:rPr>
          <w:rFonts w:ascii="Times New Roman" w:hAnsi="Times New Roman" w:cs="Times New Roman"/>
          <w:color w:val="000000" w:themeColor="text1"/>
        </w:rPr>
      </w:pPr>
      <w:r w:rsidRPr="00FF0311">
        <w:rPr>
          <w:rFonts w:ascii="Times New Roman" w:hAnsi="Times New Roman" w:cs="Times New Roman"/>
          <w:color w:val="000000" w:themeColor="text1"/>
        </w:rPr>
        <w:t>Structure of Dentine</w:t>
      </w:r>
    </w:p>
    <w:p w14:paraId="778AD768" w14:textId="77777777" w:rsidR="00FF0311" w:rsidRPr="00FF0311" w:rsidRDefault="00FF0311" w:rsidP="00FF0311">
      <w:pPr>
        <w:pStyle w:val="ListParagraph"/>
        <w:rPr>
          <w:rFonts w:ascii="Times New Roman" w:hAnsi="Times New Roman" w:cs="Times New Roman"/>
          <w:color w:val="000000" w:themeColor="text1"/>
        </w:rPr>
      </w:pPr>
    </w:p>
    <w:p w14:paraId="5496D3E8" w14:textId="578099CB" w:rsidR="001F50B3" w:rsidRDefault="00494551" w:rsidP="00FF0311">
      <w:pPr>
        <w:spacing w:line="480" w:lineRule="auto"/>
        <w:ind w:firstLine="709"/>
        <w:rPr>
          <w:lang w:val="en-US"/>
        </w:rPr>
      </w:pPr>
      <w:r>
        <w:rPr>
          <w:lang w:val="en-US"/>
        </w:rPr>
        <w:t>D</w:t>
      </w:r>
      <w:r w:rsidR="003B5B7F" w:rsidRPr="00223ED3">
        <w:rPr>
          <w:lang w:val="en-US"/>
        </w:rPr>
        <w:t xml:space="preserve">entine is secreted and mineralized in two phases: odontoblasts secrete an initial dentine matrix (known as predentine), and </w:t>
      </w:r>
      <w:r w:rsidR="008362CE" w:rsidRPr="00223ED3">
        <w:rPr>
          <w:lang w:val="en-US"/>
        </w:rPr>
        <w:t xml:space="preserve">the deposition of short (20-100 nm) crystals of carbonate hydroxyapatite </w:t>
      </w:r>
      <w:r w:rsidR="003B5B7F" w:rsidRPr="00223ED3">
        <w:rPr>
          <w:lang w:val="en-US"/>
        </w:rPr>
        <w:t>mineraliz</w:t>
      </w:r>
      <w:r w:rsidR="008362CE" w:rsidRPr="00223ED3">
        <w:rPr>
          <w:lang w:val="en-US"/>
        </w:rPr>
        <w:t>e</w:t>
      </w:r>
      <w:r w:rsidR="003B5B7F" w:rsidRPr="00223ED3">
        <w:rPr>
          <w:lang w:val="en-US"/>
        </w:rPr>
        <w:t xml:space="preserve"> the collagen fiber matrix. The rate of initial dentine secretion is relatively consistent</w:t>
      </w:r>
      <w:r w:rsidR="00C94A15">
        <w:rPr>
          <w:lang w:val="en-US"/>
        </w:rPr>
        <w:t>;</w:t>
      </w:r>
      <w:r w:rsidR="003B5B7F" w:rsidRPr="00223ED3">
        <w:rPr>
          <w:lang w:val="en-US"/>
        </w:rPr>
        <w:t xml:space="preserve"> for permanent teeth it is 4-6 mm per day throughout the cuspal areas (Dean </w:t>
      </w:r>
      <w:r w:rsidR="008362CE" w:rsidRPr="00223ED3">
        <w:rPr>
          <w:lang w:val="en-US"/>
        </w:rPr>
        <w:t>&amp;</w:t>
      </w:r>
      <w:r w:rsidR="003B5B7F" w:rsidRPr="00223ED3">
        <w:rPr>
          <w:lang w:val="en-US"/>
        </w:rPr>
        <w:t xml:space="preserve"> Scandrett 1995). The retreating odontoblasts move away from the enamel/dentine junction (EDJ) creating a layer of newly secreted predentine (Hillson 1996); while the mineralizing front follows the same path 10-20 mm behind. The complete process takes approximately 3-8 days and dentine does not remodel once mineralized. Equally, root dentine is formed from the cement/dentine junction (CDJ) with a rate of 1.3 – 1.5 mm per day (Beaumont et al. 2013). The rate has been noted to change from 1.3 mm per day to match the same rate as the cuspal region within the bulk of the root, then reducing back to 1.3 mm per day as the odontoblasts approach the pulp chamber (Dean &amp; Scandrett 1995). Further, mineralized dentine tubules form a S-shape</w:t>
      </w:r>
      <w:r w:rsidR="00FC0BEF">
        <w:rPr>
          <w:lang w:val="en-US"/>
        </w:rPr>
        <w:t xml:space="preserve"> </w:t>
      </w:r>
      <w:r w:rsidR="003B5B7F" w:rsidRPr="00223ED3">
        <w:rPr>
          <w:lang w:val="en-US"/>
        </w:rPr>
        <w:t xml:space="preserve">(Dean &amp; Scandrett 1995). </w:t>
      </w:r>
    </w:p>
    <w:p w14:paraId="7670E7D9" w14:textId="77777777" w:rsidR="00FF0311" w:rsidRPr="00223ED3" w:rsidRDefault="00FF0311" w:rsidP="00FF0311">
      <w:pPr>
        <w:ind w:firstLine="709"/>
        <w:rPr>
          <w:lang w:val="en-US"/>
        </w:rPr>
      </w:pPr>
    </w:p>
    <w:p w14:paraId="2060B75C" w14:textId="1862385A" w:rsidR="001F50B3" w:rsidRDefault="003B5B7F" w:rsidP="009C515B">
      <w:pPr>
        <w:spacing w:line="480" w:lineRule="auto"/>
        <w:ind w:firstLine="709"/>
        <w:rPr>
          <w:lang w:val="en-US"/>
        </w:rPr>
      </w:pPr>
      <w:r w:rsidRPr="00223ED3">
        <w:rPr>
          <w:lang w:val="en-US"/>
        </w:rPr>
        <w:t>Incremental</w:t>
      </w:r>
      <w:r w:rsidR="001F50B3" w:rsidRPr="00223ED3">
        <w:rPr>
          <w:lang w:val="en-US"/>
        </w:rPr>
        <w:t xml:space="preserve"> dentine</w:t>
      </w:r>
      <w:r w:rsidRPr="00223ED3">
        <w:rPr>
          <w:lang w:val="en-US"/>
        </w:rPr>
        <w:t xml:space="preserve"> sampling follows these known patterns of dentine development and the timing of development for human teeth according to standards outline</w:t>
      </w:r>
      <w:r w:rsidR="003663F5">
        <w:rPr>
          <w:lang w:val="en-US"/>
        </w:rPr>
        <w:t>d</w:t>
      </w:r>
      <w:r w:rsidRPr="00223ED3">
        <w:rPr>
          <w:lang w:val="en-US"/>
        </w:rPr>
        <w:t xml:space="preserve"> by Hillson (1996) and AlQahtani (20</w:t>
      </w:r>
      <w:r w:rsidR="006B1DC3" w:rsidRPr="00223ED3">
        <w:rPr>
          <w:lang w:val="en-US"/>
        </w:rPr>
        <w:t>12</w:t>
      </w:r>
      <w:r w:rsidRPr="00223ED3">
        <w:rPr>
          <w:lang w:val="en-US"/>
        </w:rPr>
        <w:t xml:space="preserve">). Since the direction and rate of growth </w:t>
      </w:r>
      <w:r w:rsidRPr="00223ED3">
        <w:rPr>
          <w:lang w:val="en-US"/>
        </w:rPr>
        <w:lastRenderedPageBreak/>
        <w:t>for dentine are well established (Dean &amp; Scadrett 199</w:t>
      </w:r>
      <w:r w:rsidR="00463427">
        <w:rPr>
          <w:lang w:val="en-US"/>
        </w:rPr>
        <w:t>5</w:t>
      </w:r>
      <w:r w:rsidRPr="00223ED3">
        <w:rPr>
          <w:lang w:val="en-US"/>
        </w:rPr>
        <w:t>), age ranges can be attributed to each sub-sample of dentine from one tooth.</w:t>
      </w:r>
      <w:r w:rsidR="001F50B3" w:rsidRPr="00223ED3">
        <w:rPr>
          <w:lang w:val="en-US"/>
        </w:rPr>
        <w:t xml:space="preserve"> </w:t>
      </w:r>
    </w:p>
    <w:p w14:paraId="04968ED9" w14:textId="77777777" w:rsidR="009C515B" w:rsidRPr="00223ED3" w:rsidRDefault="009C515B" w:rsidP="009C515B">
      <w:pPr>
        <w:ind w:firstLine="709"/>
        <w:rPr>
          <w:lang w:val="en-US"/>
        </w:rPr>
      </w:pPr>
    </w:p>
    <w:p w14:paraId="3EF8FBF3" w14:textId="180A9B24" w:rsidR="001F50B3" w:rsidRPr="00FF0311" w:rsidRDefault="003B5B7F" w:rsidP="00FF0311">
      <w:pPr>
        <w:pStyle w:val="ListParagraph"/>
        <w:numPr>
          <w:ilvl w:val="2"/>
          <w:numId w:val="27"/>
        </w:numPr>
        <w:spacing w:line="480" w:lineRule="auto"/>
        <w:ind w:left="567" w:hanging="567"/>
        <w:rPr>
          <w:rFonts w:ascii="Times New Roman" w:hAnsi="Times New Roman" w:cs="Times New Roman"/>
          <w:color w:val="000000" w:themeColor="text1"/>
        </w:rPr>
      </w:pPr>
      <w:r w:rsidRPr="00FF0311">
        <w:rPr>
          <w:rFonts w:ascii="Times New Roman" w:hAnsi="Times New Roman" w:cs="Times New Roman"/>
          <w:color w:val="000000" w:themeColor="text1"/>
        </w:rPr>
        <w:t>Dentine Microsampling</w:t>
      </w:r>
    </w:p>
    <w:p w14:paraId="7009E9A1" w14:textId="77777777" w:rsidR="00FF0311" w:rsidRDefault="00FF0311" w:rsidP="00FF0311">
      <w:pPr>
        <w:ind w:firstLine="720"/>
        <w:rPr>
          <w:color w:val="000000" w:themeColor="text1"/>
          <w:lang w:val="en-US"/>
        </w:rPr>
      </w:pPr>
    </w:p>
    <w:p w14:paraId="023648FD" w14:textId="4754BFEC" w:rsidR="003638FA" w:rsidRDefault="003B5B7F" w:rsidP="00AF6259">
      <w:pPr>
        <w:spacing w:line="480" w:lineRule="auto"/>
        <w:ind w:firstLine="720"/>
        <w:rPr>
          <w:color w:val="000000" w:themeColor="text1"/>
          <w:lang w:val="en-US"/>
        </w:rPr>
      </w:pPr>
      <w:r w:rsidRPr="00223ED3">
        <w:rPr>
          <w:color w:val="000000" w:themeColor="text1"/>
          <w:lang w:val="en-US"/>
        </w:rPr>
        <w:t xml:space="preserve">Koch </w:t>
      </w:r>
      <w:r w:rsidR="00887803" w:rsidRPr="00223ED3">
        <w:rPr>
          <w:iCs/>
          <w:color w:val="000000" w:themeColor="text1"/>
          <w:lang w:val="en-US"/>
        </w:rPr>
        <w:t>and colleagues</w:t>
      </w:r>
      <w:r w:rsidRPr="00223ED3">
        <w:rPr>
          <w:color w:val="000000" w:themeColor="text1"/>
          <w:lang w:val="en-US"/>
        </w:rPr>
        <w:t xml:space="preserve"> (1989) </w:t>
      </w:r>
      <w:r w:rsidR="00D857E5" w:rsidRPr="00223ED3">
        <w:rPr>
          <w:lang w:val="en-US"/>
        </w:rPr>
        <w:t xml:space="preserve">were the </w:t>
      </w:r>
      <w:r w:rsidRPr="00223ED3">
        <w:rPr>
          <w:lang w:val="en-US"/>
        </w:rPr>
        <w:t xml:space="preserve">first </w:t>
      </w:r>
      <w:r w:rsidR="00D857E5" w:rsidRPr="00223ED3">
        <w:rPr>
          <w:lang w:val="en-US"/>
        </w:rPr>
        <w:t xml:space="preserve">to </w:t>
      </w:r>
      <w:r w:rsidR="00BF7CEE" w:rsidRPr="00223ED3">
        <w:rPr>
          <w:lang w:val="en-US"/>
        </w:rPr>
        <w:t xml:space="preserve">sample transverse sections of tooth dentine to track changes in isotope ratios during tooth formation. </w:t>
      </w:r>
      <w:r w:rsidR="00C94A15">
        <w:rPr>
          <w:lang w:val="en-US"/>
        </w:rPr>
        <w:t>S</w:t>
      </w:r>
      <w:r w:rsidR="00BF7CEE" w:rsidRPr="00223ED3">
        <w:rPr>
          <w:lang w:val="en-US"/>
        </w:rPr>
        <w:t xml:space="preserve">pecifically, Koch et al. (1989) </w:t>
      </w:r>
      <w:r w:rsidRPr="00223ED3">
        <w:rPr>
          <w:lang w:val="en-US"/>
        </w:rPr>
        <w:t>investigat</w:t>
      </w:r>
      <w:r w:rsidR="00BF7CEE" w:rsidRPr="00223ED3">
        <w:rPr>
          <w:lang w:val="en-US"/>
        </w:rPr>
        <w:t>ed</w:t>
      </w:r>
      <w:r w:rsidRPr="00223ED3">
        <w:rPr>
          <w:lang w:val="en-US"/>
        </w:rPr>
        <w:t xml:space="preserve"> patterns</w:t>
      </w:r>
      <w:r w:rsidR="00D857E5" w:rsidRPr="00223ED3">
        <w:rPr>
          <w:lang w:val="en-US"/>
        </w:rPr>
        <w:t xml:space="preserve"> of s</w:t>
      </w:r>
      <w:r w:rsidRPr="00223ED3">
        <w:rPr>
          <w:lang w:val="en-US"/>
        </w:rPr>
        <w:t xml:space="preserve">easonal mortality </w:t>
      </w:r>
      <w:r w:rsidR="00D857E5" w:rsidRPr="00223ED3">
        <w:rPr>
          <w:lang w:val="en-US"/>
        </w:rPr>
        <w:t xml:space="preserve">using </w:t>
      </w:r>
      <w:r w:rsidRPr="00223ED3">
        <w:rPr>
          <w:lang w:val="en-US"/>
        </w:rPr>
        <w:t xml:space="preserve">oxygen isotope variation preserved in hydroxyapatite of proboscidean tusks and molars. Other studies have since been performed </w:t>
      </w:r>
      <w:r w:rsidRPr="00223ED3">
        <w:rPr>
          <w:color w:val="000000" w:themeColor="text1"/>
          <w:lang w:val="en-US"/>
        </w:rPr>
        <w:t>on faunal teeth to detect isotopic shifts corresponding to dietary cha</w:t>
      </w:r>
      <w:r w:rsidR="00BF7CEE" w:rsidRPr="00223ED3">
        <w:rPr>
          <w:color w:val="000000" w:themeColor="text1"/>
          <w:lang w:val="en-US"/>
        </w:rPr>
        <w:t>n</w:t>
      </w:r>
      <w:r w:rsidRPr="00223ED3">
        <w:rPr>
          <w:color w:val="000000" w:themeColor="text1"/>
          <w:lang w:val="en-US"/>
        </w:rPr>
        <w:t>ge</w:t>
      </w:r>
      <w:r w:rsidR="00BF7CEE" w:rsidRPr="00223ED3">
        <w:rPr>
          <w:color w:val="000000" w:themeColor="text1"/>
          <w:lang w:val="en-US"/>
        </w:rPr>
        <w:t>s</w:t>
      </w:r>
      <w:r w:rsidRPr="00223ED3">
        <w:rPr>
          <w:color w:val="000000" w:themeColor="text1"/>
          <w:lang w:val="en-US"/>
        </w:rPr>
        <w:t xml:space="preserve"> (e.g., Balasse et al. 2001; Kirsanow et al.</w:t>
      </w:r>
      <w:r w:rsidR="00BF7CEE" w:rsidRPr="00223ED3">
        <w:rPr>
          <w:color w:val="000000" w:themeColor="text1"/>
          <w:lang w:val="en-US"/>
        </w:rPr>
        <w:t xml:space="preserve"> </w:t>
      </w:r>
      <w:r w:rsidRPr="00223ED3">
        <w:rPr>
          <w:color w:val="000000" w:themeColor="text1"/>
          <w:lang w:val="en-US"/>
        </w:rPr>
        <w:t>2008;</w:t>
      </w:r>
      <w:r w:rsidRPr="00223ED3">
        <w:rPr>
          <w:lang w:val="en-US"/>
        </w:rPr>
        <w:t xml:space="preserve"> </w:t>
      </w:r>
      <w:r w:rsidR="00BF7CEE" w:rsidRPr="00223ED3">
        <w:rPr>
          <w:lang w:val="en-US"/>
        </w:rPr>
        <w:t xml:space="preserve">Zazzo et al. 2010; </w:t>
      </w:r>
      <w:r w:rsidRPr="00223ED3">
        <w:rPr>
          <w:lang w:val="en-US"/>
        </w:rPr>
        <w:t>Evacitas et al. 2016</w:t>
      </w:r>
      <w:r w:rsidRPr="00223ED3">
        <w:rPr>
          <w:color w:val="000000" w:themeColor="text1"/>
          <w:lang w:val="en-US"/>
        </w:rPr>
        <w:t xml:space="preserve">). </w:t>
      </w:r>
      <w:r w:rsidR="00C94A15">
        <w:rPr>
          <w:color w:val="000000" w:themeColor="text1"/>
          <w:lang w:val="en-US"/>
        </w:rPr>
        <w:t>D</w:t>
      </w:r>
      <w:r w:rsidRPr="00223ED3">
        <w:rPr>
          <w:color w:val="000000" w:themeColor="text1"/>
          <w:lang w:val="en-US"/>
        </w:rPr>
        <w:t xml:space="preserve">entine microsampling has </w:t>
      </w:r>
      <w:r w:rsidR="00C94A15">
        <w:rPr>
          <w:color w:val="000000" w:themeColor="text1"/>
          <w:lang w:val="en-US"/>
        </w:rPr>
        <w:t xml:space="preserve">also </w:t>
      </w:r>
      <w:r w:rsidRPr="00223ED3">
        <w:rPr>
          <w:color w:val="000000" w:themeColor="text1"/>
          <w:lang w:val="en-US"/>
        </w:rPr>
        <w:t>been used on archaeological populations to observe higher temporal resolution for past infant, childhood and adolescent dietary patterns</w:t>
      </w:r>
      <w:r w:rsidR="00466AA0" w:rsidRPr="00223ED3">
        <w:rPr>
          <w:color w:val="000000" w:themeColor="text1"/>
          <w:lang w:val="en-US"/>
        </w:rPr>
        <w:t>.</w:t>
      </w:r>
      <w:r w:rsidRPr="00223ED3">
        <w:rPr>
          <w:color w:val="000000" w:themeColor="text1"/>
          <w:lang w:val="en-US"/>
        </w:rPr>
        <w:t xml:space="preserve"> </w:t>
      </w:r>
      <w:r w:rsidR="003638FA" w:rsidRPr="00223ED3">
        <w:rPr>
          <w:color w:val="000000" w:themeColor="text1"/>
          <w:lang w:val="en-US"/>
        </w:rPr>
        <w:t>For instance</w:t>
      </w:r>
      <w:r w:rsidR="00C94A15">
        <w:rPr>
          <w:color w:val="000000" w:themeColor="text1"/>
          <w:lang w:val="en-US"/>
        </w:rPr>
        <w:t>,</w:t>
      </w:r>
      <w:r w:rsidR="003638FA" w:rsidRPr="00223ED3">
        <w:rPr>
          <w:color w:val="000000" w:themeColor="text1"/>
          <w:lang w:val="en-US"/>
        </w:rPr>
        <w:t xml:space="preserve"> i</w:t>
      </w:r>
      <w:r w:rsidR="00466AA0" w:rsidRPr="00223ED3">
        <w:rPr>
          <w:color w:val="000000" w:themeColor="text1"/>
          <w:lang w:val="en-US"/>
        </w:rPr>
        <w:t>n 2014, Sandberg and colleagues presented intra-tooth stable carbon and nitrogen isotope profiles</w:t>
      </w:r>
      <w:r w:rsidR="00271888" w:rsidRPr="00223ED3">
        <w:rPr>
          <w:color w:val="000000" w:themeColor="text1"/>
          <w:lang w:val="en-US"/>
        </w:rPr>
        <w:t xml:space="preserve"> of</w:t>
      </w:r>
      <w:r w:rsidR="00466AA0" w:rsidRPr="00223ED3">
        <w:rPr>
          <w:color w:val="000000" w:themeColor="text1"/>
          <w:lang w:val="en-US"/>
        </w:rPr>
        <w:t xml:space="preserve"> dentine collagen </w:t>
      </w:r>
      <w:r w:rsidR="00271888" w:rsidRPr="00223ED3">
        <w:rPr>
          <w:color w:val="000000" w:themeColor="text1"/>
          <w:lang w:val="en-US"/>
        </w:rPr>
        <w:t>from</w:t>
      </w:r>
      <w:r w:rsidR="00466AA0" w:rsidRPr="00223ED3">
        <w:rPr>
          <w:color w:val="000000" w:themeColor="text1"/>
          <w:lang w:val="en-US"/>
        </w:rPr>
        <w:t xml:space="preserve"> a sample of adults from the Medieval Nubian site of Kulubnarti</w:t>
      </w:r>
      <w:r w:rsidR="00E40DA5" w:rsidRPr="00223ED3">
        <w:rPr>
          <w:color w:val="000000" w:themeColor="text1"/>
          <w:lang w:val="en-US"/>
        </w:rPr>
        <w:t>; t</w:t>
      </w:r>
      <w:r w:rsidR="00466AA0" w:rsidRPr="00223ED3">
        <w:rPr>
          <w:color w:val="000000" w:themeColor="text1"/>
          <w:lang w:val="en-US"/>
        </w:rPr>
        <w:t>hey used these profiles to interpret weaning behavior</w:t>
      </w:r>
      <w:r w:rsidR="00890771" w:rsidRPr="00223ED3">
        <w:rPr>
          <w:color w:val="000000" w:themeColor="text1"/>
          <w:lang w:val="en-US"/>
        </w:rPr>
        <w:t>s</w:t>
      </w:r>
      <w:r w:rsidR="00466AA0" w:rsidRPr="00223ED3">
        <w:rPr>
          <w:color w:val="000000" w:themeColor="text1"/>
          <w:lang w:val="en-US"/>
        </w:rPr>
        <w:t xml:space="preserve"> and dietary history. Similar studies have been conducted to investigate the timing of weaning and diets in post-Medieval London (Henderson et al. 2014), pre-historic California (Eerkens et al. 2011), the Atacama Desert (King et al. 201</w:t>
      </w:r>
      <w:r w:rsidR="00C3443F" w:rsidRPr="00223ED3">
        <w:rPr>
          <w:color w:val="000000" w:themeColor="text1"/>
          <w:lang w:val="en-US"/>
        </w:rPr>
        <w:t>7</w:t>
      </w:r>
      <w:r w:rsidR="00466AA0" w:rsidRPr="00223ED3">
        <w:rPr>
          <w:color w:val="000000" w:themeColor="text1"/>
          <w:lang w:val="en-US"/>
        </w:rPr>
        <w:t>) and the Late Antique/Migration period (early 5</w:t>
      </w:r>
      <w:r w:rsidR="00466AA0" w:rsidRPr="00223ED3">
        <w:rPr>
          <w:color w:val="000000" w:themeColor="text1"/>
          <w:vertAlign w:val="superscript"/>
          <w:lang w:val="en-US"/>
        </w:rPr>
        <w:t>th</w:t>
      </w:r>
      <w:r w:rsidR="00466AA0" w:rsidRPr="00223ED3">
        <w:rPr>
          <w:color w:val="000000" w:themeColor="text1"/>
          <w:lang w:val="en-US"/>
        </w:rPr>
        <w:t xml:space="preserve"> century AD) </w:t>
      </w:r>
      <w:r w:rsidR="00E40DA5" w:rsidRPr="00223ED3">
        <w:rPr>
          <w:color w:val="000000" w:themeColor="text1"/>
          <w:lang w:val="en-US"/>
        </w:rPr>
        <w:t xml:space="preserve">of </w:t>
      </w:r>
      <w:r w:rsidR="00466AA0" w:rsidRPr="00223ED3">
        <w:rPr>
          <w:color w:val="000000" w:themeColor="text1"/>
          <w:lang w:val="en-US"/>
        </w:rPr>
        <w:t xml:space="preserve">France (Czermak et al. 2018). </w:t>
      </w:r>
    </w:p>
    <w:p w14:paraId="19539315" w14:textId="77777777" w:rsidR="00FF0311" w:rsidRPr="00223ED3" w:rsidRDefault="00FF0311" w:rsidP="00FF0311">
      <w:pPr>
        <w:ind w:firstLine="720"/>
        <w:rPr>
          <w:color w:val="000000" w:themeColor="text1"/>
          <w:lang w:val="en-US"/>
        </w:rPr>
      </w:pPr>
    </w:p>
    <w:p w14:paraId="159FB86D" w14:textId="05678ED2" w:rsidR="006B41CF" w:rsidRDefault="00DD4A5A" w:rsidP="00AF6259">
      <w:pPr>
        <w:spacing w:line="480" w:lineRule="auto"/>
        <w:ind w:firstLine="720"/>
        <w:rPr>
          <w:lang w:val="en-US"/>
        </w:rPr>
      </w:pPr>
      <w:r w:rsidRPr="00223ED3">
        <w:rPr>
          <w:color w:val="000000" w:themeColor="text1"/>
          <w:lang w:val="en-US"/>
        </w:rPr>
        <w:t>T</w:t>
      </w:r>
      <w:r w:rsidR="000432C0" w:rsidRPr="00223ED3">
        <w:rPr>
          <w:color w:val="000000" w:themeColor="text1"/>
          <w:lang w:val="en-US"/>
        </w:rPr>
        <w:t xml:space="preserve">wo main methods </w:t>
      </w:r>
      <w:r w:rsidRPr="00223ED3">
        <w:rPr>
          <w:color w:val="000000" w:themeColor="text1"/>
          <w:lang w:val="en-US"/>
        </w:rPr>
        <w:t xml:space="preserve">are used </w:t>
      </w:r>
      <w:r w:rsidR="000432C0" w:rsidRPr="00223ED3">
        <w:rPr>
          <w:color w:val="000000" w:themeColor="text1"/>
          <w:lang w:val="en-US"/>
        </w:rPr>
        <w:t xml:space="preserve">to obtain serial </w:t>
      </w:r>
      <w:r w:rsidRPr="00223ED3">
        <w:rPr>
          <w:color w:val="000000" w:themeColor="text1"/>
          <w:lang w:val="en-US"/>
        </w:rPr>
        <w:t xml:space="preserve">dentine </w:t>
      </w:r>
      <w:r w:rsidR="000432C0" w:rsidRPr="00223ED3">
        <w:rPr>
          <w:color w:val="000000" w:themeColor="text1"/>
          <w:lang w:val="en-US"/>
        </w:rPr>
        <w:t>samples</w:t>
      </w:r>
      <w:r w:rsidRPr="00223ED3">
        <w:rPr>
          <w:color w:val="000000" w:themeColor="text1"/>
          <w:lang w:val="en-US"/>
        </w:rPr>
        <w:t xml:space="preserve">; </w:t>
      </w:r>
      <w:r w:rsidR="005E15CC" w:rsidRPr="00223ED3">
        <w:rPr>
          <w:lang w:val="en-US"/>
        </w:rPr>
        <w:t>the first</w:t>
      </w:r>
      <w:r w:rsidR="000432C0" w:rsidRPr="00223ED3">
        <w:rPr>
          <w:lang w:val="en-US"/>
        </w:rPr>
        <w:t xml:space="preserve"> </w:t>
      </w:r>
      <w:r w:rsidR="005E15CC" w:rsidRPr="00223ED3">
        <w:rPr>
          <w:lang w:val="en-US"/>
        </w:rPr>
        <w:t>derived</w:t>
      </w:r>
      <w:r w:rsidR="000432C0" w:rsidRPr="00223ED3">
        <w:rPr>
          <w:lang w:val="en-US"/>
        </w:rPr>
        <w:t xml:space="preserve"> from the </w:t>
      </w:r>
      <w:r w:rsidR="005E15CC" w:rsidRPr="00223ED3">
        <w:rPr>
          <w:lang w:val="en-US"/>
        </w:rPr>
        <w:t>technique</w:t>
      </w:r>
      <w:r w:rsidR="000432C0" w:rsidRPr="00223ED3">
        <w:rPr>
          <w:lang w:val="en-US"/>
        </w:rPr>
        <w:t xml:space="preserve"> </w:t>
      </w:r>
      <w:r w:rsidR="00A0331E" w:rsidRPr="00223ED3">
        <w:rPr>
          <w:lang w:val="en-US"/>
        </w:rPr>
        <w:t>outlined</w:t>
      </w:r>
      <w:r w:rsidR="000432C0" w:rsidRPr="00223ED3">
        <w:rPr>
          <w:lang w:val="en-US"/>
        </w:rPr>
        <w:t xml:space="preserve"> </w:t>
      </w:r>
      <w:r w:rsidR="000432C0" w:rsidRPr="00223ED3">
        <w:rPr>
          <w:color w:val="000000" w:themeColor="text1"/>
          <w:lang w:val="en-US"/>
        </w:rPr>
        <w:t xml:space="preserve">by Fuller et al. (2003), </w:t>
      </w:r>
      <w:r w:rsidR="000432C0" w:rsidRPr="00223ED3">
        <w:rPr>
          <w:lang w:val="en-US"/>
        </w:rPr>
        <w:t>and the</w:t>
      </w:r>
      <w:r w:rsidR="005E15CC" w:rsidRPr="00223ED3">
        <w:rPr>
          <w:lang w:val="en-US"/>
        </w:rPr>
        <w:t xml:space="preserve"> second from</w:t>
      </w:r>
      <w:r w:rsidR="000432C0" w:rsidRPr="00223ED3">
        <w:rPr>
          <w:lang w:val="en-US"/>
        </w:rPr>
        <w:t xml:space="preserve"> </w:t>
      </w:r>
      <w:r w:rsidRPr="00223ED3">
        <w:rPr>
          <w:lang w:val="en-US"/>
        </w:rPr>
        <w:t>Burt and Garvie-</w:t>
      </w:r>
      <w:r w:rsidR="00C94A15">
        <w:rPr>
          <w:lang w:val="en-US"/>
        </w:rPr>
        <w:t>L</w:t>
      </w:r>
      <w:r w:rsidRPr="00223ED3">
        <w:rPr>
          <w:lang w:val="en-US"/>
        </w:rPr>
        <w:t xml:space="preserve">ok’s (2013) </w:t>
      </w:r>
      <w:r w:rsidR="006B41CF" w:rsidRPr="00223ED3">
        <w:rPr>
          <w:lang w:val="en-US"/>
        </w:rPr>
        <w:t xml:space="preserve">study. </w:t>
      </w:r>
      <w:r w:rsidR="003B5B7F" w:rsidRPr="00223ED3">
        <w:rPr>
          <w:color w:val="000000" w:themeColor="text1"/>
          <w:lang w:val="en-US"/>
        </w:rPr>
        <w:t xml:space="preserve">The first and most commonly used </w:t>
      </w:r>
      <w:r w:rsidR="00271888" w:rsidRPr="00223ED3">
        <w:rPr>
          <w:color w:val="000000" w:themeColor="text1"/>
          <w:lang w:val="en-US"/>
        </w:rPr>
        <w:t xml:space="preserve">microsampling </w:t>
      </w:r>
      <w:r w:rsidR="003B5B7F" w:rsidRPr="00223ED3">
        <w:rPr>
          <w:color w:val="000000" w:themeColor="text1"/>
          <w:lang w:val="en-US"/>
        </w:rPr>
        <w:t xml:space="preserve">method </w:t>
      </w:r>
      <w:r w:rsidR="00271888" w:rsidRPr="00223ED3">
        <w:rPr>
          <w:color w:val="000000" w:themeColor="text1"/>
          <w:lang w:val="en-US"/>
        </w:rPr>
        <w:t>for</w:t>
      </w:r>
      <w:r w:rsidR="003B5B7F" w:rsidRPr="00223ED3">
        <w:rPr>
          <w:color w:val="000000" w:themeColor="text1"/>
          <w:lang w:val="en-US"/>
        </w:rPr>
        <w:t xml:space="preserve"> human </w:t>
      </w:r>
      <w:r w:rsidR="003B5B7F" w:rsidRPr="00223ED3">
        <w:rPr>
          <w:color w:val="000000" w:themeColor="text1"/>
          <w:lang w:val="en-US"/>
        </w:rPr>
        <w:lastRenderedPageBreak/>
        <w:t>dentine was employed by Fuller and colleagues</w:t>
      </w:r>
      <w:r w:rsidR="003638FA" w:rsidRPr="00223ED3">
        <w:rPr>
          <w:color w:val="000000" w:themeColor="text1"/>
          <w:lang w:val="en-US"/>
        </w:rPr>
        <w:t xml:space="preserve"> (2003)</w:t>
      </w:r>
      <w:r w:rsidR="00E40DA5" w:rsidRPr="00223ED3">
        <w:rPr>
          <w:color w:val="000000" w:themeColor="text1"/>
          <w:lang w:val="en-US"/>
        </w:rPr>
        <w:t xml:space="preserve"> and </w:t>
      </w:r>
      <w:r w:rsidR="003B5B7F" w:rsidRPr="00223ED3">
        <w:rPr>
          <w:color w:val="000000" w:themeColor="text1"/>
          <w:lang w:val="en-US"/>
        </w:rPr>
        <w:t xml:space="preserve">recently revised by Beaumont et al. (2013). This technique </w:t>
      </w:r>
      <w:r w:rsidR="008C139F" w:rsidRPr="00223ED3">
        <w:rPr>
          <w:color w:val="000000" w:themeColor="text1"/>
          <w:lang w:val="en-US"/>
        </w:rPr>
        <w:t>is</w:t>
      </w:r>
      <w:r w:rsidR="003B5B7F" w:rsidRPr="00223ED3">
        <w:rPr>
          <w:color w:val="000000" w:themeColor="text1"/>
          <w:lang w:val="en-US"/>
        </w:rPr>
        <w:t xml:space="preserve"> based on </w:t>
      </w:r>
      <w:r w:rsidR="00E40DA5" w:rsidRPr="00223ED3">
        <w:rPr>
          <w:color w:val="000000" w:themeColor="text1"/>
          <w:lang w:val="en-US"/>
        </w:rPr>
        <w:t xml:space="preserve">slicing </w:t>
      </w:r>
      <w:r w:rsidR="003B5B7F" w:rsidRPr="00223ED3">
        <w:rPr>
          <w:color w:val="000000" w:themeColor="text1"/>
          <w:lang w:val="en-US"/>
        </w:rPr>
        <w:t xml:space="preserve">incremental thin sections of </w:t>
      </w:r>
      <w:r w:rsidR="00C94A15">
        <w:rPr>
          <w:color w:val="000000" w:themeColor="text1"/>
          <w:lang w:val="en-US"/>
        </w:rPr>
        <w:t xml:space="preserve">demineralized </w:t>
      </w:r>
      <w:r w:rsidR="003B5B7F" w:rsidRPr="00223ED3">
        <w:rPr>
          <w:color w:val="000000" w:themeColor="text1"/>
          <w:lang w:val="en-US"/>
        </w:rPr>
        <w:t>human dentine and assigning each sample with an estimated age range based on</w:t>
      </w:r>
      <w:r w:rsidR="008C26AF" w:rsidRPr="00223ED3">
        <w:rPr>
          <w:color w:val="000000" w:themeColor="text1"/>
          <w:lang w:val="en-US"/>
        </w:rPr>
        <w:t xml:space="preserve"> </w:t>
      </w:r>
      <w:r w:rsidR="00E40DA5" w:rsidRPr="00223ED3">
        <w:rPr>
          <w:color w:val="000000" w:themeColor="text1"/>
          <w:lang w:val="en-US"/>
        </w:rPr>
        <w:t xml:space="preserve">the </w:t>
      </w:r>
      <w:r w:rsidR="008C26AF" w:rsidRPr="00223ED3">
        <w:rPr>
          <w:color w:val="000000" w:themeColor="text1"/>
          <w:lang w:val="en-US"/>
        </w:rPr>
        <w:t xml:space="preserve">direction of dentine growth from the </w:t>
      </w:r>
      <w:r w:rsidR="003B5B7F" w:rsidRPr="00223ED3">
        <w:rPr>
          <w:color w:val="000000" w:themeColor="text1"/>
          <w:lang w:val="en-US"/>
        </w:rPr>
        <w:t xml:space="preserve">crown </w:t>
      </w:r>
      <w:r w:rsidR="008C26AF" w:rsidRPr="00223ED3">
        <w:rPr>
          <w:color w:val="000000" w:themeColor="text1"/>
          <w:lang w:val="en-US"/>
        </w:rPr>
        <w:t>towards the</w:t>
      </w:r>
      <w:r w:rsidR="003B5B7F" w:rsidRPr="00223ED3">
        <w:rPr>
          <w:color w:val="000000" w:themeColor="text1"/>
          <w:lang w:val="en-US"/>
        </w:rPr>
        <w:t xml:space="preserve"> root tip</w:t>
      </w:r>
      <w:r w:rsidR="008C26AF" w:rsidRPr="00223ED3">
        <w:rPr>
          <w:color w:val="000000" w:themeColor="text1"/>
          <w:lang w:val="en-US"/>
        </w:rPr>
        <w:t xml:space="preserve">, </w:t>
      </w:r>
      <w:r w:rsidR="003B5B7F" w:rsidRPr="00223ED3">
        <w:rPr>
          <w:color w:val="000000" w:themeColor="text1"/>
          <w:lang w:val="en-US"/>
        </w:rPr>
        <w:t xml:space="preserve">allowing researchers to assign dietary changes with </w:t>
      </w:r>
      <w:r w:rsidR="00E40DA5" w:rsidRPr="00223ED3">
        <w:rPr>
          <w:color w:val="000000" w:themeColor="text1"/>
          <w:lang w:val="en-US"/>
        </w:rPr>
        <w:t xml:space="preserve">an </w:t>
      </w:r>
      <w:r w:rsidR="003B5B7F" w:rsidRPr="00223ED3">
        <w:rPr>
          <w:color w:val="000000" w:themeColor="text1"/>
          <w:lang w:val="en-US"/>
        </w:rPr>
        <w:t>approximate age.</w:t>
      </w:r>
      <w:r w:rsidR="003B5B7F" w:rsidRPr="00223ED3">
        <w:rPr>
          <w:lang w:val="en-US"/>
        </w:rPr>
        <w:t xml:space="preserve"> Using the Medieval English site of Wharram Percy (900 – 1500 AD), Fuller and colleagues (2003) applied </w:t>
      </w:r>
      <w:r w:rsidR="00E40DA5" w:rsidRPr="00223ED3">
        <w:rPr>
          <w:lang w:val="en-US"/>
        </w:rPr>
        <w:t xml:space="preserve">this </w:t>
      </w:r>
      <w:r w:rsidR="003B5B7F" w:rsidRPr="00223ED3">
        <w:rPr>
          <w:lang w:val="en-US"/>
        </w:rPr>
        <w:t>microsampling technique to deciduous second molars, permanent canines, and third molars (</w:t>
      </w:r>
      <w:r w:rsidR="003B5B7F" w:rsidRPr="00223ED3">
        <w:rPr>
          <w:i/>
          <w:iCs/>
          <w:lang w:val="en-US"/>
        </w:rPr>
        <w:t xml:space="preserve">n </w:t>
      </w:r>
      <w:r w:rsidR="003B5B7F" w:rsidRPr="00223ED3">
        <w:rPr>
          <w:lang w:val="en-US"/>
        </w:rPr>
        <w:t xml:space="preserve">= 37), </w:t>
      </w:r>
      <w:r w:rsidR="00E40DA5" w:rsidRPr="00223ED3">
        <w:rPr>
          <w:lang w:val="en-US"/>
        </w:rPr>
        <w:t xml:space="preserve">to </w:t>
      </w:r>
      <w:r w:rsidR="003B5B7F" w:rsidRPr="00223ED3">
        <w:rPr>
          <w:lang w:val="en-US"/>
        </w:rPr>
        <w:t>detect evidence of weaning in individual teeth</w:t>
      </w:r>
      <w:r w:rsidR="00CF26D9" w:rsidRPr="00223ED3">
        <w:rPr>
          <w:lang w:val="en-US"/>
        </w:rPr>
        <w:t xml:space="preserve"> and obtain</w:t>
      </w:r>
      <w:r w:rsidR="003B5B7F" w:rsidRPr="00223ED3">
        <w:rPr>
          <w:lang w:val="en-US"/>
        </w:rPr>
        <w:t xml:space="preserve"> general intra-individual dietary variation. </w:t>
      </w:r>
      <w:r w:rsidRPr="00223ED3">
        <w:rPr>
          <w:color w:val="000000" w:themeColor="text1"/>
          <w:lang w:val="en-US"/>
        </w:rPr>
        <w:t>Researchers who f</w:t>
      </w:r>
      <w:r w:rsidR="003B5B7F" w:rsidRPr="00223ED3">
        <w:rPr>
          <w:color w:val="000000" w:themeColor="text1"/>
          <w:lang w:val="en-US"/>
        </w:rPr>
        <w:t>ollow</w:t>
      </w:r>
      <w:r w:rsidRPr="00223ED3">
        <w:rPr>
          <w:color w:val="000000" w:themeColor="text1"/>
          <w:lang w:val="en-US"/>
        </w:rPr>
        <w:t xml:space="preserve"> </w:t>
      </w:r>
      <w:r w:rsidR="003B5B7F" w:rsidRPr="00223ED3">
        <w:rPr>
          <w:color w:val="000000" w:themeColor="text1"/>
          <w:lang w:val="en-US"/>
        </w:rPr>
        <w:t xml:space="preserve">Fuller and colleagues’ (2003) method can </w:t>
      </w:r>
      <w:r w:rsidR="008C139F" w:rsidRPr="00223ED3">
        <w:rPr>
          <w:color w:val="000000" w:themeColor="text1"/>
          <w:lang w:val="en-US"/>
        </w:rPr>
        <w:t>choose</w:t>
      </w:r>
      <w:r w:rsidRPr="00223ED3">
        <w:rPr>
          <w:color w:val="000000" w:themeColor="text1"/>
          <w:lang w:val="en-US"/>
        </w:rPr>
        <w:t xml:space="preserve"> to</w:t>
      </w:r>
      <w:r w:rsidR="008C139F" w:rsidRPr="00223ED3">
        <w:rPr>
          <w:color w:val="000000" w:themeColor="text1"/>
          <w:lang w:val="en-US"/>
        </w:rPr>
        <w:t xml:space="preserve"> </w:t>
      </w:r>
      <w:r w:rsidR="003B5B7F" w:rsidRPr="00223ED3">
        <w:rPr>
          <w:color w:val="000000" w:themeColor="text1"/>
          <w:lang w:val="en-US"/>
        </w:rPr>
        <w:t xml:space="preserve">sample by embedding the root in plaster and slicing it in roughly </w:t>
      </w:r>
      <w:r w:rsidR="00C94A15" w:rsidRPr="00223ED3">
        <w:rPr>
          <w:color w:val="000000" w:themeColor="text1"/>
          <w:lang w:val="en-US"/>
        </w:rPr>
        <w:t>one-millimeter</w:t>
      </w:r>
      <w:r w:rsidR="003B5B7F" w:rsidRPr="00223ED3">
        <w:rPr>
          <w:color w:val="000000" w:themeColor="text1"/>
          <w:lang w:val="en-US"/>
        </w:rPr>
        <w:t xml:space="preserve"> sections prior to demineralization, or </w:t>
      </w:r>
      <w:r w:rsidRPr="00223ED3">
        <w:rPr>
          <w:color w:val="000000" w:themeColor="text1"/>
          <w:lang w:val="en-US"/>
        </w:rPr>
        <w:t xml:space="preserve">they can sample by </w:t>
      </w:r>
      <w:r w:rsidR="003B5B7F" w:rsidRPr="00223ED3">
        <w:rPr>
          <w:color w:val="000000" w:themeColor="text1"/>
          <w:lang w:val="en-US"/>
        </w:rPr>
        <w:t>partially demineraliz</w:t>
      </w:r>
      <w:r w:rsidRPr="00223ED3">
        <w:rPr>
          <w:color w:val="000000" w:themeColor="text1"/>
          <w:lang w:val="en-US"/>
        </w:rPr>
        <w:t>ing</w:t>
      </w:r>
      <w:r w:rsidR="003B5B7F" w:rsidRPr="00223ED3">
        <w:rPr>
          <w:color w:val="000000" w:themeColor="text1"/>
          <w:lang w:val="en-US"/>
        </w:rPr>
        <w:t xml:space="preserve"> the complete tooth and section</w:t>
      </w:r>
      <w:r w:rsidRPr="00223ED3">
        <w:rPr>
          <w:color w:val="000000" w:themeColor="text1"/>
          <w:lang w:val="en-US"/>
        </w:rPr>
        <w:t xml:space="preserve">ing </w:t>
      </w:r>
      <w:r w:rsidR="003B5B7F" w:rsidRPr="00223ED3">
        <w:rPr>
          <w:color w:val="000000" w:themeColor="text1"/>
          <w:lang w:val="en-US"/>
        </w:rPr>
        <w:t>the resulting collagenous model using a scalpel (</w:t>
      </w:r>
      <w:r w:rsidR="003B5B7F" w:rsidRPr="00223ED3">
        <w:rPr>
          <w:lang w:val="en-US"/>
        </w:rPr>
        <w:t>Beaumont et al. 2013)</w:t>
      </w:r>
      <w:r w:rsidRPr="00223ED3">
        <w:rPr>
          <w:lang w:val="en-US"/>
        </w:rPr>
        <w:t xml:space="preserve">. </w:t>
      </w:r>
      <w:r w:rsidR="003B5B7F" w:rsidRPr="00223ED3">
        <w:rPr>
          <w:lang w:val="en-US"/>
        </w:rPr>
        <w:t xml:space="preserve">Collagen is then extracted from these thin sections using standard methods of collagen extraction; pure collagen is then run on a mass spectrometer to measure the carbon and nitrogen isotopic ratios within the samples. </w:t>
      </w:r>
    </w:p>
    <w:p w14:paraId="70DEC609" w14:textId="77777777" w:rsidR="002105FB" w:rsidRPr="00AF6259" w:rsidRDefault="002105FB" w:rsidP="00DC7DBA">
      <w:pPr>
        <w:ind w:firstLine="720"/>
        <w:rPr>
          <w:lang w:val="en-US"/>
        </w:rPr>
      </w:pPr>
    </w:p>
    <w:p w14:paraId="63FE95BE" w14:textId="5F412FB4" w:rsidR="003B5B7F" w:rsidRDefault="003B5B7F" w:rsidP="00AF6259">
      <w:pPr>
        <w:spacing w:line="480" w:lineRule="auto"/>
        <w:ind w:firstLine="720"/>
        <w:rPr>
          <w:lang w:val="en-US"/>
        </w:rPr>
      </w:pPr>
      <w:r w:rsidRPr="00223ED3">
        <w:rPr>
          <w:lang w:val="en-US"/>
        </w:rPr>
        <w:t xml:space="preserve">Early attempts of </w:t>
      </w:r>
      <w:r w:rsidR="006B41CF" w:rsidRPr="00223ED3">
        <w:rPr>
          <w:lang w:val="en-US"/>
        </w:rPr>
        <w:t xml:space="preserve">human dentine </w:t>
      </w:r>
      <w:r w:rsidRPr="00223ED3">
        <w:rPr>
          <w:lang w:val="en-US"/>
        </w:rPr>
        <w:t xml:space="preserve">microsampling were able to produce 3 </w:t>
      </w:r>
      <w:r w:rsidR="00DC7DBA">
        <w:rPr>
          <w:lang w:val="en-US"/>
        </w:rPr>
        <w:t>–</w:t>
      </w:r>
      <w:r w:rsidRPr="00223ED3">
        <w:rPr>
          <w:lang w:val="en-US"/>
        </w:rPr>
        <w:t xml:space="preserve"> 4 subsamples which represented an average value of 3 or more years (Fuller et al</w:t>
      </w:r>
      <w:r w:rsidR="006B41CF" w:rsidRPr="00223ED3">
        <w:rPr>
          <w:lang w:val="en-US"/>
        </w:rPr>
        <w:t>.</w:t>
      </w:r>
      <w:r w:rsidRPr="00223ED3">
        <w:rPr>
          <w:lang w:val="en-US"/>
        </w:rPr>
        <w:t xml:space="preserve"> 2003). However, Eerkens and colleagues (2011) used these techniques to obtain between five and ten samples from first permanent maxillary molars simply by cutting smaller transverse sections. More recently, this technique has been further refined and has shown that it is possible to get up to 20 samples per tooth, depending on the size and preservation of teeth (Beaumont et al. 2013</w:t>
      </w:r>
      <w:r w:rsidR="006B41CF" w:rsidRPr="00223ED3">
        <w:rPr>
          <w:lang w:val="en-US"/>
        </w:rPr>
        <w:t>,</w:t>
      </w:r>
      <w:r w:rsidRPr="00223ED3">
        <w:rPr>
          <w:lang w:val="en-US"/>
        </w:rPr>
        <w:t xml:space="preserve"> 2014; Beaumont</w:t>
      </w:r>
      <w:r w:rsidR="006B41CF" w:rsidRPr="00223ED3">
        <w:rPr>
          <w:lang w:val="en-US"/>
        </w:rPr>
        <w:t xml:space="preserve"> &amp; </w:t>
      </w:r>
      <w:r w:rsidRPr="00223ED3">
        <w:rPr>
          <w:lang w:val="en-US"/>
        </w:rPr>
        <w:t xml:space="preserve">Montgomery 2015). Each </w:t>
      </w:r>
      <w:r w:rsidRPr="00223ED3">
        <w:rPr>
          <w:lang w:val="en-US"/>
        </w:rPr>
        <w:lastRenderedPageBreak/>
        <w:t xml:space="preserve">advancement of this method is associated with an increase in serial samples taken from a single tooth, which results in a higher resolution and consequently much greater temporal control over diet. The limitation is that increasingly smaller samples are more difficult to analyze on a mass spectrometer as it requires a specific amount of collagen (0.8 – 1 mg) for accurate analysis. </w:t>
      </w:r>
    </w:p>
    <w:p w14:paraId="10C3143B" w14:textId="77777777" w:rsidR="00FF0311" w:rsidRPr="00223ED3" w:rsidRDefault="00FF0311" w:rsidP="00FF0311">
      <w:pPr>
        <w:ind w:firstLine="720"/>
        <w:rPr>
          <w:lang w:val="en-US"/>
        </w:rPr>
      </w:pPr>
    </w:p>
    <w:p w14:paraId="3565A77B" w14:textId="4A32F15A" w:rsidR="003B5B7F" w:rsidRPr="00223ED3" w:rsidRDefault="003B5B7F" w:rsidP="00BD4967">
      <w:pPr>
        <w:spacing w:line="480" w:lineRule="auto"/>
        <w:ind w:firstLine="720"/>
        <w:rPr>
          <w:lang w:val="en-US"/>
        </w:rPr>
      </w:pPr>
      <w:r w:rsidRPr="00223ED3">
        <w:rPr>
          <w:lang w:val="en-US"/>
        </w:rPr>
        <w:t>The other less commonly used methodology for microsampling human dentine was first introduced by Burt and Garvie-Lok (2013). Instead of section</w:t>
      </w:r>
      <w:r w:rsidR="0029546D" w:rsidRPr="00223ED3">
        <w:rPr>
          <w:lang w:val="en-US"/>
        </w:rPr>
        <w:t>ing</w:t>
      </w:r>
      <w:r w:rsidRPr="00223ED3">
        <w:rPr>
          <w:lang w:val="en-US"/>
        </w:rPr>
        <w:t xml:space="preserve"> the whole tooth for analysis, this method uses a cardpunch to sample small cylinders of dentine at predetermined locations. </w:t>
      </w:r>
      <w:r w:rsidR="001F5541" w:rsidRPr="00223ED3">
        <w:rPr>
          <w:lang w:val="en-US"/>
        </w:rPr>
        <w:t>O</w:t>
      </w:r>
      <w:r w:rsidRPr="00223ED3">
        <w:rPr>
          <w:lang w:val="en-US"/>
        </w:rPr>
        <w:t xml:space="preserve">ne half of </w:t>
      </w:r>
      <w:r w:rsidR="00EE21FC" w:rsidRPr="00223ED3">
        <w:rPr>
          <w:lang w:val="en-US"/>
        </w:rPr>
        <w:t xml:space="preserve">the </w:t>
      </w:r>
      <w:r w:rsidRPr="00223ED3">
        <w:rPr>
          <w:lang w:val="en-US"/>
        </w:rPr>
        <w:t xml:space="preserve">tooth </w:t>
      </w:r>
      <w:r w:rsidR="00EE21FC" w:rsidRPr="00223ED3">
        <w:rPr>
          <w:lang w:val="en-US"/>
        </w:rPr>
        <w:t>(</w:t>
      </w:r>
      <w:r w:rsidRPr="00223ED3">
        <w:rPr>
          <w:lang w:val="en-US"/>
        </w:rPr>
        <w:t>with enamel removed</w:t>
      </w:r>
      <w:r w:rsidR="00EE21FC" w:rsidRPr="00223ED3">
        <w:rPr>
          <w:lang w:val="en-US"/>
        </w:rPr>
        <w:t>)</w:t>
      </w:r>
      <w:r w:rsidRPr="00223ED3">
        <w:rPr>
          <w:lang w:val="en-US"/>
        </w:rPr>
        <w:t xml:space="preserve"> </w:t>
      </w:r>
      <w:r w:rsidR="00891E91" w:rsidRPr="00223ED3">
        <w:rPr>
          <w:lang w:val="en-US"/>
        </w:rPr>
        <w:t xml:space="preserve">is </w:t>
      </w:r>
      <w:r w:rsidRPr="00223ED3">
        <w:rPr>
          <w:lang w:val="en-US"/>
        </w:rPr>
        <w:t>histological</w:t>
      </w:r>
      <w:r w:rsidR="00EE21FC" w:rsidRPr="00223ED3">
        <w:rPr>
          <w:lang w:val="en-US"/>
        </w:rPr>
        <w:t>ly</w:t>
      </w:r>
      <w:r w:rsidRPr="00223ED3">
        <w:rPr>
          <w:lang w:val="en-US"/>
        </w:rPr>
        <w:t xml:space="preserve"> examined to </w:t>
      </w:r>
      <w:r w:rsidR="001F5541" w:rsidRPr="00223ED3">
        <w:rPr>
          <w:lang w:val="en-US"/>
        </w:rPr>
        <w:t xml:space="preserve">identify </w:t>
      </w:r>
      <w:r w:rsidRPr="00223ED3">
        <w:rPr>
          <w:lang w:val="en-US"/>
        </w:rPr>
        <w:t>the location of the neonatal line</w:t>
      </w:r>
      <w:r w:rsidR="001F5541" w:rsidRPr="00223ED3">
        <w:rPr>
          <w:lang w:val="en-US"/>
        </w:rPr>
        <w:t xml:space="preserve">, while </w:t>
      </w:r>
      <w:r w:rsidRPr="00223ED3">
        <w:rPr>
          <w:lang w:val="en-US"/>
        </w:rPr>
        <w:t>the other half of the tooth is demineralized and sampled using the cardpunch at three locations</w:t>
      </w:r>
      <w:r w:rsidR="001F5541" w:rsidRPr="00223ED3">
        <w:rPr>
          <w:lang w:val="en-US"/>
        </w:rPr>
        <w:t>:</w:t>
      </w:r>
      <w:r w:rsidRPr="00223ED3">
        <w:rPr>
          <w:lang w:val="en-US"/>
        </w:rPr>
        <w:t xml:space="preserve"> before the neonatal line, </w:t>
      </w:r>
      <w:r w:rsidR="001F5541" w:rsidRPr="00223ED3">
        <w:rPr>
          <w:lang w:val="en-US"/>
        </w:rPr>
        <w:t>n</w:t>
      </w:r>
      <w:r w:rsidRPr="00223ED3">
        <w:rPr>
          <w:lang w:val="en-US"/>
        </w:rPr>
        <w:t>ear the neonatal li</w:t>
      </w:r>
      <w:r w:rsidR="001F5541" w:rsidRPr="00223ED3">
        <w:rPr>
          <w:lang w:val="en-US"/>
        </w:rPr>
        <w:t>n</w:t>
      </w:r>
      <w:r w:rsidRPr="00223ED3">
        <w:rPr>
          <w:lang w:val="en-US"/>
        </w:rPr>
        <w:t>e and at the apex of the root (Burt</w:t>
      </w:r>
      <w:r w:rsidR="00D5256B" w:rsidRPr="00223ED3">
        <w:rPr>
          <w:lang w:val="en-US"/>
        </w:rPr>
        <w:t xml:space="preserve"> &amp;</w:t>
      </w:r>
      <w:r w:rsidRPr="00223ED3">
        <w:rPr>
          <w:lang w:val="en-US"/>
        </w:rPr>
        <w:t xml:space="preserve"> Garvie-Lok 2013). </w:t>
      </w:r>
      <w:r w:rsidR="00D5256B" w:rsidRPr="00223ED3">
        <w:rPr>
          <w:lang w:val="en-US"/>
        </w:rPr>
        <w:t xml:space="preserve">The first archaeological application of this method was carried out by Burt in 2015 on a late Medieval sample from the UK. This study </w:t>
      </w:r>
      <w:r w:rsidR="00F42B9E" w:rsidRPr="00223ED3">
        <w:rPr>
          <w:lang w:val="en-US"/>
        </w:rPr>
        <w:t>demonstrated</w:t>
      </w:r>
      <w:r w:rsidR="00D5256B" w:rsidRPr="00223ED3">
        <w:rPr>
          <w:lang w:val="en-US"/>
        </w:rPr>
        <w:t xml:space="preserve"> that children likely began the weaning process around two years of age, but this was not homogenous throughout the sample (Burt 2015). Outside </w:t>
      </w:r>
      <w:r w:rsidR="00891E91" w:rsidRPr="00223ED3">
        <w:rPr>
          <w:lang w:val="en-US"/>
        </w:rPr>
        <w:t>of the</w:t>
      </w:r>
      <w:r w:rsidR="00D5256B" w:rsidRPr="00223ED3">
        <w:rPr>
          <w:lang w:val="en-US"/>
        </w:rPr>
        <w:t xml:space="preserve"> analysis of weaning, the data also showed that the diet of weaned children was similar to the diet of older children and adults in the population, contrary to what might have been expected (Burt 2015).</w:t>
      </w:r>
      <w:r w:rsidR="00F42B9E" w:rsidRPr="00223ED3">
        <w:rPr>
          <w:lang w:val="en-US"/>
        </w:rPr>
        <w:t xml:space="preserve"> </w:t>
      </w:r>
      <w:r w:rsidR="004545A2" w:rsidRPr="00223ED3">
        <w:rPr>
          <w:lang w:val="en-US"/>
        </w:rPr>
        <w:t>Similarly, u</w:t>
      </w:r>
      <w:r w:rsidRPr="00223ED3">
        <w:rPr>
          <w:lang w:val="en-US"/>
        </w:rPr>
        <w:t>sing a sample of modern deciduous teeth, Burt and Amin (2014) examined variation in infant feeding practices in a modern Canadian sample</w:t>
      </w:r>
      <w:r w:rsidR="004545A2" w:rsidRPr="00223ED3">
        <w:rPr>
          <w:lang w:val="en-US"/>
        </w:rPr>
        <w:t>.</w:t>
      </w:r>
      <w:r w:rsidRPr="00223ED3">
        <w:rPr>
          <w:lang w:val="en-US"/>
        </w:rPr>
        <w:t xml:space="preserve"> </w:t>
      </w:r>
      <w:r w:rsidR="004545A2" w:rsidRPr="00223ED3">
        <w:rPr>
          <w:lang w:val="en-US"/>
        </w:rPr>
        <w:t>T</w:t>
      </w:r>
      <w:r w:rsidRPr="00223ED3">
        <w:rPr>
          <w:lang w:val="en-US"/>
        </w:rPr>
        <w:t xml:space="preserve">he authors </w:t>
      </w:r>
      <w:r w:rsidR="004545A2" w:rsidRPr="00223ED3">
        <w:rPr>
          <w:lang w:val="en-US"/>
        </w:rPr>
        <w:t>were able to demonstrate</w:t>
      </w:r>
      <w:r w:rsidRPr="00223ED3">
        <w:rPr>
          <w:lang w:val="en-US"/>
        </w:rPr>
        <w:t xml:space="preserve"> that this method is capable of picking up breastfeeding signals and can differentiate breastfed from bottle-fed individuals. </w:t>
      </w:r>
    </w:p>
    <w:p w14:paraId="3C842371" w14:textId="655C5556" w:rsidR="00AF6259" w:rsidRDefault="004353DF" w:rsidP="00AF6259">
      <w:pPr>
        <w:spacing w:before="100" w:beforeAutospacing="1" w:after="100" w:afterAutospacing="1" w:line="480" w:lineRule="auto"/>
        <w:ind w:firstLine="720"/>
        <w:rPr>
          <w:lang w:val="en-US"/>
        </w:rPr>
      </w:pPr>
      <w:r>
        <w:rPr>
          <w:lang w:val="en-US"/>
        </w:rPr>
        <w:lastRenderedPageBreak/>
        <w:t>T</w:t>
      </w:r>
      <w:r w:rsidR="003B5B7F" w:rsidRPr="00223ED3">
        <w:rPr>
          <w:lang w:val="en-US"/>
        </w:rPr>
        <w:t>he most ideal sampling method would be to sample along the Andresen bands – bands that mark diurnal changes</w:t>
      </w:r>
      <w:r w:rsidR="00C94A15">
        <w:rPr>
          <w:lang w:val="en-US"/>
        </w:rPr>
        <w:t xml:space="preserve">, </w:t>
      </w:r>
      <w:r w:rsidR="003B5B7F" w:rsidRPr="00223ED3">
        <w:rPr>
          <w:lang w:val="en-US"/>
        </w:rPr>
        <w:t>but it is technically difficult because these are only visible with a microscope and a longitudinal ground section (Beaumont 2013). Additionally</w:t>
      </w:r>
      <w:r w:rsidR="00C94A15">
        <w:rPr>
          <w:lang w:val="en-US"/>
        </w:rPr>
        <w:t>,</w:t>
      </w:r>
      <w:r w:rsidR="003B5B7F" w:rsidRPr="00223ED3">
        <w:rPr>
          <w:lang w:val="en-US"/>
        </w:rPr>
        <w:t xml:space="preserve"> the resulting samples would be too small for current stable isotope analysis tools. The best alternative method has been to </w:t>
      </w:r>
      <w:r w:rsidR="00FD4CD6" w:rsidRPr="00223ED3">
        <w:rPr>
          <w:lang w:val="en-US"/>
        </w:rPr>
        <w:t xml:space="preserve">follow Fuller and colleague’s (2003) technique of </w:t>
      </w:r>
      <w:r w:rsidR="003B5B7F" w:rsidRPr="00223ED3">
        <w:rPr>
          <w:lang w:val="en-US"/>
        </w:rPr>
        <w:t>sampl</w:t>
      </w:r>
      <w:r w:rsidR="00FD4CD6" w:rsidRPr="00223ED3">
        <w:rPr>
          <w:lang w:val="en-US"/>
        </w:rPr>
        <w:t>ing</w:t>
      </w:r>
      <w:r w:rsidR="003B5B7F" w:rsidRPr="00223ED3">
        <w:rPr>
          <w:lang w:val="en-US"/>
        </w:rPr>
        <w:t xml:space="preserve"> transverse regular or irregular sections from the crown towards the root of the tooth. </w:t>
      </w:r>
      <w:r w:rsidR="00FD4CD6" w:rsidRPr="00223ED3">
        <w:rPr>
          <w:lang w:val="en-US"/>
        </w:rPr>
        <w:t>Although it is recognized that t</w:t>
      </w:r>
      <w:r w:rsidR="003B5B7F" w:rsidRPr="00223ED3">
        <w:rPr>
          <w:lang w:val="en-US"/>
        </w:rPr>
        <w:t>his results in averaging of isotope values since it would include dentine formed at different times</w:t>
      </w:r>
      <w:r w:rsidR="00FD4CD6" w:rsidRPr="00223ED3">
        <w:rPr>
          <w:lang w:val="en-US"/>
        </w:rPr>
        <w:t xml:space="preserve">, researchers argue that </w:t>
      </w:r>
      <w:r w:rsidR="003B5B7F" w:rsidRPr="00223ED3">
        <w:rPr>
          <w:lang w:val="en-US"/>
        </w:rPr>
        <w:t>by using the same method for each tooth from each individual in a study, compar</w:t>
      </w:r>
      <w:r w:rsidR="009069DB" w:rsidRPr="00223ED3">
        <w:rPr>
          <w:lang w:val="en-US"/>
        </w:rPr>
        <w:t>ison of</w:t>
      </w:r>
      <w:r w:rsidR="003B5B7F" w:rsidRPr="00223ED3">
        <w:rPr>
          <w:lang w:val="en-US"/>
        </w:rPr>
        <w:t xml:space="preserve"> the dietary and physiological isotopic values at the same developmental stages in each individual</w:t>
      </w:r>
      <w:r w:rsidR="009069DB" w:rsidRPr="00223ED3">
        <w:rPr>
          <w:lang w:val="en-US"/>
        </w:rPr>
        <w:t xml:space="preserve"> </w:t>
      </w:r>
      <w:r w:rsidR="008D47ED" w:rsidRPr="00223ED3">
        <w:rPr>
          <w:lang w:val="en-US"/>
        </w:rPr>
        <w:t>can</w:t>
      </w:r>
      <w:r w:rsidR="009069DB" w:rsidRPr="00223ED3">
        <w:rPr>
          <w:lang w:val="en-US"/>
        </w:rPr>
        <w:t xml:space="preserve"> be made</w:t>
      </w:r>
      <w:r w:rsidR="009343DF" w:rsidRPr="00223ED3">
        <w:rPr>
          <w:lang w:val="en-US"/>
        </w:rPr>
        <w:t xml:space="preserve"> (Beaumont 2013)</w:t>
      </w:r>
      <w:r w:rsidR="00AF6259">
        <w:rPr>
          <w:lang w:val="en-US"/>
        </w:rPr>
        <w:t xml:space="preserve">. </w:t>
      </w:r>
    </w:p>
    <w:p w14:paraId="1FA1459E" w14:textId="72C4349A" w:rsidR="00891E91" w:rsidRPr="00AF6259" w:rsidRDefault="004353DF" w:rsidP="00AF6259">
      <w:pPr>
        <w:spacing w:before="100" w:beforeAutospacing="1" w:after="100" w:afterAutospacing="1" w:line="480" w:lineRule="auto"/>
        <w:ind w:firstLine="720"/>
        <w:rPr>
          <w:lang w:val="en-US"/>
        </w:rPr>
      </w:pPr>
      <w:r>
        <w:rPr>
          <w:lang w:val="en-US"/>
        </w:rPr>
        <w:t>T</w:t>
      </w:r>
      <w:r w:rsidR="009343DF" w:rsidRPr="00223ED3">
        <w:rPr>
          <w:lang w:val="en-US"/>
        </w:rPr>
        <w:t xml:space="preserve">he issue remains that </w:t>
      </w:r>
      <w:r w:rsidR="00FD4CD6" w:rsidRPr="00223ED3">
        <w:rPr>
          <w:lang w:val="en-US"/>
        </w:rPr>
        <w:t>transverse sectioning does not adequately consider</w:t>
      </w:r>
      <w:r w:rsidR="00CD7E91" w:rsidRPr="00223ED3">
        <w:rPr>
          <w:lang w:val="en-US"/>
        </w:rPr>
        <w:t xml:space="preserve"> the</w:t>
      </w:r>
      <w:r w:rsidR="00FD4CD6" w:rsidRPr="00223ED3">
        <w:rPr>
          <w:lang w:val="en-US"/>
        </w:rPr>
        <w:t xml:space="preserve"> biological growth patterns of teeth. The directionality of incremental growth layers (dentine tubules) form at oblique lines from the enamel-dentine junction to the pulp chamber; transverse sectioning cuts through the dentine growth layers </w:t>
      </w:r>
      <w:r w:rsidR="00C94A15">
        <w:rPr>
          <w:lang w:val="en-US"/>
        </w:rPr>
        <w:t>blending</w:t>
      </w:r>
      <w:r w:rsidR="00C94A15" w:rsidRPr="00223ED3">
        <w:rPr>
          <w:lang w:val="en-US"/>
        </w:rPr>
        <w:t xml:space="preserve"> </w:t>
      </w:r>
      <w:r w:rsidR="00FD4CD6" w:rsidRPr="00223ED3">
        <w:rPr>
          <w:lang w:val="en-US"/>
        </w:rPr>
        <w:t>the resulting isotopic sequence</w:t>
      </w:r>
      <w:r w:rsidR="009343DF" w:rsidRPr="00223ED3">
        <w:rPr>
          <w:lang w:val="en-US"/>
        </w:rPr>
        <w:t>s</w:t>
      </w:r>
      <w:r w:rsidR="00FD4CD6" w:rsidRPr="00223ED3">
        <w:rPr>
          <w:lang w:val="en-US"/>
        </w:rPr>
        <w:t xml:space="preserve"> and </w:t>
      </w:r>
      <w:r w:rsidR="009343DF" w:rsidRPr="00223ED3">
        <w:rPr>
          <w:lang w:val="en-US"/>
        </w:rPr>
        <w:t xml:space="preserve">complicating the </w:t>
      </w:r>
      <w:r w:rsidR="00FD4CD6" w:rsidRPr="00223ED3">
        <w:rPr>
          <w:lang w:val="en-US"/>
        </w:rPr>
        <w:t>assign</w:t>
      </w:r>
      <w:r w:rsidR="009343DF" w:rsidRPr="00223ED3">
        <w:rPr>
          <w:lang w:val="en-US"/>
        </w:rPr>
        <w:t xml:space="preserve">ment of </w:t>
      </w:r>
      <w:r w:rsidR="00FD4CD6" w:rsidRPr="00223ED3">
        <w:rPr>
          <w:lang w:val="en-US"/>
        </w:rPr>
        <w:t xml:space="preserve">chronological age </w:t>
      </w:r>
      <w:r w:rsidR="009343DF" w:rsidRPr="00223ED3">
        <w:rPr>
          <w:lang w:val="en-US"/>
        </w:rPr>
        <w:t>for each sample</w:t>
      </w:r>
      <w:r w:rsidR="00FD4CD6" w:rsidRPr="00223ED3">
        <w:rPr>
          <w:lang w:val="en-US"/>
        </w:rPr>
        <w:t xml:space="preserve"> </w:t>
      </w:r>
      <w:r w:rsidR="00FD4CD6" w:rsidRPr="00223ED3">
        <w:rPr>
          <w:color w:val="000000" w:themeColor="text1"/>
          <w:lang w:val="en-US"/>
        </w:rPr>
        <w:t>(Makarewicz &amp; Sealy 2015</w:t>
      </w:r>
      <w:r w:rsidR="008D47ED" w:rsidRPr="00223ED3">
        <w:rPr>
          <w:color w:val="000000" w:themeColor="text1"/>
          <w:lang w:val="en-US"/>
        </w:rPr>
        <w:t>; Guiry, Hepburn, &amp; Richards 2016</w:t>
      </w:r>
      <w:r w:rsidR="00FD4CD6" w:rsidRPr="00223ED3">
        <w:rPr>
          <w:color w:val="000000" w:themeColor="text1"/>
          <w:lang w:val="en-US"/>
        </w:rPr>
        <w:t xml:space="preserve">). Another issue that has been </w:t>
      </w:r>
      <w:r w:rsidR="008D47ED" w:rsidRPr="00223ED3">
        <w:rPr>
          <w:color w:val="000000" w:themeColor="text1"/>
          <w:lang w:val="en-US"/>
        </w:rPr>
        <w:t>identified</w:t>
      </w:r>
      <w:r w:rsidR="00FD4CD6" w:rsidRPr="00223ED3">
        <w:rPr>
          <w:color w:val="000000" w:themeColor="text1"/>
          <w:lang w:val="en-US"/>
        </w:rPr>
        <w:t xml:space="preserve"> is that </w:t>
      </w:r>
      <w:r w:rsidR="00FD4CD6" w:rsidRPr="00223ED3">
        <w:rPr>
          <w:lang w:val="en-US"/>
        </w:rPr>
        <w:t>tooth formation stages are not equally spaced in time, especially in the crown section (Liversidge</w:t>
      </w:r>
      <w:r w:rsidR="008D47ED" w:rsidRPr="00223ED3">
        <w:rPr>
          <w:lang w:val="en-US"/>
        </w:rPr>
        <w:t xml:space="preserve"> </w:t>
      </w:r>
      <w:r w:rsidR="00FD4CD6" w:rsidRPr="00223ED3">
        <w:rPr>
          <w:lang w:val="en-US"/>
        </w:rPr>
        <w:t>2015), resulting in potential loss of resolution and uncertainty in timing. Addressing these problems has thus far been difficult as these dentine increments are not visible in demineralized teeth</w:t>
      </w:r>
      <w:r w:rsidR="00672A8E" w:rsidRPr="00223ED3">
        <w:rPr>
          <w:lang w:val="en-US"/>
        </w:rPr>
        <w:t>.</w:t>
      </w:r>
      <w:r w:rsidR="00FD4CD6" w:rsidRPr="00223ED3">
        <w:rPr>
          <w:lang w:val="en-US"/>
        </w:rPr>
        <w:t xml:space="preserve"> </w:t>
      </w:r>
      <w:r w:rsidR="00672A8E" w:rsidRPr="00223ED3">
        <w:rPr>
          <w:lang w:val="en-US"/>
        </w:rPr>
        <w:t>Y</w:t>
      </w:r>
      <w:r w:rsidR="00FD4CD6" w:rsidRPr="00223ED3">
        <w:rPr>
          <w:lang w:val="en-US"/>
        </w:rPr>
        <w:t xml:space="preserve">et in a recent study </w:t>
      </w:r>
      <w:r w:rsidR="008D47ED" w:rsidRPr="00223ED3">
        <w:rPr>
          <w:lang w:val="en-US"/>
        </w:rPr>
        <w:t xml:space="preserve">by </w:t>
      </w:r>
      <w:r w:rsidR="00FD4CD6" w:rsidRPr="00223ED3">
        <w:rPr>
          <w:lang w:val="en-US"/>
        </w:rPr>
        <w:t>Czermak et al. (2018)</w:t>
      </w:r>
      <w:r w:rsidR="008D47ED" w:rsidRPr="00223ED3">
        <w:rPr>
          <w:lang w:val="en-US"/>
        </w:rPr>
        <w:t xml:space="preserve">, </w:t>
      </w:r>
      <w:r w:rsidR="00FD4CD6" w:rsidRPr="00223ED3">
        <w:rPr>
          <w:lang w:val="en-US"/>
        </w:rPr>
        <w:t>microscope images</w:t>
      </w:r>
      <w:r w:rsidR="009343DF" w:rsidRPr="00223ED3">
        <w:rPr>
          <w:lang w:val="en-US"/>
        </w:rPr>
        <w:t xml:space="preserve"> of longitudinal tooth sections</w:t>
      </w:r>
      <w:r w:rsidR="00FD4CD6" w:rsidRPr="00223ED3">
        <w:rPr>
          <w:lang w:val="en-US"/>
        </w:rPr>
        <w:t xml:space="preserve"> </w:t>
      </w:r>
      <w:r w:rsidR="008D47ED" w:rsidRPr="00223ED3">
        <w:rPr>
          <w:lang w:val="en-US"/>
        </w:rPr>
        <w:t xml:space="preserve">were used </w:t>
      </w:r>
      <w:r w:rsidR="00FD4CD6" w:rsidRPr="00223ED3">
        <w:rPr>
          <w:lang w:val="en-US"/>
        </w:rPr>
        <w:t xml:space="preserve">to take </w:t>
      </w:r>
      <w:r w:rsidR="00FD4CD6" w:rsidRPr="00223ED3">
        <w:rPr>
          <w:lang w:val="en-US"/>
        </w:rPr>
        <w:lastRenderedPageBreak/>
        <w:t>into account the directionality of incremental dentine growth structure</w:t>
      </w:r>
      <w:r w:rsidR="009343DF" w:rsidRPr="00223ED3">
        <w:rPr>
          <w:lang w:val="en-US"/>
        </w:rPr>
        <w:t>s during dentine microsampling</w:t>
      </w:r>
      <w:r w:rsidR="00FD4CD6" w:rsidRPr="00223ED3">
        <w:rPr>
          <w:lang w:val="en-US"/>
        </w:rPr>
        <w:t>. Using</w:t>
      </w:r>
      <w:r w:rsidR="009343DF" w:rsidRPr="00223ED3">
        <w:rPr>
          <w:lang w:val="en-US"/>
        </w:rPr>
        <w:t xml:space="preserve"> first permanent</w:t>
      </w:r>
      <w:r w:rsidR="00FD4CD6" w:rsidRPr="00223ED3">
        <w:rPr>
          <w:lang w:val="en-US"/>
        </w:rPr>
        <w:t xml:space="preserve"> molars of 17 adults buried at the Late Antique/Migration Period cemetery of Niedernai, Alsace (France), Czermak and colleagues (2018) sectioned </w:t>
      </w:r>
      <w:r w:rsidR="009343DF" w:rsidRPr="00223ED3">
        <w:rPr>
          <w:lang w:val="en-US"/>
        </w:rPr>
        <w:t>two</w:t>
      </w:r>
      <w:r w:rsidR="00FD4CD6" w:rsidRPr="00223ED3">
        <w:rPr>
          <w:lang w:val="en-US"/>
        </w:rPr>
        <w:t xml:space="preserve"> </w:t>
      </w:r>
      <w:r w:rsidR="00644A1A" w:rsidRPr="00223ED3">
        <w:rPr>
          <w:lang w:val="en-US"/>
        </w:rPr>
        <w:t>portions</w:t>
      </w:r>
      <w:r w:rsidR="00FD4CD6" w:rsidRPr="00223ED3">
        <w:rPr>
          <w:lang w:val="en-US"/>
        </w:rPr>
        <w:t xml:space="preserve"> of each tooth. The first set of sections were obtained from </w:t>
      </w:r>
      <w:r w:rsidR="000C63B0" w:rsidRPr="00223ED3">
        <w:rPr>
          <w:lang w:val="en-US"/>
        </w:rPr>
        <w:t>the</w:t>
      </w:r>
      <w:r w:rsidR="00FD4CD6" w:rsidRPr="00223ED3">
        <w:rPr>
          <w:lang w:val="en-US"/>
        </w:rPr>
        <w:t xml:space="preserve"> mesial root </w:t>
      </w:r>
      <w:r w:rsidR="000C63B0" w:rsidRPr="00223ED3">
        <w:rPr>
          <w:lang w:val="en-US"/>
        </w:rPr>
        <w:t>of the tooth</w:t>
      </w:r>
      <w:r w:rsidR="00FD4CD6" w:rsidRPr="00223ED3">
        <w:rPr>
          <w:lang w:val="en-US"/>
        </w:rPr>
        <w:t>, which w</w:t>
      </w:r>
      <w:r w:rsidR="00891E91" w:rsidRPr="00223ED3">
        <w:rPr>
          <w:lang w:val="en-US"/>
        </w:rPr>
        <w:t>ere</w:t>
      </w:r>
      <w:r w:rsidR="00FD4CD6" w:rsidRPr="00223ED3">
        <w:rPr>
          <w:lang w:val="en-US"/>
        </w:rPr>
        <w:t xml:space="preserve"> cut into microchunks </w:t>
      </w:r>
      <w:r w:rsidR="00644A1A" w:rsidRPr="00223ED3">
        <w:rPr>
          <w:lang w:val="en-US"/>
        </w:rPr>
        <w:t xml:space="preserve">measuring to </w:t>
      </w:r>
      <w:r w:rsidR="00FD4CD6" w:rsidRPr="00223ED3">
        <w:rPr>
          <w:lang w:val="en-US"/>
        </w:rPr>
        <w:t xml:space="preserve">≤1 mm </w:t>
      </w:r>
      <w:r w:rsidR="00644A1A" w:rsidRPr="00223ED3">
        <w:rPr>
          <w:lang w:val="en-US"/>
        </w:rPr>
        <w:t xml:space="preserve">in </w:t>
      </w:r>
      <w:r w:rsidR="00FD4CD6" w:rsidRPr="00223ED3">
        <w:rPr>
          <w:lang w:val="en-US"/>
        </w:rPr>
        <w:t>width</w:t>
      </w:r>
      <w:r w:rsidR="00891E91" w:rsidRPr="00223ED3">
        <w:rPr>
          <w:lang w:val="en-US"/>
        </w:rPr>
        <w:t>,</w:t>
      </w:r>
      <w:r w:rsidR="00FD4CD6" w:rsidRPr="00223ED3">
        <w:rPr>
          <w:lang w:val="en-US"/>
        </w:rPr>
        <w:t xml:space="preserve"> following the natural growth line as closely as possible</w:t>
      </w:r>
      <w:r w:rsidR="00644A1A" w:rsidRPr="00223ED3">
        <w:rPr>
          <w:lang w:val="en-US"/>
        </w:rPr>
        <w:t xml:space="preserve"> (</w:t>
      </w:r>
      <w:r w:rsidR="00FD4CD6" w:rsidRPr="00223ED3">
        <w:rPr>
          <w:lang w:val="en-US"/>
        </w:rPr>
        <w:t>using high</w:t>
      </w:r>
      <w:r w:rsidR="00FD4CD6" w:rsidRPr="00223ED3">
        <w:rPr>
          <w:rFonts w:ascii="Cambria Math" w:hAnsi="Cambria Math" w:cs="Cambria Math"/>
          <w:lang w:val="en-US"/>
        </w:rPr>
        <w:t>‐</w:t>
      </w:r>
      <w:r w:rsidR="00FD4CD6" w:rsidRPr="00223ED3">
        <w:rPr>
          <w:lang w:val="en-US"/>
        </w:rPr>
        <w:t xml:space="preserve">resolution transmission </w:t>
      </w:r>
      <w:r w:rsidR="004A7DAC" w:rsidRPr="00223ED3">
        <w:rPr>
          <w:lang w:val="en-US"/>
        </w:rPr>
        <w:t xml:space="preserve">light </w:t>
      </w:r>
      <w:r w:rsidR="00FD4CD6" w:rsidRPr="00223ED3">
        <w:rPr>
          <w:lang w:val="en-US"/>
        </w:rPr>
        <w:t>microscopy image</w:t>
      </w:r>
      <w:r w:rsidR="004A7DAC" w:rsidRPr="00223ED3">
        <w:rPr>
          <w:lang w:val="en-US"/>
        </w:rPr>
        <w:t>s</w:t>
      </w:r>
      <w:r w:rsidR="00FD4CD6" w:rsidRPr="00223ED3">
        <w:rPr>
          <w:lang w:val="en-US"/>
        </w:rPr>
        <w:t xml:space="preserve"> as a reference</w:t>
      </w:r>
      <w:r w:rsidR="00644A1A" w:rsidRPr="00223ED3">
        <w:rPr>
          <w:lang w:val="en-US"/>
        </w:rPr>
        <w:t>)</w:t>
      </w:r>
      <w:r w:rsidR="00FD4CD6" w:rsidRPr="00223ED3">
        <w:rPr>
          <w:lang w:val="en-US"/>
        </w:rPr>
        <w:t>. The second set of sections were obtained from the central area of the tooth crown by slicing the crown into thin parallel sections of ~0.5 mm thickness from the top towards the pulp chamber. This method provided the author</w:t>
      </w:r>
      <w:r w:rsidR="00C94A15">
        <w:rPr>
          <w:lang w:val="en-US"/>
        </w:rPr>
        <w:t>s</w:t>
      </w:r>
      <w:r w:rsidR="00FD4CD6" w:rsidRPr="00223ED3">
        <w:rPr>
          <w:lang w:val="en-US"/>
        </w:rPr>
        <w:t xml:space="preserve"> with 16–20 microsamples from each tooth and subsequently increased temporal resolution</w:t>
      </w:r>
      <w:r w:rsidR="00C94A15">
        <w:rPr>
          <w:lang w:val="en-US"/>
        </w:rPr>
        <w:t>,</w:t>
      </w:r>
      <w:r w:rsidR="00FD4CD6" w:rsidRPr="00223ED3">
        <w:rPr>
          <w:lang w:val="en-US"/>
        </w:rPr>
        <w:t xml:space="preserve"> which was useful is detecting a short</w:t>
      </w:r>
      <w:r w:rsidR="00FD4CD6" w:rsidRPr="00223ED3">
        <w:rPr>
          <w:rFonts w:ascii="Cambria Math" w:hAnsi="Cambria Math" w:cs="Cambria Math"/>
          <w:lang w:val="en-US"/>
        </w:rPr>
        <w:t>‐</w:t>
      </w:r>
      <w:r w:rsidR="00FD4CD6" w:rsidRPr="00223ED3">
        <w:rPr>
          <w:lang w:val="en-US"/>
        </w:rPr>
        <w:t>term increase in the otherwise gradually decreasing δ</w:t>
      </w:r>
      <w:r w:rsidR="00FD4CD6" w:rsidRPr="00223ED3">
        <w:rPr>
          <w:vertAlign w:val="superscript"/>
          <w:lang w:val="en-US"/>
        </w:rPr>
        <w:t>15</w:t>
      </w:r>
      <w:r w:rsidR="00FD4CD6" w:rsidRPr="00223ED3">
        <w:rPr>
          <w:lang w:val="en-US"/>
        </w:rPr>
        <w:t>N trajectories in the crown sections of individuals, indicating a diet temporarily richer in protein</w:t>
      </w:r>
      <w:r w:rsidR="00644A1A" w:rsidRPr="00223ED3">
        <w:rPr>
          <w:lang w:val="en-US"/>
        </w:rPr>
        <w:t xml:space="preserve"> or </w:t>
      </w:r>
      <w:r w:rsidR="00FD4CD6" w:rsidRPr="00223ED3">
        <w:rPr>
          <w:lang w:val="en-US"/>
        </w:rPr>
        <w:t>perhaps a short</w:t>
      </w:r>
      <w:r w:rsidR="00FD4CD6" w:rsidRPr="00223ED3">
        <w:rPr>
          <w:rFonts w:ascii="Cambria Math" w:hAnsi="Cambria Math" w:cs="Cambria Math"/>
          <w:lang w:val="en-US"/>
        </w:rPr>
        <w:t>‐</w:t>
      </w:r>
      <w:r w:rsidR="00FD4CD6" w:rsidRPr="00223ED3">
        <w:rPr>
          <w:lang w:val="en-US"/>
        </w:rPr>
        <w:t>term return to breastfeeding.</w:t>
      </w:r>
      <w:r w:rsidR="00AD0CA0" w:rsidRPr="00223ED3">
        <w:rPr>
          <w:color w:val="FF0000"/>
          <w:lang w:val="en-US"/>
        </w:rPr>
        <w:t xml:space="preserve"> </w:t>
      </w:r>
    </w:p>
    <w:p w14:paraId="32EB1502" w14:textId="1263C3EF" w:rsidR="00AD0CA0" w:rsidRPr="00223ED3" w:rsidRDefault="003B5B7F" w:rsidP="00A87058">
      <w:pPr>
        <w:spacing w:line="480" w:lineRule="auto"/>
        <w:ind w:firstLine="720"/>
        <w:rPr>
          <w:lang w:val="en-US"/>
        </w:rPr>
      </w:pPr>
      <w:r w:rsidRPr="00223ED3">
        <w:rPr>
          <w:lang w:val="en-US"/>
        </w:rPr>
        <w:t>Something else to consider when sampling dentine are the tissues that are laid down after primary dentine</w:t>
      </w:r>
      <w:r w:rsidR="00C94A15">
        <w:rPr>
          <w:lang w:val="en-US"/>
        </w:rPr>
        <w:t xml:space="preserve"> is formed</w:t>
      </w:r>
      <w:r w:rsidRPr="00223ED3">
        <w:rPr>
          <w:lang w:val="en-US"/>
        </w:rPr>
        <w:t xml:space="preserve"> (Beaumont 2013). Secondary dentine is laid down throughout life in permanent teeth after the tooth is fully developed by odontoblasts around the pulp chamber</w:t>
      </w:r>
      <w:r w:rsidR="00891E91" w:rsidRPr="00223ED3">
        <w:rPr>
          <w:lang w:val="en-US"/>
        </w:rPr>
        <w:t>. Similarly,</w:t>
      </w:r>
      <w:r w:rsidR="00A87058" w:rsidRPr="00223ED3">
        <w:rPr>
          <w:lang w:val="en-US"/>
        </w:rPr>
        <w:t xml:space="preserve"> t</w:t>
      </w:r>
      <w:r w:rsidRPr="00223ED3">
        <w:rPr>
          <w:lang w:val="en-US"/>
        </w:rPr>
        <w:t>ertiary dentine is produced at sites where there is damage on dentine surface such as wear or caries (Nanci 2003). The impact of these minor tissues on overall dentine isotope profiles are expected to be minor</w:t>
      </w:r>
      <w:r w:rsidR="003A5DA8" w:rsidRPr="00223ED3">
        <w:rPr>
          <w:lang w:val="en-US"/>
        </w:rPr>
        <w:t xml:space="preserve"> due to the quantity of the secondary dentine in comparison to primary dentine</w:t>
      </w:r>
      <w:r w:rsidRPr="00223ED3">
        <w:rPr>
          <w:lang w:val="en-US"/>
        </w:rPr>
        <w:t xml:space="preserve"> (</w:t>
      </w:r>
      <w:r w:rsidR="00AA2F9E" w:rsidRPr="00223ED3">
        <w:rPr>
          <w:lang w:val="en-US"/>
        </w:rPr>
        <w:t>Beaumont 2013</w:t>
      </w:r>
      <w:r w:rsidRPr="00223ED3">
        <w:rPr>
          <w:lang w:val="en-US"/>
        </w:rPr>
        <w:t xml:space="preserve">). Research on isotopic variation caused by these tissues is yet to be </w:t>
      </w:r>
      <w:r w:rsidR="00891E91" w:rsidRPr="00223ED3">
        <w:rPr>
          <w:lang w:val="en-US"/>
        </w:rPr>
        <w:t>conducted,</w:t>
      </w:r>
      <w:r w:rsidRPr="00223ED3">
        <w:rPr>
          <w:lang w:val="en-US"/>
        </w:rPr>
        <w:t xml:space="preserve"> but this </w:t>
      </w:r>
      <w:r w:rsidRPr="00223ED3">
        <w:rPr>
          <w:lang w:val="en-US"/>
        </w:rPr>
        <w:lastRenderedPageBreak/>
        <w:t xml:space="preserve">issue might even be </w:t>
      </w:r>
      <w:r w:rsidR="00891E91" w:rsidRPr="00223ED3">
        <w:rPr>
          <w:lang w:val="en-US"/>
        </w:rPr>
        <w:t xml:space="preserve">completely </w:t>
      </w:r>
      <w:r w:rsidRPr="00223ED3">
        <w:rPr>
          <w:lang w:val="en-US"/>
        </w:rPr>
        <w:t>avoided by appropriate sample selection and preparation</w:t>
      </w:r>
      <w:r w:rsidR="00891E91" w:rsidRPr="00223ED3">
        <w:rPr>
          <w:lang w:val="en-US"/>
        </w:rPr>
        <w:t xml:space="preserve">, </w:t>
      </w:r>
      <w:r w:rsidR="003A5DA8" w:rsidRPr="00223ED3">
        <w:rPr>
          <w:lang w:val="en-US"/>
        </w:rPr>
        <w:t xml:space="preserve">such as selecting caries-free and unworn teeth or by reaming out the pulp cavity before </w:t>
      </w:r>
      <w:r w:rsidR="00A87058" w:rsidRPr="00223ED3">
        <w:rPr>
          <w:lang w:val="en-US"/>
        </w:rPr>
        <w:t xml:space="preserve">dentine </w:t>
      </w:r>
      <w:r w:rsidR="003A5DA8" w:rsidRPr="00223ED3">
        <w:rPr>
          <w:lang w:val="en-US"/>
        </w:rPr>
        <w:t>sampling to remove possible secondary dentine formation</w:t>
      </w:r>
      <w:r w:rsidRPr="00223ED3">
        <w:rPr>
          <w:lang w:val="en-US"/>
        </w:rPr>
        <w:t xml:space="preserve"> (Beaumont 2013). </w:t>
      </w:r>
    </w:p>
    <w:p w14:paraId="2308F036" w14:textId="77777777" w:rsidR="00AF6259" w:rsidRDefault="00AF6259" w:rsidP="00FF0311">
      <w:pPr>
        <w:rPr>
          <w:lang w:val="en-US"/>
        </w:rPr>
      </w:pPr>
    </w:p>
    <w:p w14:paraId="7622F919" w14:textId="1476CEF9" w:rsidR="003B5B7F" w:rsidRDefault="003B5B7F" w:rsidP="001C6BF3">
      <w:pPr>
        <w:pStyle w:val="ListParagraph"/>
        <w:numPr>
          <w:ilvl w:val="2"/>
          <w:numId w:val="27"/>
        </w:numPr>
        <w:tabs>
          <w:tab w:val="left" w:pos="284"/>
        </w:tabs>
        <w:spacing w:line="480" w:lineRule="auto"/>
        <w:ind w:left="567" w:hanging="578"/>
        <w:rPr>
          <w:rFonts w:ascii="Times New Roman" w:hAnsi="Times New Roman" w:cs="Times New Roman"/>
        </w:rPr>
      </w:pPr>
      <w:r w:rsidRPr="00FF0311">
        <w:rPr>
          <w:rFonts w:ascii="Times New Roman" w:hAnsi="Times New Roman" w:cs="Times New Roman"/>
        </w:rPr>
        <w:t xml:space="preserve">Bone Collagen versus Tooth Dentine </w:t>
      </w:r>
    </w:p>
    <w:p w14:paraId="2CEEE0D4" w14:textId="77777777" w:rsidR="001C6BF3" w:rsidRPr="00FF0311" w:rsidRDefault="001C6BF3" w:rsidP="001C6BF3">
      <w:pPr>
        <w:pStyle w:val="ListParagraph"/>
        <w:tabs>
          <w:tab w:val="left" w:pos="284"/>
        </w:tabs>
        <w:ind w:left="567"/>
        <w:rPr>
          <w:rFonts w:ascii="Times New Roman" w:hAnsi="Times New Roman" w:cs="Times New Roman"/>
        </w:rPr>
      </w:pPr>
    </w:p>
    <w:p w14:paraId="437ECC8C" w14:textId="6333EB99" w:rsidR="003B5B7F" w:rsidRDefault="00A87058" w:rsidP="001C6BF3">
      <w:pPr>
        <w:spacing w:line="480" w:lineRule="auto"/>
        <w:ind w:firstLine="709"/>
        <w:rPr>
          <w:lang w:val="en-US"/>
        </w:rPr>
      </w:pPr>
      <w:r w:rsidRPr="00223ED3">
        <w:rPr>
          <w:lang w:val="en-US"/>
        </w:rPr>
        <w:t>Bone sampling</w:t>
      </w:r>
      <w:r w:rsidR="003B5B7F" w:rsidRPr="00223ED3">
        <w:rPr>
          <w:lang w:val="en-US"/>
        </w:rPr>
        <w:t xml:space="preserve"> for stable isotope analysis provides a cross-sectional approach to the reconstruct</w:t>
      </w:r>
      <w:r w:rsidRPr="00223ED3">
        <w:rPr>
          <w:lang w:val="en-US"/>
        </w:rPr>
        <w:t xml:space="preserve">ion </w:t>
      </w:r>
      <w:r w:rsidR="003B5B7F" w:rsidRPr="00223ED3">
        <w:rPr>
          <w:lang w:val="en-US"/>
        </w:rPr>
        <w:t xml:space="preserve">of weaning age in a burial population. </w:t>
      </w:r>
      <w:r w:rsidR="00D7156F" w:rsidRPr="00223ED3">
        <w:rPr>
          <w:lang w:val="en-US"/>
        </w:rPr>
        <w:t>With an appropriate sample size, bone sampling</w:t>
      </w:r>
      <w:r w:rsidR="00FD39E8" w:rsidRPr="00223ED3">
        <w:rPr>
          <w:lang w:val="en-US"/>
        </w:rPr>
        <w:t xml:space="preserve"> allows</w:t>
      </w:r>
      <w:r w:rsidR="003B5B7F" w:rsidRPr="00223ED3">
        <w:rPr>
          <w:lang w:val="en-US"/>
        </w:rPr>
        <w:t xml:space="preserve"> bioarcheologists to view the entire modal weaning process</w:t>
      </w:r>
      <w:r w:rsidR="00D7156F" w:rsidRPr="00223ED3">
        <w:rPr>
          <w:lang w:val="en-US"/>
        </w:rPr>
        <w:t>,</w:t>
      </w:r>
      <w:r w:rsidR="003B5B7F" w:rsidRPr="00223ED3">
        <w:rPr>
          <w:lang w:val="en-US"/>
        </w:rPr>
        <w:t xml:space="preserve"> from the initial introduction of complementary foods to the </w:t>
      </w:r>
      <w:r w:rsidR="00CF54E2">
        <w:rPr>
          <w:lang w:val="en-US"/>
        </w:rPr>
        <w:t xml:space="preserve">complete </w:t>
      </w:r>
      <w:r w:rsidR="003B5B7F" w:rsidRPr="00223ED3">
        <w:rPr>
          <w:lang w:val="en-US"/>
        </w:rPr>
        <w:t>cessation of breas</w:t>
      </w:r>
      <w:r w:rsidR="00D7156F" w:rsidRPr="00223ED3">
        <w:rPr>
          <w:lang w:val="en-US"/>
        </w:rPr>
        <w:t>tfeeding</w:t>
      </w:r>
      <w:r w:rsidR="003B5B7F" w:rsidRPr="00223ED3">
        <w:rPr>
          <w:lang w:val="en-US"/>
        </w:rPr>
        <w:t xml:space="preserve">. </w:t>
      </w:r>
      <w:r w:rsidR="007B7812" w:rsidRPr="00223ED3">
        <w:rPr>
          <w:lang w:val="en-US"/>
        </w:rPr>
        <w:t>Additionally,</w:t>
      </w:r>
      <w:r w:rsidR="003B5B7F" w:rsidRPr="00223ED3">
        <w:rPr>
          <w:lang w:val="en-US"/>
        </w:rPr>
        <w:t xml:space="preserve"> </w:t>
      </w:r>
      <w:r w:rsidR="00D7156F" w:rsidRPr="00223ED3">
        <w:rPr>
          <w:lang w:val="en-US"/>
        </w:rPr>
        <w:t>bone sampl</w:t>
      </w:r>
      <w:r w:rsidR="00CF54E2">
        <w:rPr>
          <w:lang w:val="en-US"/>
        </w:rPr>
        <w:t>e</w:t>
      </w:r>
      <w:r w:rsidR="003B5B7F" w:rsidRPr="00223ED3">
        <w:rPr>
          <w:lang w:val="en-US"/>
        </w:rPr>
        <w:t xml:space="preserve"> comparison</w:t>
      </w:r>
      <w:r w:rsidR="00D7156F" w:rsidRPr="00223ED3">
        <w:rPr>
          <w:lang w:val="en-US"/>
        </w:rPr>
        <w:t>s can be made</w:t>
      </w:r>
      <w:r w:rsidR="003B5B7F" w:rsidRPr="00223ED3">
        <w:rPr>
          <w:lang w:val="en-US"/>
        </w:rPr>
        <w:t xml:space="preserve"> between populations from different </w:t>
      </w:r>
      <w:r w:rsidR="00D7156F" w:rsidRPr="00223ED3">
        <w:rPr>
          <w:lang w:val="en-US"/>
        </w:rPr>
        <w:t>locations and time periods,</w:t>
      </w:r>
      <w:r w:rsidR="003B5B7F" w:rsidRPr="00223ED3">
        <w:rPr>
          <w:lang w:val="en-US"/>
        </w:rPr>
        <w:t xml:space="preserve"> providing information about variation in breastfeeding </w:t>
      </w:r>
      <w:r w:rsidR="00D7156F" w:rsidRPr="00223ED3">
        <w:rPr>
          <w:lang w:val="en-US"/>
        </w:rPr>
        <w:t>practices in relation</w:t>
      </w:r>
      <w:r w:rsidR="003B5B7F" w:rsidRPr="00223ED3">
        <w:rPr>
          <w:lang w:val="en-US"/>
        </w:rPr>
        <w:t xml:space="preserve"> to environment, culture</w:t>
      </w:r>
      <w:r w:rsidR="00D7156F" w:rsidRPr="00223ED3">
        <w:rPr>
          <w:lang w:val="en-US"/>
        </w:rPr>
        <w:t>,</w:t>
      </w:r>
      <w:r w:rsidR="003B5B7F" w:rsidRPr="00223ED3">
        <w:rPr>
          <w:lang w:val="en-US"/>
        </w:rPr>
        <w:t xml:space="preserve"> history </w:t>
      </w:r>
      <w:r w:rsidR="00D7156F" w:rsidRPr="00223ED3">
        <w:rPr>
          <w:lang w:val="en-US"/>
        </w:rPr>
        <w:t>and</w:t>
      </w:r>
      <w:r w:rsidR="003B5B7F" w:rsidRPr="00223ED3">
        <w:rPr>
          <w:lang w:val="en-US"/>
        </w:rPr>
        <w:t xml:space="preserve"> other factors (Eerkens et al. 2011). </w:t>
      </w:r>
      <w:r w:rsidR="00D7156F" w:rsidRPr="00223ED3">
        <w:rPr>
          <w:lang w:val="en-US"/>
        </w:rPr>
        <w:t xml:space="preserve">However, there are also </w:t>
      </w:r>
      <w:r w:rsidR="00924A15" w:rsidRPr="00223ED3">
        <w:rPr>
          <w:lang w:val="en-US"/>
        </w:rPr>
        <w:t>several</w:t>
      </w:r>
      <w:r w:rsidR="00112DAC" w:rsidRPr="00223ED3">
        <w:rPr>
          <w:lang w:val="en-US"/>
        </w:rPr>
        <w:t xml:space="preserve"> </w:t>
      </w:r>
      <w:r w:rsidR="00924A15" w:rsidRPr="00223ED3">
        <w:rPr>
          <w:lang w:val="en-US"/>
        </w:rPr>
        <w:t>disadvantages</w:t>
      </w:r>
      <w:r w:rsidR="00D7156F" w:rsidRPr="00223ED3">
        <w:rPr>
          <w:lang w:val="en-US"/>
        </w:rPr>
        <w:t xml:space="preserve"> to using bone </w:t>
      </w:r>
      <w:r w:rsidR="002D6E12" w:rsidRPr="00223ED3">
        <w:rPr>
          <w:lang w:val="en-US"/>
        </w:rPr>
        <w:t xml:space="preserve">collagen </w:t>
      </w:r>
      <w:r w:rsidR="00D7156F" w:rsidRPr="00223ED3">
        <w:rPr>
          <w:lang w:val="en-US"/>
        </w:rPr>
        <w:t>for stable isotope analysis. W</w:t>
      </w:r>
      <w:r w:rsidR="003B5B7F" w:rsidRPr="00223ED3">
        <w:rPr>
          <w:lang w:val="en-US"/>
        </w:rPr>
        <w:t>eaning age i</w:t>
      </w:r>
      <w:r w:rsidR="00CF54E2">
        <w:rPr>
          <w:lang w:val="en-US"/>
        </w:rPr>
        <w:t>s</w:t>
      </w:r>
      <w:r w:rsidR="003B5B7F" w:rsidRPr="00223ED3">
        <w:rPr>
          <w:lang w:val="en-US"/>
        </w:rPr>
        <w:t xml:space="preserve"> averaged across many individuals in a burial population making it difficult to examine intra-population variation. </w:t>
      </w:r>
      <w:r w:rsidR="00924A15" w:rsidRPr="00223ED3">
        <w:rPr>
          <w:lang w:val="en-US"/>
        </w:rPr>
        <w:t>G</w:t>
      </w:r>
      <w:r w:rsidR="003B5B7F" w:rsidRPr="00223ED3">
        <w:rPr>
          <w:lang w:val="en-US"/>
        </w:rPr>
        <w:t>rouping</w:t>
      </w:r>
      <w:r w:rsidR="00D7156F" w:rsidRPr="00223ED3">
        <w:rPr>
          <w:lang w:val="en-US"/>
        </w:rPr>
        <w:t xml:space="preserve"> </w:t>
      </w:r>
      <w:r w:rsidR="00112DAC" w:rsidRPr="00223ED3">
        <w:rPr>
          <w:lang w:val="en-US"/>
        </w:rPr>
        <w:t xml:space="preserve">large </w:t>
      </w:r>
      <w:r w:rsidR="003B5B7F" w:rsidRPr="00223ED3">
        <w:rPr>
          <w:lang w:val="en-US"/>
        </w:rPr>
        <w:t xml:space="preserve">samples </w:t>
      </w:r>
      <w:r w:rsidR="00112DAC" w:rsidRPr="00223ED3">
        <w:rPr>
          <w:lang w:val="en-US"/>
        </w:rPr>
        <w:t>to analyze weaning</w:t>
      </w:r>
      <w:r w:rsidR="003B5B7F" w:rsidRPr="00223ED3">
        <w:rPr>
          <w:lang w:val="en-US"/>
        </w:rPr>
        <w:t xml:space="preserve"> may mask more fine-scaled changes in weaning behavior</w:t>
      </w:r>
      <w:r w:rsidR="00112DAC" w:rsidRPr="00223ED3">
        <w:rPr>
          <w:lang w:val="en-US"/>
        </w:rPr>
        <w:t xml:space="preserve"> that may have been a </w:t>
      </w:r>
      <w:r w:rsidR="003B5B7F" w:rsidRPr="00223ED3">
        <w:rPr>
          <w:lang w:val="en-US"/>
        </w:rPr>
        <w:t>response to short-term social and environmental variations.</w:t>
      </w:r>
      <w:r w:rsidR="000B72EE" w:rsidRPr="00223ED3">
        <w:rPr>
          <w:lang w:val="en-US"/>
        </w:rPr>
        <w:t xml:space="preserve"> </w:t>
      </w:r>
      <w:r w:rsidR="00924A15" w:rsidRPr="00223ED3">
        <w:rPr>
          <w:lang w:val="en-US"/>
        </w:rPr>
        <w:t>Hence, d</w:t>
      </w:r>
      <w:r w:rsidR="000B72EE" w:rsidRPr="00223ED3">
        <w:rPr>
          <w:lang w:val="en-US"/>
        </w:rPr>
        <w:t xml:space="preserve">entine </w:t>
      </w:r>
      <w:r w:rsidR="00924A15" w:rsidRPr="00223ED3">
        <w:rPr>
          <w:lang w:val="en-US"/>
        </w:rPr>
        <w:t xml:space="preserve">is </w:t>
      </w:r>
      <w:r w:rsidR="000B72EE" w:rsidRPr="00223ED3">
        <w:rPr>
          <w:lang w:val="en-US"/>
        </w:rPr>
        <w:t>arguabl</w:t>
      </w:r>
      <w:r w:rsidR="00924A15" w:rsidRPr="00223ED3">
        <w:rPr>
          <w:lang w:val="en-US"/>
        </w:rPr>
        <w:t xml:space="preserve">y a better tissue to sample for weaning and diet studies as it provides greater temporal resolution and can be used to investigate intra-population variation. </w:t>
      </w:r>
    </w:p>
    <w:p w14:paraId="59E22A77" w14:textId="77777777" w:rsidR="001C6BF3" w:rsidRPr="00223ED3" w:rsidRDefault="001C6BF3" w:rsidP="001C6BF3">
      <w:pPr>
        <w:ind w:firstLine="709"/>
        <w:rPr>
          <w:lang w:val="en-US"/>
        </w:rPr>
      </w:pPr>
    </w:p>
    <w:p w14:paraId="7279EF6C" w14:textId="69421168" w:rsidR="003B5B7F" w:rsidRPr="008C4A6A" w:rsidRDefault="00112DAC" w:rsidP="001C6BF3">
      <w:pPr>
        <w:pStyle w:val="ListParagraph"/>
        <w:spacing w:line="480" w:lineRule="auto"/>
        <w:ind w:left="0" w:firstLine="709"/>
        <w:rPr>
          <w:rFonts w:ascii="Times New Roman" w:hAnsi="Times New Roman" w:cs="Times New Roman"/>
          <w:color w:val="000000" w:themeColor="text1"/>
        </w:rPr>
      </w:pPr>
      <w:r w:rsidRPr="00754EB2">
        <w:rPr>
          <w:rFonts w:ascii="Times New Roman" w:hAnsi="Times New Roman" w:cs="Times New Roman"/>
          <w:color w:val="000000" w:themeColor="text1"/>
        </w:rPr>
        <w:t>As previously stated</w:t>
      </w:r>
      <w:r w:rsidR="004353DF">
        <w:rPr>
          <w:rFonts w:ascii="Times New Roman" w:hAnsi="Times New Roman" w:cs="Times New Roman"/>
          <w:color w:val="000000" w:themeColor="text1"/>
        </w:rPr>
        <w:t xml:space="preserve"> in Section 3.4</w:t>
      </w:r>
      <w:r w:rsidR="00924A15" w:rsidRPr="008C4A6A">
        <w:rPr>
          <w:rFonts w:ascii="Times New Roman" w:hAnsi="Times New Roman" w:cs="Times New Roman"/>
          <w:color w:val="000000" w:themeColor="text1"/>
        </w:rPr>
        <w:t>,</w:t>
      </w:r>
      <w:r w:rsidR="003B5B7F" w:rsidRPr="008C4A6A">
        <w:rPr>
          <w:rFonts w:ascii="Times New Roman" w:hAnsi="Times New Roman" w:cs="Times New Roman"/>
          <w:color w:val="000000" w:themeColor="text1"/>
        </w:rPr>
        <w:t xml:space="preserve"> </w:t>
      </w:r>
      <w:r w:rsidR="00924A15" w:rsidRPr="008C4A6A">
        <w:rPr>
          <w:rFonts w:ascii="Times New Roman" w:hAnsi="Times New Roman" w:cs="Times New Roman"/>
          <w:color w:val="000000" w:themeColor="text1"/>
        </w:rPr>
        <w:t xml:space="preserve">due to enamel protection and the absence of a vascular network, </w:t>
      </w:r>
      <w:r w:rsidR="003B5B7F" w:rsidRPr="008C4A6A">
        <w:rPr>
          <w:rFonts w:ascii="Times New Roman" w:hAnsi="Times New Roman" w:cs="Times New Roman"/>
          <w:color w:val="000000" w:themeColor="text1"/>
        </w:rPr>
        <w:t xml:space="preserve">it is generally expected that dentine is less susceptible to post-mortem </w:t>
      </w:r>
      <w:r w:rsidR="003B5B7F" w:rsidRPr="008C4A6A">
        <w:rPr>
          <w:rFonts w:ascii="Times New Roman" w:hAnsi="Times New Roman" w:cs="Times New Roman"/>
          <w:color w:val="000000" w:themeColor="text1"/>
        </w:rPr>
        <w:lastRenderedPageBreak/>
        <w:t>changes</w:t>
      </w:r>
      <w:r w:rsidR="00CF54E2">
        <w:rPr>
          <w:rFonts w:ascii="Times New Roman" w:hAnsi="Times New Roman" w:cs="Times New Roman"/>
          <w:color w:val="000000" w:themeColor="text1"/>
        </w:rPr>
        <w:t xml:space="preserve">, </w:t>
      </w:r>
      <w:r w:rsidR="003B5B7F" w:rsidRPr="008C4A6A">
        <w:rPr>
          <w:rFonts w:ascii="Times New Roman" w:hAnsi="Times New Roman" w:cs="Times New Roman"/>
          <w:color w:val="000000" w:themeColor="text1"/>
        </w:rPr>
        <w:t xml:space="preserve">suggesting that </w:t>
      </w:r>
      <w:r w:rsidR="00924A15" w:rsidRPr="008C4A6A">
        <w:rPr>
          <w:rFonts w:ascii="Times New Roman" w:hAnsi="Times New Roman" w:cs="Times New Roman"/>
          <w:color w:val="000000" w:themeColor="text1"/>
        </w:rPr>
        <w:t xml:space="preserve">unlike bone, </w:t>
      </w:r>
      <w:r w:rsidR="003B5B7F" w:rsidRPr="008C4A6A">
        <w:rPr>
          <w:rFonts w:ascii="Times New Roman" w:hAnsi="Times New Roman" w:cs="Times New Roman"/>
          <w:color w:val="000000" w:themeColor="text1"/>
        </w:rPr>
        <w:t>the isotope values obtained from dentine are less likely to be influenced by post-mortem factors (Pinhasi &amp; Mays</w:t>
      </w:r>
      <w:r w:rsidRPr="008C4A6A">
        <w:rPr>
          <w:rFonts w:ascii="Times New Roman" w:hAnsi="Times New Roman" w:cs="Times New Roman"/>
          <w:color w:val="000000" w:themeColor="text1"/>
        </w:rPr>
        <w:t xml:space="preserve"> </w:t>
      </w:r>
      <w:r w:rsidR="003B5B7F" w:rsidRPr="008C4A6A">
        <w:rPr>
          <w:rFonts w:ascii="Times New Roman" w:hAnsi="Times New Roman" w:cs="Times New Roman"/>
          <w:color w:val="000000" w:themeColor="text1"/>
        </w:rPr>
        <w:t xml:space="preserve">2008).  Wood </w:t>
      </w:r>
      <w:r w:rsidRPr="008C4A6A">
        <w:rPr>
          <w:rFonts w:ascii="Times New Roman" w:hAnsi="Times New Roman" w:cs="Times New Roman"/>
          <w:color w:val="000000" w:themeColor="text1"/>
        </w:rPr>
        <w:t>and colleagues</w:t>
      </w:r>
      <w:r w:rsidR="003B5B7F" w:rsidRPr="008C4A6A">
        <w:rPr>
          <w:rFonts w:ascii="Times New Roman" w:hAnsi="Times New Roman" w:cs="Times New Roman"/>
          <w:color w:val="000000" w:themeColor="text1"/>
        </w:rPr>
        <w:t xml:space="preserve"> (1992) </w:t>
      </w:r>
      <w:r w:rsidRPr="008C4A6A">
        <w:rPr>
          <w:rFonts w:ascii="Times New Roman" w:hAnsi="Times New Roman" w:cs="Times New Roman"/>
          <w:color w:val="000000" w:themeColor="text1"/>
        </w:rPr>
        <w:t xml:space="preserve">have </w:t>
      </w:r>
      <w:r w:rsidR="003B5B7F" w:rsidRPr="008C4A6A">
        <w:rPr>
          <w:rFonts w:ascii="Times New Roman" w:hAnsi="Times New Roman" w:cs="Times New Roman"/>
          <w:color w:val="000000" w:themeColor="text1"/>
        </w:rPr>
        <w:t>also</w:t>
      </w:r>
      <w:r w:rsidR="00377802" w:rsidRPr="008C4A6A">
        <w:rPr>
          <w:rFonts w:ascii="Times New Roman" w:hAnsi="Times New Roman" w:cs="Times New Roman"/>
          <w:color w:val="000000" w:themeColor="text1"/>
        </w:rPr>
        <w:t xml:space="preserve"> stressed </w:t>
      </w:r>
      <w:r w:rsidR="003B5B7F" w:rsidRPr="008C4A6A">
        <w:rPr>
          <w:rFonts w:ascii="Times New Roman" w:hAnsi="Times New Roman" w:cs="Times New Roman"/>
          <w:color w:val="000000" w:themeColor="text1"/>
        </w:rPr>
        <w:t xml:space="preserve">that </w:t>
      </w:r>
      <w:r w:rsidR="00924A15" w:rsidRPr="008C4A6A">
        <w:rPr>
          <w:rFonts w:ascii="Times New Roman" w:hAnsi="Times New Roman" w:cs="Times New Roman"/>
          <w:color w:val="000000" w:themeColor="text1"/>
        </w:rPr>
        <w:t xml:space="preserve">since </w:t>
      </w:r>
      <w:r w:rsidR="003B5B7F" w:rsidRPr="008C4A6A">
        <w:rPr>
          <w:rFonts w:ascii="Times New Roman" w:hAnsi="Times New Roman" w:cs="Times New Roman"/>
          <w:color w:val="000000" w:themeColor="text1"/>
        </w:rPr>
        <w:t xml:space="preserve">individuals who experience a rapid death </w:t>
      </w:r>
      <w:r w:rsidR="00924A15" w:rsidRPr="008C4A6A">
        <w:rPr>
          <w:rFonts w:ascii="Times New Roman" w:hAnsi="Times New Roman" w:cs="Times New Roman"/>
          <w:color w:val="000000" w:themeColor="text1"/>
        </w:rPr>
        <w:t>(such as those who die from acute diseases) do not</w:t>
      </w:r>
      <w:r w:rsidR="003B5B7F" w:rsidRPr="008C4A6A">
        <w:rPr>
          <w:rFonts w:ascii="Times New Roman" w:hAnsi="Times New Roman" w:cs="Times New Roman"/>
          <w:color w:val="000000" w:themeColor="text1"/>
        </w:rPr>
        <w:t xml:space="preserve"> survive long enough to produce </w:t>
      </w:r>
      <w:r w:rsidR="00924A15" w:rsidRPr="008C4A6A">
        <w:rPr>
          <w:rFonts w:ascii="Times New Roman" w:hAnsi="Times New Roman" w:cs="Times New Roman"/>
          <w:color w:val="000000" w:themeColor="text1"/>
        </w:rPr>
        <w:t xml:space="preserve">skeletal markers </w:t>
      </w:r>
      <w:r w:rsidR="003B5B7F" w:rsidRPr="008C4A6A">
        <w:rPr>
          <w:rFonts w:ascii="Times New Roman" w:hAnsi="Times New Roman" w:cs="Times New Roman"/>
          <w:color w:val="000000" w:themeColor="text1"/>
        </w:rPr>
        <w:t>indicat</w:t>
      </w:r>
      <w:r w:rsidR="00924A15" w:rsidRPr="008C4A6A">
        <w:rPr>
          <w:rFonts w:ascii="Times New Roman" w:hAnsi="Times New Roman" w:cs="Times New Roman"/>
          <w:color w:val="000000" w:themeColor="text1"/>
        </w:rPr>
        <w:t>ive of</w:t>
      </w:r>
      <w:r w:rsidR="003B5B7F" w:rsidRPr="008C4A6A">
        <w:rPr>
          <w:rFonts w:ascii="Times New Roman" w:hAnsi="Times New Roman" w:cs="Times New Roman"/>
          <w:color w:val="000000" w:themeColor="text1"/>
        </w:rPr>
        <w:t xml:space="preserve"> a causative agent</w:t>
      </w:r>
      <w:r w:rsidR="00924A15" w:rsidRPr="008C4A6A">
        <w:rPr>
          <w:rFonts w:ascii="Times New Roman" w:hAnsi="Times New Roman" w:cs="Times New Roman"/>
          <w:color w:val="000000" w:themeColor="text1"/>
        </w:rPr>
        <w:t xml:space="preserve">, </w:t>
      </w:r>
      <w:r w:rsidR="003B5B7F" w:rsidRPr="008C4A6A">
        <w:rPr>
          <w:rFonts w:ascii="Times New Roman" w:hAnsi="Times New Roman" w:cs="Times New Roman"/>
          <w:color w:val="000000" w:themeColor="text1"/>
        </w:rPr>
        <w:t>any changes in stable isotope ratios that could result from food deprivation and lead shortly to death would</w:t>
      </w:r>
      <w:r w:rsidR="00924A15" w:rsidRPr="008C4A6A">
        <w:rPr>
          <w:rFonts w:ascii="Times New Roman" w:hAnsi="Times New Roman" w:cs="Times New Roman"/>
          <w:color w:val="000000" w:themeColor="text1"/>
        </w:rPr>
        <w:t xml:space="preserve"> also</w:t>
      </w:r>
      <w:r w:rsidR="003B5B7F" w:rsidRPr="008C4A6A">
        <w:rPr>
          <w:rFonts w:ascii="Times New Roman" w:hAnsi="Times New Roman" w:cs="Times New Roman"/>
          <w:color w:val="000000" w:themeColor="text1"/>
        </w:rPr>
        <w:t xml:space="preserve"> not be measurable in bone due to long turnover rates and averaging. </w:t>
      </w:r>
      <w:r w:rsidR="00CF54E2">
        <w:rPr>
          <w:rFonts w:ascii="Times New Roman" w:hAnsi="Times New Roman" w:cs="Times New Roman"/>
          <w:color w:val="000000" w:themeColor="text1"/>
        </w:rPr>
        <w:t>D</w:t>
      </w:r>
      <w:r w:rsidR="003B5B7F" w:rsidRPr="008C4A6A">
        <w:rPr>
          <w:rFonts w:ascii="Times New Roman" w:hAnsi="Times New Roman" w:cs="Times New Roman"/>
          <w:color w:val="000000" w:themeColor="text1"/>
        </w:rPr>
        <w:t>entine microsampling, specifically for young children</w:t>
      </w:r>
      <w:r w:rsidR="000A49F3" w:rsidRPr="008C4A6A">
        <w:rPr>
          <w:rFonts w:ascii="Times New Roman" w:hAnsi="Times New Roman" w:cs="Times New Roman"/>
          <w:color w:val="000000" w:themeColor="text1"/>
        </w:rPr>
        <w:t>,</w:t>
      </w:r>
      <w:r w:rsidR="003B5B7F" w:rsidRPr="008C4A6A">
        <w:rPr>
          <w:rFonts w:ascii="Times New Roman" w:hAnsi="Times New Roman" w:cs="Times New Roman"/>
          <w:color w:val="000000" w:themeColor="text1"/>
        </w:rPr>
        <w:t xml:space="preserve"> </w:t>
      </w:r>
      <w:r w:rsidR="00CF54E2">
        <w:rPr>
          <w:rFonts w:ascii="Times New Roman" w:hAnsi="Times New Roman" w:cs="Times New Roman"/>
          <w:color w:val="000000" w:themeColor="text1"/>
        </w:rPr>
        <w:t>can</w:t>
      </w:r>
      <w:r w:rsidR="00CF54E2" w:rsidRPr="008C4A6A">
        <w:rPr>
          <w:rFonts w:ascii="Times New Roman" w:hAnsi="Times New Roman" w:cs="Times New Roman"/>
          <w:color w:val="000000" w:themeColor="text1"/>
        </w:rPr>
        <w:t xml:space="preserve"> </w:t>
      </w:r>
      <w:r w:rsidR="003B5B7F" w:rsidRPr="008C4A6A">
        <w:rPr>
          <w:rFonts w:ascii="Times New Roman" w:hAnsi="Times New Roman" w:cs="Times New Roman"/>
          <w:color w:val="000000" w:themeColor="text1"/>
        </w:rPr>
        <w:t xml:space="preserve">reveal these </w:t>
      </w:r>
      <w:r w:rsidR="00304D35" w:rsidRPr="008C4A6A">
        <w:rPr>
          <w:rFonts w:ascii="Times New Roman" w:hAnsi="Times New Roman" w:cs="Times New Roman"/>
          <w:color w:val="000000" w:themeColor="text1"/>
        </w:rPr>
        <w:t>perimortem</w:t>
      </w:r>
      <w:r w:rsidR="003B5B7F" w:rsidRPr="008C4A6A">
        <w:rPr>
          <w:rFonts w:ascii="Times New Roman" w:hAnsi="Times New Roman" w:cs="Times New Roman"/>
          <w:color w:val="000000" w:themeColor="text1"/>
        </w:rPr>
        <w:t xml:space="preserve"> changes in stable isotope ratios</w:t>
      </w:r>
      <w:r w:rsidR="00304D35" w:rsidRPr="008C4A6A">
        <w:rPr>
          <w:rFonts w:ascii="Times New Roman" w:hAnsi="Times New Roman" w:cs="Times New Roman"/>
          <w:color w:val="000000" w:themeColor="text1"/>
        </w:rPr>
        <w:t xml:space="preserve"> </w:t>
      </w:r>
      <w:r w:rsidR="003B5B7F" w:rsidRPr="008C4A6A">
        <w:rPr>
          <w:rFonts w:ascii="Times New Roman" w:hAnsi="Times New Roman" w:cs="Times New Roman"/>
          <w:color w:val="000000" w:themeColor="text1"/>
        </w:rPr>
        <w:t xml:space="preserve">as it would be recorded in the still-forming dentition </w:t>
      </w:r>
      <w:r w:rsidR="00304D35" w:rsidRPr="008C4A6A">
        <w:rPr>
          <w:rFonts w:ascii="Times New Roman" w:hAnsi="Times New Roman" w:cs="Times New Roman"/>
          <w:color w:val="000000" w:themeColor="text1"/>
        </w:rPr>
        <w:t>and remain unchanged</w:t>
      </w:r>
      <w:r w:rsidR="003B5B7F" w:rsidRPr="008C4A6A">
        <w:rPr>
          <w:rFonts w:ascii="Times New Roman" w:hAnsi="Times New Roman" w:cs="Times New Roman"/>
          <w:color w:val="000000" w:themeColor="text1"/>
        </w:rPr>
        <w:t>. This also offers the opportunity to compare the dentine profiles of individuals who died during childhood with the profiles of similar-aged children who survived</w:t>
      </w:r>
      <w:r w:rsidR="00304D35" w:rsidRPr="008C4A6A">
        <w:rPr>
          <w:rFonts w:ascii="Times New Roman" w:hAnsi="Times New Roman" w:cs="Times New Roman"/>
          <w:color w:val="000000" w:themeColor="text1"/>
        </w:rPr>
        <w:t xml:space="preserve"> into adulthood.</w:t>
      </w:r>
      <w:r w:rsidR="003B5B7F" w:rsidRPr="008C4A6A">
        <w:rPr>
          <w:rFonts w:ascii="Times New Roman" w:hAnsi="Times New Roman" w:cs="Times New Roman"/>
          <w:color w:val="000000" w:themeColor="text1"/>
        </w:rPr>
        <w:t xml:space="preserve"> </w:t>
      </w:r>
    </w:p>
    <w:p w14:paraId="37A7117A" w14:textId="77777777" w:rsidR="00304D35" w:rsidRPr="008C4A6A" w:rsidRDefault="00304D35" w:rsidP="001C6BF3">
      <w:pPr>
        <w:pStyle w:val="ListParagraph"/>
        <w:ind w:left="0" w:firstLine="360"/>
        <w:rPr>
          <w:rFonts w:ascii="Times New Roman" w:hAnsi="Times New Roman" w:cs="Times New Roman"/>
        </w:rPr>
      </w:pPr>
    </w:p>
    <w:p w14:paraId="0026A85B" w14:textId="65EAE939" w:rsidR="003B5B7F" w:rsidRDefault="003B5B7F" w:rsidP="001C6BF3">
      <w:pPr>
        <w:pStyle w:val="ListParagraph"/>
        <w:spacing w:line="480" w:lineRule="auto"/>
        <w:ind w:left="0" w:firstLine="709"/>
        <w:rPr>
          <w:rFonts w:ascii="Times New Roman" w:eastAsia="Times New Roman" w:hAnsi="Times New Roman" w:cs="Times New Roman"/>
        </w:rPr>
      </w:pPr>
      <w:r w:rsidRPr="008C4A6A">
        <w:rPr>
          <w:rFonts w:ascii="Times New Roman" w:hAnsi="Times New Roman" w:cs="Times New Roman"/>
          <w:color w:val="000000" w:themeColor="text1"/>
        </w:rPr>
        <w:t>Recent studies by Beaumont and colleagues (2013, 201</w:t>
      </w:r>
      <w:r w:rsidR="004B3566" w:rsidRPr="008C4A6A">
        <w:rPr>
          <w:rFonts w:ascii="Times New Roman" w:hAnsi="Times New Roman" w:cs="Times New Roman"/>
          <w:color w:val="000000" w:themeColor="text1"/>
        </w:rPr>
        <w:t>4</w:t>
      </w:r>
      <w:r w:rsidRPr="008C4A6A">
        <w:rPr>
          <w:rFonts w:ascii="Times New Roman" w:hAnsi="Times New Roman" w:cs="Times New Roman"/>
          <w:color w:val="000000" w:themeColor="text1"/>
        </w:rPr>
        <w:t xml:space="preserve">, </w:t>
      </w:r>
      <w:r w:rsidR="00B329FA" w:rsidRPr="008C4A6A">
        <w:rPr>
          <w:rFonts w:ascii="Times New Roman" w:hAnsi="Times New Roman" w:cs="Times New Roman"/>
          <w:color w:val="000000" w:themeColor="text1"/>
        </w:rPr>
        <w:t>2015</w:t>
      </w:r>
      <w:r w:rsidR="00B114C0">
        <w:rPr>
          <w:rFonts w:ascii="Times New Roman" w:hAnsi="Times New Roman" w:cs="Times New Roman"/>
          <w:color w:val="000000" w:themeColor="text1"/>
        </w:rPr>
        <w:t>a</w:t>
      </w:r>
      <w:r w:rsidR="00B329FA" w:rsidRPr="008C4A6A">
        <w:rPr>
          <w:rFonts w:ascii="Times New Roman" w:hAnsi="Times New Roman" w:cs="Times New Roman"/>
          <w:color w:val="000000" w:themeColor="text1"/>
        </w:rPr>
        <w:t xml:space="preserve">, </w:t>
      </w:r>
      <w:r w:rsidRPr="008C4A6A">
        <w:rPr>
          <w:rFonts w:ascii="Times New Roman" w:hAnsi="Times New Roman" w:cs="Times New Roman"/>
          <w:color w:val="000000" w:themeColor="text1"/>
        </w:rPr>
        <w:t xml:space="preserve">2016) also support the use of dentine over bone collagen. Beaumont </w:t>
      </w:r>
      <w:r w:rsidR="00304D35" w:rsidRPr="008C4A6A">
        <w:rPr>
          <w:rFonts w:ascii="Times New Roman" w:hAnsi="Times New Roman" w:cs="Times New Roman"/>
          <w:color w:val="000000" w:themeColor="text1"/>
        </w:rPr>
        <w:t>and coworker</w:t>
      </w:r>
      <w:r w:rsidR="002D6E12" w:rsidRPr="008C4A6A">
        <w:rPr>
          <w:rFonts w:ascii="Times New Roman" w:hAnsi="Times New Roman" w:cs="Times New Roman"/>
          <w:color w:val="000000" w:themeColor="text1"/>
        </w:rPr>
        <w:t>s’</w:t>
      </w:r>
      <w:r w:rsidR="00304D35" w:rsidRPr="008C4A6A">
        <w:rPr>
          <w:rFonts w:ascii="Times New Roman" w:hAnsi="Times New Roman" w:cs="Times New Roman"/>
          <w:color w:val="000000" w:themeColor="text1"/>
        </w:rPr>
        <w:t xml:space="preserve"> first dentine microsampling study in </w:t>
      </w:r>
      <w:r w:rsidRPr="008C4A6A">
        <w:rPr>
          <w:rFonts w:ascii="Times New Roman" w:hAnsi="Times New Roman" w:cs="Times New Roman"/>
          <w:color w:val="000000" w:themeColor="text1"/>
        </w:rPr>
        <w:t>201</w:t>
      </w:r>
      <w:r w:rsidR="002D6E12" w:rsidRPr="008C4A6A">
        <w:rPr>
          <w:rFonts w:ascii="Times New Roman" w:hAnsi="Times New Roman" w:cs="Times New Roman"/>
          <w:color w:val="000000" w:themeColor="text1"/>
        </w:rPr>
        <w:t>3</w:t>
      </w:r>
      <w:r w:rsidRPr="008C4A6A">
        <w:rPr>
          <w:rFonts w:ascii="Times New Roman" w:hAnsi="Times New Roman" w:cs="Times New Roman"/>
          <w:color w:val="000000" w:themeColor="text1"/>
        </w:rPr>
        <w:t xml:space="preserve"> examined </w:t>
      </w:r>
      <w:r w:rsidR="002D6E12" w:rsidRPr="008C4A6A">
        <w:rPr>
          <w:rFonts w:ascii="Times New Roman" w:hAnsi="Times New Roman" w:cs="Times New Roman"/>
          <w:color w:val="000000" w:themeColor="text1"/>
        </w:rPr>
        <w:t xml:space="preserve">four </w:t>
      </w:r>
      <w:r w:rsidRPr="008C4A6A">
        <w:rPr>
          <w:rFonts w:ascii="Times New Roman" w:hAnsi="Times New Roman" w:cs="Times New Roman"/>
          <w:color w:val="000000" w:themeColor="text1"/>
        </w:rPr>
        <w:t xml:space="preserve">second permanent molars and </w:t>
      </w:r>
      <w:r w:rsidR="002D6E12" w:rsidRPr="008C4A6A">
        <w:rPr>
          <w:rFonts w:ascii="Times New Roman" w:hAnsi="Times New Roman" w:cs="Times New Roman"/>
          <w:color w:val="000000" w:themeColor="text1"/>
        </w:rPr>
        <w:t>five</w:t>
      </w:r>
      <w:r w:rsidRPr="008C4A6A">
        <w:rPr>
          <w:rFonts w:ascii="Times New Roman" w:hAnsi="Times New Roman" w:cs="Times New Roman"/>
          <w:color w:val="000000" w:themeColor="text1"/>
        </w:rPr>
        <w:t xml:space="preserve"> first permanent molars from 19</w:t>
      </w:r>
      <w:r w:rsidRPr="008C4A6A">
        <w:rPr>
          <w:rFonts w:ascii="Times New Roman" w:hAnsi="Times New Roman" w:cs="Times New Roman"/>
          <w:color w:val="000000" w:themeColor="text1"/>
          <w:vertAlign w:val="superscript"/>
        </w:rPr>
        <w:t>th</w:t>
      </w:r>
      <w:r w:rsidRPr="008C4A6A">
        <w:rPr>
          <w:rFonts w:ascii="Times New Roman" w:hAnsi="Times New Roman" w:cs="Times New Roman"/>
          <w:color w:val="000000" w:themeColor="text1"/>
        </w:rPr>
        <w:t xml:space="preserve"> century Lukin Street cemetery in London. This pilot study investigate</w:t>
      </w:r>
      <w:r w:rsidR="002D6E12" w:rsidRPr="008C4A6A">
        <w:rPr>
          <w:rFonts w:ascii="Times New Roman" w:hAnsi="Times New Roman" w:cs="Times New Roman"/>
          <w:color w:val="000000" w:themeColor="text1"/>
        </w:rPr>
        <w:t>d</w:t>
      </w:r>
      <w:r w:rsidRPr="008C4A6A">
        <w:rPr>
          <w:rFonts w:ascii="Times New Roman" w:hAnsi="Times New Roman" w:cs="Times New Roman"/>
          <w:color w:val="000000" w:themeColor="text1"/>
        </w:rPr>
        <w:t xml:space="preserve"> two approaches for </w:t>
      </w:r>
      <w:r w:rsidR="002D6E12" w:rsidRPr="008C4A6A">
        <w:rPr>
          <w:rFonts w:ascii="Times New Roman" w:hAnsi="Times New Roman" w:cs="Times New Roman"/>
          <w:color w:val="000000" w:themeColor="text1"/>
        </w:rPr>
        <w:t>micro</w:t>
      </w:r>
      <w:r w:rsidRPr="008C4A6A">
        <w:rPr>
          <w:rFonts w:ascii="Times New Roman" w:hAnsi="Times New Roman" w:cs="Times New Roman"/>
          <w:color w:val="000000" w:themeColor="text1"/>
        </w:rPr>
        <w:t>sampling human tooth dentine (previously discussed</w:t>
      </w:r>
      <w:r w:rsidR="002D6E12" w:rsidRPr="008C4A6A">
        <w:rPr>
          <w:rFonts w:ascii="Times New Roman" w:hAnsi="Times New Roman" w:cs="Times New Roman"/>
          <w:color w:val="000000" w:themeColor="text1"/>
        </w:rPr>
        <w:t xml:space="preserve"> under Dentin Microsampling</w:t>
      </w:r>
      <w:r w:rsidRPr="008C4A6A">
        <w:rPr>
          <w:rFonts w:ascii="Times New Roman" w:hAnsi="Times New Roman" w:cs="Times New Roman"/>
          <w:color w:val="000000" w:themeColor="text1"/>
        </w:rPr>
        <w:t xml:space="preserve">) to obtain an accurately measured sample with minimal loss of tissue and maximum </w:t>
      </w:r>
      <w:r w:rsidR="002D6E12" w:rsidRPr="008C4A6A">
        <w:rPr>
          <w:rFonts w:ascii="Times New Roman" w:hAnsi="Times New Roman" w:cs="Times New Roman"/>
          <w:color w:val="000000" w:themeColor="text1"/>
        </w:rPr>
        <w:t xml:space="preserve">collagen </w:t>
      </w:r>
      <w:r w:rsidRPr="008C4A6A">
        <w:rPr>
          <w:rFonts w:ascii="Times New Roman" w:hAnsi="Times New Roman" w:cs="Times New Roman"/>
          <w:color w:val="000000" w:themeColor="text1"/>
        </w:rPr>
        <w:t xml:space="preserve">yield. Both methods </w:t>
      </w:r>
      <w:r w:rsidR="002D6E12" w:rsidRPr="008C4A6A">
        <w:rPr>
          <w:rFonts w:ascii="Times New Roman" w:hAnsi="Times New Roman" w:cs="Times New Roman"/>
          <w:color w:val="000000" w:themeColor="text1"/>
        </w:rPr>
        <w:t xml:space="preserve">were able </w:t>
      </w:r>
      <w:r w:rsidRPr="008C4A6A">
        <w:rPr>
          <w:rFonts w:ascii="Times New Roman" w:hAnsi="Times New Roman" w:cs="Times New Roman"/>
          <w:color w:val="000000" w:themeColor="text1"/>
        </w:rPr>
        <w:t xml:space="preserve">to produce sufficient </w:t>
      </w:r>
      <w:r w:rsidR="004B3566" w:rsidRPr="008C4A6A">
        <w:rPr>
          <w:rFonts w:ascii="Times New Roman" w:hAnsi="Times New Roman" w:cs="Times New Roman"/>
          <w:color w:val="000000" w:themeColor="text1"/>
        </w:rPr>
        <w:t xml:space="preserve">amount of </w:t>
      </w:r>
      <w:r w:rsidRPr="008C4A6A">
        <w:rPr>
          <w:rFonts w:ascii="Times New Roman" w:hAnsi="Times New Roman" w:cs="Times New Roman"/>
          <w:color w:val="000000" w:themeColor="text1"/>
        </w:rPr>
        <w:t xml:space="preserve">good-quality collagen </w:t>
      </w:r>
      <w:r w:rsidR="004B3566" w:rsidRPr="008C4A6A">
        <w:rPr>
          <w:rFonts w:ascii="Times New Roman" w:hAnsi="Times New Roman" w:cs="Times New Roman"/>
          <w:color w:val="000000" w:themeColor="text1"/>
        </w:rPr>
        <w:t>and</w:t>
      </w:r>
      <w:r w:rsidRPr="008C4A6A">
        <w:rPr>
          <w:rFonts w:ascii="Times New Roman" w:hAnsi="Times New Roman" w:cs="Times New Roman"/>
          <w:color w:val="000000" w:themeColor="text1"/>
        </w:rPr>
        <w:t xml:space="preserve"> high-resolution intra-dentine profiles over a range of </w:t>
      </w:r>
      <w:r w:rsidR="004B3566" w:rsidRPr="008C4A6A">
        <w:rPr>
          <w:rFonts w:ascii="Times New Roman" w:hAnsi="Times New Roman" w:cs="Times New Roman"/>
          <w:color w:val="000000" w:themeColor="text1"/>
        </w:rPr>
        <w:t>1</w:t>
      </w:r>
      <w:r w:rsidRPr="008C4A6A">
        <w:rPr>
          <w:rFonts w:ascii="Times New Roman" w:hAnsi="Times New Roman" w:cs="Times New Roman"/>
          <w:color w:val="000000" w:themeColor="text1"/>
        </w:rPr>
        <w:t xml:space="preserve"> to 13 years of childhood from a single tooth</w:t>
      </w:r>
      <w:r w:rsidR="004B3566" w:rsidRPr="008C4A6A">
        <w:rPr>
          <w:rFonts w:ascii="Times New Roman" w:hAnsi="Times New Roman" w:cs="Times New Roman"/>
          <w:color w:val="000000" w:themeColor="text1"/>
        </w:rPr>
        <w:t>.</w:t>
      </w:r>
      <w:r w:rsidRPr="008C4A6A">
        <w:rPr>
          <w:rFonts w:ascii="Times New Roman" w:hAnsi="Times New Roman" w:cs="Times New Roman"/>
          <w:color w:val="000000" w:themeColor="text1"/>
        </w:rPr>
        <w:t xml:space="preserve"> The </w:t>
      </w:r>
      <w:r w:rsidR="00CF54E2">
        <w:rPr>
          <w:rFonts w:ascii="Times New Roman" w:hAnsi="Times New Roman" w:cs="Times New Roman"/>
          <w:color w:val="000000" w:themeColor="text1"/>
        </w:rPr>
        <w:t>subsequent</w:t>
      </w:r>
      <w:r w:rsidR="00CF54E2" w:rsidRPr="008C4A6A">
        <w:rPr>
          <w:rFonts w:ascii="Times New Roman" w:hAnsi="Times New Roman" w:cs="Times New Roman"/>
          <w:color w:val="000000" w:themeColor="text1"/>
        </w:rPr>
        <w:t xml:space="preserve"> </w:t>
      </w:r>
      <w:r w:rsidRPr="008C4A6A">
        <w:rPr>
          <w:rFonts w:ascii="Times New Roman" w:hAnsi="Times New Roman" w:cs="Times New Roman"/>
          <w:color w:val="000000" w:themeColor="text1"/>
        </w:rPr>
        <w:t xml:space="preserve">study by Beaumont and colleagues </w:t>
      </w:r>
      <w:r w:rsidR="00CF54E2">
        <w:rPr>
          <w:rFonts w:ascii="Times New Roman" w:hAnsi="Times New Roman" w:cs="Times New Roman"/>
          <w:color w:val="000000" w:themeColor="text1"/>
        </w:rPr>
        <w:t>(</w:t>
      </w:r>
      <w:r w:rsidR="004B3566" w:rsidRPr="008C4A6A">
        <w:rPr>
          <w:rFonts w:ascii="Times New Roman" w:hAnsi="Times New Roman" w:cs="Times New Roman"/>
          <w:color w:val="000000" w:themeColor="text1"/>
        </w:rPr>
        <w:t>2014</w:t>
      </w:r>
      <w:r w:rsidR="00CF54E2">
        <w:rPr>
          <w:rFonts w:ascii="Times New Roman" w:hAnsi="Times New Roman" w:cs="Times New Roman"/>
          <w:color w:val="000000" w:themeColor="text1"/>
        </w:rPr>
        <w:t>)</w:t>
      </w:r>
      <w:r w:rsidRPr="008C4A6A">
        <w:rPr>
          <w:rFonts w:ascii="Times New Roman" w:hAnsi="Times New Roman" w:cs="Times New Roman"/>
          <w:color w:val="000000" w:themeColor="text1"/>
        </w:rPr>
        <w:t xml:space="preserve"> investigated </w:t>
      </w:r>
      <w:r w:rsidR="004B3566" w:rsidRPr="008C4A6A">
        <w:rPr>
          <w:rFonts w:ascii="Times New Roman" w:hAnsi="Times New Roman" w:cs="Times New Roman"/>
          <w:color w:val="000000" w:themeColor="text1"/>
        </w:rPr>
        <w:t>the reliability of</w:t>
      </w:r>
      <w:r w:rsidRPr="008C4A6A">
        <w:rPr>
          <w:rFonts w:ascii="Times New Roman" w:hAnsi="Times New Roman" w:cs="Times New Roman"/>
          <w:color w:val="000000" w:themeColor="text1"/>
        </w:rPr>
        <w:t xml:space="preserve"> dentine microsampling even in cases </w:t>
      </w:r>
      <w:r w:rsidR="004B3566" w:rsidRPr="008C4A6A">
        <w:rPr>
          <w:rFonts w:ascii="Times New Roman" w:hAnsi="Times New Roman" w:cs="Times New Roman"/>
          <w:color w:val="000000" w:themeColor="text1"/>
        </w:rPr>
        <w:t>of poor</w:t>
      </w:r>
      <w:r w:rsidRPr="008C4A6A">
        <w:rPr>
          <w:rFonts w:ascii="Times New Roman" w:hAnsi="Times New Roman" w:cs="Times New Roman"/>
          <w:color w:val="000000" w:themeColor="text1"/>
        </w:rPr>
        <w:t xml:space="preserve"> dentine preservation. </w:t>
      </w:r>
      <w:r w:rsidR="004B3566" w:rsidRPr="008C4A6A">
        <w:rPr>
          <w:rFonts w:ascii="Times New Roman" w:hAnsi="Times New Roman" w:cs="Times New Roman"/>
          <w:color w:val="000000" w:themeColor="text1"/>
        </w:rPr>
        <w:t xml:space="preserve">The authors compared dentine profiles </w:t>
      </w:r>
      <w:r w:rsidR="004B3566" w:rsidRPr="008C4A6A">
        <w:rPr>
          <w:rFonts w:ascii="Times New Roman" w:hAnsi="Times New Roman" w:cs="Times New Roman"/>
          <w:color w:val="000000" w:themeColor="text1"/>
        </w:rPr>
        <w:lastRenderedPageBreak/>
        <w:t>obtained from t</w:t>
      </w:r>
      <w:r w:rsidRPr="008C4A6A">
        <w:rPr>
          <w:rFonts w:ascii="Times New Roman" w:hAnsi="Times New Roman" w:cs="Times New Roman"/>
          <w:color w:val="000000" w:themeColor="text1"/>
        </w:rPr>
        <w:t xml:space="preserve">hree </w:t>
      </w:r>
      <w:r w:rsidR="004B3566" w:rsidRPr="008C4A6A">
        <w:rPr>
          <w:rFonts w:ascii="Times New Roman" w:hAnsi="Times New Roman" w:cs="Times New Roman"/>
          <w:color w:val="000000" w:themeColor="text1"/>
        </w:rPr>
        <w:t xml:space="preserve">well-preserved </w:t>
      </w:r>
      <w:r w:rsidRPr="008C4A6A">
        <w:rPr>
          <w:rFonts w:ascii="Times New Roman" w:hAnsi="Times New Roman" w:cs="Times New Roman"/>
          <w:color w:val="000000" w:themeColor="text1"/>
        </w:rPr>
        <w:t>permanent second molars</w:t>
      </w:r>
      <w:r w:rsidR="004B3566" w:rsidRPr="008C4A6A">
        <w:rPr>
          <w:rFonts w:ascii="Times New Roman" w:hAnsi="Times New Roman" w:cs="Times New Roman"/>
          <w:color w:val="000000" w:themeColor="text1"/>
        </w:rPr>
        <w:t xml:space="preserve"> </w:t>
      </w:r>
      <w:r w:rsidRPr="008C4A6A">
        <w:rPr>
          <w:rFonts w:ascii="Times New Roman" w:hAnsi="Times New Roman" w:cs="Times New Roman"/>
          <w:color w:val="000000" w:themeColor="text1"/>
        </w:rPr>
        <w:t>(</w:t>
      </w:r>
      <w:r w:rsidR="00A718CA" w:rsidRPr="008C4A6A">
        <w:rPr>
          <w:rFonts w:ascii="Times New Roman" w:hAnsi="Times New Roman" w:cs="Times New Roman"/>
          <w:color w:val="000000" w:themeColor="text1"/>
        </w:rPr>
        <w:t>macroscopically resembling modern unburied teeth</w:t>
      </w:r>
      <w:r w:rsidRPr="008C4A6A">
        <w:rPr>
          <w:rFonts w:ascii="Times New Roman" w:hAnsi="Times New Roman" w:cs="Times New Roman"/>
          <w:color w:val="000000" w:themeColor="text1"/>
        </w:rPr>
        <w:t>) from the Kilkenny Union Workhouse Famine cemetery</w:t>
      </w:r>
      <w:r w:rsidR="004B3566" w:rsidRPr="008C4A6A">
        <w:rPr>
          <w:rFonts w:ascii="Times New Roman" w:hAnsi="Times New Roman" w:cs="Times New Roman"/>
          <w:color w:val="000000" w:themeColor="text1"/>
        </w:rPr>
        <w:t xml:space="preserve"> in</w:t>
      </w:r>
      <w:r w:rsidRPr="008C4A6A">
        <w:rPr>
          <w:rFonts w:ascii="Times New Roman" w:hAnsi="Times New Roman" w:cs="Times New Roman"/>
          <w:color w:val="000000" w:themeColor="text1"/>
        </w:rPr>
        <w:t xml:space="preserve"> Ireland, and three </w:t>
      </w:r>
      <w:r w:rsidR="004B3566" w:rsidRPr="008C4A6A">
        <w:rPr>
          <w:rFonts w:ascii="Times New Roman" w:hAnsi="Times New Roman" w:cs="Times New Roman"/>
          <w:color w:val="000000" w:themeColor="text1"/>
        </w:rPr>
        <w:t xml:space="preserve">poorly preserved </w:t>
      </w:r>
      <w:r w:rsidRPr="008C4A6A">
        <w:rPr>
          <w:rFonts w:ascii="Times New Roman" w:hAnsi="Times New Roman" w:cs="Times New Roman"/>
          <w:color w:val="000000" w:themeColor="text1"/>
        </w:rPr>
        <w:t>permanent molar</w:t>
      </w:r>
      <w:r w:rsidR="004B3566" w:rsidRPr="008C4A6A">
        <w:rPr>
          <w:rFonts w:ascii="Times New Roman" w:hAnsi="Times New Roman" w:cs="Times New Roman"/>
          <w:color w:val="000000" w:themeColor="text1"/>
        </w:rPr>
        <w:t>s</w:t>
      </w:r>
      <w:r w:rsidRPr="008C4A6A">
        <w:rPr>
          <w:rFonts w:ascii="Times New Roman" w:hAnsi="Times New Roman" w:cs="Times New Roman"/>
          <w:color w:val="000000" w:themeColor="text1"/>
        </w:rPr>
        <w:t xml:space="preserve"> teeth (</w:t>
      </w:r>
      <w:r w:rsidR="00A718CA" w:rsidRPr="008C4A6A">
        <w:rPr>
          <w:rFonts w:ascii="Times New Roman" w:hAnsi="Times New Roman" w:cs="Times New Roman"/>
          <w:color w:val="000000" w:themeColor="text1"/>
        </w:rPr>
        <w:t xml:space="preserve">found in burials </w:t>
      </w:r>
      <w:r w:rsidR="00CF54E2">
        <w:rPr>
          <w:rFonts w:ascii="Times New Roman" w:hAnsi="Times New Roman" w:cs="Times New Roman"/>
          <w:color w:val="000000" w:themeColor="text1"/>
        </w:rPr>
        <w:t>that</w:t>
      </w:r>
      <w:r w:rsidR="00CF54E2" w:rsidRPr="008C4A6A">
        <w:rPr>
          <w:rFonts w:ascii="Times New Roman" w:hAnsi="Times New Roman" w:cs="Times New Roman"/>
          <w:color w:val="000000" w:themeColor="text1"/>
        </w:rPr>
        <w:t xml:space="preserve"> </w:t>
      </w:r>
      <w:r w:rsidR="00A718CA" w:rsidRPr="008C4A6A">
        <w:rPr>
          <w:rFonts w:ascii="Times New Roman" w:hAnsi="Times New Roman" w:cs="Times New Roman"/>
          <w:color w:val="000000" w:themeColor="text1"/>
        </w:rPr>
        <w:t>were made on chalk, in ditches and in free-draining sands</w:t>
      </w:r>
      <w:r w:rsidRPr="008C4A6A">
        <w:rPr>
          <w:rFonts w:ascii="Times New Roman" w:hAnsi="Times New Roman" w:cs="Times New Roman"/>
          <w:color w:val="000000" w:themeColor="text1"/>
        </w:rPr>
        <w:t>) from the Early Anglo-Saxon Period (5-7</w:t>
      </w:r>
      <w:r w:rsidRPr="008C4A6A">
        <w:rPr>
          <w:rFonts w:ascii="Times New Roman" w:hAnsi="Times New Roman" w:cs="Times New Roman"/>
          <w:color w:val="000000" w:themeColor="text1"/>
          <w:vertAlign w:val="superscript"/>
        </w:rPr>
        <w:t>th</w:t>
      </w:r>
      <w:r w:rsidRPr="008C4A6A">
        <w:rPr>
          <w:rFonts w:ascii="Times New Roman" w:hAnsi="Times New Roman" w:cs="Times New Roman"/>
          <w:color w:val="000000" w:themeColor="text1"/>
        </w:rPr>
        <w:t xml:space="preserve"> centuries</w:t>
      </w:r>
      <w:r w:rsidR="004B3566" w:rsidRPr="008C4A6A">
        <w:rPr>
          <w:rFonts w:ascii="Times New Roman" w:hAnsi="Times New Roman" w:cs="Times New Roman"/>
          <w:color w:val="000000" w:themeColor="text1"/>
        </w:rPr>
        <w:t xml:space="preserve"> CE</w:t>
      </w:r>
      <w:r w:rsidRPr="008C4A6A">
        <w:rPr>
          <w:rFonts w:ascii="Times New Roman" w:hAnsi="Times New Roman" w:cs="Times New Roman"/>
          <w:color w:val="000000" w:themeColor="text1"/>
        </w:rPr>
        <w:t xml:space="preserve">) cemetery of West Heslerton, Yorkshire. The results demonstrated that it </w:t>
      </w:r>
      <w:r w:rsidR="004B3566" w:rsidRPr="008C4A6A">
        <w:rPr>
          <w:rFonts w:ascii="Times New Roman" w:hAnsi="Times New Roman" w:cs="Times New Roman"/>
          <w:color w:val="000000" w:themeColor="text1"/>
        </w:rPr>
        <w:t>was</w:t>
      </w:r>
      <w:r w:rsidRPr="008C4A6A">
        <w:rPr>
          <w:rFonts w:ascii="Times New Roman" w:hAnsi="Times New Roman" w:cs="Times New Roman"/>
          <w:color w:val="000000" w:themeColor="text1"/>
        </w:rPr>
        <w:t xml:space="preserve"> possible to achieve reliable </w:t>
      </w:r>
      <w:r w:rsidR="004B3566" w:rsidRPr="008C4A6A">
        <w:rPr>
          <w:rFonts w:ascii="Times New Roman" w:hAnsi="Times New Roman" w:cs="Times New Roman"/>
          <w:color w:val="000000" w:themeColor="text1"/>
        </w:rPr>
        <w:t>dentine data</w:t>
      </w:r>
      <w:r w:rsidRPr="008C4A6A">
        <w:rPr>
          <w:rFonts w:ascii="Times New Roman" w:hAnsi="Times New Roman" w:cs="Times New Roman"/>
          <w:color w:val="000000" w:themeColor="text1"/>
        </w:rPr>
        <w:t xml:space="preserve"> regardless of preservation. </w:t>
      </w:r>
      <w:r w:rsidR="008F1EA6" w:rsidRPr="008C4A6A">
        <w:rPr>
          <w:rFonts w:ascii="Times New Roman" w:hAnsi="Times New Roman" w:cs="Times New Roman"/>
          <w:color w:val="000000" w:themeColor="text1"/>
        </w:rPr>
        <w:t xml:space="preserve">Similar to Wood et al. (1992), more recently </w:t>
      </w:r>
      <w:r w:rsidRPr="008C4A6A">
        <w:rPr>
          <w:rFonts w:ascii="Times New Roman" w:hAnsi="Times New Roman" w:cs="Times New Roman"/>
          <w:color w:val="000000" w:themeColor="text1"/>
        </w:rPr>
        <w:t xml:space="preserve">Beaumont and Montgomery (2016) </w:t>
      </w:r>
      <w:r w:rsidR="008F1EA6" w:rsidRPr="008C4A6A">
        <w:rPr>
          <w:rFonts w:ascii="Times New Roman" w:hAnsi="Times New Roman" w:cs="Times New Roman"/>
          <w:color w:val="000000" w:themeColor="text1"/>
        </w:rPr>
        <w:t xml:space="preserve">also emphasized </w:t>
      </w:r>
      <w:r w:rsidRPr="008C4A6A">
        <w:rPr>
          <w:rFonts w:ascii="Times New Roman" w:hAnsi="Times New Roman" w:cs="Times New Roman"/>
          <w:color w:val="000000" w:themeColor="text1"/>
        </w:rPr>
        <w:t xml:space="preserve">that osteological evidence of malnourishment </w:t>
      </w:r>
      <w:r w:rsidR="008F1EA6" w:rsidRPr="008C4A6A">
        <w:rPr>
          <w:rFonts w:ascii="Times New Roman" w:hAnsi="Times New Roman" w:cs="Times New Roman"/>
          <w:color w:val="000000" w:themeColor="text1"/>
        </w:rPr>
        <w:t>(e.g.</w:t>
      </w:r>
      <w:r w:rsidRPr="008C4A6A">
        <w:rPr>
          <w:rFonts w:ascii="Times New Roman" w:hAnsi="Times New Roman" w:cs="Times New Roman"/>
          <w:color w:val="000000" w:themeColor="text1"/>
        </w:rPr>
        <w:t xml:space="preserve"> rickets</w:t>
      </w:r>
      <w:r w:rsidR="008F1EA6" w:rsidRPr="008C4A6A">
        <w:rPr>
          <w:rFonts w:ascii="Times New Roman" w:hAnsi="Times New Roman" w:cs="Times New Roman"/>
          <w:color w:val="000000" w:themeColor="text1"/>
        </w:rPr>
        <w:t xml:space="preserve"> and </w:t>
      </w:r>
      <w:r w:rsidRPr="008C4A6A">
        <w:rPr>
          <w:rFonts w:ascii="Times New Roman" w:hAnsi="Times New Roman" w:cs="Times New Roman"/>
          <w:color w:val="000000" w:themeColor="text1"/>
        </w:rPr>
        <w:t>scurvy</w:t>
      </w:r>
      <w:r w:rsidR="008F1EA6" w:rsidRPr="008C4A6A">
        <w:rPr>
          <w:rFonts w:ascii="Times New Roman" w:hAnsi="Times New Roman" w:cs="Times New Roman"/>
          <w:color w:val="000000" w:themeColor="text1"/>
        </w:rPr>
        <w:t>)</w:t>
      </w:r>
      <w:r w:rsidRPr="008C4A6A">
        <w:rPr>
          <w:rFonts w:ascii="Times New Roman" w:hAnsi="Times New Roman" w:cs="Times New Roman"/>
          <w:color w:val="000000" w:themeColor="text1"/>
        </w:rPr>
        <w:t xml:space="preserve"> and indicators of systemic stress </w:t>
      </w:r>
      <w:r w:rsidR="008F1EA6" w:rsidRPr="008C4A6A">
        <w:rPr>
          <w:rFonts w:ascii="Times New Roman" w:hAnsi="Times New Roman" w:cs="Times New Roman"/>
          <w:color w:val="000000" w:themeColor="text1"/>
        </w:rPr>
        <w:t>(e.g.</w:t>
      </w:r>
      <w:r w:rsidRPr="008C4A6A">
        <w:rPr>
          <w:rFonts w:ascii="Times New Roman" w:hAnsi="Times New Roman" w:cs="Times New Roman"/>
          <w:color w:val="000000" w:themeColor="text1"/>
        </w:rPr>
        <w:t xml:space="preserve"> enamel hypoplasia</w:t>
      </w:r>
      <w:r w:rsidR="008F1EA6" w:rsidRPr="008C4A6A">
        <w:rPr>
          <w:rFonts w:ascii="Times New Roman" w:hAnsi="Times New Roman" w:cs="Times New Roman"/>
          <w:color w:val="000000" w:themeColor="text1"/>
        </w:rPr>
        <w:t xml:space="preserve"> and </w:t>
      </w:r>
      <w:r w:rsidRPr="008C4A6A">
        <w:rPr>
          <w:rFonts w:ascii="Times New Roman" w:hAnsi="Times New Roman" w:cs="Times New Roman"/>
          <w:color w:val="000000" w:themeColor="text1"/>
        </w:rPr>
        <w:t>Harris lines</w:t>
      </w:r>
      <w:r w:rsidR="008F1EA6" w:rsidRPr="008C4A6A">
        <w:rPr>
          <w:rFonts w:ascii="Times New Roman" w:hAnsi="Times New Roman" w:cs="Times New Roman"/>
          <w:color w:val="000000" w:themeColor="text1"/>
        </w:rPr>
        <w:t xml:space="preserve">) </w:t>
      </w:r>
      <w:r w:rsidRPr="008C4A6A">
        <w:rPr>
          <w:rFonts w:ascii="Times New Roman" w:hAnsi="Times New Roman" w:cs="Times New Roman"/>
          <w:color w:val="000000" w:themeColor="text1"/>
        </w:rPr>
        <w:t>are only observable in individuals who survive long enough to develop them, leaving out those who succumb to a rapid death</w:t>
      </w:r>
      <w:r w:rsidR="008F1EA6" w:rsidRPr="008C4A6A">
        <w:rPr>
          <w:rFonts w:ascii="Times New Roman" w:hAnsi="Times New Roman" w:cs="Times New Roman"/>
          <w:color w:val="000000" w:themeColor="text1"/>
        </w:rPr>
        <w:t xml:space="preserve">; </w:t>
      </w:r>
      <w:r w:rsidR="008F1EA6" w:rsidRPr="00825774">
        <w:rPr>
          <w:rFonts w:ascii="Times New Roman" w:eastAsia="Times New Roman" w:hAnsi="Times New Roman" w:cs="Times New Roman"/>
        </w:rPr>
        <w:t>t</w:t>
      </w:r>
      <w:r w:rsidRPr="00825774">
        <w:rPr>
          <w:rFonts w:ascii="Times New Roman" w:eastAsia="Times New Roman" w:hAnsi="Times New Roman" w:cs="Times New Roman"/>
        </w:rPr>
        <w:t>hus, individuals who</w:t>
      </w:r>
      <w:r w:rsidR="008F1EA6" w:rsidRPr="00825774">
        <w:rPr>
          <w:rFonts w:ascii="Times New Roman" w:eastAsia="Times New Roman" w:hAnsi="Times New Roman" w:cs="Times New Roman"/>
        </w:rPr>
        <w:t xml:space="preserve"> may have </w:t>
      </w:r>
      <w:r w:rsidRPr="00825774">
        <w:rPr>
          <w:rFonts w:ascii="Times New Roman" w:eastAsia="Times New Roman" w:hAnsi="Times New Roman" w:cs="Times New Roman"/>
        </w:rPr>
        <w:t>experienced famine and acute diseases associated with f</w:t>
      </w:r>
      <w:r w:rsidR="008F1EA6" w:rsidRPr="00825774">
        <w:rPr>
          <w:rFonts w:ascii="Times New Roman" w:eastAsia="Times New Roman" w:hAnsi="Times New Roman" w:cs="Times New Roman"/>
        </w:rPr>
        <w:t xml:space="preserve">amine </w:t>
      </w:r>
      <w:r w:rsidRPr="00825774">
        <w:rPr>
          <w:rFonts w:ascii="Times New Roman" w:eastAsia="Times New Roman" w:hAnsi="Times New Roman" w:cs="Times New Roman"/>
        </w:rPr>
        <w:t>such as typhus and dysentery will appear healthy.</w:t>
      </w:r>
      <w:r w:rsidR="008F1EA6" w:rsidRPr="00825774">
        <w:rPr>
          <w:rFonts w:ascii="Times New Roman" w:eastAsia="Times New Roman" w:hAnsi="Times New Roman" w:cs="Times New Roman"/>
        </w:rPr>
        <w:t xml:space="preserve"> By examining</w:t>
      </w:r>
      <w:r w:rsidRPr="00825774">
        <w:rPr>
          <w:rFonts w:ascii="Times New Roman" w:eastAsia="Times New Roman" w:hAnsi="Times New Roman" w:cs="Times New Roman"/>
        </w:rPr>
        <w:t xml:space="preserve"> the</w:t>
      </w:r>
      <w:r w:rsidR="00ED12EE" w:rsidRPr="00825774">
        <w:rPr>
          <w:rFonts w:ascii="Times New Roman" w:eastAsia="Times New Roman" w:hAnsi="Times New Roman" w:cs="Times New Roman"/>
        </w:rPr>
        <w:t xml:space="preserve"> </w:t>
      </w:r>
      <w:r w:rsidR="006062B4" w:rsidRPr="00825774">
        <w:rPr>
          <w:rFonts w:ascii="Times New Roman" w:eastAsia="Times New Roman" w:hAnsi="Times New Roman" w:cs="Times New Roman"/>
        </w:rPr>
        <w:t>dentine δ</w:t>
      </w:r>
      <w:r w:rsidR="008F1EA6" w:rsidRPr="00825774">
        <w:rPr>
          <w:rFonts w:ascii="Times New Roman" w:eastAsia="Times New Roman" w:hAnsi="Times New Roman" w:cs="Times New Roman"/>
          <w:vertAlign w:val="superscript"/>
        </w:rPr>
        <w:t>13</w:t>
      </w:r>
      <w:r w:rsidR="006062B4" w:rsidRPr="00825774">
        <w:rPr>
          <w:rFonts w:ascii="Times New Roman" w:eastAsia="Times New Roman" w:hAnsi="Times New Roman" w:cs="Times New Roman"/>
        </w:rPr>
        <w:t>C and δ</w:t>
      </w:r>
      <w:r w:rsidR="008F1EA6" w:rsidRPr="00825774">
        <w:rPr>
          <w:rFonts w:ascii="Times New Roman" w:eastAsia="Times New Roman" w:hAnsi="Times New Roman" w:cs="Times New Roman"/>
          <w:vertAlign w:val="superscript"/>
        </w:rPr>
        <w:t>15</w:t>
      </w:r>
      <w:r w:rsidR="008F1EA6" w:rsidRPr="00825774">
        <w:rPr>
          <w:rFonts w:ascii="Times New Roman" w:eastAsia="Times New Roman" w:hAnsi="Times New Roman" w:cs="Times New Roman"/>
        </w:rPr>
        <w:t>N p</w:t>
      </w:r>
      <w:r w:rsidR="006062B4" w:rsidRPr="00825774">
        <w:rPr>
          <w:rFonts w:ascii="Times New Roman" w:eastAsia="Times New Roman" w:hAnsi="Times New Roman" w:cs="Times New Roman"/>
        </w:rPr>
        <w:t xml:space="preserve">rofiles </w:t>
      </w:r>
      <w:r w:rsidR="00E10AA1" w:rsidRPr="00825774">
        <w:rPr>
          <w:rFonts w:ascii="Times New Roman" w:eastAsia="Times New Roman" w:hAnsi="Times New Roman" w:cs="Times New Roman"/>
        </w:rPr>
        <w:t xml:space="preserve">and rib collagen </w:t>
      </w:r>
      <w:r w:rsidR="006062B4" w:rsidRPr="00825774">
        <w:rPr>
          <w:rFonts w:ascii="Times New Roman" w:eastAsia="Times New Roman" w:hAnsi="Times New Roman" w:cs="Times New Roman"/>
        </w:rPr>
        <w:t>of workhouse inmates from the</w:t>
      </w:r>
      <w:r w:rsidRPr="00825774">
        <w:rPr>
          <w:rFonts w:ascii="Times New Roman" w:eastAsia="Times New Roman" w:hAnsi="Times New Roman" w:cs="Times New Roman"/>
        </w:rPr>
        <w:t xml:space="preserve"> Great Irish Famine </w:t>
      </w:r>
      <w:r w:rsidR="008F1EA6" w:rsidRPr="00825774">
        <w:rPr>
          <w:rFonts w:ascii="Times New Roman" w:eastAsia="Times New Roman" w:hAnsi="Times New Roman" w:cs="Times New Roman"/>
        </w:rPr>
        <w:t xml:space="preserve">the authors were able to demonstrate the </w:t>
      </w:r>
      <w:r w:rsidR="006062B4" w:rsidRPr="00825774">
        <w:rPr>
          <w:rFonts w:ascii="Times New Roman" w:eastAsia="Times New Roman" w:hAnsi="Times New Roman" w:cs="Times New Roman"/>
        </w:rPr>
        <w:t>expected dietary change from C</w:t>
      </w:r>
      <w:r w:rsidR="006062B4" w:rsidRPr="00CF54E2">
        <w:rPr>
          <w:rFonts w:ascii="Times New Roman" w:eastAsia="Times New Roman" w:hAnsi="Times New Roman" w:cs="Times New Roman"/>
          <w:vertAlign w:val="subscript"/>
        </w:rPr>
        <w:t>3</w:t>
      </w:r>
      <w:r w:rsidR="006062B4" w:rsidRPr="00825774">
        <w:rPr>
          <w:rFonts w:ascii="Times New Roman" w:eastAsia="Times New Roman" w:hAnsi="Times New Roman" w:cs="Times New Roman"/>
        </w:rPr>
        <w:t xml:space="preserve"> potatoes to C</w:t>
      </w:r>
      <w:r w:rsidR="006062B4" w:rsidRPr="00CF54E2">
        <w:rPr>
          <w:rFonts w:ascii="Times New Roman" w:eastAsia="Times New Roman" w:hAnsi="Times New Roman" w:cs="Times New Roman"/>
          <w:vertAlign w:val="subscript"/>
        </w:rPr>
        <w:t>4</w:t>
      </w:r>
      <w:r w:rsidR="006062B4" w:rsidRPr="00825774">
        <w:rPr>
          <w:rFonts w:ascii="Times New Roman" w:eastAsia="Times New Roman" w:hAnsi="Times New Roman" w:cs="Times New Roman"/>
        </w:rPr>
        <w:t xml:space="preserve"> maize </w:t>
      </w:r>
      <w:r w:rsidR="008F1EA6" w:rsidRPr="00825774">
        <w:rPr>
          <w:rFonts w:ascii="Times New Roman" w:eastAsia="Times New Roman" w:hAnsi="Times New Roman" w:cs="Times New Roman"/>
        </w:rPr>
        <w:t xml:space="preserve">as well as </w:t>
      </w:r>
      <w:r w:rsidR="006062B4" w:rsidRPr="00825774">
        <w:rPr>
          <w:rFonts w:ascii="Times New Roman" w:eastAsia="Times New Roman" w:hAnsi="Times New Roman" w:cs="Times New Roman"/>
        </w:rPr>
        <w:t>prolonged nutritional and other physiological stress</w:t>
      </w:r>
      <w:r w:rsidR="00CF54E2">
        <w:rPr>
          <w:rFonts w:ascii="Times New Roman" w:eastAsia="Times New Roman" w:hAnsi="Times New Roman" w:cs="Times New Roman"/>
        </w:rPr>
        <w:t xml:space="preserve"> (Beaumont </w:t>
      </w:r>
      <w:r w:rsidR="00013B07">
        <w:rPr>
          <w:rFonts w:ascii="Times New Roman" w:eastAsia="Times New Roman" w:hAnsi="Times New Roman" w:cs="Times New Roman"/>
        </w:rPr>
        <w:t>&amp;</w:t>
      </w:r>
      <w:r w:rsidR="00CF54E2">
        <w:rPr>
          <w:rFonts w:ascii="Times New Roman" w:eastAsia="Times New Roman" w:hAnsi="Times New Roman" w:cs="Times New Roman"/>
        </w:rPr>
        <w:t xml:space="preserve"> Montgomery 2016)</w:t>
      </w:r>
      <w:r w:rsidR="008F1EA6" w:rsidRPr="00825774">
        <w:rPr>
          <w:rFonts w:ascii="Times New Roman" w:eastAsia="Times New Roman" w:hAnsi="Times New Roman" w:cs="Times New Roman"/>
        </w:rPr>
        <w:t xml:space="preserve">. </w:t>
      </w:r>
    </w:p>
    <w:p w14:paraId="51D03DAE" w14:textId="77777777" w:rsidR="002105FB" w:rsidRPr="00AF6259" w:rsidRDefault="002105FB" w:rsidP="009C515B">
      <w:pPr>
        <w:pStyle w:val="ListParagraph"/>
        <w:ind w:left="0" w:firstLine="709"/>
        <w:rPr>
          <w:rFonts w:ascii="Times New Roman" w:eastAsia="Times New Roman" w:hAnsi="Times New Roman" w:cs="Times New Roman"/>
          <w:color w:val="FF0000"/>
        </w:rPr>
      </w:pPr>
    </w:p>
    <w:p w14:paraId="7EE43669" w14:textId="2CBEEEA1" w:rsidR="00891E91" w:rsidRDefault="00E10AA1" w:rsidP="001C6BF3">
      <w:pPr>
        <w:pStyle w:val="ListParagraph"/>
        <w:spacing w:line="480" w:lineRule="auto"/>
        <w:ind w:left="0" w:firstLine="709"/>
        <w:rPr>
          <w:rFonts w:ascii="Times New Roman" w:hAnsi="Times New Roman" w:cs="Times New Roman"/>
          <w:color w:val="000000" w:themeColor="text1"/>
        </w:rPr>
      </w:pPr>
      <w:r w:rsidRPr="008C4A6A">
        <w:rPr>
          <w:rFonts w:ascii="Times New Roman" w:hAnsi="Times New Roman" w:cs="Times New Roman"/>
          <w:color w:val="000000" w:themeColor="text1"/>
        </w:rPr>
        <w:t>In their 2015</w:t>
      </w:r>
      <w:r w:rsidR="00377802" w:rsidRPr="008C4A6A">
        <w:rPr>
          <w:rFonts w:ascii="Times New Roman" w:hAnsi="Times New Roman" w:cs="Times New Roman"/>
          <w:color w:val="000000" w:themeColor="text1"/>
        </w:rPr>
        <w:t>a</w:t>
      </w:r>
      <w:r w:rsidRPr="008C4A6A">
        <w:rPr>
          <w:rFonts w:ascii="Times New Roman" w:hAnsi="Times New Roman" w:cs="Times New Roman"/>
          <w:color w:val="000000" w:themeColor="text1"/>
        </w:rPr>
        <w:t xml:space="preserve"> study, </w:t>
      </w:r>
      <w:r w:rsidR="003B5B7F" w:rsidRPr="008C4A6A">
        <w:rPr>
          <w:rFonts w:ascii="Times New Roman" w:hAnsi="Times New Roman" w:cs="Times New Roman"/>
          <w:color w:val="000000" w:themeColor="text1"/>
        </w:rPr>
        <w:t xml:space="preserve">Beaumont </w:t>
      </w:r>
      <w:r w:rsidRPr="008C4A6A">
        <w:rPr>
          <w:rFonts w:ascii="Times New Roman" w:hAnsi="Times New Roman" w:cs="Times New Roman"/>
          <w:color w:val="000000" w:themeColor="text1"/>
        </w:rPr>
        <w:t>and colleagues also</w:t>
      </w:r>
      <w:r w:rsidR="003B5B7F" w:rsidRPr="008C4A6A">
        <w:rPr>
          <w:rFonts w:ascii="Times New Roman" w:hAnsi="Times New Roman" w:cs="Times New Roman"/>
          <w:color w:val="000000" w:themeColor="text1"/>
        </w:rPr>
        <w:t xml:space="preserve"> </w:t>
      </w:r>
      <w:r w:rsidRPr="008C4A6A">
        <w:rPr>
          <w:rFonts w:ascii="Times New Roman" w:hAnsi="Times New Roman" w:cs="Times New Roman"/>
          <w:color w:val="000000" w:themeColor="text1"/>
        </w:rPr>
        <w:t>address</w:t>
      </w:r>
      <w:r w:rsidR="00D92711">
        <w:rPr>
          <w:rFonts w:ascii="Times New Roman" w:hAnsi="Times New Roman" w:cs="Times New Roman"/>
          <w:color w:val="000000" w:themeColor="text1"/>
        </w:rPr>
        <w:t>ed</w:t>
      </w:r>
      <w:r w:rsidRPr="008C4A6A">
        <w:rPr>
          <w:rFonts w:ascii="Times New Roman" w:hAnsi="Times New Roman" w:cs="Times New Roman"/>
          <w:color w:val="000000" w:themeColor="text1"/>
        </w:rPr>
        <w:t xml:space="preserve"> the</w:t>
      </w:r>
      <w:r w:rsidR="003B5B7F" w:rsidRPr="008C4A6A">
        <w:rPr>
          <w:rFonts w:ascii="Times New Roman" w:hAnsi="Times New Roman" w:cs="Times New Roman"/>
          <w:color w:val="000000" w:themeColor="text1"/>
        </w:rPr>
        <w:t xml:space="preserve"> issue </w:t>
      </w:r>
      <w:r w:rsidRPr="008C4A6A">
        <w:rPr>
          <w:rFonts w:ascii="Times New Roman" w:hAnsi="Times New Roman" w:cs="Times New Roman"/>
          <w:color w:val="000000" w:themeColor="text1"/>
        </w:rPr>
        <w:t>with</w:t>
      </w:r>
      <w:r w:rsidR="003B5B7F" w:rsidRPr="008C4A6A">
        <w:rPr>
          <w:rFonts w:ascii="Times New Roman" w:hAnsi="Times New Roman" w:cs="Times New Roman"/>
          <w:color w:val="000000" w:themeColor="text1"/>
        </w:rPr>
        <w:t xml:space="preserve"> bone collagen turnover</w:t>
      </w:r>
      <w:r w:rsidRPr="008C4A6A">
        <w:rPr>
          <w:rFonts w:ascii="Times New Roman" w:hAnsi="Times New Roman" w:cs="Times New Roman"/>
          <w:color w:val="000000" w:themeColor="text1"/>
        </w:rPr>
        <w:t xml:space="preserve"> rates. They argued that </w:t>
      </w:r>
      <w:r w:rsidR="003B5B7F" w:rsidRPr="008C4A6A">
        <w:rPr>
          <w:rFonts w:ascii="Times New Roman" w:hAnsi="Times New Roman" w:cs="Times New Roman"/>
          <w:color w:val="000000" w:themeColor="text1"/>
        </w:rPr>
        <w:t>even for very young juvenile</w:t>
      </w:r>
      <w:r w:rsidR="00377802" w:rsidRPr="008C4A6A">
        <w:rPr>
          <w:rFonts w:ascii="Times New Roman" w:hAnsi="Times New Roman" w:cs="Times New Roman"/>
          <w:color w:val="000000" w:themeColor="text1"/>
        </w:rPr>
        <w:t>s</w:t>
      </w:r>
      <w:r w:rsidRPr="008C4A6A">
        <w:rPr>
          <w:rFonts w:ascii="Times New Roman" w:hAnsi="Times New Roman" w:cs="Times New Roman"/>
          <w:color w:val="000000" w:themeColor="text1"/>
        </w:rPr>
        <w:t xml:space="preserve"> bone takes time to turnover and </w:t>
      </w:r>
      <w:r w:rsidR="00D92711">
        <w:rPr>
          <w:rFonts w:ascii="Times New Roman" w:hAnsi="Times New Roman" w:cs="Times New Roman"/>
          <w:color w:val="000000" w:themeColor="text1"/>
        </w:rPr>
        <w:t xml:space="preserve">consequently </w:t>
      </w:r>
      <w:r w:rsidR="003B5B7F" w:rsidRPr="008C4A6A">
        <w:rPr>
          <w:rFonts w:ascii="Times New Roman" w:hAnsi="Times New Roman" w:cs="Times New Roman"/>
          <w:color w:val="000000" w:themeColor="text1"/>
        </w:rPr>
        <w:t xml:space="preserve">does not represent the diet and physiology at the time of death. </w:t>
      </w:r>
      <w:r w:rsidR="00B85C00" w:rsidRPr="008C4A6A">
        <w:rPr>
          <w:rFonts w:ascii="Times New Roman" w:hAnsi="Times New Roman" w:cs="Times New Roman"/>
          <w:color w:val="000000" w:themeColor="text1"/>
        </w:rPr>
        <w:t>Beaumont</w:t>
      </w:r>
      <w:r w:rsidR="00B329FA" w:rsidRPr="008C4A6A">
        <w:rPr>
          <w:rFonts w:ascii="Times New Roman" w:hAnsi="Times New Roman" w:cs="Times New Roman"/>
          <w:color w:val="000000" w:themeColor="text1"/>
        </w:rPr>
        <w:t xml:space="preserve"> et al. (2015</w:t>
      </w:r>
      <w:r w:rsidR="00377802" w:rsidRPr="008C4A6A">
        <w:rPr>
          <w:rFonts w:ascii="Times New Roman" w:hAnsi="Times New Roman" w:cs="Times New Roman"/>
          <w:color w:val="000000" w:themeColor="text1"/>
        </w:rPr>
        <w:t>a</w:t>
      </w:r>
      <w:r w:rsidR="00B329FA" w:rsidRPr="008C4A6A">
        <w:rPr>
          <w:rFonts w:ascii="Times New Roman" w:hAnsi="Times New Roman" w:cs="Times New Roman"/>
          <w:color w:val="000000" w:themeColor="text1"/>
        </w:rPr>
        <w:t xml:space="preserve">) </w:t>
      </w:r>
      <w:r w:rsidR="00394BEF" w:rsidRPr="008C4A6A">
        <w:rPr>
          <w:rFonts w:ascii="Times New Roman" w:hAnsi="Times New Roman" w:cs="Times New Roman"/>
          <w:color w:val="000000" w:themeColor="text1"/>
        </w:rPr>
        <w:t>present</w:t>
      </w:r>
      <w:r w:rsidR="00377802" w:rsidRPr="008C4A6A">
        <w:rPr>
          <w:rFonts w:ascii="Times New Roman" w:hAnsi="Times New Roman" w:cs="Times New Roman"/>
          <w:color w:val="000000" w:themeColor="text1"/>
        </w:rPr>
        <w:t>ed</w:t>
      </w:r>
      <w:r w:rsidR="00394BEF" w:rsidRPr="008C4A6A">
        <w:rPr>
          <w:rFonts w:ascii="Times New Roman" w:hAnsi="Times New Roman" w:cs="Times New Roman"/>
          <w:color w:val="000000" w:themeColor="text1"/>
        </w:rPr>
        <w:t xml:space="preserve"> incremental dentine δ</w:t>
      </w:r>
      <w:r w:rsidR="00394BEF" w:rsidRPr="008C4A6A">
        <w:rPr>
          <w:rFonts w:ascii="Times New Roman" w:hAnsi="Times New Roman" w:cs="Times New Roman"/>
          <w:color w:val="000000" w:themeColor="text1"/>
          <w:vertAlign w:val="superscript"/>
        </w:rPr>
        <w:t>15</w:t>
      </w:r>
      <w:r w:rsidR="00394BEF" w:rsidRPr="008C4A6A">
        <w:rPr>
          <w:rFonts w:ascii="Times New Roman" w:hAnsi="Times New Roman" w:cs="Times New Roman"/>
          <w:color w:val="000000" w:themeColor="text1"/>
        </w:rPr>
        <w:t>N and δ</w:t>
      </w:r>
      <w:r w:rsidR="00394BEF" w:rsidRPr="008C4A6A">
        <w:rPr>
          <w:rFonts w:ascii="Times New Roman" w:hAnsi="Times New Roman" w:cs="Times New Roman"/>
          <w:color w:val="000000" w:themeColor="text1"/>
          <w:vertAlign w:val="superscript"/>
        </w:rPr>
        <w:t>13</w:t>
      </w:r>
      <w:r w:rsidR="00394BEF" w:rsidRPr="008C4A6A">
        <w:rPr>
          <w:rFonts w:ascii="Times New Roman" w:hAnsi="Times New Roman" w:cs="Times New Roman"/>
          <w:color w:val="000000" w:themeColor="text1"/>
        </w:rPr>
        <w:t xml:space="preserve">C profiles from the permanent and deciduous teeth from </w:t>
      </w:r>
      <w:r w:rsidR="007F47C1" w:rsidRPr="008C4A6A">
        <w:rPr>
          <w:rFonts w:ascii="Times New Roman" w:hAnsi="Times New Roman" w:cs="Times New Roman"/>
          <w:color w:val="000000" w:themeColor="text1"/>
        </w:rPr>
        <w:t xml:space="preserve">4 </w:t>
      </w:r>
      <w:r w:rsidR="00394BEF" w:rsidRPr="008C4A6A">
        <w:rPr>
          <w:rFonts w:ascii="Times New Roman" w:hAnsi="Times New Roman" w:cs="Times New Roman"/>
          <w:color w:val="000000" w:themeColor="text1"/>
        </w:rPr>
        <w:t>archaeological sites in Ireland, England</w:t>
      </w:r>
      <w:r w:rsidR="00D92711">
        <w:rPr>
          <w:rFonts w:ascii="Times New Roman" w:hAnsi="Times New Roman" w:cs="Times New Roman"/>
          <w:color w:val="000000" w:themeColor="text1"/>
        </w:rPr>
        <w:t>,</w:t>
      </w:r>
      <w:r w:rsidR="00394BEF" w:rsidRPr="008C4A6A">
        <w:rPr>
          <w:rFonts w:ascii="Times New Roman" w:hAnsi="Times New Roman" w:cs="Times New Roman"/>
          <w:color w:val="000000" w:themeColor="text1"/>
        </w:rPr>
        <w:t xml:space="preserve"> and Scotland </w:t>
      </w:r>
      <w:r w:rsidR="00B329FA" w:rsidRPr="008C4A6A">
        <w:rPr>
          <w:rFonts w:ascii="Times New Roman" w:hAnsi="Times New Roman" w:cs="Times New Roman"/>
          <w:color w:val="000000" w:themeColor="text1"/>
        </w:rPr>
        <w:t xml:space="preserve">during </w:t>
      </w:r>
      <w:r w:rsidR="007F47C1" w:rsidRPr="008C4A6A">
        <w:rPr>
          <w:rFonts w:ascii="Times New Roman" w:hAnsi="Times New Roman" w:cs="Times New Roman"/>
          <w:color w:val="000000" w:themeColor="text1"/>
        </w:rPr>
        <w:t>the Irish F</w:t>
      </w:r>
      <w:r w:rsidR="00153E5C">
        <w:rPr>
          <w:rFonts w:ascii="Times New Roman" w:hAnsi="Times New Roman" w:cs="Times New Roman"/>
          <w:color w:val="000000" w:themeColor="text1"/>
        </w:rPr>
        <w:t>amine</w:t>
      </w:r>
      <w:r w:rsidR="007F47C1" w:rsidRPr="008C4A6A">
        <w:rPr>
          <w:rFonts w:ascii="Times New Roman" w:hAnsi="Times New Roman" w:cs="Times New Roman"/>
          <w:color w:val="000000" w:themeColor="text1"/>
        </w:rPr>
        <w:t xml:space="preserve">. </w:t>
      </w:r>
      <w:r w:rsidR="00B329FA" w:rsidRPr="008C4A6A">
        <w:rPr>
          <w:rFonts w:ascii="Times New Roman" w:hAnsi="Times New Roman" w:cs="Times New Roman"/>
          <w:color w:val="000000" w:themeColor="text1"/>
        </w:rPr>
        <w:t xml:space="preserve">Since </w:t>
      </w:r>
      <w:r w:rsidR="007F47C1" w:rsidRPr="008C4A6A">
        <w:rPr>
          <w:rFonts w:ascii="Times New Roman" w:hAnsi="Times New Roman" w:cs="Times New Roman"/>
          <w:color w:val="000000" w:themeColor="text1"/>
        </w:rPr>
        <w:t xml:space="preserve">individuals </w:t>
      </w:r>
      <w:r w:rsidR="00B329FA" w:rsidRPr="008C4A6A">
        <w:rPr>
          <w:rFonts w:ascii="Times New Roman" w:hAnsi="Times New Roman" w:cs="Times New Roman"/>
          <w:color w:val="000000" w:themeColor="text1"/>
        </w:rPr>
        <w:t xml:space="preserve">from these sites </w:t>
      </w:r>
      <w:r w:rsidR="00394BEF" w:rsidRPr="008C4A6A">
        <w:rPr>
          <w:rFonts w:ascii="Times New Roman" w:hAnsi="Times New Roman" w:cs="Times New Roman"/>
          <w:color w:val="000000" w:themeColor="text1"/>
        </w:rPr>
        <w:t xml:space="preserve">died during tooth </w:t>
      </w:r>
      <w:r w:rsidR="00394BEF" w:rsidRPr="008C4A6A">
        <w:rPr>
          <w:rFonts w:ascii="Times New Roman" w:hAnsi="Times New Roman" w:cs="Times New Roman"/>
          <w:color w:val="000000" w:themeColor="text1"/>
        </w:rPr>
        <w:lastRenderedPageBreak/>
        <w:t>formation</w:t>
      </w:r>
      <w:r w:rsidR="00B329FA" w:rsidRPr="008C4A6A">
        <w:rPr>
          <w:rFonts w:ascii="Times New Roman" w:hAnsi="Times New Roman" w:cs="Times New Roman"/>
          <w:color w:val="000000" w:themeColor="text1"/>
        </w:rPr>
        <w:t>,</w:t>
      </w:r>
      <w:r w:rsidR="00B85C00" w:rsidRPr="008C4A6A">
        <w:rPr>
          <w:rFonts w:ascii="Times New Roman" w:hAnsi="Times New Roman" w:cs="Times New Roman"/>
          <w:color w:val="000000" w:themeColor="text1"/>
        </w:rPr>
        <w:t xml:space="preserve"> the authors</w:t>
      </w:r>
      <w:r w:rsidR="003B5B7F" w:rsidRPr="008C4A6A">
        <w:rPr>
          <w:rFonts w:ascii="Times New Roman" w:hAnsi="Times New Roman" w:cs="Times New Roman"/>
          <w:color w:val="000000" w:themeColor="text1"/>
        </w:rPr>
        <w:t xml:space="preserve"> </w:t>
      </w:r>
      <w:r w:rsidR="00B329FA" w:rsidRPr="008C4A6A">
        <w:rPr>
          <w:rFonts w:ascii="Times New Roman" w:hAnsi="Times New Roman" w:cs="Times New Roman"/>
          <w:color w:val="000000" w:themeColor="text1"/>
        </w:rPr>
        <w:t xml:space="preserve">were able to </w:t>
      </w:r>
      <w:r w:rsidR="003B5B7F" w:rsidRPr="008C4A6A">
        <w:rPr>
          <w:rFonts w:ascii="Times New Roman" w:hAnsi="Times New Roman" w:cs="Times New Roman"/>
          <w:color w:val="000000" w:themeColor="text1"/>
        </w:rPr>
        <w:t xml:space="preserve">compare the average </w:t>
      </w:r>
      <w:r w:rsidR="003B5B7F" w:rsidRPr="00754EB2">
        <w:rPr>
          <w:rFonts w:ascii="Times New Roman" w:hAnsi="Times New Roman" w:cs="Times New Roman"/>
          <w:color w:val="000000" w:themeColor="text1"/>
        </w:rPr>
        <w:sym w:font="Symbol" w:char="F064"/>
      </w:r>
      <w:r w:rsidR="003B5B7F" w:rsidRPr="00754EB2">
        <w:rPr>
          <w:rFonts w:ascii="Times New Roman" w:hAnsi="Times New Roman" w:cs="Times New Roman"/>
          <w:color w:val="000000" w:themeColor="text1"/>
          <w:vertAlign w:val="superscript"/>
        </w:rPr>
        <w:t>15</w:t>
      </w:r>
      <w:r w:rsidR="003B5B7F" w:rsidRPr="008C4A6A">
        <w:rPr>
          <w:rFonts w:ascii="Times New Roman" w:hAnsi="Times New Roman" w:cs="Times New Roman"/>
          <w:color w:val="000000" w:themeColor="text1"/>
        </w:rPr>
        <w:t xml:space="preserve">N and </w:t>
      </w:r>
      <w:r w:rsidR="003B5B7F" w:rsidRPr="00754EB2">
        <w:rPr>
          <w:rFonts w:ascii="Times New Roman" w:hAnsi="Times New Roman" w:cs="Times New Roman"/>
          <w:color w:val="000000" w:themeColor="text1"/>
        </w:rPr>
        <w:sym w:font="Symbol" w:char="F064"/>
      </w:r>
      <w:r w:rsidR="003B5B7F" w:rsidRPr="00754EB2">
        <w:rPr>
          <w:rFonts w:ascii="Times New Roman" w:hAnsi="Times New Roman" w:cs="Times New Roman"/>
          <w:color w:val="000000" w:themeColor="text1"/>
          <w:vertAlign w:val="superscript"/>
        </w:rPr>
        <w:t>13</w:t>
      </w:r>
      <w:r w:rsidR="003B5B7F" w:rsidRPr="008C4A6A">
        <w:rPr>
          <w:rFonts w:ascii="Times New Roman" w:hAnsi="Times New Roman" w:cs="Times New Roman"/>
          <w:color w:val="000000" w:themeColor="text1"/>
        </w:rPr>
        <w:t xml:space="preserve">C values of bone collagen with the averages </w:t>
      </w:r>
      <w:r w:rsidR="00D92711">
        <w:rPr>
          <w:rFonts w:ascii="Times New Roman" w:hAnsi="Times New Roman" w:cs="Times New Roman"/>
          <w:color w:val="000000" w:themeColor="text1"/>
        </w:rPr>
        <w:t>obtained</w:t>
      </w:r>
      <w:r w:rsidR="00D92711" w:rsidRPr="008C4A6A">
        <w:rPr>
          <w:rFonts w:ascii="Times New Roman" w:hAnsi="Times New Roman" w:cs="Times New Roman"/>
          <w:color w:val="000000" w:themeColor="text1"/>
        </w:rPr>
        <w:t xml:space="preserve"> </w:t>
      </w:r>
      <w:r w:rsidR="003B5B7F" w:rsidRPr="008C4A6A">
        <w:rPr>
          <w:rFonts w:ascii="Times New Roman" w:hAnsi="Times New Roman" w:cs="Times New Roman"/>
          <w:color w:val="000000" w:themeColor="text1"/>
        </w:rPr>
        <w:t>from dentine collagen</w:t>
      </w:r>
      <w:r w:rsidR="00B329FA" w:rsidRPr="008C4A6A">
        <w:rPr>
          <w:rFonts w:ascii="Times New Roman" w:hAnsi="Times New Roman" w:cs="Times New Roman"/>
          <w:color w:val="000000" w:themeColor="text1"/>
        </w:rPr>
        <w:t xml:space="preserve">. They found that </w:t>
      </w:r>
      <w:r w:rsidR="003B5B7F" w:rsidRPr="008C4A6A">
        <w:rPr>
          <w:rFonts w:ascii="Times New Roman" w:hAnsi="Times New Roman" w:cs="Times New Roman"/>
          <w:color w:val="000000" w:themeColor="text1"/>
        </w:rPr>
        <w:t>isotope values in the latter w</w:t>
      </w:r>
      <w:r w:rsidR="00B329FA" w:rsidRPr="008C4A6A">
        <w:rPr>
          <w:rFonts w:ascii="Times New Roman" w:hAnsi="Times New Roman" w:cs="Times New Roman"/>
          <w:color w:val="000000" w:themeColor="text1"/>
        </w:rPr>
        <w:t xml:space="preserve">ere </w:t>
      </w:r>
      <w:r w:rsidR="003B5B7F" w:rsidRPr="008C4A6A">
        <w:rPr>
          <w:rFonts w:ascii="Times New Roman" w:hAnsi="Times New Roman" w:cs="Times New Roman"/>
          <w:color w:val="000000" w:themeColor="text1"/>
        </w:rPr>
        <w:t xml:space="preserve">consistently higher. </w:t>
      </w:r>
      <w:r w:rsidR="00B329FA" w:rsidRPr="008C4A6A">
        <w:rPr>
          <w:rFonts w:ascii="Times New Roman" w:hAnsi="Times New Roman" w:cs="Times New Roman"/>
          <w:color w:val="000000" w:themeColor="text1"/>
        </w:rPr>
        <w:t>T</w:t>
      </w:r>
      <w:r w:rsidR="003B5B7F" w:rsidRPr="008C4A6A">
        <w:rPr>
          <w:rFonts w:ascii="Times New Roman" w:hAnsi="Times New Roman" w:cs="Times New Roman"/>
          <w:color w:val="000000" w:themeColor="text1"/>
        </w:rPr>
        <w:t xml:space="preserve">his may be due to differential growth </w:t>
      </w:r>
      <w:r w:rsidR="00B329FA" w:rsidRPr="008C4A6A">
        <w:rPr>
          <w:rFonts w:ascii="Times New Roman" w:hAnsi="Times New Roman" w:cs="Times New Roman"/>
          <w:color w:val="000000" w:themeColor="text1"/>
        </w:rPr>
        <w:t xml:space="preserve">patterns </w:t>
      </w:r>
      <w:r w:rsidR="003B5B7F" w:rsidRPr="008C4A6A">
        <w:rPr>
          <w:rFonts w:ascii="Times New Roman" w:hAnsi="Times New Roman" w:cs="Times New Roman"/>
          <w:color w:val="000000" w:themeColor="text1"/>
        </w:rPr>
        <w:t>of bone and teeth</w:t>
      </w:r>
      <w:r w:rsidR="00B329FA" w:rsidRPr="008C4A6A">
        <w:rPr>
          <w:rFonts w:ascii="Times New Roman" w:hAnsi="Times New Roman" w:cs="Times New Roman"/>
          <w:color w:val="000000" w:themeColor="text1"/>
        </w:rPr>
        <w:t xml:space="preserve"> as h</w:t>
      </w:r>
      <w:r w:rsidR="003B5B7F" w:rsidRPr="008C4A6A">
        <w:rPr>
          <w:rFonts w:ascii="Times New Roman" w:hAnsi="Times New Roman" w:cs="Times New Roman"/>
          <w:color w:val="000000" w:themeColor="text1"/>
        </w:rPr>
        <w:t xml:space="preserve">uman teeth </w:t>
      </w:r>
      <w:r w:rsidR="00B329FA" w:rsidRPr="008C4A6A">
        <w:rPr>
          <w:rFonts w:ascii="Times New Roman" w:hAnsi="Times New Roman" w:cs="Times New Roman"/>
          <w:color w:val="000000" w:themeColor="text1"/>
        </w:rPr>
        <w:t xml:space="preserve">will </w:t>
      </w:r>
      <w:r w:rsidR="003B5B7F" w:rsidRPr="008C4A6A">
        <w:rPr>
          <w:rFonts w:ascii="Times New Roman" w:hAnsi="Times New Roman" w:cs="Times New Roman"/>
          <w:color w:val="000000" w:themeColor="text1"/>
        </w:rPr>
        <w:t xml:space="preserve">continue to grow at the same rate regardless of nutritional status (Elamin &amp; Liversidge 2013), while bone formation may be arrested if nutritional status is poor. If growth is arrested, then bone collagen from that period will no longer be representative of true </w:t>
      </w:r>
      <w:r w:rsidR="00B329FA" w:rsidRPr="008C4A6A">
        <w:rPr>
          <w:rFonts w:ascii="Times New Roman" w:hAnsi="Times New Roman" w:cs="Times New Roman"/>
          <w:color w:val="000000" w:themeColor="text1"/>
        </w:rPr>
        <w:t>isotope</w:t>
      </w:r>
      <w:r w:rsidR="003B5B7F" w:rsidRPr="008C4A6A">
        <w:rPr>
          <w:rFonts w:ascii="Times New Roman" w:hAnsi="Times New Roman" w:cs="Times New Roman"/>
          <w:color w:val="000000" w:themeColor="text1"/>
        </w:rPr>
        <w:t xml:space="preserve"> values, while dentine collagen w</w:t>
      </w:r>
      <w:r w:rsidR="00B329FA" w:rsidRPr="008C4A6A">
        <w:rPr>
          <w:rFonts w:ascii="Times New Roman" w:hAnsi="Times New Roman" w:cs="Times New Roman"/>
          <w:color w:val="000000" w:themeColor="text1"/>
        </w:rPr>
        <w:t xml:space="preserve">ill </w:t>
      </w:r>
      <w:r w:rsidR="003B5B7F" w:rsidRPr="008C4A6A">
        <w:rPr>
          <w:rFonts w:ascii="Times New Roman" w:hAnsi="Times New Roman" w:cs="Times New Roman"/>
          <w:color w:val="000000" w:themeColor="text1"/>
        </w:rPr>
        <w:t xml:space="preserve">continue to form and record more accurate </w:t>
      </w:r>
      <w:r w:rsidR="003B5B7F" w:rsidRPr="00754EB2">
        <w:rPr>
          <w:rFonts w:ascii="Times New Roman" w:hAnsi="Times New Roman" w:cs="Times New Roman"/>
          <w:color w:val="000000" w:themeColor="text1"/>
        </w:rPr>
        <w:sym w:font="Symbol" w:char="F064"/>
      </w:r>
      <w:r w:rsidR="003B5B7F" w:rsidRPr="00754EB2">
        <w:rPr>
          <w:rFonts w:ascii="Times New Roman" w:hAnsi="Times New Roman" w:cs="Times New Roman"/>
          <w:color w:val="000000" w:themeColor="text1"/>
          <w:vertAlign w:val="superscript"/>
        </w:rPr>
        <w:t>15</w:t>
      </w:r>
      <w:r w:rsidR="003B5B7F" w:rsidRPr="008C4A6A">
        <w:rPr>
          <w:rFonts w:ascii="Times New Roman" w:hAnsi="Times New Roman" w:cs="Times New Roman"/>
          <w:color w:val="000000" w:themeColor="text1"/>
        </w:rPr>
        <w:t xml:space="preserve">N and </w:t>
      </w:r>
      <w:r w:rsidR="003B5B7F" w:rsidRPr="00754EB2">
        <w:rPr>
          <w:rFonts w:ascii="Times New Roman" w:hAnsi="Times New Roman" w:cs="Times New Roman"/>
          <w:color w:val="000000" w:themeColor="text1"/>
        </w:rPr>
        <w:sym w:font="Symbol" w:char="F064"/>
      </w:r>
      <w:r w:rsidR="003B5B7F" w:rsidRPr="00754EB2">
        <w:rPr>
          <w:rFonts w:ascii="Times New Roman" w:hAnsi="Times New Roman" w:cs="Times New Roman"/>
          <w:color w:val="000000" w:themeColor="text1"/>
          <w:vertAlign w:val="superscript"/>
        </w:rPr>
        <w:t>13</w:t>
      </w:r>
      <w:r w:rsidR="003B5B7F" w:rsidRPr="008C4A6A">
        <w:rPr>
          <w:rFonts w:ascii="Times New Roman" w:hAnsi="Times New Roman" w:cs="Times New Roman"/>
          <w:color w:val="000000" w:themeColor="text1"/>
        </w:rPr>
        <w:t xml:space="preserve">C values. </w:t>
      </w:r>
      <w:r w:rsidR="00B329FA" w:rsidRPr="008C4A6A">
        <w:rPr>
          <w:rFonts w:ascii="Times New Roman" w:hAnsi="Times New Roman" w:cs="Times New Roman"/>
          <w:color w:val="000000" w:themeColor="text1"/>
        </w:rPr>
        <w:t xml:space="preserve">Beaumont </w:t>
      </w:r>
      <w:r w:rsidR="00D1536C" w:rsidRPr="008C4A6A">
        <w:rPr>
          <w:rFonts w:ascii="Times New Roman" w:hAnsi="Times New Roman" w:cs="Times New Roman"/>
          <w:color w:val="000000" w:themeColor="text1"/>
        </w:rPr>
        <w:t>et al. (2015</w:t>
      </w:r>
      <w:r w:rsidR="00377802" w:rsidRPr="008C4A6A">
        <w:rPr>
          <w:rFonts w:ascii="Times New Roman" w:hAnsi="Times New Roman" w:cs="Times New Roman"/>
          <w:color w:val="000000" w:themeColor="text1"/>
        </w:rPr>
        <w:t>a</w:t>
      </w:r>
      <w:r w:rsidR="00D1536C" w:rsidRPr="008C4A6A">
        <w:rPr>
          <w:rFonts w:ascii="Times New Roman" w:hAnsi="Times New Roman" w:cs="Times New Roman"/>
          <w:color w:val="000000" w:themeColor="text1"/>
        </w:rPr>
        <w:t xml:space="preserve">) </w:t>
      </w:r>
      <w:r w:rsidR="003B5B7F" w:rsidRPr="008C4A6A">
        <w:rPr>
          <w:rFonts w:ascii="Times New Roman" w:hAnsi="Times New Roman" w:cs="Times New Roman"/>
          <w:color w:val="000000" w:themeColor="text1"/>
        </w:rPr>
        <w:t>also argued that by analyzing deciduous teeth when available, information on perinatal nutritional status of children can be obtained and combined with information on teeth with different developmental times from the same individuals – allowing for the analysis of up to 20 years of diet and nutrition</w:t>
      </w:r>
      <w:r w:rsidR="00D1536C" w:rsidRPr="008C4A6A">
        <w:rPr>
          <w:rFonts w:ascii="Times New Roman" w:hAnsi="Times New Roman" w:cs="Times New Roman"/>
          <w:color w:val="000000" w:themeColor="text1"/>
        </w:rPr>
        <w:t>.</w:t>
      </w:r>
    </w:p>
    <w:p w14:paraId="6830C9C4" w14:textId="77777777" w:rsidR="001C6BF3" w:rsidRPr="00AF6259" w:rsidRDefault="001C6BF3" w:rsidP="001C6BF3">
      <w:pPr>
        <w:pStyle w:val="ListParagraph"/>
        <w:ind w:left="0" w:firstLine="709"/>
        <w:rPr>
          <w:rFonts w:ascii="Times New Roman" w:hAnsi="Times New Roman" w:cs="Times New Roman"/>
          <w:color w:val="000000" w:themeColor="text1"/>
        </w:rPr>
      </w:pPr>
    </w:p>
    <w:p w14:paraId="5B31F274" w14:textId="3372B498" w:rsidR="003B5B7F" w:rsidRPr="00825774" w:rsidRDefault="003B5B7F" w:rsidP="001C6BF3">
      <w:pPr>
        <w:spacing w:line="480" w:lineRule="auto"/>
        <w:ind w:firstLine="709"/>
        <w:rPr>
          <w:color w:val="000000" w:themeColor="text1"/>
          <w:lang w:val="en-US"/>
        </w:rPr>
      </w:pPr>
      <w:r w:rsidRPr="00825774">
        <w:rPr>
          <w:color w:val="000000" w:themeColor="text1"/>
          <w:lang w:val="en-US"/>
        </w:rPr>
        <w:t xml:space="preserve">    </w:t>
      </w:r>
      <w:r w:rsidR="005B0D08">
        <w:rPr>
          <w:color w:val="000000" w:themeColor="text1"/>
          <w:lang w:val="en-US"/>
        </w:rPr>
        <w:t>An</w:t>
      </w:r>
      <w:r w:rsidR="00C222FE">
        <w:rPr>
          <w:color w:val="000000" w:themeColor="text1"/>
          <w:lang w:val="en-US"/>
        </w:rPr>
        <w:t>other</w:t>
      </w:r>
      <w:r w:rsidR="005B0D08">
        <w:rPr>
          <w:color w:val="000000" w:themeColor="text1"/>
          <w:lang w:val="en-US"/>
        </w:rPr>
        <w:t xml:space="preserve"> issue</w:t>
      </w:r>
      <w:r w:rsidRPr="00825774">
        <w:rPr>
          <w:color w:val="000000" w:themeColor="text1"/>
          <w:lang w:val="en-US"/>
        </w:rPr>
        <w:t xml:space="preserve"> with bone collagen isotope values is that infants with lower than expected </w:t>
      </w:r>
      <w:r w:rsidRPr="00825774">
        <w:rPr>
          <w:color w:val="000000" w:themeColor="text1"/>
          <w:lang w:val="en-US"/>
        </w:rPr>
        <w:sym w:font="Symbol" w:char="F064"/>
      </w:r>
      <w:r w:rsidRPr="00825774">
        <w:rPr>
          <w:color w:val="000000" w:themeColor="text1"/>
          <w:vertAlign w:val="superscript"/>
          <w:lang w:val="en-US"/>
        </w:rPr>
        <w:t>15</w:t>
      </w:r>
      <w:r w:rsidRPr="00825774">
        <w:rPr>
          <w:color w:val="000000" w:themeColor="text1"/>
          <w:lang w:val="en-US"/>
        </w:rPr>
        <w:t xml:space="preserve">N values are thought to have had little or no access to breastmilk (Jay et al. 2008; Nitsch et al. 2011). Conversely, the </w:t>
      </w:r>
      <w:r w:rsidRPr="00825774">
        <w:rPr>
          <w:color w:val="000000" w:themeColor="text1"/>
          <w:lang w:val="en-US"/>
        </w:rPr>
        <w:sym w:font="Symbol" w:char="F064"/>
      </w:r>
      <w:r w:rsidRPr="00825774">
        <w:rPr>
          <w:color w:val="000000" w:themeColor="text1"/>
          <w:vertAlign w:val="superscript"/>
          <w:lang w:val="en-US"/>
        </w:rPr>
        <w:t>15</w:t>
      </w:r>
      <w:r w:rsidRPr="00825774">
        <w:rPr>
          <w:color w:val="000000" w:themeColor="text1"/>
          <w:lang w:val="en-US"/>
        </w:rPr>
        <w:t xml:space="preserve">N values from bone collagen of a rapidly growing fetus or neonate are related to nitrogen isotope values of the mother which may vary during pregnancy due to changes in diet and physiology (Fuller et al. 2004; Fuller et al. 2006a). These pregnancy </w:t>
      </w:r>
      <w:r w:rsidRPr="00825774">
        <w:rPr>
          <w:color w:val="000000" w:themeColor="text1"/>
          <w:lang w:val="en-US"/>
        </w:rPr>
        <w:sym w:font="Symbol" w:char="F064"/>
      </w:r>
      <w:r w:rsidRPr="00825774">
        <w:rPr>
          <w:color w:val="000000" w:themeColor="text1"/>
          <w:vertAlign w:val="superscript"/>
          <w:lang w:val="en-US"/>
        </w:rPr>
        <w:t>15</w:t>
      </w:r>
      <w:r w:rsidRPr="00825774">
        <w:rPr>
          <w:color w:val="000000" w:themeColor="text1"/>
          <w:lang w:val="en-US"/>
        </w:rPr>
        <w:t xml:space="preserve">N values may not even be the same as the long-term, lifetime averaged bone collagen values obtained from actual or putative mothers or even the wider cemetery </w:t>
      </w:r>
      <w:r w:rsidR="00D92711">
        <w:rPr>
          <w:color w:val="000000" w:themeColor="text1"/>
          <w:lang w:val="en-US"/>
        </w:rPr>
        <w:t>sample</w:t>
      </w:r>
      <w:r w:rsidRPr="00825774">
        <w:rPr>
          <w:color w:val="000000" w:themeColor="text1"/>
          <w:lang w:val="en-US"/>
        </w:rPr>
        <w:t xml:space="preserve">. By increasing the time resolution of the analyzed skeletal material and using incremental dentine forming in the perinatal and childhood periods of </w:t>
      </w:r>
      <w:r w:rsidRPr="00825774">
        <w:rPr>
          <w:color w:val="000000" w:themeColor="text1"/>
          <w:lang w:val="en-US"/>
        </w:rPr>
        <w:lastRenderedPageBreak/>
        <w:t>life, the different</w:t>
      </w:r>
      <w:r w:rsidR="00FB222C" w:rsidRPr="00825774">
        <w:rPr>
          <w:color w:val="000000" w:themeColor="text1"/>
          <w:lang w:val="en-US"/>
        </w:rPr>
        <w:t xml:space="preserve">ial </w:t>
      </w:r>
      <w:r w:rsidRPr="00825774">
        <w:rPr>
          <w:color w:val="000000" w:themeColor="text1"/>
          <w:lang w:val="en-US"/>
        </w:rPr>
        <w:t xml:space="preserve">roles of diet, stress and maternal health can be observed by noting changes in </w:t>
      </w:r>
      <w:r w:rsidRPr="00825774">
        <w:rPr>
          <w:color w:val="000000" w:themeColor="text1"/>
          <w:lang w:val="en-US"/>
        </w:rPr>
        <w:sym w:font="Symbol" w:char="F064"/>
      </w:r>
      <w:r w:rsidRPr="00825774">
        <w:rPr>
          <w:color w:val="000000" w:themeColor="text1"/>
          <w:vertAlign w:val="superscript"/>
          <w:lang w:val="en-US"/>
        </w:rPr>
        <w:t>15</w:t>
      </w:r>
      <w:r w:rsidRPr="00825774">
        <w:rPr>
          <w:color w:val="000000" w:themeColor="text1"/>
          <w:lang w:val="en-US"/>
        </w:rPr>
        <w:t xml:space="preserve">N values (Beaumont et al. 2015a). Burt and Garvie-Lok (2013) </w:t>
      </w:r>
      <w:r w:rsidR="00D1536C" w:rsidRPr="00825774">
        <w:rPr>
          <w:color w:val="000000" w:themeColor="text1"/>
          <w:lang w:val="en-US"/>
        </w:rPr>
        <w:t>propose</w:t>
      </w:r>
      <w:r w:rsidR="00D92711">
        <w:rPr>
          <w:color w:val="000000" w:themeColor="text1"/>
          <w:lang w:val="en-US"/>
        </w:rPr>
        <w:t>d</w:t>
      </w:r>
      <w:r w:rsidR="00D1536C" w:rsidRPr="00825774">
        <w:rPr>
          <w:color w:val="000000" w:themeColor="text1"/>
          <w:lang w:val="en-US"/>
        </w:rPr>
        <w:t xml:space="preserve"> the</w:t>
      </w:r>
      <w:r w:rsidRPr="00825774">
        <w:rPr>
          <w:color w:val="000000" w:themeColor="text1"/>
          <w:lang w:val="en-US"/>
        </w:rPr>
        <w:t xml:space="preserve"> u</w:t>
      </w:r>
      <w:r w:rsidR="00D1536C" w:rsidRPr="00825774">
        <w:rPr>
          <w:color w:val="000000" w:themeColor="text1"/>
          <w:lang w:val="en-US"/>
        </w:rPr>
        <w:t>se of</w:t>
      </w:r>
      <w:r w:rsidRPr="00825774">
        <w:rPr>
          <w:color w:val="000000" w:themeColor="text1"/>
          <w:lang w:val="en-US"/>
        </w:rPr>
        <w:t xml:space="preserve"> dentine microsampling of deciduous teeth to investigate dentine from postnatal life stages (after the neonatal line) and dentine from the period prior to birth (above the neonatal line). The results </w:t>
      </w:r>
      <w:r w:rsidR="00D1536C" w:rsidRPr="00825774">
        <w:rPr>
          <w:color w:val="000000" w:themeColor="text1"/>
          <w:lang w:val="en-US"/>
        </w:rPr>
        <w:t xml:space="preserve">from their own study </w:t>
      </w:r>
      <w:r w:rsidRPr="00825774">
        <w:rPr>
          <w:color w:val="000000" w:themeColor="text1"/>
          <w:lang w:val="en-US"/>
        </w:rPr>
        <w:t>demonstrated a high variability in pre-neonatal values</w:t>
      </w:r>
      <w:r w:rsidR="00D1536C" w:rsidRPr="00825774">
        <w:rPr>
          <w:color w:val="000000" w:themeColor="text1"/>
          <w:lang w:val="en-US"/>
        </w:rPr>
        <w:t xml:space="preserve">, </w:t>
      </w:r>
      <w:r w:rsidRPr="00825774">
        <w:rPr>
          <w:color w:val="000000" w:themeColor="text1"/>
          <w:lang w:val="en-US"/>
        </w:rPr>
        <w:t xml:space="preserve">possibly due to multiple factors such as variation in maternal diet, varying maternal-fetal offset, and variation in maternal </w:t>
      </w:r>
      <w:r w:rsidRPr="00825774">
        <w:rPr>
          <w:color w:val="000000" w:themeColor="text1"/>
          <w:lang w:val="en-US"/>
        </w:rPr>
        <w:sym w:font="Symbol" w:char="F064"/>
      </w:r>
      <w:r w:rsidRPr="00825774">
        <w:rPr>
          <w:color w:val="000000" w:themeColor="text1"/>
          <w:vertAlign w:val="superscript"/>
          <w:lang w:val="en-US"/>
        </w:rPr>
        <w:t>15</w:t>
      </w:r>
      <w:r w:rsidRPr="00825774">
        <w:rPr>
          <w:color w:val="000000" w:themeColor="text1"/>
          <w:lang w:val="en-US"/>
        </w:rPr>
        <w:t xml:space="preserve">N in response to nutritional factors (weight gain and morning sickness) (Fuller et al. 2004, 2005, 2006). </w:t>
      </w:r>
      <w:r w:rsidR="00D1536C" w:rsidRPr="00825774">
        <w:rPr>
          <w:color w:val="000000" w:themeColor="text1"/>
          <w:lang w:val="en-US"/>
        </w:rPr>
        <w:t>Meanwhile, p</w:t>
      </w:r>
      <w:r w:rsidRPr="00825774">
        <w:rPr>
          <w:color w:val="000000" w:themeColor="text1"/>
          <w:lang w:val="en-US"/>
        </w:rPr>
        <w:t xml:space="preserve">ost-natal values were consistent with expected weaning patterns, indicating that nitrogen isotope values of mothers </w:t>
      </w:r>
      <w:r w:rsidR="00FB222C" w:rsidRPr="00825774">
        <w:rPr>
          <w:color w:val="000000" w:themeColor="text1"/>
          <w:lang w:val="en-US"/>
        </w:rPr>
        <w:t xml:space="preserve">substantially </w:t>
      </w:r>
      <w:r w:rsidRPr="00825774">
        <w:rPr>
          <w:color w:val="000000" w:themeColor="text1"/>
          <w:lang w:val="en-US"/>
        </w:rPr>
        <w:t xml:space="preserve">impact the observed </w:t>
      </w:r>
      <w:r w:rsidRPr="00825774">
        <w:rPr>
          <w:color w:val="000000" w:themeColor="text1"/>
          <w:lang w:val="en-US"/>
        </w:rPr>
        <w:sym w:font="Symbol" w:char="F064"/>
      </w:r>
      <w:r w:rsidRPr="00825774">
        <w:rPr>
          <w:color w:val="000000" w:themeColor="text1"/>
          <w:vertAlign w:val="superscript"/>
          <w:lang w:val="en-US"/>
        </w:rPr>
        <w:t>15</w:t>
      </w:r>
      <w:r w:rsidRPr="00825774">
        <w:rPr>
          <w:color w:val="000000" w:themeColor="text1"/>
          <w:lang w:val="en-US"/>
        </w:rPr>
        <w:t>N values seen in bodily tissues of infants</w:t>
      </w:r>
      <w:r w:rsidR="00FB222C" w:rsidRPr="00825774">
        <w:rPr>
          <w:color w:val="000000" w:themeColor="text1"/>
          <w:lang w:val="en-US"/>
        </w:rPr>
        <w:t xml:space="preserve">. Consequently, using dentine serial samples as opposed to bone collagen can allow bioarchaeologists to separate </w:t>
      </w:r>
      <w:r w:rsidR="00FB222C" w:rsidRPr="00825774">
        <w:rPr>
          <w:color w:val="000000" w:themeColor="text1"/>
          <w:lang w:val="en-US"/>
        </w:rPr>
        <w:sym w:font="Symbol" w:char="F064"/>
      </w:r>
      <w:r w:rsidR="00FB222C" w:rsidRPr="00825774">
        <w:rPr>
          <w:color w:val="000000" w:themeColor="text1"/>
          <w:vertAlign w:val="superscript"/>
          <w:lang w:val="en-US"/>
        </w:rPr>
        <w:t>15</w:t>
      </w:r>
      <w:r w:rsidR="00FB222C" w:rsidRPr="00825774">
        <w:rPr>
          <w:color w:val="000000" w:themeColor="text1"/>
          <w:lang w:val="en-US"/>
        </w:rPr>
        <w:t xml:space="preserve">N values influenced by maternal isotope values from true weaning </w:t>
      </w:r>
      <w:r w:rsidR="00FB222C" w:rsidRPr="00825774">
        <w:rPr>
          <w:color w:val="000000" w:themeColor="text1"/>
          <w:lang w:val="en-US"/>
        </w:rPr>
        <w:sym w:font="Symbol" w:char="F064"/>
      </w:r>
      <w:r w:rsidR="00FB222C" w:rsidRPr="00825774">
        <w:rPr>
          <w:color w:val="000000" w:themeColor="text1"/>
          <w:vertAlign w:val="superscript"/>
          <w:lang w:val="en-US"/>
        </w:rPr>
        <w:t>15</w:t>
      </w:r>
      <w:r w:rsidR="00FB222C" w:rsidRPr="00825774">
        <w:rPr>
          <w:color w:val="000000" w:themeColor="text1"/>
          <w:lang w:val="en-US"/>
        </w:rPr>
        <w:t xml:space="preserve">N data. </w:t>
      </w:r>
    </w:p>
    <w:p w14:paraId="262F2BE7" w14:textId="77777777" w:rsidR="003B5B7F" w:rsidRPr="00825774" w:rsidRDefault="003B5B7F" w:rsidP="001C6BF3">
      <w:pPr>
        <w:rPr>
          <w:color w:val="000000" w:themeColor="text1"/>
          <w:lang w:val="en-US"/>
        </w:rPr>
      </w:pPr>
    </w:p>
    <w:p w14:paraId="7AB3F5A3" w14:textId="35D6E6A8" w:rsidR="003B5B7F" w:rsidRPr="008C4A6A" w:rsidRDefault="003B5B7F" w:rsidP="001C6BF3">
      <w:pPr>
        <w:pStyle w:val="ListParagraph"/>
        <w:spacing w:line="480" w:lineRule="auto"/>
        <w:ind w:left="0"/>
        <w:rPr>
          <w:rFonts w:ascii="Times New Roman" w:hAnsi="Times New Roman" w:cs="Times New Roman"/>
          <w:b/>
        </w:rPr>
      </w:pPr>
      <w:r w:rsidRPr="00754EB2">
        <w:rPr>
          <w:rFonts w:ascii="Times New Roman" w:hAnsi="Times New Roman" w:cs="Times New Roman"/>
          <w:b/>
        </w:rPr>
        <w:t>3.</w:t>
      </w:r>
      <w:r w:rsidR="00055320" w:rsidRPr="008C4A6A">
        <w:rPr>
          <w:rFonts w:ascii="Times New Roman" w:hAnsi="Times New Roman" w:cs="Times New Roman"/>
          <w:b/>
        </w:rPr>
        <w:t>5</w:t>
      </w:r>
      <w:r w:rsidRPr="008C4A6A">
        <w:rPr>
          <w:rFonts w:ascii="Times New Roman" w:hAnsi="Times New Roman" w:cs="Times New Roman"/>
          <w:b/>
        </w:rPr>
        <w:t xml:space="preserve"> </w:t>
      </w:r>
      <w:r w:rsidR="00C222FE">
        <w:rPr>
          <w:rFonts w:ascii="Times New Roman" w:hAnsi="Times New Roman" w:cs="Times New Roman"/>
          <w:b/>
        </w:rPr>
        <w:t>Summary</w:t>
      </w:r>
    </w:p>
    <w:p w14:paraId="64E35B4F" w14:textId="77777777" w:rsidR="003B5B7F" w:rsidRPr="008C4A6A" w:rsidRDefault="003B5B7F" w:rsidP="001C6BF3">
      <w:pPr>
        <w:pStyle w:val="ListParagraph"/>
        <w:ind w:left="0"/>
        <w:rPr>
          <w:rFonts w:ascii="Times New Roman" w:hAnsi="Times New Roman" w:cs="Times New Roman"/>
          <w:b/>
        </w:rPr>
      </w:pPr>
    </w:p>
    <w:p w14:paraId="3D434FA0" w14:textId="27F8053E" w:rsidR="00CF5BB7" w:rsidRPr="00825774" w:rsidRDefault="003B5B7F" w:rsidP="00FB222C">
      <w:pPr>
        <w:spacing w:line="480" w:lineRule="auto"/>
        <w:ind w:firstLine="720"/>
        <w:rPr>
          <w:lang w:val="en-US"/>
        </w:rPr>
      </w:pPr>
      <w:r w:rsidRPr="00825774">
        <w:rPr>
          <w:lang w:val="en-US"/>
        </w:rPr>
        <w:t xml:space="preserve">Stable nitrogen and carbon isotope analysis </w:t>
      </w:r>
      <w:r w:rsidR="003E7600" w:rsidRPr="00825774">
        <w:rPr>
          <w:lang w:val="en-US"/>
        </w:rPr>
        <w:t>are</w:t>
      </w:r>
      <w:r w:rsidRPr="00825774">
        <w:rPr>
          <w:lang w:val="en-US"/>
        </w:rPr>
        <w:t xml:space="preserve"> regularly used in studies to investigate breastfeeding and weaning practices in past populations. </w:t>
      </w:r>
      <w:r w:rsidR="003E7600" w:rsidRPr="00825774">
        <w:rPr>
          <w:lang w:val="en-US"/>
        </w:rPr>
        <w:t>B</w:t>
      </w:r>
      <w:r w:rsidRPr="00825774">
        <w:rPr>
          <w:lang w:val="en-US"/>
        </w:rPr>
        <w:t xml:space="preserve">one collagen has often </w:t>
      </w:r>
      <w:r w:rsidR="003E7600" w:rsidRPr="00825774">
        <w:rPr>
          <w:lang w:val="en-US"/>
        </w:rPr>
        <w:t xml:space="preserve">been </w:t>
      </w:r>
      <w:r w:rsidRPr="00825774">
        <w:rPr>
          <w:lang w:val="en-US"/>
        </w:rPr>
        <w:t>used to investigate breastfeeding and weaning patterns</w:t>
      </w:r>
      <w:r w:rsidR="00D92711">
        <w:rPr>
          <w:lang w:val="en-US"/>
        </w:rPr>
        <w:t>;</w:t>
      </w:r>
      <w:r w:rsidR="007830A4" w:rsidRPr="00825774">
        <w:rPr>
          <w:lang w:val="en-US"/>
        </w:rPr>
        <w:t xml:space="preserve"> </w:t>
      </w:r>
      <w:r w:rsidR="003E7600" w:rsidRPr="00825774">
        <w:rPr>
          <w:lang w:val="en-US"/>
        </w:rPr>
        <w:t>h</w:t>
      </w:r>
      <w:r w:rsidRPr="00825774">
        <w:rPr>
          <w:lang w:val="en-US"/>
        </w:rPr>
        <w:t xml:space="preserve">owever, recent literature has suggested that tooth dentine </w:t>
      </w:r>
      <w:r w:rsidR="003E7600" w:rsidRPr="00825774">
        <w:rPr>
          <w:lang w:val="en-US"/>
        </w:rPr>
        <w:t>has more benefits in stable isotope analysis as it is a</w:t>
      </w:r>
      <w:r w:rsidRPr="00825774">
        <w:rPr>
          <w:lang w:val="en-US"/>
        </w:rPr>
        <w:t xml:space="preserve"> </w:t>
      </w:r>
      <w:r w:rsidR="003E7600" w:rsidRPr="00825774">
        <w:rPr>
          <w:lang w:val="en-US"/>
        </w:rPr>
        <w:t>time-</w:t>
      </w:r>
      <w:r w:rsidRPr="00825774">
        <w:rPr>
          <w:lang w:val="en-US"/>
        </w:rPr>
        <w:t xml:space="preserve">sensitive tissue. </w:t>
      </w:r>
      <w:r w:rsidR="003E7600" w:rsidRPr="00825774">
        <w:rPr>
          <w:lang w:val="en-US"/>
        </w:rPr>
        <w:t>More specifically, r</w:t>
      </w:r>
      <w:r w:rsidRPr="00825774">
        <w:rPr>
          <w:lang w:val="en-US"/>
        </w:rPr>
        <w:t>econstructions of early diet and life history using an intra-tooth approach can circumvent potential problems associated with mortality bias</w:t>
      </w:r>
      <w:r w:rsidR="003E7600" w:rsidRPr="00825774">
        <w:rPr>
          <w:lang w:val="en-US"/>
        </w:rPr>
        <w:t xml:space="preserve"> (</w:t>
      </w:r>
      <w:r w:rsidRPr="00825774">
        <w:rPr>
          <w:lang w:val="en-US"/>
        </w:rPr>
        <w:t>which may operate strongly during infancy and childhood</w:t>
      </w:r>
      <w:r w:rsidR="003E7600" w:rsidRPr="00825774">
        <w:rPr>
          <w:lang w:val="en-US"/>
        </w:rPr>
        <w:t xml:space="preserve">), bone turnover </w:t>
      </w:r>
      <w:r w:rsidR="003E7600" w:rsidRPr="00825774">
        <w:rPr>
          <w:lang w:val="en-US"/>
        </w:rPr>
        <w:lastRenderedPageBreak/>
        <w:t>rates and rapid death as a result of malnourishment or acute disease</w:t>
      </w:r>
      <w:r w:rsidRPr="00825774">
        <w:rPr>
          <w:lang w:val="en-US"/>
        </w:rPr>
        <w:t xml:space="preserve">. </w:t>
      </w:r>
      <w:r w:rsidR="00D64268" w:rsidRPr="00825774">
        <w:rPr>
          <w:lang w:val="en-US"/>
        </w:rPr>
        <w:t>T</w:t>
      </w:r>
      <w:r w:rsidR="003E7600" w:rsidRPr="00825774">
        <w:rPr>
          <w:lang w:val="en-US"/>
        </w:rPr>
        <w:t xml:space="preserve">hrough sequential dentine sampling, researchers are able to obtain temporal resolution when </w:t>
      </w:r>
      <w:r w:rsidRPr="00825774">
        <w:rPr>
          <w:lang w:val="en-US"/>
        </w:rPr>
        <w:t>observ</w:t>
      </w:r>
      <w:r w:rsidR="003E7600" w:rsidRPr="00825774">
        <w:rPr>
          <w:lang w:val="en-US"/>
        </w:rPr>
        <w:t>ing</w:t>
      </w:r>
      <w:r w:rsidRPr="00825774">
        <w:rPr>
          <w:lang w:val="en-US"/>
        </w:rPr>
        <w:t xml:space="preserve"> isotopic changes </w:t>
      </w:r>
      <w:r w:rsidR="003E7600" w:rsidRPr="00825774">
        <w:rPr>
          <w:lang w:val="en-US"/>
        </w:rPr>
        <w:t>associated with</w:t>
      </w:r>
      <w:r w:rsidRPr="00825774">
        <w:rPr>
          <w:lang w:val="en-US"/>
        </w:rPr>
        <w:t xml:space="preserve"> dietary changes, infant-feeding practices and physiological stress in past populations.</w:t>
      </w:r>
    </w:p>
    <w:p w14:paraId="709382E5" w14:textId="77777777" w:rsidR="0063189D" w:rsidRPr="00825774" w:rsidRDefault="0063189D">
      <w:pPr>
        <w:rPr>
          <w:lang w:val="en-US"/>
        </w:rPr>
      </w:pPr>
    </w:p>
    <w:p w14:paraId="34CC13E2" w14:textId="142396C7" w:rsidR="00CF5BB7" w:rsidRPr="00825774" w:rsidRDefault="00CF5BB7">
      <w:pPr>
        <w:rPr>
          <w:lang w:val="en-US"/>
        </w:rPr>
      </w:pPr>
    </w:p>
    <w:p w14:paraId="79FC600F" w14:textId="77777777" w:rsidR="003E5D96" w:rsidRDefault="003E5D96" w:rsidP="001A522E">
      <w:pPr>
        <w:spacing w:line="480" w:lineRule="auto"/>
        <w:rPr>
          <w:b/>
          <w:lang w:val="en-US"/>
        </w:rPr>
      </w:pPr>
    </w:p>
    <w:p w14:paraId="2E9D1122" w14:textId="1F61DF44" w:rsidR="001C6BF3" w:rsidRDefault="001C6BF3" w:rsidP="001A522E">
      <w:pPr>
        <w:spacing w:line="480" w:lineRule="auto"/>
        <w:rPr>
          <w:b/>
          <w:lang w:val="en-US"/>
        </w:rPr>
      </w:pPr>
    </w:p>
    <w:p w14:paraId="08BEF7D1" w14:textId="2135C4AD" w:rsidR="00BD4967" w:rsidRDefault="00BD4967" w:rsidP="001A522E">
      <w:pPr>
        <w:spacing w:line="480" w:lineRule="auto"/>
        <w:rPr>
          <w:b/>
          <w:lang w:val="en-US"/>
        </w:rPr>
      </w:pPr>
    </w:p>
    <w:p w14:paraId="26C6D9B8" w14:textId="359B3C84" w:rsidR="00BD4967" w:rsidRDefault="00BD4967" w:rsidP="001A522E">
      <w:pPr>
        <w:spacing w:line="480" w:lineRule="auto"/>
        <w:rPr>
          <w:b/>
          <w:lang w:val="en-US"/>
        </w:rPr>
      </w:pPr>
    </w:p>
    <w:p w14:paraId="1F6D512C" w14:textId="3FCFC7D2" w:rsidR="00BD4967" w:rsidRDefault="00BD4967" w:rsidP="001A522E">
      <w:pPr>
        <w:spacing w:line="480" w:lineRule="auto"/>
        <w:rPr>
          <w:b/>
          <w:lang w:val="en-US"/>
        </w:rPr>
      </w:pPr>
    </w:p>
    <w:p w14:paraId="21319E08" w14:textId="07884B1D" w:rsidR="00BD4967" w:rsidRDefault="00BD4967" w:rsidP="001A522E">
      <w:pPr>
        <w:spacing w:line="480" w:lineRule="auto"/>
        <w:rPr>
          <w:b/>
          <w:lang w:val="en-US"/>
        </w:rPr>
      </w:pPr>
    </w:p>
    <w:p w14:paraId="12B63F7A" w14:textId="74ADD7AD" w:rsidR="00BD4967" w:rsidRDefault="00BD4967" w:rsidP="001A522E">
      <w:pPr>
        <w:spacing w:line="480" w:lineRule="auto"/>
        <w:rPr>
          <w:b/>
          <w:lang w:val="en-US"/>
        </w:rPr>
      </w:pPr>
    </w:p>
    <w:p w14:paraId="4C37F611" w14:textId="19E7CB83" w:rsidR="00BD4967" w:rsidRDefault="00BD4967" w:rsidP="001A522E">
      <w:pPr>
        <w:spacing w:line="480" w:lineRule="auto"/>
        <w:rPr>
          <w:b/>
          <w:lang w:val="en-US"/>
        </w:rPr>
      </w:pPr>
    </w:p>
    <w:p w14:paraId="6C771231" w14:textId="71F28407" w:rsidR="00BD4967" w:rsidRDefault="00BD4967" w:rsidP="001A522E">
      <w:pPr>
        <w:spacing w:line="480" w:lineRule="auto"/>
        <w:rPr>
          <w:b/>
          <w:lang w:val="en-US"/>
        </w:rPr>
      </w:pPr>
      <w:r>
        <w:rPr>
          <w:b/>
          <w:lang w:val="en-US"/>
        </w:rPr>
        <w:br/>
      </w:r>
    </w:p>
    <w:p w14:paraId="7FBFF2BB" w14:textId="01CFE93F" w:rsidR="00BD4967" w:rsidRDefault="00BD4967" w:rsidP="001A522E">
      <w:pPr>
        <w:spacing w:line="480" w:lineRule="auto"/>
        <w:rPr>
          <w:b/>
          <w:lang w:val="en-US"/>
        </w:rPr>
      </w:pPr>
    </w:p>
    <w:p w14:paraId="2033CC5D" w14:textId="7E33C148" w:rsidR="00BD4967" w:rsidRDefault="00BD4967" w:rsidP="001A522E">
      <w:pPr>
        <w:spacing w:line="480" w:lineRule="auto"/>
        <w:rPr>
          <w:b/>
          <w:lang w:val="en-US"/>
        </w:rPr>
      </w:pPr>
    </w:p>
    <w:p w14:paraId="228AF286" w14:textId="4786D2D3" w:rsidR="00BD4967" w:rsidRDefault="00BD4967" w:rsidP="001A522E">
      <w:pPr>
        <w:spacing w:line="480" w:lineRule="auto"/>
        <w:rPr>
          <w:b/>
          <w:lang w:val="en-US"/>
        </w:rPr>
      </w:pPr>
    </w:p>
    <w:p w14:paraId="1A52C1D2" w14:textId="73E24E9B" w:rsidR="00BD4967" w:rsidRDefault="00BD4967" w:rsidP="001A522E">
      <w:pPr>
        <w:spacing w:line="480" w:lineRule="auto"/>
        <w:rPr>
          <w:b/>
          <w:lang w:val="en-US"/>
        </w:rPr>
      </w:pPr>
    </w:p>
    <w:p w14:paraId="4BEE8ECA" w14:textId="19E8A63D" w:rsidR="00BD4967" w:rsidRDefault="00BD4967" w:rsidP="001A522E">
      <w:pPr>
        <w:spacing w:line="480" w:lineRule="auto"/>
        <w:rPr>
          <w:b/>
          <w:lang w:val="en-US"/>
        </w:rPr>
      </w:pPr>
    </w:p>
    <w:p w14:paraId="0D3E373F" w14:textId="26DA317F" w:rsidR="00BD4967" w:rsidRDefault="00BD4967" w:rsidP="001A522E">
      <w:pPr>
        <w:spacing w:line="480" w:lineRule="auto"/>
        <w:rPr>
          <w:b/>
          <w:lang w:val="en-US"/>
        </w:rPr>
      </w:pPr>
    </w:p>
    <w:p w14:paraId="1BA9A52A" w14:textId="77777777" w:rsidR="00BD4967" w:rsidRDefault="00BD4967" w:rsidP="001A522E">
      <w:pPr>
        <w:spacing w:line="480" w:lineRule="auto"/>
        <w:rPr>
          <w:b/>
          <w:lang w:val="en-US"/>
        </w:rPr>
      </w:pPr>
    </w:p>
    <w:p w14:paraId="13810F25" w14:textId="5AA72230" w:rsidR="001A522E" w:rsidRPr="00825774" w:rsidRDefault="001A522E" w:rsidP="00984CB3">
      <w:pPr>
        <w:spacing w:line="480" w:lineRule="auto"/>
        <w:jc w:val="center"/>
        <w:rPr>
          <w:b/>
          <w:lang w:val="en-US"/>
        </w:rPr>
      </w:pPr>
      <w:r w:rsidRPr="00825774">
        <w:rPr>
          <w:b/>
          <w:lang w:val="en-US"/>
        </w:rPr>
        <w:lastRenderedPageBreak/>
        <w:t xml:space="preserve">Chapter 4: </w:t>
      </w:r>
      <w:r w:rsidR="00CF5BB7" w:rsidRPr="00825774">
        <w:rPr>
          <w:b/>
          <w:lang w:val="en-US"/>
        </w:rPr>
        <w:t>Materials and Methods</w:t>
      </w:r>
    </w:p>
    <w:p w14:paraId="62F82D06" w14:textId="5AA2C2F9" w:rsidR="001A522E" w:rsidRDefault="00CF5BB7" w:rsidP="001C6BF3">
      <w:pPr>
        <w:spacing w:line="480" w:lineRule="auto"/>
        <w:rPr>
          <w:b/>
          <w:lang w:val="en-US"/>
        </w:rPr>
      </w:pPr>
      <w:r w:rsidRPr="00825774">
        <w:rPr>
          <w:b/>
          <w:lang w:val="en-US"/>
        </w:rPr>
        <w:t>4.1 Study Sites</w:t>
      </w:r>
    </w:p>
    <w:p w14:paraId="311EA7AB" w14:textId="77777777" w:rsidR="001C6BF3" w:rsidRPr="001C6BF3" w:rsidRDefault="001C6BF3" w:rsidP="001C6BF3">
      <w:pPr>
        <w:rPr>
          <w:b/>
          <w:lang w:val="en-US"/>
        </w:rPr>
      </w:pPr>
    </w:p>
    <w:p w14:paraId="17231684" w14:textId="1D0B301A" w:rsidR="00887EF1" w:rsidRDefault="00CF5BB7" w:rsidP="00AF6259">
      <w:pPr>
        <w:pStyle w:val="NormalWeb"/>
        <w:spacing w:line="480" w:lineRule="auto"/>
        <w:ind w:firstLine="720"/>
        <w:rPr>
          <w:rFonts w:ascii="TimesNewRomanPSMT" w:hAnsi="TimesNewRomanPSMT" w:cs="TimesNewRomanPSMT"/>
          <w:lang w:val="en-US"/>
        </w:rPr>
      </w:pPr>
      <w:r w:rsidRPr="00825774">
        <w:rPr>
          <w:lang w:val="en-US"/>
        </w:rPr>
        <w:t>The territory surrounding Gravina in Puglia in southern Italy has been inhabited since the Paleolithic with some of the oldest settlements found in the districts of Vagnari, Altamura and San Felice, seen in Figure 4.1 (Peruzzi 2016). Various Iron Age (1</w:t>
      </w:r>
      <w:r w:rsidRPr="00825774">
        <w:rPr>
          <w:vertAlign w:val="superscript"/>
          <w:lang w:val="en-US"/>
        </w:rPr>
        <w:t>st</w:t>
      </w:r>
      <w:r w:rsidRPr="00825774">
        <w:rPr>
          <w:lang w:val="en-US"/>
        </w:rPr>
        <w:t xml:space="preserve"> millennium BCE) necropoleis have also been identified just outside the modern city of Gravina in Puglia. The number of Iron Age tombs recorded for the entire region is staggering, with </w:t>
      </w:r>
      <w:r w:rsidR="003E5D96">
        <w:rPr>
          <w:lang w:val="en-US"/>
        </w:rPr>
        <w:t>estimates ranging from</w:t>
      </w:r>
      <w:r w:rsidR="003E5D96" w:rsidRPr="00825774">
        <w:rPr>
          <w:lang w:val="en-US"/>
        </w:rPr>
        <w:t xml:space="preserve"> </w:t>
      </w:r>
      <w:r w:rsidRPr="00825774">
        <w:rPr>
          <w:lang w:val="en-US"/>
        </w:rPr>
        <w:t xml:space="preserve">1200 to 1400 tombs (Peruzzi 2016). However, due to the continuity of occupation and looting in the region (both in antiquity and modern times) a high percentage of tombs have been destroyed. The skeletal samples examined for this study were obtained from </w:t>
      </w:r>
      <w:r w:rsidR="00C642E5" w:rsidRPr="00825774">
        <w:rPr>
          <w:lang w:val="en-US"/>
        </w:rPr>
        <w:t>three</w:t>
      </w:r>
      <w:r w:rsidRPr="00825774">
        <w:rPr>
          <w:lang w:val="en-US"/>
        </w:rPr>
        <w:t xml:space="preserve"> Iron Age sites containing burials: Botromagno (identified in the historical records as </w:t>
      </w:r>
      <w:r w:rsidRPr="00825774">
        <w:rPr>
          <w:i/>
          <w:lang w:val="en-US"/>
        </w:rPr>
        <w:t>Silvium</w:t>
      </w:r>
      <w:r w:rsidRPr="00825774">
        <w:rPr>
          <w:lang w:val="en-US"/>
        </w:rPr>
        <w:t xml:space="preserve">), Parco San Stefano, and Padreterno, </w:t>
      </w:r>
      <w:r w:rsidR="00473967" w:rsidRPr="00825774">
        <w:rPr>
          <w:lang w:val="en-US"/>
        </w:rPr>
        <w:t xml:space="preserve">all </w:t>
      </w:r>
      <w:r w:rsidRPr="00825774">
        <w:rPr>
          <w:lang w:val="en-US"/>
        </w:rPr>
        <w:t xml:space="preserve">located just </w:t>
      </w:r>
      <w:r w:rsidRPr="00825774">
        <w:rPr>
          <w:rFonts w:ascii="TimesNewRomanPSMT" w:hAnsi="TimesNewRomanPSMT" w:cs="TimesNewRomanPSMT"/>
          <w:lang w:val="en-US"/>
        </w:rPr>
        <w:t xml:space="preserve">immediately West of Gravina and separated from the modern town by a ravine (Figure 4.1). </w:t>
      </w:r>
    </w:p>
    <w:p w14:paraId="49B524FB" w14:textId="45589E21" w:rsidR="00F974AE" w:rsidRDefault="00F974AE" w:rsidP="00AF6259">
      <w:pPr>
        <w:pStyle w:val="NormalWeb"/>
        <w:spacing w:line="480" w:lineRule="auto"/>
        <w:ind w:firstLine="720"/>
        <w:rPr>
          <w:rFonts w:ascii="TimesNewRomanPSMT" w:hAnsi="TimesNewRomanPSMT" w:cs="TimesNewRomanPSMT"/>
          <w:lang w:val="en-US"/>
        </w:rPr>
      </w:pPr>
    </w:p>
    <w:p w14:paraId="73B735DF" w14:textId="569A9CB4" w:rsidR="00F974AE" w:rsidRDefault="00F974AE" w:rsidP="00AF6259">
      <w:pPr>
        <w:pStyle w:val="NormalWeb"/>
        <w:spacing w:line="480" w:lineRule="auto"/>
        <w:ind w:firstLine="720"/>
        <w:rPr>
          <w:rFonts w:ascii="TimesNewRomanPSMT" w:hAnsi="TimesNewRomanPSMT" w:cs="TimesNewRomanPSMT"/>
          <w:lang w:val="en-US"/>
        </w:rPr>
      </w:pPr>
    </w:p>
    <w:p w14:paraId="047A866D" w14:textId="6B83BFB0" w:rsidR="00F974AE" w:rsidRDefault="00F974AE" w:rsidP="00AF6259">
      <w:pPr>
        <w:pStyle w:val="NormalWeb"/>
        <w:spacing w:line="480" w:lineRule="auto"/>
        <w:ind w:firstLine="720"/>
        <w:rPr>
          <w:rFonts w:ascii="TimesNewRomanPSMT" w:hAnsi="TimesNewRomanPSMT" w:cs="TimesNewRomanPSMT"/>
          <w:lang w:val="en-US"/>
        </w:rPr>
      </w:pPr>
    </w:p>
    <w:p w14:paraId="385DB6B4" w14:textId="7E36E34A" w:rsidR="00F974AE" w:rsidRDefault="00F974AE" w:rsidP="00AF6259">
      <w:pPr>
        <w:pStyle w:val="NormalWeb"/>
        <w:spacing w:line="480" w:lineRule="auto"/>
        <w:ind w:firstLine="720"/>
        <w:rPr>
          <w:rFonts w:ascii="TimesNewRomanPSMT" w:hAnsi="TimesNewRomanPSMT" w:cs="TimesNewRomanPSMT"/>
          <w:lang w:val="en-US"/>
        </w:rPr>
      </w:pPr>
    </w:p>
    <w:p w14:paraId="1ABA8E2A" w14:textId="01EC938A" w:rsidR="00F974AE" w:rsidRDefault="00F974AE" w:rsidP="00AF6259">
      <w:pPr>
        <w:pStyle w:val="NormalWeb"/>
        <w:spacing w:line="480" w:lineRule="auto"/>
        <w:ind w:firstLine="720"/>
        <w:rPr>
          <w:rFonts w:ascii="TimesNewRomanPSMT" w:hAnsi="TimesNewRomanPSMT" w:cs="TimesNewRomanPSMT"/>
          <w:lang w:val="en-US"/>
        </w:rPr>
      </w:pPr>
    </w:p>
    <w:p w14:paraId="6BE4C409" w14:textId="4241823C" w:rsidR="00F974AE" w:rsidRDefault="00F974AE" w:rsidP="00AF6259">
      <w:pPr>
        <w:pStyle w:val="NormalWeb"/>
        <w:spacing w:line="480" w:lineRule="auto"/>
        <w:ind w:firstLine="720"/>
        <w:rPr>
          <w:rFonts w:ascii="TimesNewRomanPSMT" w:hAnsi="TimesNewRomanPSMT" w:cs="TimesNewRomanPSMT"/>
          <w:lang w:val="en-US"/>
        </w:rPr>
      </w:pPr>
    </w:p>
    <w:p w14:paraId="7944459F" w14:textId="4B2FEA36" w:rsidR="001C6BF3" w:rsidRDefault="001C6BF3" w:rsidP="00B13223">
      <w:pPr>
        <w:pStyle w:val="NormalWeb"/>
        <w:spacing w:line="480" w:lineRule="auto"/>
        <w:rPr>
          <w:rFonts w:ascii="TimesNewRomanPSMT" w:hAnsi="TimesNewRomanPSMT" w:cs="TimesNewRomanPSMT"/>
          <w:lang w:val="en-US"/>
        </w:rPr>
      </w:pPr>
    </w:p>
    <w:p w14:paraId="0838EE11" w14:textId="77777777" w:rsidR="001C6BF3" w:rsidRPr="00825774" w:rsidRDefault="001C6BF3" w:rsidP="00AF6259">
      <w:pPr>
        <w:pStyle w:val="NormalWeb"/>
        <w:spacing w:line="480" w:lineRule="auto"/>
        <w:ind w:firstLine="720"/>
        <w:rPr>
          <w:rFonts w:ascii="TimesNewRomanPSMT" w:hAnsi="TimesNewRomanPSMT" w:cs="TimesNewRomanPSMT"/>
          <w:lang w:val="en-US"/>
        </w:rPr>
      </w:pPr>
    </w:p>
    <w:p w14:paraId="00A92C40" w14:textId="77777777" w:rsidR="00CF5BB7" w:rsidRPr="00825774" w:rsidRDefault="00CF5BB7" w:rsidP="00CF5BB7">
      <w:pPr>
        <w:pStyle w:val="NormalWeb"/>
        <w:spacing w:line="480" w:lineRule="auto"/>
        <w:jc w:val="center"/>
        <w:rPr>
          <w:rFonts w:ascii="TimesNewRomanPSMT" w:hAnsi="TimesNewRomanPSMT" w:cs="TimesNewRomanPSMT"/>
          <w:lang w:val="en-US"/>
        </w:rPr>
      </w:pPr>
      <w:r w:rsidRPr="00825774">
        <w:rPr>
          <w:rFonts w:ascii="TimesNewRomanPSMT" w:hAnsi="TimesNewRomanPSMT" w:cs="TimesNewRomanPSMT"/>
          <w:noProof/>
          <w:lang w:eastAsia="en-CA"/>
        </w:rPr>
        <w:lastRenderedPageBreak/>
        <w:drawing>
          <wp:inline distT="0" distB="0" distL="0" distR="0" wp14:anchorId="2669490B" wp14:editId="5B1E25B9">
            <wp:extent cx="3136532" cy="260908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6028" cy="2616988"/>
                    </a:xfrm>
                    <a:prstGeom prst="rect">
                      <a:avLst/>
                    </a:prstGeom>
                    <a:noFill/>
                    <a:ln>
                      <a:noFill/>
                    </a:ln>
                  </pic:spPr>
                </pic:pic>
              </a:graphicData>
            </a:graphic>
          </wp:inline>
        </w:drawing>
      </w:r>
    </w:p>
    <w:p w14:paraId="77E1D839" w14:textId="08797F52" w:rsidR="0016114B" w:rsidRPr="0016114B" w:rsidRDefault="00CF5BB7" w:rsidP="0016114B">
      <w:pPr>
        <w:pStyle w:val="NormalWeb"/>
        <w:jc w:val="center"/>
        <w:rPr>
          <w:rFonts w:ascii="TimesNewRomanPSMT" w:hAnsi="TimesNewRomanPSMT" w:cs="TimesNewRomanPSMT"/>
        </w:rPr>
      </w:pPr>
      <w:r w:rsidRPr="00825774">
        <w:rPr>
          <w:rFonts w:ascii="TimesNewRomanPSMT" w:hAnsi="TimesNewRomanPSMT" w:cs="TimesNewRomanPSMT"/>
          <w:b/>
          <w:lang w:val="en-US"/>
        </w:rPr>
        <w:t>Figure 4.1</w:t>
      </w:r>
      <w:r w:rsidR="00E14AE9">
        <w:rPr>
          <w:rFonts w:ascii="TimesNewRomanPSMT" w:hAnsi="TimesNewRomanPSMT" w:cs="TimesNewRomanPSMT"/>
          <w:b/>
          <w:lang w:val="en-US"/>
        </w:rPr>
        <w:t>:</w:t>
      </w:r>
      <w:r w:rsidRPr="00825774">
        <w:rPr>
          <w:rFonts w:ascii="TimesNewRomanPSMT" w:hAnsi="TimesNewRomanPSMT" w:cs="TimesNewRomanPSMT"/>
          <w:lang w:val="en-US"/>
        </w:rPr>
        <w:t xml:space="preserve"> Map of settlements located in the territory of Gravina in Puglia, south Italy</w:t>
      </w:r>
      <w:r w:rsidR="009F2206" w:rsidRPr="00825774">
        <w:rPr>
          <w:rFonts w:ascii="TimesNewRomanPSMT" w:hAnsi="TimesNewRomanPSMT" w:cs="TimesNewRomanPSMT"/>
          <w:lang w:val="en-US"/>
        </w:rPr>
        <w:t xml:space="preserve">. </w:t>
      </w:r>
      <w:r w:rsidR="0016114B">
        <w:rPr>
          <w:rFonts w:ascii="TimesNewRomanPSMT" w:hAnsi="TimesNewRomanPSMT" w:cs="TimesNewRomanPSMT"/>
          <w:lang w:val="en-US"/>
        </w:rPr>
        <w:t xml:space="preserve">Modified map from </w:t>
      </w:r>
      <w:r w:rsidR="0016114B" w:rsidRPr="0016114B">
        <w:rPr>
          <w:rFonts w:ascii="TimesNewRomanPSMT" w:hAnsi="TimesNewRomanPSMT" w:cs="TimesNewRomanPSMT"/>
        </w:rPr>
        <w:t>https://www.ed.ac.uk/history-classics-archaeology/classics/research/research-projects/vagnari</w:t>
      </w:r>
      <w:r w:rsidR="0016114B">
        <w:rPr>
          <w:rFonts w:ascii="TimesNewRomanPSMT" w:hAnsi="TimesNewRomanPSMT" w:cs="TimesNewRomanPSMT"/>
          <w:lang w:val="en-US"/>
        </w:rPr>
        <w:t>, accessed May 11, 2019.</w:t>
      </w:r>
    </w:p>
    <w:p w14:paraId="7F6AA0CB" w14:textId="272ED048" w:rsidR="00CF5BB7" w:rsidRDefault="00CF5BB7" w:rsidP="001C6BF3">
      <w:pPr>
        <w:pStyle w:val="NormalWeb"/>
        <w:jc w:val="center"/>
        <w:rPr>
          <w:i/>
        </w:rPr>
      </w:pPr>
    </w:p>
    <w:p w14:paraId="45DD6B7C" w14:textId="77777777" w:rsidR="00E14AE9" w:rsidRPr="00754EB2" w:rsidRDefault="00E14AE9" w:rsidP="00E14AE9">
      <w:pPr>
        <w:pStyle w:val="NormalWeb"/>
        <w:rPr>
          <w:i/>
        </w:rPr>
      </w:pPr>
    </w:p>
    <w:p w14:paraId="0EBF9B96" w14:textId="0B11AA7E" w:rsidR="001A522E" w:rsidRDefault="00CF5BB7" w:rsidP="001C6BF3">
      <w:pPr>
        <w:pStyle w:val="ListParagraph"/>
        <w:numPr>
          <w:ilvl w:val="2"/>
          <w:numId w:val="28"/>
        </w:numPr>
        <w:spacing w:line="480" w:lineRule="auto"/>
        <w:ind w:left="567" w:hanging="567"/>
        <w:rPr>
          <w:rFonts w:ascii="Times New Roman" w:hAnsi="Times New Roman" w:cs="Times New Roman"/>
        </w:rPr>
      </w:pPr>
      <w:r w:rsidRPr="001C6BF3">
        <w:rPr>
          <w:rFonts w:ascii="Times New Roman" w:hAnsi="Times New Roman" w:cs="Times New Roman"/>
        </w:rPr>
        <w:t>Historical Background: Iron Age of Southern Italy (</w:t>
      </w:r>
      <w:r w:rsidRPr="001C6BF3">
        <w:rPr>
          <w:rFonts w:ascii="Times New Roman" w:hAnsi="Times New Roman" w:cs="Times New Roman"/>
        </w:rPr>
        <w:sym w:font="Symbol" w:char="F07E"/>
      </w:r>
      <w:r w:rsidRPr="001C6BF3">
        <w:rPr>
          <w:rFonts w:ascii="Times New Roman" w:hAnsi="Times New Roman" w:cs="Times New Roman"/>
        </w:rPr>
        <w:t>1</w:t>
      </w:r>
      <w:r w:rsidRPr="001C6BF3">
        <w:rPr>
          <w:rFonts w:ascii="Times New Roman" w:hAnsi="Times New Roman" w:cs="Times New Roman"/>
          <w:vertAlign w:val="superscript"/>
        </w:rPr>
        <w:t>st</w:t>
      </w:r>
      <w:r w:rsidRPr="001C6BF3">
        <w:rPr>
          <w:rFonts w:ascii="Times New Roman" w:hAnsi="Times New Roman" w:cs="Times New Roman"/>
        </w:rPr>
        <w:t xml:space="preserve"> millennium BCE)</w:t>
      </w:r>
    </w:p>
    <w:p w14:paraId="3FC64C9C" w14:textId="77777777" w:rsidR="001C6BF3" w:rsidRPr="001C6BF3" w:rsidRDefault="001C6BF3" w:rsidP="001C6BF3">
      <w:pPr>
        <w:pStyle w:val="ListParagraph"/>
        <w:ind w:left="567"/>
        <w:rPr>
          <w:rFonts w:ascii="Times New Roman" w:hAnsi="Times New Roman" w:cs="Times New Roman"/>
        </w:rPr>
      </w:pPr>
    </w:p>
    <w:p w14:paraId="39F48D71" w14:textId="616B9D80" w:rsidR="00CF5BB7" w:rsidRPr="00825774" w:rsidRDefault="00CF5BB7" w:rsidP="001C6BF3">
      <w:pPr>
        <w:pStyle w:val="NormalWeb"/>
        <w:spacing w:line="480" w:lineRule="auto"/>
        <w:ind w:firstLine="709"/>
        <w:rPr>
          <w:lang w:val="en-US"/>
        </w:rPr>
      </w:pPr>
      <w:r w:rsidRPr="00825774">
        <w:rPr>
          <w:lang w:val="en-US"/>
        </w:rPr>
        <w:t>The beginning of the Iron Age in southern Italy saw a strong continuity of occupation from the Bronze Age (2300 BCE – 950 BCE), indicating that for the first two centuries (10</w:t>
      </w:r>
      <w:r w:rsidRPr="00825774">
        <w:rPr>
          <w:vertAlign w:val="superscript"/>
          <w:lang w:val="en-US"/>
        </w:rPr>
        <w:t>th</w:t>
      </w:r>
      <w:r w:rsidRPr="00825774">
        <w:rPr>
          <w:lang w:val="en-US"/>
        </w:rPr>
        <w:t xml:space="preserve"> – 8</w:t>
      </w:r>
      <w:r w:rsidRPr="00825774">
        <w:rPr>
          <w:vertAlign w:val="superscript"/>
          <w:lang w:val="en-US"/>
        </w:rPr>
        <w:t>th</w:t>
      </w:r>
      <w:r w:rsidRPr="00825774">
        <w:rPr>
          <w:lang w:val="en-US"/>
        </w:rPr>
        <w:t xml:space="preserve"> centuries BCE) human occupation took place in the same environmental niches as the preceding Bronze Age phases (Yntema 2013). During this period</w:t>
      </w:r>
      <w:r w:rsidR="003663F5">
        <w:rPr>
          <w:lang w:val="en-US"/>
        </w:rPr>
        <w:t>,</w:t>
      </w:r>
      <w:r w:rsidR="007D3ECA" w:rsidRPr="00825774">
        <w:rPr>
          <w:lang w:val="en-US"/>
        </w:rPr>
        <w:t xml:space="preserve"> </w:t>
      </w:r>
      <w:r w:rsidRPr="00825774">
        <w:rPr>
          <w:lang w:val="en-US"/>
        </w:rPr>
        <w:t xml:space="preserve">settlements were highly dispersed along coasts and on gently sloping hills rising over river valleys (Yntema 2013). </w:t>
      </w:r>
      <w:r w:rsidR="007D3ECA" w:rsidRPr="00825774">
        <w:rPr>
          <w:lang w:val="en-US"/>
        </w:rPr>
        <w:t>However, t</w:t>
      </w:r>
      <w:r w:rsidRPr="00825774">
        <w:rPr>
          <w:lang w:val="en-US"/>
        </w:rPr>
        <w:t>he 8</w:t>
      </w:r>
      <w:r w:rsidRPr="00825774">
        <w:rPr>
          <w:vertAlign w:val="superscript"/>
          <w:lang w:val="en-US"/>
        </w:rPr>
        <w:t>th</w:t>
      </w:r>
      <w:r w:rsidRPr="00825774">
        <w:rPr>
          <w:lang w:val="en-US"/>
        </w:rPr>
        <w:t xml:space="preserve"> century BCE saw major changes in settlement patterns in various parts of southeast Italy. Greek settlers began inhabiting areas in southern Italy, Asia Minor (present day Turkey), and the Black Sea region due to overcrowding, famine and political destabilization in mainland Greece </w:t>
      </w:r>
      <w:r w:rsidRPr="00825774">
        <w:rPr>
          <w:color w:val="000000" w:themeColor="text1"/>
          <w:lang w:val="en-US"/>
        </w:rPr>
        <w:t>(Dunbabin 1979</w:t>
      </w:r>
      <w:r w:rsidR="007D3ECA" w:rsidRPr="00825774">
        <w:rPr>
          <w:color w:val="000000" w:themeColor="text1"/>
          <w:lang w:val="en-US"/>
        </w:rPr>
        <w:t>;</w:t>
      </w:r>
      <w:r w:rsidRPr="00825774">
        <w:rPr>
          <w:color w:val="000000" w:themeColor="text1"/>
          <w:lang w:val="en-US"/>
        </w:rPr>
        <w:t xml:space="preserve"> Cornell 1995).</w:t>
      </w:r>
    </w:p>
    <w:p w14:paraId="229F4FFA" w14:textId="77777777" w:rsidR="0031146C" w:rsidRPr="00825774" w:rsidRDefault="0031146C" w:rsidP="0031146C">
      <w:pPr>
        <w:spacing w:line="480" w:lineRule="auto"/>
        <w:jc w:val="center"/>
        <w:rPr>
          <w:lang w:val="en-US"/>
        </w:rPr>
      </w:pPr>
      <w:r w:rsidRPr="00825774">
        <w:rPr>
          <w:noProof/>
          <w:lang w:eastAsia="en-CA"/>
        </w:rPr>
        <w:lastRenderedPageBreak/>
        <w:drawing>
          <wp:inline distT="0" distB="0" distL="0" distR="0" wp14:anchorId="2F22F9AF" wp14:editId="6BD1789A">
            <wp:extent cx="255868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talia_400_BC.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3249" cy="3089179"/>
                    </a:xfrm>
                    <a:prstGeom prst="rect">
                      <a:avLst/>
                    </a:prstGeom>
                  </pic:spPr>
                </pic:pic>
              </a:graphicData>
            </a:graphic>
          </wp:inline>
        </w:drawing>
      </w:r>
    </w:p>
    <w:p w14:paraId="54CBF280" w14:textId="77777777" w:rsidR="0031146C" w:rsidRDefault="0031146C" w:rsidP="0031146C">
      <w:pPr>
        <w:jc w:val="center"/>
        <w:rPr>
          <w:lang w:val="en-US"/>
        </w:rPr>
      </w:pPr>
      <w:r w:rsidRPr="00825774">
        <w:rPr>
          <w:b/>
          <w:lang w:val="en-US"/>
        </w:rPr>
        <w:t>Figure 4.</w:t>
      </w:r>
      <w:r>
        <w:rPr>
          <w:b/>
          <w:lang w:val="en-US"/>
        </w:rPr>
        <w:t>2:</w:t>
      </w:r>
      <w:r w:rsidRPr="00825774">
        <w:rPr>
          <w:lang w:val="en-US"/>
        </w:rPr>
        <w:t xml:space="preserve"> Map of Iron Age Communities in Southern Italy.</w:t>
      </w:r>
      <w:r>
        <w:rPr>
          <w:lang w:val="en-US"/>
        </w:rPr>
        <w:t xml:space="preserve"> Edited from </w:t>
      </w:r>
      <w:r w:rsidRPr="00D0199B">
        <w:t>https://www.calascio.com/culture-and-history/abruzzo-history</w:t>
      </w:r>
      <w:r>
        <w:rPr>
          <w:lang w:val="en-US"/>
        </w:rPr>
        <w:t xml:space="preserve">, accessed May 11, 2019. </w:t>
      </w:r>
    </w:p>
    <w:p w14:paraId="75E2ED95" w14:textId="77777777" w:rsidR="00CF5BB7" w:rsidRPr="00825774" w:rsidRDefault="00CF5BB7" w:rsidP="001C6BF3">
      <w:pPr>
        <w:jc w:val="center"/>
        <w:rPr>
          <w:lang w:val="en-US"/>
        </w:rPr>
      </w:pPr>
    </w:p>
    <w:p w14:paraId="1DC15C8D" w14:textId="021C553A" w:rsidR="00CF5BB7" w:rsidRDefault="00CF5BB7" w:rsidP="007D3ECA">
      <w:pPr>
        <w:spacing w:line="480" w:lineRule="auto"/>
        <w:ind w:firstLine="720"/>
        <w:rPr>
          <w:lang w:val="en-US"/>
        </w:rPr>
      </w:pPr>
      <w:r w:rsidRPr="00825774">
        <w:rPr>
          <w:lang w:val="en-US"/>
        </w:rPr>
        <w:t xml:space="preserve">By 770 BCE, Greeks were in direct contact with Italy’s </w:t>
      </w:r>
      <w:r w:rsidR="003663F5">
        <w:rPr>
          <w:lang w:val="en-US"/>
        </w:rPr>
        <w:t>I</w:t>
      </w:r>
      <w:r w:rsidRPr="00825774">
        <w:rPr>
          <w:lang w:val="en-US"/>
        </w:rPr>
        <w:t>ndigenous Iron Age communities</w:t>
      </w:r>
      <w:r w:rsidR="007C79CD">
        <w:rPr>
          <w:lang w:val="en-US"/>
        </w:rPr>
        <w:t>, both through trade and extensive Greek colonization of southern Italy</w:t>
      </w:r>
      <w:r w:rsidRPr="00825774">
        <w:rPr>
          <w:lang w:val="en-US"/>
        </w:rPr>
        <w:t>. Historical evidence indicates that the Greeks contacted, quarreled, and traded with Italic tribes of southwestern Calabria and Potenza (Samnites, Bruttians, and Lucanians), and the Daunians, Peucetians, and Messapians (collectively known as the Iapygians) of Apulia (</w:t>
      </w:r>
      <w:r w:rsidR="009A6731">
        <w:rPr>
          <w:lang w:val="en-US"/>
        </w:rPr>
        <w:t xml:space="preserve">in </w:t>
      </w:r>
      <w:r w:rsidRPr="00825774">
        <w:rPr>
          <w:lang w:val="en-US"/>
        </w:rPr>
        <w:t>Figure 4.</w:t>
      </w:r>
      <w:r w:rsidR="0031146C">
        <w:rPr>
          <w:lang w:val="en-US"/>
        </w:rPr>
        <w:t>2</w:t>
      </w:r>
      <w:r w:rsidRPr="00825774">
        <w:rPr>
          <w:lang w:val="en-US"/>
        </w:rPr>
        <w:t>) (</w:t>
      </w:r>
      <w:r w:rsidRPr="00825774">
        <w:rPr>
          <w:color w:val="000000" w:themeColor="text1"/>
          <w:lang w:val="en-US"/>
        </w:rPr>
        <w:t>La Torre 2011</w:t>
      </w:r>
      <w:r w:rsidRPr="00825774">
        <w:rPr>
          <w:lang w:val="en-US"/>
        </w:rPr>
        <w:t xml:space="preserve">). Iapygian communities, like those found around Gravina in Puglia, built settlements of small dwellings interlinked with tomb sites and fortified defense positions along the coast and mountainous interior, a common tactic among Iron Age communities at the </w:t>
      </w:r>
      <w:r w:rsidRPr="00825774">
        <w:rPr>
          <w:color w:val="000000" w:themeColor="text1"/>
          <w:lang w:val="en-US"/>
        </w:rPr>
        <w:t xml:space="preserve">time (Flecher 2007). </w:t>
      </w:r>
      <w:r w:rsidRPr="00825774">
        <w:rPr>
          <w:lang w:val="en-US"/>
        </w:rPr>
        <w:t>Many grave goods recovered from Iapygian tombs support the inference of cultural interaction and trade with the Greeks. Handberg and Jacobsen (2011) note several occurrences from the 8</w:t>
      </w:r>
      <w:r w:rsidRPr="00825774">
        <w:rPr>
          <w:vertAlign w:val="superscript"/>
          <w:lang w:val="en-US"/>
        </w:rPr>
        <w:t>th</w:t>
      </w:r>
      <w:r w:rsidRPr="00825774">
        <w:rPr>
          <w:lang w:val="en-US"/>
        </w:rPr>
        <w:t xml:space="preserve"> to mid</w:t>
      </w:r>
      <w:r w:rsidR="007C79CD">
        <w:rPr>
          <w:lang w:val="en-US"/>
        </w:rPr>
        <w:t>-</w:t>
      </w:r>
      <w:r w:rsidRPr="00825774">
        <w:rPr>
          <w:lang w:val="en-US"/>
        </w:rPr>
        <w:t>7</w:t>
      </w:r>
      <w:r w:rsidRPr="00825774">
        <w:rPr>
          <w:vertAlign w:val="superscript"/>
          <w:lang w:val="en-US"/>
        </w:rPr>
        <w:t>th</w:t>
      </w:r>
      <w:r w:rsidRPr="00825774">
        <w:rPr>
          <w:lang w:val="en-US"/>
        </w:rPr>
        <w:t xml:space="preserve"> centuries BCE of slow assimilation of Greek traditions at native Iron Age sites. For example, local matte-</w:t>
      </w:r>
      <w:r w:rsidRPr="00825774">
        <w:rPr>
          <w:lang w:val="en-US"/>
        </w:rPr>
        <w:lastRenderedPageBreak/>
        <w:t>painted vessels represent the vast majority of finds at the hilltop Iron Age site of Incoronata (near the southern coast of Italy) and were also discovered at the coastal site of Metaponto</w:t>
      </w:r>
      <w:r w:rsidR="007D3ECA" w:rsidRPr="00825774">
        <w:rPr>
          <w:lang w:val="en-US"/>
        </w:rPr>
        <w:t xml:space="preserve"> (also referred to as Ionian Greek colonies)</w:t>
      </w:r>
      <w:r w:rsidRPr="00825774">
        <w:rPr>
          <w:lang w:val="en-US"/>
        </w:rPr>
        <w:t xml:space="preserve"> (Colivicchi 2011)</w:t>
      </w:r>
      <w:r w:rsidR="00CF4DAD">
        <w:rPr>
          <w:lang w:val="en-US"/>
        </w:rPr>
        <w:t>. M</w:t>
      </w:r>
      <w:r w:rsidRPr="00825774">
        <w:rPr>
          <w:lang w:val="en-US"/>
        </w:rPr>
        <w:t xml:space="preserve">ixed Graeco-Iapygian ceramic assemblages at both these sites suggest that Metaponto may have been an indigenous settlement prior to the arrival of the Greeks. Mixed ceramic traditions also suggest that local communities profoundly influenced Greek manufacturing traditions, while the Greeks viewed locally procured materials as exotic items fit for both utilitarian and economic use (Dietler 2007). </w:t>
      </w:r>
      <w:r w:rsidR="00BF7727" w:rsidRPr="00825774">
        <w:rPr>
          <w:lang w:val="en-US"/>
        </w:rPr>
        <w:t>P</w:t>
      </w:r>
      <w:r w:rsidRPr="00825774">
        <w:rPr>
          <w:lang w:val="en-US"/>
        </w:rPr>
        <w:t>eople in the Iron Age settlement of Parco San Stefano also traded with Ionian Greek colonies</w:t>
      </w:r>
      <w:r w:rsidR="007D3ECA" w:rsidRPr="00825774">
        <w:rPr>
          <w:lang w:val="en-US"/>
        </w:rPr>
        <w:t xml:space="preserve">. </w:t>
      </w:r>
      <w:r w:rsidR="00C97B9E" w:rsidRPr="00825774">
        <w:rPr>
          <w:color w:val="000000" w:themeColor="text1"/>
          <w:lang w:val="en-US"/>
        </w:rPr>
        <w:t xml:space="preserve"> </w:t>
      </w:r>
      <w:r w:rsidRPr="00825774">
        <w:rPr>
          <w:lang w:val="en-US"/>
        </w:rPr>
        <w:t>This is supported by Ionian style ceramic cups found in association with burials at the site (Small 1992).</w:t>
      </w:r>
    </w:p>
    <w:p w14:paraId="72E3C8C2" w14:textId="77777777" w:rsidR="0031146C" w:rsidRPr="00965216" w:rsidRDefault="0031146C" w:rsidP="00965216">
      <w:pPr>
        <w:jc w:val="center"/>
      </w:pPr>
    </w:p>
    <w:p w14:paraId="3E3C5DFA" w14:textId="23DD969B" w:rsidR="00CF5BB7" w:rsidRPr="00825774" w:rsidRDefault="00CF5BB7" w:rsidP="001C6BF3">
      <w:pPr>
        <w:spacing w:line="480" w:lineRule="auto"/>
        <w:ind w:firstLine="709"/>
        <w:rPr>
          <w:lang w:val="en-US"/>
        </w:rPr>
      </w:pPr>
      <w:r w:rsidRPr="00825774">
        <w:rPr>
          <w:color w:val="000000" w:themeColor="text1"/>
          <w:lang w:val="en-US"/>
        </w:rPr>
        <w:t>Towards t</w:t>
      </w:r>
      <w:r w:rsidRPr="00825774">
        <w:rPr>
          <w:lang w:val="en-US"/>
        </w:rPr>
        <w:t>he end of the Iron Age (4</w:t>
      </w:r>
      <w:r w:rsidRPr="00825774">
        <w:rPr>
          <w:vertAlign w:val="superscript"/>
          <w:lang w:val="en-US"/>
        </w:rPr>
        <w:t>th</w:t>
      </w:r>
      <w:r w:rsidRPr="00825774">
        <w:rPr>
          <w:lang w:val="en-US"/>
        </w:rPr>
        <w:t xml:space="preserve"> century BCE), the region around Gravina in Puglia transitioned into large fortified settlements on hilltops, with smaller communities concentrated around these larger centers. These changes were a result of the geopolitical landscape during the late 4</w:t>
      </w:r>
      <w:r w:rsidRPr="00825774">
        <w:rPr>
          <w:vertAlign w:val="superscript"/>
          <w:lang w:val="en-US"/>
        </w:rPr>
        <w:t>th</w:t>
      </w:r>
      <w:r w:rsidRPr="00825774">
        <w:rPr>
          <w:lang w:val="en-US"/>
        </w:rPr>
        <w:t xml:space="preserve"> and early 3</w:t>
      </w:r>
      <w:r w:rsidRPr="00825774">
        <w:rPr>
          <w:vertAlign w:val="superscript"/>
          <w:lang w:val="en-US"/>
        </w:rPr>
        <w:t>rd</w:t>
      </w:r>
      <w:r w:rsidRPr="00825774">
        <w:rPr>
          <w:lang w:val="en-US"/>
        </w:rPr>
        <w:t xml:space="preserve"> centuries BCE, which involved several clashes between the expanding Roman Republic and the Samnites of central </w:t>
      </w:r>
      <w:r w:rsidRPr="00825774">
        <w:rPr>
          <w:color w:val="000000" w:themeColor="text1"/>
          <w:lang w:val="en-US"/>
        </w:rPr>
        <w:t xml:space="preserve">Italy (Salmon 1955). </w:t>
      </w:r>
      <w:r w:rsidRPr="00825774">
        <w:rPr>
          <w:lang w:val="en-US"/>
        </w:rPr>
        <w:t xml:space="preserve">After the defeat of </w:t>
      </w:r>
      <w:r w:rsidRPr="00825774">
        <w:rPr>
          <w:i/>
          <w:lang w:val="en-US"/>
        </w:rPr>
        <w:t>Samnium</w:t>
      </w:r>
      <w:r w:rsidRPr="00825774">
        <w:rPr>
          <w:lang w:val="en-US"/>
        </w:rPr>
        <w:t xml:space="preserve"> (328 BCE) and the fall of </w:t>
      </w:r>
      <w:r w:rsidRPr="00825774">
        <w:rPr>
          <w:i/>
          <w:lang w:val="en-US"/>
        </w:rPr>
        <w:t>Tarantum</w:t>
      </w:r>
      <w:r w:rsidRPr="00825774">
        <w:rPr>
          <w:lang w:val="en-US"/>
        </w:rPr>
        <w:t xml:space="preserve"> in southern Italy (272 BCE), conflict with the Romans over the control of </w:t>
      </w:r>
      <w:r w:rsidRPr="00825774">
        <w:rPr>
          <w:i/>
          <w:lang w:val="en-US"/>
        </w:rPr>
        <w:t>Magna Graecia</w:t>
      </w:r>
      <w:r w:rsidRPr="00825774">
        <w:rPr>
          <w:lang w:val="en-US"/>
        </w:rPr>
        <w:t xml:space="preserve"> (the general name given to the Greek colonies in the South by the Romans) was imminent (Jeskins 1998). Eventually, pact agreements (</w:t>
      </w:r>
      <w:r w:rsidRPr="00825774">
        <w:rPr>
          <w:i/>
          <w:lang w:val="en-US"/>
        </w:rPr>
        <w:t>foedera</w:t>
      </w:r>
      <w:r w:rsidRPr="00825774">
        <w:rPr>
          <w:lang w:val="en-US"/>
        </w:rPr>
        <w:t>)</w:t>
      </w:r>
      <w:r w:rsidRPr="00825774">
        <w:rPr>
          <w:noProof/>
          <w:lang w:val="en-US"/>
        </w:rPr>
        <w:t xml:space="preserve"> </w:t>
      </w:r>
      <w:r w:rsidRPr="00825774">
        <w:rPr>
          <w:lang w:val="en-US"/>
        </w:rPr>
        <w:t xml:space="preserve">between Rome and the Greek </w:t>
      </w:r>
      <w:r w:rsidR="00A5788D" w:rsidRPr="00825774">
        <w:rPr>
          <w:lang w:val="en-US"/>
        </w:rPr>
        <w:t xml:space="preserve">city-states </w:t>
      </w:r>
      <w:r w:rsidRPr="00825774">
        <w:rPr>
          <w:lang w:val="en-US"/>
        </w:rPr>
        <w:t xml:space="preserve">(few native Italian communities were involved) gave formal autonomy to the colonies with Roman military garrisons stationed throughout </w:t>
      </w:r>
      <w:r w:rsidRPr="00825774">
        <w:rPr>
          <w:i/>
          <w:lang w:val="en-US"/>
        </w:rPr>
        <w:t>Magna Graecia</w:t>
      </w:r>
      <w:r w:rsidRPr="00825774">
        <w:rPr>
          <w:lang w:val="en-US"/>
        </w:rPr>
        <w:t xml:space="preserve"> (Gwynn 201</w:t>
      </w:r>
      <w:r w:rsidR="00A86AAE" w:rsidRPr="00825774">
        <w:rPr>
          <w:lang w:val="en-US"/>
        </w:rPr>
        <w:t>3</w:t>
      </w:r>
      <w:r w:rsidRPr="00825774">
        <w:rPr>
          <w:lang w:val="en-US"/>
        </w:rPr>
        <w:t xml:space="preserve">). This Roman subjugation had profound implications for the local Iron Age Lucanian and </w:t>
      </w:r>
      <w:r w:rsidRPr="00825774">
        <w:rPr>
          <w:lang w:val="en-US"/>
        </w:rPr>
        <w:lastRenderedPageBreak/>
        <w:t>Iapygian populations. By the early 3</w:t>
      </w:r>
      <w:r w:rsidRPr="00825774">
        <w:rPr>
          <w:vertAlign w:val="superscript"/>
          <w:lang w:val="en-US"/>
        </w:rPr>
        <w:t>rd</w:t>
      </w:r>
      <w:r w:rsidRPr="00825774">
        <w:rPr>
          <w:lang w:val="en-US"/>
        </w:rPr>
        <w:t xml:space="preserve"> century BCE there was significant retraction of settlements across Italy, including around Botromagno, as indicated </w:t>
      </w:r>
      <w:r w:rsidR="00E33AA9" w:rsidRPr="00825774">
        <w:rPr>
          <w:lang w:val="en-US"/>
        </w:rPr>
        <w:t>by a decline in the number and density of sites in this region (</w:t>
      </w:r>
      <w:r w:rsidR="00A5788D" w:rsidRPr="00825774">
        <w:rPr>
          <w:color w:val="000000" w:themeColor="text1"/>
          <w:lang w:val="en-US"/>
        </w:rPr>
        <w:t>Small 2002</w:t>
      </w:r>
      <w:r w:rsidR="00A5788D" w:rsidRPr="00825774">
        <w:rPr>
          <w:lang w:val="en-US"/>
        </w:rPr>
        <w:t>)</w:t>
      </w:r>
      <w:r w:rsidR="00C35D8A" w:rsidRPr="00825774">
        <w:rPr>
          <w:lang w:val="en-US"/>
        </w:rPr>
        <w:t xml:space="preserve">. </w:t>
      </w:r>
      <w:r w:rsidRPr="00825774">
        <w:rPr>
          <w:lang w:val="en-US"/>
        </w:rPr>
        <w:t>This period coincides with the defeat of Iapygian tribes by Rome and the reported enslavement</w:t>
      </w:r>
      <w:r w:rsidR="00F6267E">
        <w:rPr>
          <w:lang w:val="en-US"/>
        </w:rPr>
        <w:t xml:space="preserve"> of</w:t>
      </w:r>
      <w:r w:rsidRPr="00825774">
        <w:rPr>
          <w:lang w:val="en-US"/>
        </w:rPr>
        <w:t xml:space="preserve"> </w:t>
      </w:r>
      <w:r w:rsidR="007C5338">
        <w:rPr>
          <w:lang w:val="en-US"/>
        </w:rPr>
        <w:t>people from</w:t>
      </w:r>
      <w:r w:rsidRPr="00825774">
        <w:rPr>
          <w:lang w:val="en-US"/>
        </w:rPr>
        <w:t xml:space="preserve"> ancient </w:t>
      </w:r>
      <w:r w:rsidRPr="00825774">
        <w:rPr>
          <w:i/>
          <w:lang w:val="en-US"/>
        </w:rPr>
        <w:t>Silvium</w:t>
      </w:r>
      <w:r w:rsidRPr="00825774">
        <w:rPr>
          <w:lang w:val="en-US"/>
        </w:rPr>
        <w:t xml:space="preserve"> (Botromagno) (Small 2002). Alternatively, it may be possible that the rise of </w:t>
      </w:r>
      <w:r w:rsidR="008D4CAC">
        <w:rPr>
          <w:lang w:val="en-US"/>
        </w:rPr>
        <w:t xml:space="preserve">other </w:t>
      </w:r>
      <w:r w:rsidRPr="00825774">
        <w:rPr>
          <w:lang w:val="en-US"/>
        </w:rPr>
        <w:t xml:space="preserve">Latin colonies, such as </w:t>
      </w:r>
      <w:r w:rsidRPr="00825774">
        <w:rPr>
          <w:i/>
          <w:lang w:val="en-US"/>
        </w:rPr>
        <w:t>Paestum</w:t>
      </w:r>
      <w:r w:rsidRPr="00825774">
        <w:rPr>
          <w:lang w:val="en-US"/>
        </w:rPr>
        <w:t xml:space="preserve"> and </w:t>
      </w:r>
      <w:r w:rsidRPr="00825774">
        <w:rPr>
          <w:i/>
          <w:lang w:val="en-US"/>
        </w:rPr>
        <w:t>Venusia</w:t>
      </w:r>
      <w:r w:rsidRPr="00825774">
        <w:rPr>
          <w:lang w:val="en-US"/>
        </w:rPr>
        <w:t>, attracted many of these inhabitants to relocate closer to economically prosperous cities (La Torre 2011</w:t>
      </w:r>
      <w:r w:rsidRPr="00825774">
        <w:rPr>
          <w:color w:val="000000" w:themeColor="text1"/>
          <w:lang w:val="en-US"/>
        </w:rPr>
        <w:t>).</w:t>
      </w:r>
      <w:r w:rsidR="00E33AA9" w:rsidRPr="00825774">
        <w:rPr>
          <w:color w:val="000000" w:themeColor="text1"/>
          <w:lang w:val="en-US"/>
        </w:rPr>
        <w:t xml:space="preserve"> It also may be possible that the Iron Age settlements struggled after the Roman conquest due to the fact that that they were unable to profit from the new opportunities and were heavily penalized by the Romans</w:t>
      </w:r>
      <w:r w:rsidR="008D4CAC">
        <w:rPr>
          <w:color w:val="000000" w:themeColor="text1"/>
          <w:lang w:val="en-US"/>
        </w:rPr>
        <w:t xml:space="preserve"> for their earlier resistance</w:t>
      </w:r>
      <w:r w:rsidR="00E33AA9" w:rsidRPr="00825774">
        <w:rPr>
          <w:color w:val="000000" w:themeColor="text1"/>
          <w:lang w:val="en-US"/>
        </w:rPr>
        <w:t xml:space="preserve">, especially by the confiscation of public land (Small 1992). </w:t>
      </w:r>
    </w:p>
    <w:p w14:paraId="2CEE02BC" w14:textId="77777777" w:rsidR="00CF5BB7" w:rsidRPr="00825774" w:rsidRDefault="00CF5BB7" w:rsidP="001C6BF3">
      <w:pPr>
        <w:rPr>
          <w:lang w:val="en-US"/>
        </w:rPr>
      </w:pPr>
    </w:p>
    <w:p w14:paraId="3816AEB9" w14:textId="3575D649" w:rsidR="00E33AA9" w:rsidRDefault="00CF5BB7" w:rsidP="001C6BF3">
      <w:pPr>
        <w:pStyle w:val="ListParagraph"/>
        <w:numPr>
          <w:ilvl w:val="2"/>
          <w:numId w:val="28"/>
        </w:numPr>
        <w:spacing w:line="480" w:lineRule="auto"/>
        <w:ind w:left="709"/>
        <w:rPr>
          <w:rFonts w:ascii="Times New Roman" w:hAnsi="Times New Roman" w:cs="Times New Roman"/>
        </w:rPr>
      </w:pPr>
      <w:r w:rsidRPr="001C6BF3">
        <w:rPr>
          <w:rFonts w:ascii="Times New Roman" w:hAnsi="Times New Roman" w:cs="Times New Roman"/>
        </w:rPr>
        <w:t xml:space="preserve">Archaeological Sites  </w:t>
      </w:r>
    </w:p>
    <w:p w14:paraId="04AA91A7" w14:textId="77777777" w:rsidR="001C6BF3" w:rsidRPr="001C6BF3" w:rsidRDefault="001C6BF3" w:rsidP="001C6BF3">
      <w:pPr>
        <w:pStyle w:val="ListParagraph"/>
        <w:ind w:left="709"/>
        <w:rPr>
          <w:rFonts w:ascii="Times New Roman" w:hAnsi="Times New Roman" w:cs="Times New Roman"/>
        </w:rPr>
      </w:pPr>
    </w:p>
    <w:p w14:paraId="179019E6" w14:textId="794BEF6E" w:rsidR="00E3463F" w:rsidRPr="00153E5C" w:rsidRDefault="00CF5BB7" w:rsidP="00153E5C">
      <w:pPr>
        <w:spacing w:line="480" w:lineRule="auto"/>
        <w:ind w:firstLine="709"/>
        <w:rPr>
          <w:lang w:val="en-US"/>
        </w:rPr>
      </w:pPr>
      <w:r w:rsidRPr="00825774">
        <w:rPr>
          <w:color w:val="000000" w:themeColor="text1"/>
          <w:lang w:val="en-US"/>
        </w:rPr>
        <w:t xml:space="preserve">The hill of Botromagno is located immediately to the West of Gravina in Puglia, 51 km </w:t>
      </w:r>
      <w:r w:rsidR="008D4CAC">
        <w:rPr>
          <w:color w:val="000000" w:themeColor="text1"/>
          <w:lang w:val="en-US"/>
        </w:rPr>
        <w:t>S</w:t>
      </w:r>
      <w:r w:rsidRPr="00825774">
        <w:rPr>
          <w:color w:val="000000" w:themeColor="text1"/>
          <w:lang w:val="en-US"/>
        </w:rPr>
        <w:t xml:space="preserve">outh-west of Bari and 76 km </w:t>
      </w:r>
      <w:r w:rsidR="008D4CAC">
        <w:rPr>
          <w:color w:val="000000" w:themeColor="text1"/>
          <w:lang w:val="en-US"/>
        </w:rPr>
        <w:t>N</w:t>
      </w:r>
      <w:r w:rsidRPr="00825774">
        <w:rPr>
          <w:color w:val="000000" w:themeColor="text1"/>
          <w:lang w:val="en-US"/>
        </w:rPr>
        <w:t>orth-west of Taranto (Fig</w:t>
      </w:r>
      <w:r w:rsidR="008D4CAC">
        <w:rPr>
          <w:color w:val="000000" w:themeColor="text1"/>
          <w:lang w:val="en-US"/>
        </w:rPr>
        <w:t>ure</w:t>
      </w:r>
      <w:r w:rsidRPr="00825774">
        <w:rPr>
          <w:color w:val="000000" w:themeColor="text1"/>
          <w:lang w:val="en-US"/>
        </w:rPr>
        <w:t xml:space="preserve"> 4.1). It reaches a high point of 446 m, where the acropolis of the Iron Age settlement formed. </w:t>
      </w:r>
      <w:r w:rsidR="00447F12" w:rsidRPr="00825774">
        <w:rPr>
          <w:lang w:val="en-US"/>
        </w:rPr>
        <w:t xml:space="preserve">The Iron Age site at Botromagno was established around 950 BCE and was among a number of Iron Age settlements constructed in South Italy at this time including, Monte Irsi, Matera, and Altamura, all within a radius of 22 km from Botromagno (Figure 4.1). </w:t>
      </w:r>
      <w:r w:rsidRPr="00825774">
        <w:rPr>
          <w:color w:val="000000" w:themeColor="text1"/>
          <w:lang w:val="en-US"/>
        </w:rPr>
        <w:t>Occupation was not confined to the plateau, and spread out below the hill between the escarpment and ravine that separates the archaeological sites from the modern city of Gravina in Puglia</w:t>
      </w:r>
      <w:r w:rsidR="0031146C">
        <w:rPr>
          <w:color w:val="000000" w:themeColor="text1"/>
          <w:lang w:val="en-US"/>
        </w:rPr>
        <w:t xml:space="preserve"> </w:t>
      </w:r>
      <w:r w:rsidRPr="00825774">
        <w:rPr>
          <w:color w:val="000000" w:themeColor="text1"/>
          <w:lang w:val="en-US"/>
        </w:rPr>
        <w:t>(Small</w:t>
      </w:r>
      <w:r w:rsidR="00F36278" w:rsidRPr="00825774">
        <w:rPr>
          <w:color w:val="000000" w:themeColor="text1"/>
          <w:lang w:val="en-US"/>
        </w:rPr>
        <w:t xml:space="preserve"> </w:t>
      </w:r>
      <w:r w:rsidRPr="00825774">
        <w:rPr>
          <w:color w:val="000000" w:themeColor="text1"/>
          <w:lang w:val="en-US"/>
        </w:rPr>
        <w:t>1992).</w:t>
      </w:r>
    </w:p>
    <w:p w14:paraId="338DEAB9" w14:textId="77777777" w:rsidR="00B13223" w:rsidRDefault="00B13223" w:rsidP="00153E5C">
      <w:pPr>
        <w:rPr>
          <w:lang w:val="en-US"/>
        </w:rPr>
      </w:pPr>
    </w:p>
    <w:p w14:paraId="452811D2" w14:textId="46E4139B" w:rsidR="00CF5BB7" w:rsidRDefault="00CF5BB7" w:rsidP="00DC0ADF">
      <w:pPr>
        <w:spacing w:line="480" w:lineRule="auto"/>
        <w:ind w:firstLine="720"/>
        <w:rPr>
          <w:lang w:val="en-US"/>
        </w:rPr>
      </w:pPr>
      <w:r w:rsidRPr="00825774">
        <w:rPr>
          <w:lang w:val="en-US"/>
        </w:rPr>
        <w:t>The Iron Age inhabitants of Botromagno were most likely a Peucetian (an Iapygian sub-tribe) community, who were linked with other Peucetian communities for a common religious or military purpose (</w:t>
      </w:r>
      <w:r w:rsidR="00910CC6" w:rsidRPr="00825774">
        <w:rPr>
          <w:color w:val="000000" w:themeColor="text1"/>
          <w:lang w:val="en-US"/>
        </w:rPr>
        <w:t>Peruzzi 2016</w:t>
      </w:r>
      <w:r w:rsidRPr="00825774">
        <w:rPr>
          <w:lang w:val="en-US"/>
        </w:rPr>
        <w:t xml:space="preserve">). The settlement was composed of small, densely concentrated huts. Walls of the houses were likely constructed out of wattle (i.e., weaving thin branches into a woven lattice), and </w:t>
      </w:r>
      <w:r w:rsidR="006D514B">
        <w:rPr>
          <w:lang w:val="en-US"/>
        </w:rPr>
        <w:t>reinforced</w:t>
      </w:r>
      <w:r w:rsidRPr="00825774">
        <w:rPr>
          <w:lang w:val="en-US"/>
        </w:rPr>
        <w:t xml:space="preserve"> with clay or mud (</w:t>
      </w:r>
      <w:r w:rsidRPr="00153E5C">
        <w:rPr>
          <w:lang w:val="en-US"/>
        </w:rPr>
        <w:t>daub</w:t>
      </w:r>
      <w:r w:rsidRPr="00825774">
        <w:rPr>
          <w:lang w:val="en-US"/>
        </w:rPr>
        <w:t>). Additionally, the floors were underlain with stone rubble and gravel, and then overlaid with clay (</w:t>
      </w:r>
      <w:r w:rsidRPr="00825774">
        <w:rPr>
          <w:color w:val="000000" w:themeColor="text1"/>
          <w:lang w:val="en-US"/>
        </w:rPr>
        <w:t xml:space="preserve">Fletcher 2007). </w:t>
      </w:r>
      <w:r w:rsidRPr="00825774">
        <w:rPr>
          <w:lang w:val="en-US"/>
        </w:rPr>
        <w:t>Recovered pots and ceramic fragments were impressed and designed with simple geometric patterns. These geometric motifs later evolved into more elaborate forms through contact with Greek artisans who migrated and established permanent colonies along the Ionian coastline by 750 BCE (Fletcher 2007). Further, these hand painted wares dating to the late 8</w:t>
      </w:r>
      <w:r w:rsidRPr="00825774">
        <w:rPr>
          <w:vertAlign w:val="superscript"/>
          <w:lang w:val="en-US"/>
        </w:rPr>
        <w:t>th</w:t>
      </w:r>
      <w:r w:rsidRPr="00825774">
        <w:rPr>
          <w:lang w:val="en-US"/>
        </w:rPr>
        <w:t xml:space="preserve"> and first half of the 7</w:t>
      </w:r>
      <w:r w:rsidRPr="00825774">
        <w:rPr>
          <w:vertAlign w:val="superscript"/>
          <w:lang w:val="en-US"/>
        </w:rPr>
        <w:t>th</w:t>
      </w:r>
      <w:r w:rsidRPr="00825774">
        <w:rPr>
          <w:lang w:val="en-US"/>
        </w:rPr>
        <w:t xml:space="preserve"> centuries BCE show influences from the Greek late geometric and Protocorinthian decorative motifs (Small</w:t>
      </w:r>
      <w:r w:rsidR="00B72164" w:rsidRPr="00825774">
        <w:rPr>
          <w:lang w:val="en-US"/>
        </w:rPr>
        <w:t xml:space="preserve"> </w:t>
      </w:r>
      <w:r w:rsidRPr="00825774">
        <w:rPr>
          <w:lang w:val="en-US"/>
        </w:rPr>
        <w:t>1992). Despite the evidence for sedentary occupation at Botromagno, no burials dating to these earlier phases of occupation were recovered (Peruzzi</w:t>
      </w:r>
      <w:r w:rsidR="00910CC6" w:rsidRPr="00825774">
        <w:rPr>
          <w:lang w:val="en-US"/>
        </w:rPr>
        <w:t xml:space="preserve"> </w:t>
      </w:r>
      <w:r w:rsidRPr="00825774">
        <w:rPr>
          <w:lang w:val="en-US"/>
        </w:rPr>
        <w:t xml:space="preserve">2016). </w:t>
      </w:r>
    </w:p>
    <w:p w14:paraId="1D651059" w14:textId="77777777" w:rsidR="001C6BF3" w:rsidRPr="00825774" w:rsidRDefault="001C6BF3" w:rsidP="009C515B">
      <w:pPr>
        <w:rPr>
          <w:lang w:val="en-US"/>
        </w:rPr>
      </w:pPr>
    </w:p>
    <w:p w14:paraId="7F478699" w14:textId="5D516D5A" w:rsidR="00B13223" w:rsidRPr="00B13223" w:rsidRDefault="00CF5BB7" w:rsidP="0031146C">
      <w:pPr>
        <w:spacing w:line="480" w:lineRule="auto"/>
        <w:ind w:firstLine="720"/>
        <w:rPr>
          <w:lang w:val="en-US"/>
        </w:rPr>
      </w:pPr>
      <w:r w:rsidRPr="00825774">
        <w:rPr>
          <w:lang w:val="en-US"/>
        </w:rPr>
        <w:t>By the 8</w:t>
      </w:r>
      <w:r w:rsidRPr="00825774">
        <w:rPr>
          <w:vertAlign w:val="superscript"/>
          <w:lang w:val="en-US"/>
        </w:rPr>
        <w:t>th</w:t>
      </w:r>
      <w:r w:rsidRPr="00825774">
        <w:rPr>
          <w:lang w:val="en-US"/>
        </w:rPr>
        <w:t xml:space="preserve"> century BCE significant cultural transitions occurred including the construction of small cemeteries within the limits of the Iron Age village on Botromagno. Burials took the shape of </w:t>
      </w:r>
      <w:r w:rsidRPr="00825774">
        <w:rPr>
          <w:i/>
          <w:lang w:val="en-US"/>
        </w:rPr>
        <w:t xml:space="preserve">groticella </w:t>
      </w:r>
      <w:r w:rsidRPr="00825774">
        <w:rPr>
          <w:lang w:val="en-US"/>
        </w:rPr>
        <w:t>(stone cut tombs)</w:t>
      </w:r>
      <w:r w:rsidR="00E93AC9">
        <w:rPr>
          <w:lang w:val="en-US"/>
        </w:rPr>
        <w:t>,</w:t>
      </w:r>
      <w:r w:rsidR="00E93AC9" w:rsidRPr="00E93AC9">
        <w:rPr>
          <w:i/>
          <w:lang w:val="en-US"/>
        </w:rPr>
        <w:t xml:space="preserve"> tegula</w:t>
      </w:r>
      <w:r w:rsidR="00E93AC9">
        <w:rPr>
          <w:lang w:val="en-US"/>
        </w:rPr>
        <w:t xml:space="preserve"> burials (large pieces of roof tile</w:t>
      </w:r>
      <w:r w:rsidR="00B705C7">
        <w:rPr>
          <w:lang w:val="en-US"/>
        </w:rPr>
        <w:t>s over the</w:t>
      </w:r>
      <w:r w:rsidR="00E93AC9">
        <w:rPr>
          <w:lang w:val="en-US"/>
        </w:rPr>
        <w:t xml:space="preserve"> burial pits)</w:t>
      </w:r>
      <w:r w:rsidRPr="00825774">
        <w:rPr>
          <w:lang w:val="en-US"/>
        </w:rPr>
        <w:t xml:space="preserve"> and simple pit graves, a practice that remained unchanged throughout the greater Apulian region until 350 BCE (Small</w:t>
      </w:r>
      <w:r w:rsidR="00910CC6" w:rsidRPr="00825774">
        <w:rPr>
          <w:lang w:val="en-US"/>
        </w:rPr>
        <w:t xml:space="preserve"> </w:t>
      </w:r>
      <w:r w:rsidRPr="00825774">
        <w:rPr>
          <w:lang w:val="en-US"/>
        </w:rPr>
        <w:t xml:space="preserve">1992). Similarly, the burial customs remained consistent overtime with the dead </w:t>
      </w:r>
      <w:r w:rsidR="006D514B">
        <w:rPr>
          <w:lang w:val="en-US"/>
        </w:rPr>
        <w:t>placed</w:t>
      </w:r>
      <w:r w:rsidRPr="00825774">
        <w:rPr>
          <w:lang w:val="en-US"/>
        </w:rPr>
        <w:t xml:space="preserve"> in a flexed position and buried with an increasing number of extravagant grave goods (Small 1992). </w:t>
      </w:r>
      <w:r w:rsidRPr="00825774">
        <w:rPr>
          <w:color w:val="000000" w:themeColor="text1"/>
          <w:lang w:val="en-US"/>
        </w:rPr>
        <w:t xml:space="preserve">These burials </w:t>
      </w:r>
      <w:r w:rsidRPr="00825774">
        <w:rPr>
          <w:color w:val="000000" w:themeColor="text1"/>
          <w:lang w:val="en-US"/>
        </w:rPr>
        <w:lastRenderedPageBreak/>
        <w:t xml:space="preserve">most often contained grave goods such as mixing bowls for wine, smaller cups for drinking as well as bronze and iron fibulae; signifying that the settlement as a whole was flourishing economically (Small 1992). </w:t>
      </w:r>
      <w:r w:rsidRPr="00825774">
        <w:rPr>
          <w:lang w:val="en-US"/>
        </w:rPr>
        <w:t xml:space="preserve">Archaeological site reports </w:t>
      </w:r>
      <w:r w:rsidR="00A84929">
        <w:rPr>
          <w:lang w:val="en-US"/>
        </w:rPr>
        <w:t xml:space="preserve">by Whitehouse et al. (2000) </w:t>
      </w:r>
      <w:r w:rsidRPr="00825774">
        <w:rPr>
          <w:lang w:val="en-US"/>
        </w:rPr>
        <w:t xml:space="preserve">also suggest that the construction of stone cut sarcophagi </w:t>
      </w:r>
      <w:r w:rsidR="00D04E14" w:rsidRPr="00825774">
        <w:rPr>
          <w:lang w:val="en-US"/>
        </w:rPr>
        <w:t>may be influenced by Greek styles</w:t>
      </w:r>
      <w:r w:rsidRPr="00825774">
        <w:rPr>
          <w:lang w:val="en-US"/>
        </w:rPr>
        <w:t xml:space="preserve"> from Ionian Greeks as Ionian styled cups were also buried with the deceased. </w:t>
      </w:r>
    </w:p>
    <w:p w14:paraId="70C01E95" w14:textId="77777777" w:rsidR="00447F12" w:rsidRPr="00825774" w:rsidRDefault="00447F12" w:rsidP="00447F12">
      <w:pPr>
        <w:ind w:firstLine="720"/>
        <w:rPr>
          <w:lang w:val="en-US"/>
        </w:rPr>
      </w:pPr>
    </w:p>
    <w:p w14:paraId="743F4261" w14:textId="246F4FB4" w:rsidR="00447F12" w:rsidRDefault="00447F12" w:rsidP="00E14AE9">
      <w:pPr>
        <w:pStyle w:val="NormalWeb"/>
        <w:spacing w:line="480" w:lineRule="auto"/>
        <w:ind w:firstLine="720"/>
        <w:contextualSpacing/>
        <w:rPr>
          <w:lang w:val="en-US"/>
        </w:rPr>
      </w:pPr>
      <w:r w:rsidRPr="00825774">
        <w:rPr>
          <w:color w:val="000000" w:themeColor="text1"/>
          <w:lang w:val="en-US"/>
        </w:rPr>
        <w:t>During 4</w:t>
      </w:r>
      <w:r w:rsidRPr="00825774">
        <w:rPr>
          <w:color w:val="000000" w:themeColor="text1"/>
          <w:vertAlign w:val="superscript"/>
          <w:lang w:val="en-US"/>
        </w:rPr>
        <w:t>th</w:t>
      </w:r>
      <w:r w:rsidRPr="00825774">
        <w:rPr>
          <w:color w:val="000000" w:themeColor="text1"/>
          <w:lang w:val="en-US"/>
        </w:rPr>
        <w:t xml:space="preserve"> century BCE, the Iron Age settlement saw a period of great prosperity as the entire plateau of Botromagno and the </w:t>
      </w:r>
      <w:r>
        <w:rPr>
          <w:color w:val="000000" w:themeColor="text1"/>
          <w:lang w:val="en-US"/>
        </w:rPr>
        <w:t>area</w:t>
      </w:r>
      <w:r w:rsidRPr="00825774">
        <w:rPr>
          <w:color w:val="000000" w:themeColor="text1"/>
          <w:lang w:val="en-US"/>
        </w:rPr>
        <w:t xml:space="preserve"> </w:t>
      </w:r>
      <w:r>
        <w:rPr>
          <w:color w:val="000000" w:themeColor="text1"/>
          <w:lang w:val="en-US"/>
        </w:rPr>
        <w:t>West of</w:t>
      </w:r>
      <w:r w:rsidRPr="00825774">
        <w:rPr>
          <w:color w:val="000000" w:themeColor="text1"/>
          <w:lang w:val="en-US"/>
        </w:rPr>
        <w:t xml:space="preserve"> the ravine seems to have been occupied and large quantities of 4</w:t>
      </w:r>
      <w:r w:rsidRPr="00825774">
        <w:rPr>
          <w:color w:val="000000" w:themeColor="text1"/>
          <w:vertAlign w:val="superscript"/>
          <w:lang w:val="en-US"/>
        </w:rPr>
        <w:t>th</w:t>
      </w:r>
      <w:r w:rsidRPr="00825774">
        <w:rPr>
          <w:color w:val="000000" w:themeColor="text1"/>
          <w:lang w:val="en-US"/>
        </w:rPr>
        <w:t xml:space="preserve"> century pottery were recovered in all the excavated sites (Whitehouse et al. 2000). By the mid - 4</w:t>
      </w:r>
      <w:r w:rsidRPr="00825774">
        <w:rPr>
          <w:color w:val="000000" w:themeColor="text1"/>
          <w:vertAlign w:val="superscript"/>
          <w:lang w:val="en-US"/>
        </w:rPr>
        <w:t>th</w:t>
      </w:r>
      <w:r w:rsidRPr="00825774">
        <w:rPr>
          <w:color w:val="000000" w:themeColor="text1"/>
          <w:lang w:val="en-US"/>
        </w:rPr>
        <w:t xml:space="preserve"> century, fully developed chamber tombs were being made for more lavish burials. They began to include steeply descending entrance corridors or </w:t>
      </w:r>
      <w:r w:rsidRPr="00825774">
        <w:rPr>
          <w:i/>
          <w:color w:val="000000" w:themeColor="text1"/>
          <w:lang w:val="en-US"/>
        </w:rPr>
        <w:t>dromoi</w:t>
      </w:r>
      <w:r w:rsidRPr="00825774">
        <w:rPr>
          <w:color w:val="000000" w:themeColor="text1"/>
          <w:lang w:val="en-US"/>
        </w:rPr>
        <w:t xml:space="preserve"> cut into the bedrock, leading to the actual burial</w:t>
      </w:r>
      <w:r>
        <w:rPr>
          <w:color w:val="000000" w:themeColor="text1"/>
          <w:lang w:val="en-US"/>
        </w:rPr>
        <w:t xml:space="preserve"> chamber</w:t>
      </w:r>
      <w:r w:rsidR="0031146C">
        <w:rPr>
          <w:color w:val="000000" w:themeColor="text1"/>
          <w:lang w:val="en-US"/>
        </w:rPr>
        <w:t xml:space="preserve">. </w:t>
      </w:r>
      <w:r w:rsidRPr="00825774">
        <w:rPr>
          <w:color w:val="000000" w:themeColor="text1"/>
          <w:lang w:val="en-US"/>
        </w:rPr>
        <w:t>These were intended to be family tombs and to be reused for subsequent burials. Such tombs emphasized the wealth and importance of families as ordinary burials were simultaneously mad</w:t>
      </w:r>
      <w:r>
        <w:rPr>
          <w:color w:val="000000" w:themeColor="text1"/>
          <w:lang w:val="en-US"/>
        </w:rPr>
        <w:t>e</w:t>
      </w:r>
      <w:r w:rsidRPr="00825774">
        <w:rPr>
          <w:color w:val="000000" w:themeColor="text1"/>
          <w:lang w:val="en-US"/>
        </w:rPr>
        <w:t xml:space="preserve"> in the form of simple pits (Small 1992). </w:t>
      </w:r>
      <w:r w:rsidRPr="00825774">
        <w:rPr>
          <w:lang w:val="en-US"/>
        </w:rPr>
        <w:t xml:space="preserve">In addition, a massive stone wall was constructed around the settlement sometime </w:t>
      </w:r>
      <w:r w:rsidRPr="00825774">
        <w:rPr>
          <w:color w:val="000000" w:themeColor="text1"/>
          <w:lang w:val="en-US"/>
        </w:rPr>
        <w:t>around the late 4</w:t>
      </w:r>
      <w:r w:rsidRPr="00825774">
        <w:rPr>
          <w:color w:val="000000" w:themeColor="text1"/>
          <w:vertAlign w:val="superscript"/>
          <w:lang w:val="en-US"/>
        </w:rPr>
        <w:t>th</w:t>
      </w:r>
      <w:r w:rsidRPr="00825774">
        <w:rPr>
          <w:color w:val="000000" w:themeColor="text1"/>
          <w:lang w:val="en-US"/>
        </w:rPr>
        <w:t xml:space="preserve"> century. </w:t>
      </w:r>
      <w:r w:rsidRPr="00825774">
        <w:rPr>
          <w:lang w:val="en-US"/>
        </w:rPr>
        <w:t>Excavations suggest that the wall surrounded the entire perimeter of the site for a length of 3.75 km and stood about 2.7 m high (Whitehouse et al. 2000). The labour necessary to complete the fortification was likely immense as the required stone material equaled to a total of 37,500 blocks</w:t>
      </w:r>
      <w:r>
        <w:rPr>
          <w:lang w:val="en-US"/>
        </w:rPr>
        <w:t xml:space="preserve"> (Whitehouse et al. 2000)</w:t>
      </w:r>
      <w:r w:rsidRPr="00825774">
        <w:rPr>
          <w:lang w:val="en-US"/>
        </w:rPr>
        <w:t>. Walls similar to the one at Botromagno were built around Iron Age communities throughout Apulia and Lucania during this period</w:t>
      </w:r>
      <w:r>
        <w:rPr>
          <w:lang w:val="en-US"/>
        </w:rPr>
        <w:t xml:space="preserve"> </w:t>
      </w:r>
      <w:r w:rsidRPr="00825774">
        <w:rPr>
          <w:lang w:val="en-US"/>
        </w:rPr>
        <w:t xml:space="preserve">suggesting a coordinated effort by the local Italic communities to defend against </w:t>
      </w:r>
      <w:r w:rsidRPr="00825774">
        <w:rPr>
          <w:lang w:val="en-US"/>
        </w:rPr>
        <w:lastRenderedPageBreak/>
        <w:t>military conflict with the Greeks, Romans, and other Iron Age communities situated in the North (La Torre 2011).</w:t>
      </w:r>
    </w:p>
    <w:p w14:paraId="4066888E" w14:textId="13FE4F4A" w:rsidR="00447F12" w:rsidRDefault="00447F12" w:rsidP="00E14AE9">
      <w:pPr>
        <w:spacing w:before="100" w:beforeAutospacing="1" w:after="100" w:afterAutospacing="1" w:line="480" w:lineRule="auto"/>
        <w:ind w:firstLine="709"/>
        <w:rPr>
          <w:lang w:val="en-US"/>
        </w:rPr>
      </w:pPr>
      <w:r w:rsidRPr="00825774">
        <w:rPr>
          <w:lang w:val="en-US"/>
        </w:rPr>
        <w:t xml:space="preserve">Early archaeological excavations at Botromagno conducted by Joan du Plat Taylor, on behalf of the British School at Rome, found 32 tombs in the 1967 – 68 field seasons (Ward-Perkins et al. 1969; </w:t>
      </w:r>
      <w:r w:rsidRPr="00825774">
        <w:rPr>
          <w:color w:val="000000" w:themeColor="text1"/>
          <w:lang w:val="en-US"/>
        </w:rPr>
        <w:t xml:space="preserve">Taylor et al. 1976; Small </w:t>
      </w:r>
      <w:r w:rsidRPr="00825774">
        <w:rPr>
          <w:lang w:val="en-US"/>
        </w:rPr>
        <w:t>1992). Forty-eight tombs were</w:t>
      </w:r>
      <w:r>
        <w:rPr>
          <w:lang w:val="en-US"/>
        </w:rPr>
        <w:t xml:space="preserve"> </w:t>
      </w:r>
      <w:r w:rsidRPr="00825774">
        <w:rPr>
          <w:lang w:val="en-US"/>
        </w:rPr>
        <w:t>uncovered by the late 1990s from three separate cemeteries located within and on the periphery of the hillside, including the two necropol</w:t>
      </w:r>
      <w:r>
        <w:rPr>
          <w:lang w:val="en-US"/>
        </w:rPr>
        <w:t>e</w:t>
      </w:r>
      <w:r w:rsidRPr="00825774">
        <w:rPr>
          <w:lang w:val="en-US"/>
        </w:rPr>
        <w:t>is at the base of the hill, known locally as Padreterno and Parco San Stefano (Ward-Perkins et al. 1969; Taylor et al. 1976). The excavations at Botromagno over the decades revealed a substantial number of rock cut chamber tombs, associated artifacts, and a modest settlement composed of small house-dwellings and courtyards.  Tombs were seriated by archaeologists relative to their dates of construction, ranging from fossa grave-pit extensions built in the 6</w:t>
      </w:r>
      <w:r w:rsidRPr="00825774">
        <w:rPr>
          <w:vertAlign w:val="superscript"/>
          <w:lang w:val="en-US"/>
        </w:rPr>
        <w:t>th</w:t>
      </w:r>
      <w:r w:rsidRPr="00825774">
        <w:rPr>
          <w:lang w:val="en-US"/>
        </w:rPr>
        <w:t xml:space="preserve"> century BCE, to rock cut chamber tombs dating to the 3</w:t>
      </w:r>
      <w:r w:rsidRPr="00825774">
        <w:rPr>
          <w:vertAlign w:val="superscript"/>
          <w:lang w:val="en-US"/>
        </w:rPr>
        <w:t>rd</w:t>
      </w:r>
      <w:r w:rsidRPr="00825774">
        <w:rPr>
          <w:lang w:val="en-US"/>
        </w:rPr>
        <w:t xml:space="preserve"> and 2</w:t>
      </w:r>
      <w:r w:rsidRPr="00825774">
        <w:rPr>
          <w:vertAlign w:val="superscript"/>
          <w:lang w:val="en-US"/>
        </w:rPr>
        <w:t>nd</w:t>
      </w:r>
      <w:r w:rsidRPr="00825774">
        <w:rPr>
          <w:lang w:val="en-US"/>
        </w:rPr>
        <w:t xml:space="preserve"> centuries BCE (Ward-Perkins et al. 1969). Many of the tombs and sarcophagi contained ceramic vessels and plates, some of Greek origin, that were used to establish the chronology of the cemetery (Small 1992). </w:t>
      </w:r>
    </w:p>
    <w:p w14:paraId="38919171" w14:textId="1E348CB9" w:rsidR="00447F12" w:rsidRDefault="00447F12" w:rsidP="00447F12">
      <w:pPr>
        <w:pStyle w:val="NormalWeb"/>
        <w:spacing w:line="480" w:lineRule="auto"/>
        <w:ind w:firstLine="720"/>
        <w:contextualSpacing/>
        <w:rPr>
          <w:lang w:val="en-US"/>
        </w:rPr>
      </w:pPr>
      <w:r w:rsidRPr="00825774">
        <w:rPr>
          <w:lang w:val="en-US"/>
        </w:rPr>
        <w:t xml:space="preserve">Excavations at Padreterno began in the late 1980s and continued until 1999 by </w:t>
      </w:r>
      <w:r>
        <w:rPr>
          <w:lang w:val="en-US"/>
        </w:rPr>
        <w:t xml:space="preserve">the </w:t>
      </w:r>
      <w:r w:rsidRPr="00825774">
        <w:rPr>
          <w:lang w:val="en-US"/>
        </w:rPr>
        <w:t xml:space="preserve">Cooperativa Petra Magna.  Over one thousand tombs were found and documented; although there is very little published about this necropolis, we know that approximately 20% of the tombs were very well preserved, and that the excavators were able to recover both the skeletal remains and grave good assemblages (Peruzzi 2016).  Similar to the tombs found at Botromagno, Padreterno also had rock-cut chamber tombs. Grave goods </w:t>
      </w:r>
      <w:r w:rsidRPr="00825774">
        <w:rPr>
          <w:lang w:val="en-US"/>
        </w:rPr>
        <w:lastRenderedPageBreak/>
        <w:t>and other finds suggest that the cemetery was in use from the 6</w:t>
      </w:r>
      <w:r w:rsidRPr="00825774">
        <w:rPr>
          <w:vertAlign w:val="superscript"/>
          <w:lang w:val="en-US"/>
        </w:rPr>
        <w:t>th</w:t>
      </w:r>
      <w:r w:rsidRPr="00825774">
        <w:rPr>
          <w:lang w:val="en-US"/>
        </w:rPr>
        <w:t xml:space="preserve"> to the 4</w:t>
      </w:r>
      <w:r w:rsidRPr="00825774">
        <w:rPr>
          <w:vertAlign w:val="superscript"/>
          <w:lang w:val="en-US"/>
        </w:rPr>
        <w:t>th</w:t>
      </w:r>
      <w:r w:rsidRPr="00825774">
        <w:rPr>
          <w:lang w:val="en-US"/>
        </w:rPr>
        <w:t xml:space="preserve"> centuries BCE, prior to a newer cemetery that was built further down South of the site (Ciancio 2008).   </w:t>
      </w:r>
    </w:p>
    <w:p w14:paraId="43857E6F" w14:textId="77777777" w:rsidR="00447F12" w:rsidRPr="00DC0ADF" w:rsidRDefault="00447F12" w:rsidP="00447F12">
      <w:pPr>
        <w:pStyle w:val="NormalWeb"/>
        <w:ind w:firstLine="720"/>
        <w:contextualSpacing/>
        <w:rPr>
          <w:color w:val="000000" w:themeColor="text1"/>
          <w:lang w:val="en-US"/>
        </w:rPr>
      </w:pPr>
    </w:p>
    <w:p w14:paraId="73502EC1" w14:textId="4E436BB1" w:rsidR="00447F12" w:rsidRPr="001C6BF3" w:rsidRDefault="00447F12" w:rsidP="00447F12">
      <w:pPr>
        <w:spacing w:line="480" w:lineRule="auto"/>
        <w:ind w:firstLine="720"/>
        <w:rPr>
          <w:color w:val="000000" w:themeColor="text1"/>
          <w:lang w:val="en-US"/>
        </w:rPr>
      </w:pPr>
      <w:r w:rsidRPr="00825774">
        <w:rPr>
          <w:color w:val="000000" w:themeColor="text1"/>
          <w:lang w:val="en-US"/>
        </w:rPr>
        <w:t>Excavations at the cemetery of Parco San Stefano in 1970 revealed partial house plans from the Early Iron Age period (the beginning of the 1</w:t>
      </w:r>
      <w:r w:rsidRPr="00825774">
        <w:rPr>
          <w:color w:val="000000" w:themeColor="text1"/>
          <w:vertAlign w:val="superscript"/>
          <w:lang w:val="en-US"/>
        </w:rPr>
        <w:t>st</w:t>
      </w:r>
      <w:r w:rsidRPr="00825774">
        <w:rPr>
          <w:color w:val="000000" w:themeColor="text1"/>
          <w:lang w:val="en-US"/>
        </w:rPr>
        <w:t xml:space="preserve"> millennium BCE) (Whitehouse et al. 2000). These houses were characterized by walls made of wattle and </w:t>
      </w:r>
      <w:r w:rsidRPr="00153E5C">
        <w:rPr>
          <w:color w:val="000000" w:themeColor="text1"/>
          <w:lang w:val="en-US"/>
        </w:rPr>
        <w:t>daub</w:t>
      </w:r>
      <w:r w:rsidRPr="00825774">
        <w:rPr>
          <w:color w:val="000000" w:themeColor="text1"/>
          <w:lang w:val="en-US"/>
        </w:rPr>
        <w:t>, along with roofs constructed of thatch. The site was later abandoned in the late 7</w:t>
      </w:r>
      <w:r w:rsidRPr="00825774">
        <w:rPr>
          <w:color w:val="000000" w:themeColor="text1"/>
          <w:vertAlign w:val="superscript"/>
          <w:lang w:val="en-US"/>
        </w:rPr>
        <w:t>th</w:t>
      </w:r>
      <w:r w:rsidRPr="00825774">
        <w:rPr>
          <w:color w:val="000000" w:themeColor="text1"/>
          <w:lang w:val="en-US"/>
        </w:rPr>
        <w:t xml:space="preserve"> and 6</w:t>
      </w:r>
      <w:r w:rsidRPr="00825774">
        <w:rPr>
          <w:color w:val="000000" w:themeColor="text1"/>
          <w:vertAlign w:val="superscript"/>
          <w:lang w:val="en-US"/>
        </w:rPr>
        <w:t>th</w:t>
      </w:r>
      <w:r w:rsidRPr="00825774">
        <w:rPr>
          <w:color w:val="000000" w:themeColor="text1"/>
          <w:lang w:val="en-US"/>
        </w:rPr>
        <w:t xml:space="preserve"> centuries BCE, but was used as a cemetery primarily for rock-cut sarcophagus burials. Thereafter, no occupation on the site occurred until the ground was levelled, and Classical period houses were</w:t>
      </w:r>
      <w:r w:rsidR="00153E5C">
        <w:rPr>
          <w:color w:val="000000" w:themeColor="text1"/>
          <w:lang w:val="en-US"/>
        </w:rPr>
        <w:t xml:space="preserve"> built</w:t>
      </w:r>
      <w:r w:rsidRPr="00825774">
        <w:rPr>
          <w:color w:val="000000" w:themeColor="text1"/>
          <w:lang w:val="en-US"/>
        </w:rPr>
        <w:t xml:space="preserve"> in between late 4</w:t>
      </w:r>
      <w:r w:rsidRPr="00825774">
        <w:rPr>
          <w:color w:val="000000" w:themeColor="text1"/>
          <w:vertAlign w:val="superscript"/>
          <w:lang w:val="en-US"/>
        </w:rPr>
        <w:t>th</w:t>
      </w:r>
      <w:r w:rsidRPr="00825774">
        <w:rPr>
          <w:color w:val="000000" w:themeColor="text1"/>
          <w:lang w:val="en-US"/>
        </w:rPr>
        <w:t xml:space="preserve"> centuries BCE – early 3</w:t>
      </w:r>
      <w:r w:rsidRPr="00825774">
        <w:rPr>
          <w:color w:val="000000" w:themeColor="text1"/>
          <w:vertAlign w:val="superscript"/>
          <w:lang w:val="en-US"/>
        </w:rPr>
        <w:t xml:space="preserve">th </w:t>
      </w:r>
      <w:r w:rsidRPr="00825774">
        <w:rPr>
          <w:color w:val="000000" w:themeColor="text1"/>
          <w:lang w:val="en-US"/>
        </w:rPr>
        <w:t>centuries CE (du Plat Taylor et al. 1976). Their clay floors and the associated walking level sealed the areas except for some pithos burials (burials i</w:t>
      </w:r>
      <w:r>
        <w:rPr>
          <w:color w:val="000000" w:themeColor="text1"/>
          <w:lang w:val="en-US"/>
        </w:rPr>
        <w:t>n</w:t>
      </w:r>
      <w:r w:rsidRPr="00825774">
        <w:rPr>
          <w:color w:val="000000" w:themeColor="text1"/>
          <w:lang w:val="en-US"/>
        </w:rPr>
        <w:t xml:space="preserve"> large storage containers). </w:t>
      </w:r>
    </w:p>
    <w:p w14:paraId="4F830769" w14:textId="77777777" w:rsidR="00447F12" w:rsidRPr="00825774" w:rsidRDefault="00447F12" w:rsidP="00CF5BB7">
      <w:pPr>
        <w:spacing w:line="360" w:lineRule="auto"/>
        <w:rPr>
          <w:i/>
          <w:lang w:val="en-US"/>
        </w:rPr>
      </w:pPr>
    </w:p>
    <w:p w14:paraId="50A72B0B" w14:textId="5FDB567A" w:rsidR="00CF5BB7" w:rsidRDefault="00CF5BB7" w:rsidP="001C6BF3">
      <w:pPr>
        <w:spacing w:line="480" w:lineRule="auto"/>
        <w:rPr>
          <w:b/>
          <w:lang w:val="en-US"/>
        </w:rPr>
      </w:pPr>
      <w:r w:rsidRPr="00825774">
        <w:rPr>
          <w:b/>
          <w:lang w:val="en-US"/>
        </w:rPr>
        <w:t xml:space="preserve">4.2 Sample Collection </w:t>
      </w:r>
    </w:p>
    <w:p w14:paraId="7C915DE8" w14:textId="77777777" w:rsidR="00DC0ADF" w:rsidRPr="00DC0ADF" w:rsidRDefault="00DC0ADF" w:rsidP="001C6BF3">
      <w:pPr>
        <w:ind w:firstLine="720"/>
        <w:rPr>
          <w:b/>
          <w:lang w:val="en-US"/>
        </w:rPr>
      </w:pPr>
    </w:p>
    <w:p w14:paraId="2B20F88D" w14:textId="6329BCDD" w:rsidR="00B13223" w:rsidRDefault="00CF5BB7" w:rsidP="005A42FA">
      <w:pPr>
        <w:spacing w:line="480" w:lineRule="auto"/>
        <w:ind w:right="20" w:firstLine="720"/>
        <w:rPr>
          <w:lang w:val="en-US"/>
        </w:rPr>
      </w:pPr>
      <w:r w:rsidRPr="00825774">
        <w:rPr>
          <w:lang w:val="en-US"/>
        </w:rPr>
        <w:t>The skeletal material from the sites of Botromagno, Parco San Stefano, and Padreterno were collected by archaeologists during the excavations in the 1960s to 1990s, but the remains were never systematically analyzed. All the skeletal material was housed at the Fondazione Pomarici Santomasi in Gravina in Puglia. In 2012, Dr. Tracy Prowse obtained permission from the Archaeological Superintendency of Puglia to transport the human skeletal material to McMaster University for study, where they are currently curated. Twelve subadult remains</w:t>
      </w:r>
      <w:r w:rsidR="000D6982" w:rsidRPr="00825774">
        <w:rPr>
          <w:lang w:val="en-US"/>
        </w:rPr>
        <w:t xml:space="preserve"> from a total of 85</w:t>
      </w:r>
      <w:r w:rsidR="00087F32" w:rsidRPr="00825774">
        <w:rPr>
          <w:lang w:val="en-US"/>
        </w:rPr>
        <w:t xml:space="preserve"> individual (adults and subadults combined)</w:t>
      </w:r>
      <w:r w:rsidRPr="00825774">
        <w:rPr>
          <w:lang w:val="en-US"/>
        </w:rPr>
        <w:t xml:space="preserve"> from Botromagno</w:t>
      </w:r>
      <w:r w:rsidR="00087F32" w:rsidRPr="00825774">
        <w:rPr>
          <w:lang w:val="en-US"/>
        </w:rPr>
        <w:t>,</w:t>
      </w:r>
      <w:r w:rsidRPr="00825774">
        <w:rPr>
          <w:lang w:val="en-US"/>
        </w:rPr>
        <w:t xml:space="preserve"> Parco San Stefano</w:t>
      </w:r>
      <w:r w:rsidR="00087F32" w:rsidRPr="00825774">
        <w:rPr>
          <w:lang w:val="en-US"/>
        </w:rPr>
        <w:t xml:space="preserve"> and Padreterno</w:t>
      </w:r>
      <w:r w:rsidRPr="00825774">
        <w:rPr>
          <w:lang w:val="en-US"/>
        </w:rPr>
        <w:t xml:space="preserve"> were selected for this </w:t>
      </w:r>
      <w:r w:rsidRPr="00825774">
        <w:rPr>
          <w:lang w:val="en-US"/>
        </w:rPr>
        <w:lastRenderedPageBreak/>
        <w:t xml:space="preserve">study, </w:t>
      </w:r>
      <w:r w:rsidR="000D6982" w:rsidRPr="00825774">
        <w:rPr>
          <w:lang w:val="en-US"/>
        </w:rPr>
        <w:t xml:space="preserve">as only these individuals had </w:t>
      </w:r>
      <w:r w:rsidRPr="00825774">
        <w:rPr>
          <w:lang w:val="en-US"/>
        </w:rPr>
        <w:t>teeth</w:t>
      </w:r>
      <w:r w:rsidR="000D6982" w:rsidRPr="00825774">
        <w:rPr>
          <w:lang w:val="en-US"/>
        </w:rPr>
        <w:t xml:space="preserve"> which covered early period</w:t>
      </w:r>
      <w:r w:rsidR="004E3DAB" w:rsidRPr="00825774">
        <w:rPr>
          <w:lang w:val="en-US"/>
        </w:rPr>
        <w:t>s</w:t>
      </w:r>
      <w:r w:rsidR="000D6982" w:rsidRPr="00825774">
        <w:rPr>
          <w:lang w:val="en-US"/>
        </w:rPr>
        <w:t xml:space="preserve"> of diet</w:t>
      </w:r>
      <w:r w:rsidR="004E3DAB" w:rsidRPr="00825774">
        <w:rPr>
          <w:lang w:val="en-US"/>
        </w:rPr>
        <w:t>,</w:t>
      </w:r>
      <w:r w:rsidRPr="00825774">
        <w:rPr>
          <w:lang w:val="en-US"/>
        </w:rPr>
        <w:t xml:space="preserve"> and skeletal elements</w:t>
      </w:r>
      <w:r w:rsidR="000D6982" w:rsidRPr="00825774">
        <w:rPr>
          <w:lang w:val="en-US"/>
        </w:rPr>
        <w:t xml:space="preserve"> (specifically those that had both femoral and rib fragments)</w:t>
      </w:r>
      <w:r w:rsidRPr="00825774">
        <w:rPr>
          <w:lang w:val="en-US"/>
        </w:rPr>
        <w:t xml:space="preserve"> for stable isotope analysis (Table 4.1)</w:t>
      </w:r>
      <w:r w:rsidR="00986896">
        <w:rPr>
          <w:lang w:val="en-US"/>
        </w:rPr>
        <w:t>.</w:t>
      </w:r>
      <w:r w:rsidRPr="00825774">
        <w:rPr>
          <w:lang w:val="en-US"/>
        </w:rPr>
        <w:t xml:space="preserve"> Young children from ages 1 to 10 years were chosen as they experience a major growth spurt</w:t>
      </w:r>
      <w:r w:rsidR="00933F35">
        <w:rPr>
          <w:lang w:val="en-US"/>
        </w:rPr>
        <w:t xml:space="preserve">, </w:t>
      </w:r>
      <w:r w:rsidRPr="00825774">
        <w:rPr>
          <w:lang w:val="en-US"/>
        </w:rPr>
        <w:t xml:space="preserve">require more nutritious foods, and under unfavourable circumstances are more susceptible to experience compromised growth and health. Accordingly, by restricting the ages of my sample to 1-10 years my research focuses exclusively on feeding patterns during the early phases of </w:t>
      </w:r>
      <w:r w:rsidR="00F4621B">
        <w:rPr>
          <w:lang w:val="en-US"/>
        </w:rPr>
        <w:t>infant,</w:t>
      </w:r>
      <w:r w:rsidRPr="00825774">
        <w:rPr>
          <w:lang w:val="en-US"/>
        </w:rPr>
        <w:t xml:space="preserve"> and childhood development.  Assessment of age was conducted according to the standard methods in human osteology and bioarchaeology from Buikstra and Ubelaker (1994). </w:t>
      </w:r>
      <w:r w:rsidRPr="00986896">
        <w:rPr>
          <w:lang w:val="en-US"/>
        </w:rPr>
        <w:t>Age estimations for the 12 subadults were based on</w:t>
      </w:r>
      <w:r w:rsidR="000204FA" w:rsidRPr="00986896">
        <w:rPr>
          <w:lang w:val="en-US"/>
        </w:rPr>
        <w:t xml:space="preserve"> </w:t>
      </w:r>
      <w:r w:rsidRPr="00986896">
        <w:rPr>
          <w:lang w:val="en-US"/>
        </w:rPr>
        <w:t>the development and eruption of dentition</w:t>
      </w:r>
      <w:r w:rsidR="000204FA" w:rsidRPr="00986896">
        <w:rPr>
          <w:lang w:val="en-US"/>
        </w:rPr>
        <w:t xml:space="preserve"> </w:t>
      </w:r>
      <w:r w:rsidR="00AD1C9A" w:rsidRPr="00986896">
        <w:rPr>
          <w:lang w:val="en-US"/>
        </w:rPr>
        <w:t xml:space="preserve">as outlined by </w:t>
      </w:r>
      <w:r w:rsidR="000204FA" w:rsidRPr="00986896">
        <w:rPr>
          <w:lang w:val="en-US"/>
        </w:rPr>
        <w:t>Moo</w:t>
      </w:r>
      <w:r w:rsidR="00E22CF7" w:rsidRPr="00986896">
        <w:rPr>
          <w:lang w:val="en-US"/>
        </w:rPr>
        <w:t>r</w:t>
      </w:r>
      <w:r w:rsidR="000204FA" w:rsidRPr="00986896">
        <w:rPr>
          <w:lang w:val="en-US"/>
        </w:rPr>
        <w:t>rees et al. (1963) and Ubelaker (1989)</w:t>
      </w:r>
      <w:r w:rsidR="00E22CF7" w:rsidRPr="00986896">
        <w:rPr>
          <w:lang w:val="en-US"/>
        </w:rPr>
        <w:t>.</w:t>
      </w:r>
      <w:r w:rsidRPr="00986896">
        <w:rPr>
          <w:lang w:val="en-US"/>
        </w:rPr>
        <w:t xml:space="preserve"> Sex could not be </w:t>
      </w:r>
      <w:r w:rsidR="006D514B" w:rsidRPr="00986896">
        <w:rPr>
          <w:lang w:val="en-US"/>
        </w:rPr>
        <w:t>estimated</w:t>
      </w:r>
      <w:r w:rsidRPr="00986896">
        <w:rPr>
          <w:lang w:val="en-US"/>
        </w:rPr>
        <w:t xml:space="preserve"> for subadults as they were too young to have definite </w:t>
      </w:r>
      <w:r w:rsidR="008E5594" w:rsidRPr="00986896">
        <w:rPr>
          <w:lang w:val="en-US"/>
        </w:rPr>
        <w:t xml:space="preserve">cranial or innominate </w:t>
      </w:r>
      <w:r w:rsidRPr="00986896">
        <w:rPr>
          <w:lang w:val="en-US"/>
        </w:rPr>
        <w:t>features indicating whether they were male or female</w:t>
      </w:r>
      <w:r w:rsidR="00302CAF" w:rsidRPr="00986896">
        <w:rPr>
          <w:lang w:val="en-US"/>
        </w:rPr>
        <w:t>. Additionally</w:t>
      </w:r>
      <w:r w:rsidR="001159C9">
        <w:rPr>
          <w:lang w:val="en-US"/>
        </w:rPr>
        <w:t>,</w:t>
      </w:r>
      <w:r w:rsidR="00302CAF" w:rsidRPr="00986896">
        <w:rPr>
          <w:lang w:val="en-US"/>
        </w:rPr>
        <w:t xml:space="preserve"> most sex estimation methods are sample-specific</w:t>
      </w:r>
      <w:r w:rsidR="00AD1C9A" w:rsidRPr="00986896">
        <w:rPr>
          <w:lang w:val="en-US"/>
        </w:rPr>
        <w:t xml:space="preserve"> (</w:t>
      </w:r>
      <w:r w:rsidR="009C522C">
        <w:rPr>
          <w:lang w:val="en-US"/>
        </w:rPr>
        <w:t xml:space="preserve">e.g., </w:t>
      </w:r>
      <w:r w:rsidR="00986896" w:rsidRPr="00986896">
        <w:rPr>
          <w:lang w:val="en-US"/>
        </w:rPr>
        <w:t>Loth &amp; Henneberg 2001; Sutter 2003)</w:t>
      </w:r>
      <w:r w:rsidR="00302CAF" w:rsidRPr="00986896">
        <w:rPr>
          <w:lang w:val="en-US"/>
        </w:rPr>
        <w:t>, so when the</w:t>
      </w:r>
      <w:r w:rsidR="00AD1C9A" w:rsidRPr="00986896">
        <w:rPr>
          <w:lang w:val="en-US"/>
        </w:rPr>
        <w:t>se</w:t>
      </w:r>
      <w:r w:rsidR="00302CAF" w:rsidRPr="00986896">
        <w:rPr>
          <w:lang w:val="en-US"/>
        </w:rPr>
        <w:t xml:space="preserve"> method</w:t>
      </w:r>
      <w:r w:rsidR="00AD1C9A" w:rsidRPr="00986896">
        <w:rPr>
          <w:lang w:val="en-US"/>
        </w:rPr>
        <w:t>s are</w:t>
      </w:r>
      <w:r w:rsidR="00302CAF" w:rsidRPr="00986896">
        <w:rPr>
          <w:lang w:val="en-US"/>
        </w:rPr>
        <w:t xml:space="preserve"> applied to individuals originating from a population that differs, accuracy tends to </w:t>
      </w:r>
      <w:r w:rsidR="009E777B">
        <w:rPr>
          <w:lang w:val="en-US"/>
        </w:rPr>
        <w:t>be l</w:t>
      </w:r>
      <w:r w:rsidR="00302CAF" w:rsidRPr="00986896">
        <w:rPr>
          <w:lang w:val="en-US"/>
        </w:rPr>
        <w:t>ower (Cardoso 2008).</w:t>
      </w:r>
    </w:p>
    <w:p w14:paraId="533F43AC" w14:textId="3D141213" w:rsidR="002413C7" w:rsidRDefault="002413C7" w:rsidP="00965216">
      <w:pPr>
        <w:spacing w:line="480" w:lineRule="auto"/>
        <w:ind w:firstLine="720"/>
        <w:rPr>
          <w:lang w:val="en-US"/>
        </w:rPr>
      </w:pPr>
    </w:p>
    <w:p w14:paraId="46062EA8" w14:textId="7638AF01" w:rsidR="002413C7" w:rsidRDefault="002413C7" w:rsidP="00965216">
      <w:pPr>
        <w:spacing w:line="480" w:lineRule="auto"/>
        <w:ind w:firstLine="720"/>
        <w:rPr>
          <w:lang w:val="en-US"/>
        </w:rPr>
      </w:pPr>
    </w:p>
    <w:p w14:paraId="779EC09B" w14:textId="204FF545" w:rsidR="002413C7" w:rsidRDefault="002413C7" w:rsidP="00965216">
      <w:pPr>
        <w:spacing w:line="480" w:lineRule="auto"/>
        <w:ind w:firstLine="720"/>
        <w:rPr>
          <w:lang w:val="en-US"/>
        </w:rPr>
      </w:pPr>
    </w:p>
    <w:p w14:paraId="36810E64" w14:textId="1011E042" w:rsidR="002413C7" w:rsidRDefault="002413C7" w:rsidP="00965216">
      <w:pPr>
        <w:spacing w:line="480" w:lineRule="auto"/>
        <w:ind w:firstLine="720"/>
        <w:rPr>
          <w:lang w:val="en-US"/>
        </w:rPr>
      </w:pPr>
    </w:p>
    <w:p w14:paraId="18D4F3DC" w14:textId="3C9BF505" w:rsidR="002413C7" w:rsidRDefault="002413C7" w:rsidP="00965216">
      <w:pPr>
        <w:spacing w:line="480" w:lineRule="auto"/>
        <w:ind w:firstLine="720"/>
        <w:rPr>
          <w:lang w:val="en-US"/>
        </w:rPr>
      </w:pPr>
    </w:p>
    <w:p w14:paraId="4613A033" w14:textId="77777777" w:rsidR="002413C7" w:rsidRDefault="002413C7" w:rsidP="001A6F63">
      <w:pPr>
        <w:spacing w:line="480" w:lineRule="auto"/>
        <w:rPr>
          <w:lang w:val="en-US"/>
        </w:rPr>
      </w:pPr>
    </w:p>
    <w:p w14:paraId="3FF32A9F" w14:textId="2B7B0227" w:rsidR="0012320E" w:rsidRPr="00825774" w:rsidRDefault="0012320E" w:rsidP="0012320E">
      <w:pPr>
        <w:spacing w:line="480" w:lineRule="auto"/>
        <w:ind w:right="-421"/>
        <w:jc w:val="center"/>
        <w:rPr>
          <w:lang w:val="en-US"/>
        </w:rPr>
      </w:pPr>
      <w:r w:rsidRPr="00825774">
        <w:rPr>
          <w:b/>
          <w:lang w:val="en-US"/>
        </w:rPr>
        <w:lastRenderedPageBreak/>
        <w:t>Table 4.</w:t>
      </w:r>
      <w:r>
        <w:rPr>
          <w:b/>
          <w:lang w:val="en-US"/>
        </w:rPr>
        <w:t>1</w:t>
      </w:r>
      <w:r w:rsidR="00E14AE9">
        <w:rPr>
          <w:b/>
          <w:lang w:val="en-US"/>
        </w:rPr>
        <w:t>:</w:t>
      </w:r>
      <w:r w:rsidRPr="00825774">
        <w:rPr>
          <w:lang w:val="en-US"/>
        </w:rPr>
        <w:t xml:space="preserve"> Subadult </w:t>
      </w:r>
      <w:r w:rsidR="001A61E9">
        <w:rPr>
          <w:lang w:val="en-US"/>
        </w:rPr>
        <w:t>t</w:t>
      </w:r>
      <w:r w:rsidR="00AE0048">
        <w:rPr>
          <w:lang w:val="en-US"/>
        </w:rPr>
        <w:t>oo</w:t>
      </w:r>
      <w:r w:rsidRPr="00825774">
        <w:rPr>
          <w:lang w:val="en-US"/>
        </w:rPr>
        <w:t xml:space="preserve">th </w:t>
      </w:r>
      <w:r w:rsidR="001A61E9">
        <w:rPr>
          <w:lang w:val="en-US"/>
        </w:rPr>
        <w:t>s</w:t>
      </w:r>
      <w:r w:rsidRPr="00825774">
        <w:rPr>
          <w:lang w:val="en-US"/>
        </w:rPr>
        <w:t>amples from Botromagno and Parco San Stefano.</w:t>
      </w:r>
    </w:p>
    <w:tbl>
      <w:tblPr>
        <w:tblStyle w:val="TableGrid"/>
        <w:tblW w:w="8642" w:type="dxa"/>
        <w:jc w:val="center"/>
        <w:tblLayout w:type="fixed"/>
        <w:tblLook w:val="04A0" w:firstRow="1" w:lastRow="0" w:firstColumn="1" w:lastColumn="0" w:noHBand="0" w:noVBand="1"/>
      </w:tblPr>
      <w:tblGrid>
        <w:gridCol w:w="1980"/>
        <w:gridCol w:w="1568"/>
        <w:gridCol w:w="1409"/>
        <w:gridCol w:w="992"/>
        <w:gridCol w:w="2693"/>
      </w:tblGrid>
      <w:tr w:rsidR="00257E9D" w:rsidRPr="008C4A6A" w14:paraId="5DC26007" w14:textId="77777777" w:rsidTr="001515B3">
        <w:trPr>
          <w:jc w:val="center"/>
        </w:trPr>
        <w:tc>
          <w:tcPr>
            <w:tcW w:w="1980" w:type="dxa"/>
            <w:tcBorders>
              <w:top w:val="single" w:sz="4" w:space="0" w:color="auto"/>
              <w:left w:val="single" w:sz="4" w:space="0" w:color="auto"/>
              <w:bottom w:val="single" w:sz="4" w:space="0" w:color="auto"/>
              <w:right w:val="single" w:sz="4" w:space="0" w:color="auto"/>
            </w:tcBorders>
          </w:tcPr>
          <w:p w14:paraId="6EB6EFF9" w14:textId="7DFAA23F" w:rsidR="00257E9D" w:rsidRPr="00825774" w:rsidRDefault="00257E9D" w:rsidP="00144C4D">
            <w:pPr>
              <w:rPr>
                <w:b/>
                <w:lang w:val="en-US"/>
              </w:rPr>
            </w:pPr>
            <w:r w:rsidRPr="00825774">
              <w:rPr>
                <w:b/>
                <w:lang w:val="en-US"/>
              </w:rPr>
              <w:t>Sample ID</w:t>
            </w:r>
          </w:p>
        </w:tc>
        <w:tc>
          <w:tcPr>
            <w:tcW w:w="1568" w:type="dxa"/>
            <w:tcBorders>
              <w:top w:val="single" w:sz="4" w:space="0" w:color="auto"/>
              <w:left w:val="single" w:sz="4" w:space="0" w:color="auto"/>
              <w:bottom w:val="single" w:sz="4" w:space="0" w:color="auto"/>
              <w:right w:val="single" w:sz="4" w:space="0" w:color="auto"/>
            </w:tcBorders>
          </w:tcPr>
          <w:p w14:paraId="0C91B22E" w14:textId="39E7CD37" w:rsidR="00257E9D" w:rsidRPr="00825774" w:rsidRDefault="00257E9D" w:rsidP="00144C4D">
            <w:pPr>
              <w:rPr>
                <w:b/>
                <w:lang w:val="en-US"/>
              </w:rPr>
            </w:pPr>
            <w:r>
              <w:rPr>
                <w:b/>
                <w:lang w:val="en-US"/>
              </w:rPr>
              <w:t>Burial Site</w:t>
            </w:r>
          </w:p>
        </w:tc>
        <w:tc>
          <w:tcPr>
            <w:tcW w:w="1409" w:type="dxa"/>
            <w:tcBorders>
              <w:top w:val="single" w:sz="4" w:space="0" w:color="auto"/>
              <w:left w:val="single" w:sz="4" w:space="0" w:color="auto"/>
              <w:bottom w:val="single" w:sz="4" w:space="0" w:color="auto"/>
              <w:right w:val="single" w:sz="4" w:space="0" w:color="auto"/>
            </w:tcBorders>
          </w:tcPr>
          <w:p w14:paraId="7B2117F8" w14:textId="41F91B1B" w:rsidR="00257E9D" w:rsidRPr="00825774" w:rsidRDefault="00257E9D" w:rsidP="00144C4D">
            <w:pPr>
              <w:rPr>
                <w:b/>
                <w:lang w:val="en-US"/>
              </w:rPr>
            </w:pPr>
            <w:r w:rsidRPr="00825774">
              <w:rPr>
                <w:b/>
                <w:lang w:val="en-US"/>
              </w:rPr>
              <w:t>Age-at-death</w:t>
            </w:r>
            <w:r>
              <w:rPr>
                <w:b/>
                <w:lang w:val="en-US"/>
              </w:rPr>
              <w:t>*</w:t>
            </w:r>
          </w:p>
        </w:tc>
        <w:tc>
          <w:tcPr>
            <w:tcW w:w="992" w:type="dxa"/>
            <w:tcBorders>
              <w:top w:val="single" w:sz="4" w:space="0" w:color="auto"/>
              <w:left w:val="single" w:sz="4" w:space="0" w:color="auto"/>
              <w:bottom w:val="single" w:sz="4" w:space="0" w:color="auto"/>
              <w:right w:val="single" w:sz="4" w:space="0" w:color="auto"/>
            </w:tcBorders>
          </w:tcPr>
          <w:p w14:paraId="3FA17051" w14:textId="77777777" w:rsidR="00257E9D" w:rsidRPr="00825774" w:rsidRDefault="00257E9D" w:rsidP="00144C4D">
            <w:pPr>
              <w:rPr>
                <w:b/>
                <w:lang w:val="en-US"/>
              </w:rPr>
            </w:pPr>
            <w:r w:rsidRPr="00825774">
              <w:rPr>
                <w:b/>
                <w:lang w:val="en-US"/>
              </w:rPr>
              <w:t>Tooth sample</w:t>
            </w:r>
          </w:p>
        </w:tc>
        <w:tc>
          <w:tcPr>
            <w:tcW w:w="2693" w:type="dxa"/>
            <w:tcBorders>
              <w:top w:val="single" w:sz="4" w:space="0" w:color="auto"/>
              <w:left w:val="single" w:sz="4" w:space="0" w:color="auto"/>
              <w:bottom w:val="single" w:sz="4" w:space="0" w:color="auto"/>
              <w:right w:val="single" w:sz="4" w:space="0" w:color="auto"/>
            </w:tcBorders>
          </w:tcPr>
          <w:p w14:paraId="2F5EAA92" w14:textId="77777777" w:rsidR="00257E9D" w:rsidRPr="00825774" w:rsidRDefault="00257E9D" w:rsidP="00144C4D">
            <w:pPr>
              <w:rPr>
                <w:b/>
                <w:lang w:val="en-US"/>
              </w:rPr>
            </w:pPr>
            <w:r w:rsidRPr="00825774">
              <w:rPr>
                <w:b/>
                <w:lang w:val="en-US"/>
              </w:rPr>
              <w:t>Bone Samples</w:t>
            </w:r>
            <w:r>
              <w:rPr>
                <w:b/>
                <w:lang w:val="en-US"/>
              </w:rPr>
              <w:t>**</w:t>
            </w:r>
          </w:p>
        </w:tc>
      </w:tr>
      <w:tr w:rsidR="00257E9D" w:rsidRPr="008C4A6A" w14:paraId="6BF80EC0" w14:textId="77777777" w:rsidTr="001515B3">
        <w:trPr>
          <w:jc w:val="center"/>
        </w:trPr>
        <w:tc>
          <w:tcPr>
            <w:tcW w:w="1980" w:type="dxa"/>
            <w:tcBorders>
              <w:top w:val="single" w:sz="4" w:space="0" w:color="auto"/>
            </w:tcBorders>
          </w:tcPr>
          <w:p w14:paraId="04EAE734" w14:textId="5EF9FBF7" w:rsidR="00257E9D" w:rsidRPr="00825774" w:rsidRDefault="00257E9D" w:rsidP="00144C4D">
            <w:pPr>
              <w:rPr>
                <w:lang w:val="en-US"/>
              </w:rPr>
            </w:pPr>
            <w:r w:rsidRPr="00825774">
              <w:rPr>
                <w:lang w:val="en-US"/>
              </w:rPr>
              <w:t>G67/I p3 e2 S4 = Tomb 4</w:t>
            </w:r>
          </w:p>
        </w:tc>
        <w:tc>
          <w:tcPr>
            <w:tcW w:w="1568" w:type="dxa"/>
            <w:tcBorders>
              <w:top w:val="single" w:sz="4" w:space="0" w:color="auto"/>
            </w:tcBorders>
          </w:tcPr>
          <w:p w14:paraId="15604AD2" w14:textId="4D2DF0C6" w:rsidR="00257E9D" w:rsidRPr="00825774" w:rsidRDefault="00257E9D" w:rsidP="00144C4D">
            <w:pPr>
              <w:rPr>
                <w:lang w:val="en-US"/>
              </w:rPr>
            </w:pPr>
            <w:r>
              <w:rPr>
                <w:lang w:val="en-US"/>
              </w:rPr>
              <w:t>Botromagno</w:t>
            </w:r>
          </w:p>
        </w:tc>
        <w:tc>
          <w:tcPr>
            <w:tcW w:w="1409" w:type="dxa"/>
            <w:tcBorders>
              <w:top w:val="single" w:sz="4" w:space="0" w:color="auto"/>
            </w:tcBorders>
          </w:tcPr>
          <w:p w14:paraId="42B476A1" w14:textId="4C6D3A3E" w:rsidR="00257E9D" w:rsidRPr="00825774" w:rsidRDefault="00257E9D" w:rsidP="00144C4D">
            <w:pPr>
              <w:rPr>
                <w:lang w:val="en-US"/>
              </w:rPr>
            </w:pPr>
            <w:r w:rsidRPr="00825774">
              <w:rPr>
                <w:lang w:val="en-US"/>
              </w:rPr>
              <w:t>4 yrs +/- 12 months</w:t>
            </w:r>
          </w:p>
        </w:tc>
        <w:tc>
          <w:tcPr>
            <w:tcW w:w="992" w:type="dxa"/>
            <w:tcBorders>
              <w:top w:val="single" w:sz="4" w:space="0" w:color="auto"/>
            </w:tcBorders>
          </w:tcPr>
          <w:p w14:paraId="2037D5EF" w14:textId="77777777" w:rsidR="00257E9D" w:rsidRPr="00825774" w:rsidRDefault="00257E9D" w:rsidP="00144C4D">
            <w:pPr>
              <w:rPr>
                <w:lang w:val="en-US"/>
              </w:rPr>
            </w:pPr>
            <w:r w:rsidRPr="00825774">
              <w:rPr>
                <w:lang w:val="en-US"/>
              </w:rPr>
              <w:t>lm</w:t>
            </w:r>
            <w:r w:rsidRPr="00825774">
              <w:rPr>
                <w:vertAlign w:val="superscript"/>
                <w:lang w:val="en-US"/>
              </w:rPr>
              <w:t>1</w:t>
            </w:r>
          </w:p>
        </w:tc>
        <w:tc>
          <w:tcPr>
            <w:tcW w:w="2693" w:type="dxa"/>
            <w:tcBorders>
              <w:top w:val="single" w:sz="4" w:space="0" w:color="auto"/>
            </w:tcBorders>
          </w:tcPr>
          <w:p w14:paraId="1916E454" w14:textId="04114F07" w:rsidR="00257E9D" w:rsidRPr="00825774" w:rsidRDefault="00257E9D" w:rsidP="00144C4D">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5A42FA">
              <w:rPr>
                <w:lang w:val="en-US"/>
              </w:rPr>
              <w:t>.</w:t>
            </w:r>
          </w:p>
          <w:p w14:paraId="1E422E54" w14:textId="6254058C" w:rsidR="00257E9D" w:rsidRPr="00825774" w:rsidRDefault="009562A4" w:rsidP="00144C4D">
            <w:pPr>
              <w:rPr>
                <w:lang w:val="en-US"/>
              </w:rPr>
            </w:pPr>
            <w:r>
              <w:rPr>
                <w:lang w:val="en-US"/>
              </w:rPr>
              <w:t>Und</w:t>
            </w:r>
            <w:r w:rsidR="005A42FA">
              <w:rPr>
                <w:lang w:val="en-US"/>
              </w:rPr>
              <w:t>.</w:t>
            </w:r>
            <w:r>
              <w:rPr>
                <w:lang w:val="en-US"/>
              </w:rPr>
              <w:t xml:space="preserve"> f</w:t>
            </w:r>
            <w:r w:rsidRPr="00825774">
              <w:rPr>
                <w:lang w:val="en-US"/>
              </w:rPr>
              <w:t xml:space="preserve">emoral </w:t>
            </w:r>
            <w:r>
              <w:rPr>
                <w:lang w:val="en-US"/>
              </w:rPr>
              <w:t>f</w:t>
            </w:r>
            <w:r w:rsidRPr="00825774">
              <w:rPr>
                <w:lang w:val="en-US"/>
              </w:rPr>
              <w:t>rag</w:t>
            </w:r>
            <w:r w:rsidR="005A42FA">
              <w:rPr>
                <w:lang w:val="en-US"/>
              </w:rPr>
              <w:t>.</w:t>
            </w:r>
          </w:p>
        </w:tc>
      </w:tr>
      <w:tr w:rsidR="00257E9D" w:rsidRPr="008C4A6A" w14:paraId="5B981DD9" w14:textId="77777777" w:rsidTr="001515B3">
        <w:trPr>
          <w:jc w:val="center"/>
        </w:trPr>
        <w:tc>
          <w:tcPr>
            <w:tcW w:w="1980" w:type="dxa"/>
          </w:tcPr>
          <w:p w14:paraId="265ACB78" w14:textId="3D0ACFD5" w:rsidR="00257E9D" w:rsidRPr="00825774" w:rsidRDefault="00257E9D" w:rsidP="00144C4D">
            <w:pPr>
              <w:rPr>
                <w:lang w:val="en-US"/>
              </w:rPr>
            </w:pPr>
            <w:r w:rsidRPr="00825774">
              <w:rPr>
                <w:lang w:val="en-US"/>
              </w:rPr>
              <w:t>22/5/67 Tomba 30</w:t>
            </w:r>
          </w:p>
        </w:tc>
        <w:tc>
          <w:tcPr>
            <w:tcW w:w="1568" w:type="dxa"/>
          </w:tcPr>
          <w:p w14:paraId="1FFBD10C" w14:textId="68ED0527" w:rsidR="00257E9D" w:rsidRPr="00825774" w:rsidRDefault="00257E9D" w:rsidP="00144C4D">
            <w:pPr>
              <w:rPr>
                <w:lang w:val="en-US"/>
              </w:rPr>
            </w:pPr>
            <w:r>
              <w:rPr>
                <w:lang w:val="en-US"/>
              </w:rPr>
              <w:t>P</w:t>
            </w:r>
            <w:r w:rsidR="005A42FA">
              <w:rPr>
                <w:lang w:val="en-US"/>
              </w:rPr>
              <w:t>.</w:t>
            </w:r>
            <w:r>
              <w:rPr>
                <w:lang w:val="en-US"/>
              </w:rPr>
              <w:t xml:space="preserve"> </w:t>
            </w:r>
            <w:r w:rsidR="005A42FA">
              <w:rPr>
                <w:lang w:val="en-US"/>
              </w:rPr>
              <w:t>S.</w:t>
            </w:r>
            <w:r>
              <w:rPr>
                <w:lang w:val="en-US"/>
              </w:rPr>
              <w:t xml:space="preserve"> Stefano</w:t>
            </w:r>
          </w:p>
        </w:tc>
        <w:tc>
          <w:tcPr>
            <w:tcW w:w="1409" w:type="dxa"/>
          </w:tcPr>
          <w:p w14:paraId="043C8DD8" w14:textId="2A231C27" w:rsidR="00257E9D" w:rsidRPr="00825774" w:rsidRDefault="00257E9D" w:rsidP="00144C4D">
            <w:pPr>
              <w:rPr>
                <w:lang w:val="en-US"/>
              </w:rPr>
            </w:pPr>
            <w:r w:rsidRPr="00825774">
              <w:rPr>
                <w:lang w:val="en-US"/>
              </w:rPr>
              <w:t>8 yrs +/- 24 months</w:t>
            </w:r>
          </w:p>
        </w:tc>
        <w:tc>
          <w:tcPr>
            <w:tcW w:w="992" w:type="dxa"/>
          </w:tcPr>
          <w:p w14:paraId="221A4361" w14:textId="77777777" w:rsidR="00257E9D" w:rsidRPr="00825774" w:rsidRDefault="00257E9D" w:rsidP="00144C4D">
            <w:pPr>
              <w:rPr>
                <w:lang w:val="en-US"/>
              </w:rPr>
            </w:pPr>
            <w:r w:rsidRPr="00825774">
              <w:rPr>
                <w:lang w:val="en-US"/>
              </w:rPr>
              <w:t>M1</w:t>
            </w:r>
          </w:p>
        </w:tc>
        <w:tc>
          <w:tcPr>
            <w:tcW w:w="2693" w:type="dxa"/>
          </w:tcPr>
          <w:p w14:paraId="6497A4A5" w14:textId="7763BE37" w:rsidR="00257E9D" w:rsidRPr="00825774" w:rsidRDefault="00257E9D" w:rsidP="00144C4D">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5A42FA">
              <w:rPr>
                <w:lang w:val="en-US"/>
              </w:rPr>
              <w:t>.</w:t>
            </w:r>
          </w:p>
          <w:p w14:paraId="289447ED" w14:textId="7FBAC25C" w:rsidR="00257E9D" w:rsidRPr="00825774" w:rsidRDefault="009562A4" w:rsidP="00144C4D">
            <w:pPr>
              <w:rPr>
                <w:lang w:val="en-US"/>
              </w:rPr>
            </w:pPr>
            <w:r>
              <w:rPr>
                <w:lang w:val="en-US"/>
              </w:rPr>
              <w:t>Und</w:t>
            </w:r>
            <w:r w:rsidR="005A42FA">
              <w:rPr>
                <w:lang w:val="en-US"/>
              </w:rPr>
              <w:t>.</w:t>
            </w:r>
            <w:r>
              <w:rPr>
                <w:lang w:val="en-US"/>
              </w:rPr>
              <w:t xml:space="preserve"> f</w:t>
            </w:r>
            <w:r w:rsidR="00257E9D" w:rsidRPr="00825774">
              <w:rPr>
                <w:lang w:val="en-US"/>
              </w:rPr>
              <w:t xml:space="preserve">emoral </w:t>
            </w:r>
            <w:r w:rsidR="00257E9D">
              <w:rPr>
                <w:lang w:val="en-US"/>
              </w:rPr>
              <w:t>f</w:t>
            </w:r>
            <w:r w:rsidR="00257E9D" w:rsidRPr="00825774">
              <w:rPr>
                <w:lang w:val="en-US"/>
              </w:rPr>
              <w:t>rag</w:t>
            </w:r>
            <w:r w:rsidR="005A42FA">
              <w:rPr>
                <w:lang w:val="en-US"/>
              </w:rPr>
              <w:t>.</w:t>
            </w:r>
          </w:p>
        </w:tc>
      </w:tr>
      <w:tr w:rsidR="00257E9D" w:rsidRPr="008C4A6A" w14:paraId="1EEF4107" w14:textId="77777777" w:rsidTr="001515B3">
        <w:trPr>
          <w:jc w:val="center"/>
        </w:trPr>
        <w:tc>
          <w:tcPr>
            <w:tcW w:w="1980" w:type="dxa"/>
          </w:tcPr>
          <w:p w14:paraId="75BDE3FF" w14:textId="77777777" w:rsidR="00257E9D" w:rsidRPr="00825774" w:rsidRDefault="00257E9D" w:rsidP="00144C4D">
            <w:pPr>
              <w:rPr>
                <w:lang w:val="en-US"/>
              </w:rPr>
            </w:pPr>
            <w:r w:rsidRPr="00825774">
              <w:rPr>
                <w:lang w:val="en-US"/>
              </w:rPr>
              <w:t>G67/II P4 S17 Infill 3</w:t>
            </w:r>
          </w:p>
        </w:tc>
        <w:tc>
          <w:tcPr>
            <w:tcW w:w="1568" w:type="dxa"/>
          </w:tcPr>
          <w:p w14:paraId="0D65C75D" w14:textId="6DC94B85" w:rsidR="00257E9D" w:rsidRPr="00825774" w:rsidRDefault="00257E9D" w:rsidP="00144C4D">
            <w:pPr>
              <w:rPr>
                <w:lang w:val="en-US"/>
              </w:rPr>
            </w:pPr>
            <w:r>
              <w:rPr>
                <w:lang w:val="en-US"/>
              </w:rPr>
              <w:t>Botromagno</w:t>
            </w:r>
          </w:p>
        </w:tc>
        <w:tc>
          <w:tcPr>
            <w:tcW w:w="1409" w:type="dxa"/>
          </w:tcPr>
          <w:p w14:paraId="10E0A97F" w14:textId="1A8F7AC6" w:rsidR="00257E9D" w:rsidRPr="00825774" w:rsidRDefault="00257E9D" w:rsidP="00144C4D">
            <w:pPr>
              <w:rPr>
                <w:lang w:val="en-US"/>
              </w:rPr>
            </w:pPr>
            <w:r w:rsidRPr="00825774">
              <w:rPr>
                <w:lang w:val="en-US"/>
              </w:rPr>
              <w:t>7-8 yrs +/- 24 months</w:t>
            </w:r>
          </w:p>
        </w:tc>
        <w:tc>
          <w:tcPr>
            <w:tcW w:w="992" w:type="dxa"/>
          </w:tcPr>
          <w:p w14:paraId="15D32A5B" w14:textId="77777777" w:rsidR="00257E9D" w:rsidRPr="00825774" w:rsidRDefault="00257E9D" w:rsidP="00144C4D">
            <w:pPr>
              <w:rPr>
                <w:vertAlign w:val="superscript"/>
                <w:lang w:val="en-US"/>
              </w:rPr>
            </w:pPr>
            <w:r w:rsidRPr="00825774">
              <w:rPr>
                <w:lang w:val="en-US"/>
              </w:rPr>
              <w:t>LM</w:t>
            </w:r>
            <w:r w:rsidRPr="00825774">
              <w:rPr>
                <w:vertAlign w:val="superscript"/>
                <w:lang w:val="en-US"/>
              </w:rPr>
              <w:t>1</w:t>
            </w:r>
          </w:p>
        </w:tc>
        <w:tc>
          <w:tcPr>
            <w:tcW w:w="2693" w:type="dxa"/>
          </w:tcPr>
          <w:p w14:paraId="610CA7E5" w14:textId="576F78D6" w:rsidR="00257E9D" w:rsidRPr="00825774" w:rsidRDefault="00257E9D" w:rsidP="00144C4D">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5A42FA">
              <w:rPr>
                <w:lang w:val="en-US"/>
              </w:rPr>
              <w:t>.</w:t>
            </w:r>
          </w:p>
          <w:p w14:paraId="3D91D6EE" w14:textId="2392AD57" w:rsidR="00257E9D" w:rsidRPr="00825774" w:rsidRDefault="009562A4" w:rsidP="00144C4D">
            <w:pPr>
              <w:rPr>
                <w:lang w:val="en-US"/>
              </w:rPr>
            </w:pPr>
            <w:r>
              <w:rPr>
                <w:lang w:val="en-US"/>
              </w:rPr>
              <w:t xml:space="preserve">Mid- Shaft </w:t>
            </w:r>
            <w:r w:rsidR="00257E9D" w:rsidRPr="00825774">
              <w:rPr>
                <w:lang w:val="en-US"/>
              </w:rPr>
              <w:t xml:space="preserve">Femoral </w:t>
            </w:r>
            <w:r w:rsidR="00257E9D">
              <w:rPr>
                <w:lang w:val="en-US"/>
              </w:rPr>
              <w:t>f</w:t>
            </w:r>
            <w:r w:rsidR="00257E9D" w:rsidRPr="00825774">
              <w:rPr>
                <w:lang w:val="en-US"/>
              </w:rPr>
              <w:t>rag</w:t>
            </w:r>
            <w:r w:rsidR="005A42FA">
              <w:rPr>
                <w:lang w:val="en-US"/>
              </w:rPr>
              <w:t>.</w:t>
            </w:r>
            <w:r w:rsidR="00257E9D">
              <w:rPr>
                <w:lang w:val="en-US"/>
              </w:rPr>
              <w:t xml:space="preserve"> </w:t>
            </w:r>
          </w:p>
        </w:tc>
      </w:tr>
      <w:tr w:rsidR="00257E9D" w:rsidRPr="008C4A6A" w14:paraId="38AF4F24" w14:textId="77777777" w:rsidTr="001515B3">
        <w:trPr>
          <w:jc w:val="center"/>
        </w:trPr>
        <w:tc>
          <w:tcPr>
            <w:tcW w:w="1980" w:type="dxa"/>
          </w:tcPr>
          <w:p w14:paraId="5B9E77D7" w14:textId="77777777" w:rsidR="00257E9D" w:rsidRPr="00825774" w:rsidRDefault="00257E9D" w:rsidP="00144C4D">
            <w:pPr>
              <w:rPr>
                <w:lang w:val="en-US"/>
              </w:rPr>
            </w:pPr>
            <w:r w:rsidRPr="00825774">
              <w:rPr>
                <w:lang w:val="en-US"/>
              </w:rPr>
              <w:t>21/12/71 Tomba di bambino Ind. 1</w:t>
            </w:r>
          </w:p>
        </w:tc>
        <w:tc>
          <w:tcPr>
            <w:tcW w:w="1568" w:type="dxa"/>
          </w:tcPr>
          <w:p w14:paraId="09D5D17F" w14:textId="5E632C51" w:rsidR="00257E9D" w:rsidRPr="00825774" w:rsidRDefault="00257E9D" w:rsidP="00144C4D">
            <w:pPr>
              <w:rPr>
                <w:lang w:val="en-US"/>
              </w:rPr>
            </w:pPr>
            <w:r>
              <w:rPr>
                <w:lang w:val="en-US"/>
              </w:rPr>
              <w:t>Botromagno</w:t>
            </w:r>
          </w:p>
        </w:tc>
        <w:tc>
          <w:tcPr>
            <w:tcW w:w="1409" w:type="dxa"/>
          </w:tcPr>
          <w:p w14:paraId="69686C30" w14:textId="149DEE90" w:rsidR="00257E9D" w:rsidRPr="00825774" w:rsidRDefault="00257E9D" w:rsidP="00144C4D">
            <w:pPr>
              <w:rPr>
                <w:lang w:val="en-US"/>
              </w:rPr>
            </w:pPr>
            <w:r w:rsidRPr="00825774">
              <w:rPr>
                <w:lang w:val="en-US"/>
              </w:rPr>
              <w:t>2 yrs +/- 8 months</w:t>
            </w:r>
          </w:p>
        </w:tc>
        <w:tc>
          <w:tcPr>
            <w:tcW w:w="992" w:type="dxa"/>
          </w:tcPr>
          <w:p w14:paraId="660B5BA8" w14:textId="77777777" w:rsidR="00257E9D" w:rsidRPr="00825774" w:rsidRDefault="00257E9D" w:rsidP="00144C4D">
            <w:pPr>
              <w:rPr>
                <w:lang w:val="en-US"/>
              </w:rPr>
            </w:pPr>
            <w:r w:rsidRPr="00825774">
              <w:rPr>
                <w:lang w:val="en-US"/>
              </w:rPr>
              <w:t>rm</w:t>
            </w:r>
            <w:r w:rsidRPr="00825774">
              <w:rPr>
                <w:vertAlign w:val="superscript"/>
                <w:lang w:val="en-US"/>
              </w:rPr>
              <w:t>1</w:t>
            </w:r>
          </w:p>
        </w:tc>
        <w:tc>
          <w:tcPr>
            <w:tcW w:w="2693" w:type="dxa"/>
          </w:tcPr>
          <w:p w14:paraId="5CC81D49" w14:textId="13992FEE" w:rsidR="00257E9D" w:rsidRPr="00825774" w:rsidRDefault="00257E9D" w:rsidP="00144C4D">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5A42FA">
              <w:rPr>
                <w:lang w:val="en-US"/>
              </w:rPr>
              <w:t>.</w:t>
            </w:r>
          </w:p>
          <w:p w14:paraId="041870E2" w14:textId="35361C9C" w:rsidR="00257E9D" w:rsidRPr="00825774" w:rsidRDefault="00257E9D" w:rsidP="00144C4D">
            <w:pPr>
              <w:rPr>
                <w:lang w:val="en-US"/>
              </w:rPr>
            </w:pPr>
            <w:r w:rsidRPr="00825774">
              <w:rPr>
                <w:lang w:val="en-US"/>
              </w:rPr>
              <w:t xml:space="preserve">Femoral </w:t>
            </w:r>
            <w:r>
              <w:rPr>
                <w:lang w:val="en-US"/>
              </w:rPr>
              <w:t>f</w:t>
            </w:r>
            <w:r w:rsidRPr="00825774">
              <w:rPr>
                <w:lang w:val="en-US"/>
              </w:rPr>
              <w:t>rag</w:t>
            </w:r>
            <w:r w:rsidR="005A42FA">
              <w:rPr>
                <w:lang w:val="en-US"/>
              </w:rPr>
              <w:t>.</w:t>
            </w:r>
            <w:r>
              <w:rPr>
                <w:lang w:val="en-US"/>
              </w:rPr>
              <w:t xml:space="preserve"> from the metaphysis region</w:t>
            </w:r>
          </w:p>
        </w:tc>
      </w:tr>
      <w:tr w:rsidR="00257E9D" w:rsidRPr="008C4A6A" w14:paraId="21C88BBC" w14:textId="77777777" w:rsidTr="001515B3">
        <w:trPr>
          <w:jc w:val="center"/>
        </w:trPr>
        <w:tc>
          <w:tcPr>
            <w:tcW w:w="1980" w:type="dxa"/>
          </w:tcPr>
          <w:p w14:paraId="387BE508" w14:textId="77777777" w:rsidR="00257E9D" w:rsidRPr="00825774" w:rsidRDefault="00257E9D" w:rsidP="00144C4D">
            <w:pPr>
              <w:rPr>
                <w:lang w:val="en-US"/>
              </w:rPr>
            </w:pPr>
            <w:r w:rsidRPr="00825774">
              <w:rPr>
                <w:lang w:val="en-US"/>
              </w:rPr>
              <w:t>GS70 F25</w:t>
            </w:r>
          </w:p>
        </w:tc>
        <w:tc>
          <w:tcPr>
            <w:tcW w:w="1568" w:type="dxa"/>
          </w:tcPr>
          <w:p w14:paraId="31D17BB9" w14:textId="1DA81B23" w:rsidR="00257E9D" w:rsidRPr="00825774" w:rsidRDefault="00257E9D" w:rsidP="00144C4D">
            <w:pPr>
              <w:rPr>
                <w:lang w:val="en-US"/>
              </w:rPr>
            </w:pPr>
            <w:r>
              <w:rPr>
                <w:lang w:val="en-US"/>
              </w:rPr>
              <w:t>Botromagno</w:t>
            </w:r>
          </w:p>
        </w:tc>
        <w:tc>
          <w:tcPr>
            <w:tcW w:w="1409" w:type="dxa"/>
          </w:tcPr>
          <w:p w14:paraId="040E2C4A" w14:textId="6AD2BE0A" w:rsidR="00257E9D" w:rsidRPr="00825774" w:rsidRDefault="00257E9D" w:rsidP="00144C4D">
            <w:pPr>
              <w:rPr>
                <w:lang w:val="en-US"/>
              </w:rPr>
            </w:pPr>
            <w:r w:rsidRPr="00825774">
              <w:rPr>
                <w:lang w:val="en-US"/>
              </w:rPr>
              <w:t>4 yrs +/- 12 months</w:t>
            </w:r>
          </w:p>
        </w:tc>
        <w:tc>
          <w:tcPr>
            <w:tcW w:w="992" w:type="dxa"/>
          </w:tcPr>
          <w:p w14:paraId="2EC5D831" w14:textId="77777777" w:rsidR="00257E9D" w:rsidRPr="00825774" w:rsidRDefault="00257E9D" w:rsidP="00144C4D">
            <w:pPr>
              <w:rPr>
                <w:vertAlign w:val="subscript"/>
                <w:lang w:val="en-US"/>
              </w:rPr>
            </w:pPr>
            <w:r w:rsidRPr="00825774">
              <w:rPr>
                <w:lang w:val="en-US"/>
              </w:rPr>
              <w:t>rm</w:t>
            </w:r>
            <w:r w:rsidRPr="00825774">
              <w:rPr>
                <w:vertAlign w:val="subscript"/>
                <w:lang w:val="en-US"/>
              </w:rPr>
              <w:t>1</w:t>
            </w:r>
          </w:p>
        </w:tc>
        <w:tc>
          <w:tcPr>
            <w:tcW w:w="2693" w:type="dxa"/>
          </w:tcPr>
          <w:p w14:paraId="7703AA50" w14:textId="76A8BA46" w:rsidR="00257E9D" w:rsidRPr="00825774" w:rsidRDefault="00257E9D" w:rsidP="00144C4D">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5A42FA">
              <w:rPr>
                <w:lang w:val="en-US"/>
              </w:rPr>
              <w:t>.</w:t>
            </w:r>
          </w:p>
          <w:p w14:paraId="62A9A916" w14:textId="721B7F2E" w:rsidR="00257E9D" w:rsidRPr="00825774" w:rsidRDefault="00257E9D" w:rsidP="00144C4D">
            <w:pPr>
              <w:rPr>
                <w:lang w:val="en-US"/>
              </w:rPr>
            </w:pPr>
            <w:r w:rsidRPr="00825774">
              <w:rPr>
                <w:lang w:val="en-US"/>
              </w:rPr>
              <w:t xml:space="preserve">Femoral </w:t>
            </w:r>
            <w:r>
              <w:rPr>
                <w:lang w:val="en-US"/>
              </w:rPr>
              <w:t>f</w:t>
            </w:r>
            <w:r w:rsidRPr="00825774">
              <w:rPr>
                <w:lang w:val="en-US"/>
              </w:rPr>
              <w:t>rag</w:t>
            </w:r>
            <w:r w:rsidR="005A42FA">
              <w:rPr>
                <w:lang w:val="en-US"/>
              </w:rPr>
              <w:t>.</w:t>
            </w:r>
            <w:r>
              <w:rPr>
                <w:lang w:val="en-US"/>
              </w:rPr>
              <w:t xml:space="preserve"> from the metaphysis region</w:t>
            </w:r>
          </w:p>
        </w:tc>
      </w:tr>
      <w:tr w:rsidR="00257E9D" w:rsidRPr="008C4A6A" w14:paraId="0AD7A90E" w14:textId="77777777" w:rsidTr="001515B3">
        <w:trPr>
          <w:jc w:val="center"/>
        </w:trPr>
        <w:tc>
          <w:tcPr>
            <w:tcW w:w="1980" w:type="dxa"/>
          </w:tcPr>
          <w:p w14:paraId="25A55D80" w14:textId="77777777" w:rsidR="00257E9D" w:rsidRPr="00825774" w:rsidRDefault="00257E9D" w:rsidP="00144C4D">
            <w:pPr>
              <w:rPr>
                <w:lang w:val="en-US"/>
              </w:rPr>
            </w:pPr>
            <w:r w:rsidRPr="00825774">
              <w:rPr>
                <w:lang w:val="en-US"/>
              </w:rPr>
              <w:t>1968 DB 1 Contents of Sarcophagus</w:t>
            </w:r>
          </w:p>
        </w:tc>
        <w:tc>
          <w:tcPr>
            <w:tcW w:w="1568" w:type="dxa"/>
          </w:tcPr>
          <w:p w14:paraId="04ADC8A9" w14:textId="5525BCEB" w:rsidR="00257E9D" w:rsidRPr="00825774" w:rsidRDefault="00257E9D" w:rsidP="00144C4D">
            <w:pPr>
              <w:rPr>
                <w:lang w:val="en-US"/>
              </w:rPr>
            </w:pPr>
            <w:r>
              <w:rPr>
                <w:lang w:val="en-US"/>
              </w:rPr>
              <w:t>Botromagno</w:t>
            </w:r>
          </w:p>
        </w:tc>
        <w:tc>
          <w:tcPr>
            <w:tcW w:w="1409" w:type="dxa"/>
          </w:tcPr>
          <w:p w14:paraId="5400C5CD" w14:textId="4C8425DF" w:rsidR="00257E9D" w:rsidRPr="00825774" w:rsidRDefault="00257E9D" w:rsidP="00144C4D">
            <w:pPr>
              <w:rPr>
                <w:lang w:val="en-US"/>
              </w:rPr>
            </w:pPr>
            <w:r w:rsidRPr="00825774">
              <w:rPr>
                <w:lang w:val="en-US"/>
              </w:rPr>
              <w:t>4-5 yrs</w:t>
            </w:r>
          </w:p>
        </w:tc>
        <w:tc>
          <w:tcPr>
            <w:tcW w:w="992" w:type="dxa"/>
          </w:tcPr>
          <w:p w14:paraId="3CB11C32" w14:textId="77777777" w:rsidR="00257E9D" w:rsidRPr="00825774" w:rsidRDefault="00257E9D" w:rsidP="00144C4D">
            <w:pPr>
              <w:rPr>
                <w:lang w:val="en-US"/>
              </w:rPr>
            </w:pPr>
            <w:r w:rsidRPr="00825774">
              <w:rPr>
                <w:lang w:val="en-US"/>
              </w:rPr>
              <w:t>lm</w:t>
            </w:r>
            <w:r w:rsidRPr="00825774">
              <w:rPr>
                <w:vertAlign w:val="subscript"/>
                <w:lang w:val="en-US"/>
              </w:rPr>
              <w:t>1</w:t>
            </w:r>
          </w:p>
        </w:tc>
        <w:tc>
          <w:tcPr>
            <w:tcW w:w="2693" w:type="dxa"/>
          </w:tcPr>
          <w:p w14:paraId="71937205" w14:textId="3F796FE9" w:rsidR="00257E9D" w:rsidRPr="00825774" w:rsidRDefault="00257E9D" w:rsidP="00144C4D">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1515B3">
              <w:rPr>
                <w:lang w:val="en-US"/>
              </w:rPr>
              <w:t>.</w:t>
            </w:r>
          </w:p>
          <w:p w14:paraId="408A0B13" w14:textId="5DF44336" w:rsidR="00257E9D" w:rsidRPr="00825774" w:rsidRDefault="00257E9D" w:rsidP="00144C4D">
            <w:pPr>
              <w:rPr>
                <w:lang w:val="en-US"/>
              </w:rPr>
            </w:pPr>
            <w:r w:rsidRPr="00825774">
              <w:rPr>
                <w:lang w:val="en-US"/>
              </w:rPr>
              <w:t xml:space="preserve">Femoral </w:t>
            </w:r>
            <w:r>
              <w:rPr>
                <w:lang w:val="en-US"/>
              </w:rPr>
              <w:t>f</w:t>
            </w:r>
            <w:r w:rsidRPr="00825774">
              <w:rPr>
                <w:lang w:val="en-US"/>
              </w:rPr>
              <w:t>rag</w:t>
            </w:r>
            <w:r w:rsidR="001515B3">
              <w:rPr>
                <w:lang w:val="en-US"/>
              </w:rPr>
              <w:t>.</w:t>
            </w:r>
            <w:r>
              <w:rPr>
                <w:lang w:val="en-US"/>
              </w:rPr>
              <w:t xml:space="preserve"> from the metaphysis region</w:t>
            </w:r>
          </w:p>
        </w:tc>
      </w:tr>
      <w:tr w:rsidR="00257E9D" w:rsidRPr="008C4A6A" w14:paraId="759F91C0" w14:textId="77777777" w:rsidTr="001515B3">
        <w:trPr>
          <w:jc w:val="center"/>
        </w:trPr>
        <w:tc>
          <w:tcPr>
            <w:tcW w:w="1980" w:type="dxa"/>
          </w:tcPr>
          <w:p w14:paraId="0E7D26B3" w14:textId="77777777" w:rsidR="00257E9D" w:rsidRPr="00825774" w:rsidRDefault="00257E9D" w:rsidP="00144C4D">
            <w:pPr>
              <w:rPr>
                <w:lang w:val="en-US"/>
              </w:rPr>
            </w:pPr>
            <w:r w:rsidRPr="00825774">
              <w:rPr>
                <w:lang w:val="en-US"/>
              </w:rPr>
              <w:t>G67/I S5 small tomb</w:t>
            </w:r>
          </w:p>
        </w:tc>
        <w:tc>
          <w:tcPr>
            <w:tcW w:w="1568" w:type="dxa"/>
          </w:tcPr>
          <w:p w14:paraId="502A1998" w14:textId="23CD6DD9" w:rsidR="00257E9D" w:rsidRPr="00825774" w:rsidRDefault="00257E9D" w:rsidP="00144C4D">
            <w:pPr>
              <w:rPr>
                <w:lang w:val="en-US"/>
              </w:rPr>
            </w:pPr>
            <w:r>
              <w:rPr>
                <w:lang w:val="en-US"/>
              </w:rPr>
              <w:t>Botromagno</w:t>
            </w:r>
          </w:p>
        </w:tc>
        <w:tc>
          <w:tcPr>
            <w:tcW w:w="1409" w:type="dxa"/>
          </w:tcPr>
          <w:p w14:paraId="724265BC" w14:textId="19F7BD69" w:rsidR="00257E9D" w:rsidRPr="00825774" w:rsidRDefault="00257E9D" w:rsidP="00144C4D">
            <w:pPr>
              <w:rPr>
                <w:lang w:val="en-US"/>
              </w:rPr>
            </w:pPr>
            <w:r w:rsidRPr="00825774">
              <w:rPr>
                <w:lang w:val="en-US"/>
              </w:rPr>
              <w:t>3 yrs +/- 12 months</w:t>
            </w:r>
          </w:p>
        </w:tc>
        <w:tc>
          <w:tcPr>
            <w:tcW w:w="992" w:type="dxa"/>
          </w:tcPr>
          <w:p w14:paraId="7845CCC9" w14:textId="77777777" w:rsidR="00257E9D" w:rsidRPr="00825774" w:rsidRDefault="00257E9D" w:rsidP="00144C4D">
            <w:pPr>
              <w:rPr>
                <w:vertAlign w:val="subscript"/>
                <w:lang w:val="en-US"/>
              </w:rPr>
            </w:pPr>
            <w:r w:rsidRPr="00825774">
              <w:rPr>
                <w:lang w:val="en-US"/>
              </w:rPr>
              <w:t>rm</w:t>
            </w:r>
            <w:r w:rsidRPr="00825774">
              <w:rPr>
                <w:vertAlign w:val="subscript"/>
                <w:lang w:val="en-US"/>
              </w:rPr>
              <w:t>1</w:t>
            </w:r>
          </w:p>
        </w:tc>
        <w:tc>
          <w:tcPr>
            <w:tcW w:w="2693" w:type="dxa"/>
          </w:tcPr>
          <w:p w14:paraId="28CE4603" w14:textId="29686C82" w:rsidR="00257E9D" w:rsidRPr="00825774" w:rsidRDefault="00257E9D" w:rsidP="00144C4D">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1515B3">
              <w:rPr>
                <w:lang w:val="en-US"/>
              </w:rPr>
              <w:t>.</w:t>
            </w:r>
          </w:p>
          <w:p w14:paraId="0C60B8D6" w14:textId="6DC0F1E7" w:rsidR="00257E9D" w:rsidRPr="00825774" w:rsidRDefault="009562A4" w:rsidP="00144C4D">
            <w:pPr>
              <w:rPr>
                <w:lang w:val="en-US"/>
              </w:rPr>
            </w:pPr>
            <w:r>
              <w:rPr>
                <w:lang w:val="en-US"/>
              </w:rPr>
              <w:t xml:space="preserve">Mid-Shaft </w:t>
            </w:r>
            <w:r w:rsidR="00257E9D" w:rsidRPr="00825774">
              <w:rPr>
                <w:lang w:val="en-US"/>
              </w:rPr>
              <w:t xml:space="preserve">Femoral </w:t>
            </w:r>
            <w:r w:rsidR="00257E9D">
              <w:rPr>
                <w:lang w:val="en-US"/>
              </w:rPr>
              <w:t>f</w:t>
            </w:r>
            <w:r w:rsidR="00257E9D" w:rsidRPr="00825774">
              <w:rPr>
                <w:lang w:val="en-US"/>
              </w:rPr>
              <w:t>rag</w:t>
            </w:r>
            <w:r w:rsidR="001515B3">
              <w:rPr>
                <w:lang w:val="en-US"/>
              </w:rPr>
              <w:t>.</w:t>
            </w:r>
            <w:r w:rsidR="00257E9D">
              <w:rPr>
                <w:lang w:val="en-US"/>
              </w:rPr>
              <w:t xml:space="preserve"> </w:t>
            </w:r>
          </w:p>
        </w:tc>
      </w:tr>
      <w:tr w:rsidR="00257E9D" w:rsidRPr="008C4A6A" w14:paraId="1D78E274" w14:textId="77777777" w:rsidTr="001515B3">
        <w:trPr>
          <w:jc w:val="center"/>
        </w:trPr>
        <w:tc>
          <w:tcPr>
            <w:tcW w:w="1980" w:type="dxa"/>
          </w:tcPr>
          <w:p w14:paraId="05A772CE" w14:textId="77777777" w:rsidR="00257E9D" w:rsidRPr="00825774" w:rsidRDefault="00257E9D" w:rsidP="00144C4D">
            <w:pPr>
              <w:rPr>
                <w:lang w:val="en-US"/>
              </w:rPr>
            </w:pPr>
            <w:r w:rsidRPr="00825774">
              <w:rPr>
                <w:lang w:val="en-US"/>
              </w:rPr>
              <w:t>1967 G67/I SG-Tomb 6(2) Infill 1</w:t>
            </w:r>
          </w:p>
        </w:tc>
        <w:tc>
          <w:tcPr>
            <w:tcW w:w="1568" w:type="dxa"/>
          </w:tcPr>
          <w:p w14:paraId="6E43A54A" w14:textId="1AFBD595" w:rsidR="00257E9D" w:rsidRPr="00825774" w:rsidRDefault="00257E9D" w:rsidP="00144C4D">
            <w:pPr>
              <w:rPr>
                <w:color w:val="000000" w:themeColor="text1"/>
                <w:lang w:val="en-US"/>
              </w:rPr>
            </w:pPr>
            <w:r>
              <w:rPr>
                <w:lang w:val="en-US"/>
              </w:rPr>
              <w:t>Botromagno</w:t>
            </w:r>
          </w:p>
        </w:tc>
        <w:tc>
          <w:tcPr>
            <w:tcW w:w="1409" w:type="dxa"/>
          </w:tcPr>
          <w:p w14:paraId="03EC0CA6" w14:textId="7A24BBC0" w:rsidR="00257E9D" w:rsidRPr="00825774" w:rsidRDefault="00257E9D" w:rsidP="00144C4D">
            <w:pPr>
              <w:rPr>
                <w:lang w:val="en-US"/>
              </w:rPr>
            </w:pPr>
            <w:r w:rsidRPr="00825774">
              <w:rPr>
                <w:color w:val="000000" w:themeColor="text1"/>
                <w:lang w:val="en-US"/>
              </w:rPr>
              <w:t>3 yrs +/- 8 months</w:t>
            </w:r>
          </w:p>
        </w:tc>
        <w:tc>
          <w:tcPr>
            <w:tcW w:w="992" w:type="dxa"/>
          </w:tcPr>
          <w:p w14:paraId="11ADFE8B" w14:textId="77777777" w:rsidR="00257E9D" w:rsidRPr="00825774" w:rsidRDefault="00257E9D" w:rsidP="00144C4D">
            <w:pPr>
              <w:rPr>
                <w:vertAlign w:val="subscript"/>
                <w:lang w:val="en-US"/>
              </w:rPr>
            </w:pPr>
            <w:r w:rsidRPr="00825774">
              <w:rPr>
                <w:lang w:val="en-US"/>
              </w:rPr>
              <w:t>lm</w:t>
            </w:r>
            <w:r w:rsidRPr="00825774">
              <w:rPr>
                <w:vertAlign w:val="subscript"/>
                <w:lang w:val="en-US"/>
              </w:rPr>
              <w:t>1</w:t>
            </w:r>
          </w:p>
        </w:tc>
        <w:tc>
          <w:tcPr>
            <w:tcW w:w="2693" w:type="dxa"/>
          </w:tcPr>
          <w:p w14:paraId="5B0AE3D9" w14:textId="76F4BBC5" w:rsidR="00257E9D" w:rsidRPr="00825774" w:rsidRDefault="00257E9D" w:rsidP="00144C4D">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1515B3">
              <w:rPr>
                <w:lang w:val="en-US"/>
              </w:rPr>
              <w:t>.</w:t>
            </w:r>
          </w:p>
          <w:p w14:paraId="4BD3F55E" w14:textId="5FE73A09" w:rsidR="00257E9D" w:rsidRPr="00825774" w:rsidRDefault="009562A4" w:rsidP="00144C4D">
            <w:pPr>
              <w:rPr>
                <w:lang w:val="en-US"/>
              </w:rPr>
            </w:pPr>
            <w:r>
              <w:rPr>
                <w:lang w:val="en-US"/>
              </w:rPr>
              <w:t>Und</w:t>
            </w:r>
            <w:r w:rsidR="005A42FA">
              <w:rPr>
                <w:lang w:val="en-US"/>
              </w:rPr>
              <w:t>.</w:t>
            </w:r>
            <w:r>
              <w:rPr>
                <w:lang w:val="en-US"/>
              </w:rPr>
              <w:t xml:space="preserve"> f</w:t>
            </w:r>
            <w:r w:rsidRPr="00825774">
              <w:rPr>
                <w:lang w:val="en-US"/>
              </w:rPr>
              <w:t xml:space="preserve">emoral </w:t>
            </w:r>
            <w:r>
              <w:rPr>
                <w:lang w:val="en-US"/>
              </w:rPr>
              <w:t>f</w:t>
            </w:r>
            <w:r w:rsidRPr="00825774">
              <w:rPr>
                <w:lang w:val="en-US"/>
              </w:rPr>
              <w:t>rag</w:t>
            </w:r>
            <w:r w:rsidR="001515B3">
              <w:rPr>
                <w:lang w:val="en-US"/>
              </w:rPr>
              <w:t>.</w:t>
            </w:r>
          </w:p>
        </w:tc>
      </w:tr>
      <w:tr w:rsidR="00257E9D" w:rsidRPr="008C4A6A" w14:paraId="22C9E71F" w14:textId="77777777" w:rsidTr="001515B3">
        <w:trPr>
          <w:jc w:val="center"/>
        </w:trPr>
        <w:tc>
          <w:tcPr>
            <w:tcW w:w="1980" w:type="dxa"/>
          </w:tcPr>
          <w:p w14:paraId="419444AC" w14:textId="77777777" w:rsidR="00257E9D" w:rsidRPr="00825774" w:rsidRDefault="00257E9D" w:rsidP="00144C4D">
            <w:pPr>
              <w:rPr>
                <w:lang w:val="en-US"/>
              </w:rPr>
            </w:pPr>
            <w:r w:rsidRPr="00825774">
              <w:rPr>
                <w:lang w:val="en-US"/>
              </w:rPr>
              <w:t>No Label #2</w:t>
            </w:r>
          </w:p>
        </w:tc>
        <w:tc>
          <w:tcPr>
            <w:tcW w:w="1568" w:type="dxa"/>
          </w:tcPr>
          <w:p w14:paraId="242B111F" w14:textId="176393C9" w:rsidR="00257E9D" w:rsidRPr="00825774" w:rsidRDefault="00257E9D" w:rsidP="00144C4D">
            <w:pPr>
              <w:rPr>
                <w:lang w:val="en-US"/>
              </w:rPr>
            </w:pPr>
            <w:r>
              <w:rPr>
                <w:lang w:val="en-US"/>
              </w:rPr>
              <w:t>P</w:t>
            </w:r>
            <w:r w:rsidR="005A42FA">
              <w:rPr>
                <w:lang w:val="en-US"/>
              </w:rPr>
              <w:t>.</w:t>
            </w:r>
            <w:r>
              <w:rPr>
                <w:lang w:val="en-US"/>
              </w:rPr>
              <w:t xml:space="preserve"> S</w:t>
            </w:r>
            <w:r w:rsidR="005A42FA">
              <w:rPr>
                <w:lang w:val="en-US"/>
              </w:rPr>
              <w:t>.</w:t>
            </w:r>
            <w:r>
              <w:rPr>
                <w:lang w:val="en-US"/>
              </w:rPr>
              <w:t xml:space="preserve"> Stefano</w:t>
            </w:r>
          </w:p>
        </w:tc>
        <w:tc>
          <w:tcPr>
            <w:tcW w:w="1409" w:type="dxa"/>
          </w:tcPr>
          <w:p w14:paraId="701B4DBA" w14:textId="3429017E" w:rsidR="00257E9D" w:rsidRPr="00825774" w:rsidRDefault="00257E9D" w:rsidP="00144C4D">
            <w:pPr>
              <w:rPr>
                <w:lang w:val="en-US"/>
              </w:rPr>
            </w:pPr>
            <w:r w:rsidRPr="00825774">
              <w:rPr>
                <w:lang w:val="en-US"/>
              </w:rPr>
              <w:t>5-6 yrs</w:t>
            </w:r>
          </w:p>
        </w:tc>
        <w:tc>
          <w:tcPr>
            <w:tcW w:w="992" w:type="dxa"/>
          </w:tcPr>
          <w:p w14:paraId="6281D134" w14:textId="77777777" w:rsidR="00257E9D" w:rsidRPr="00825774" w:rsidRDefault="00257E9D" w:rsidP="00144C4D">
            <w:pPr>
              <w:rPr>
                <w:vertAlign w:val="superscript"/>
                <w:lang w:val="en-US"/>
              </w:rPr>
            </w:pPr>
            <w:r w:rsidRPr="00825774">
              <w:rPr>
                <w:lang w:val="en-US"/>
              </w:rPr>
              <w:t>lm</w:t>
            </w:r>
            <w:r w:rsidRPr="00825774">
              <w:rPr>
                <w:vertAlign w:val="superscript"/>
                <w:lang w:val="en-US"/>
              </w:rPr>
              <w:t>2</w:t>
            </w:r>
          </w:p>
        </w:tc>
        <w:tc>
          <w:tcPr>
            <w:tcW w:w="2693" w:type="dxa"/>
          </w:tcPr>
          <w:p w14:paraId="2943A2D1" w14:textId="77777777" w:rsidR="00257E9D" w:rsidRPr="00825774" w:rsidRDefault="00257E9D" w:rsidP="00144C4D">
            <w:pPr>
              <w:rPr>
                <w:lang w:val="en-US"/>
              </w:rPr>
            </w:pPr>
            <w:r w:rsidRPr="00825774">
              <w:rPr>
                <w:lang w:val="en-US"/>
              </w:rPr>
              <w:t>Not available</w:t>
            </w:r>
          </w:p>
        </w:tc>
      </w:tr>
      <w:tr w:rsidR="00257E9D" w:rsidRPr="008C4A6A" w14:paraId="40E9D937" w14:textId="77777777" w:rsidTr="001515B3">
        <w:trPr>
          <w:jc w:val="center"/>
        </w:trPr>
        <w:tc>
          <w:tcPr>
            <w:tcW w:w="1980" w:type="dxa"/>
          </w:tcPr>
          <w:p w14:paraId="36B456C5" w14:textId="77777777" w:rsidR="00257E9D" w:rsidRPr="00825774" w:rsidRDefault="00257E9D" w:rsidP="00144C4D">
            <w:pPr>
              <w:rPr>
                <w:lang w:val="en-US"/>
              </w:rPr>
            </w:pPr>
            <w:r w:rsidRPr="00825774">
              <w:rPr>
                <w:lang w:val="en-US"/>
              </w:rPr>
              <w:t>1972 Area NA Burial 1 of A-1</w:t>
            </w:r>
          </w:p>
        </w:tc>
        <w:tc>
          <w:tcPr>
            <w:tcW w:w="1568" w:type="dxa"/>
          </w:tcPr>
          <w:p w14:paraId="67786C13" w14:textId="4A3D6E00" w:rsidR="00257E9D" w:rsidRPr="00825774" w:rsidRDefault="00257E9D" w:rsidP="00144C4D">
            <w:pPr>
              <w:rPr>
                <w:lang w:val="en-US"/>
              </w:rPr>
            </w:pPr>
            <w:r>
              <w:rPr>
                <w:lang w:val="en-US"/>
              </w:rPr>
              <w:t>Botromagno</w:t>
            </w:r>
          </w:p>
        </w:tc>
        <w:tc>
          <w:tcPr>
            <w:tcW w:w="1409" w:type="dxa"/>
          </w:tcPr>
          <w:p w14:paraId="3F719A7C" w14:textId="233C9DA4" w:rsidR="00257E9D" w:rsidRPr="00825774" w:rsidRDefault="00257E9D" w:rsidP="00144C4D">
            <w:pPr>
              <w:rPr>
                <w:lang w:val="en-US"/>
              </w:rPr>
            </w:pPr>
            <w:r w:rsidRPr="00825774">
              <w:rPr>
                <w:lang w:val="en-US"/>
              </w:rPr>
              <w:t>4 yrs +/- 12 months</w:t>
            </w:r>
          </w:p>
        </w:tc>
        <w:tc>
          <w:tcPr>
            <w:tcW w:w="992" w:type="dxa"/>
          </w:tcPr>
          <w:p w14:paraId="04405580" w14:textId="77777777" w:rsidR="00257E9D" w:rsidRPr="00825774" w:rsidRDefault="00257E9D" w:rsidP="00144C4D">
            <w:pPr>
              <w:rPr>
                <w:vertAlign w:val="superscript"/>
                <w:lang w:val="en-US"/>
              </w:rPr>
            </w:pPr>
            <w:r w:rsidRPr="00825774">
              <w:rPr>
                <w:lang w:val="en-US"/>
              </w:rPr>
              <w:t>lm</w:t>
            </w:r>
            <w:r w:rsidRPr="00825774">
              <w:rPr>
                <w:vertAlign w:val="superscript"/>
                <w:lang w:val="en-US"/>
              </w:rPr>
              <w:t>2</w:t>
            </w:r>
          </w:p>
        </w:tc>
        <w:tc>
          <w:tcPr>
            <w:tcW w:w="2693" w:type="dxa"/>
          </w:tcPr>
          <w:p w14:paraId="331CC9CC" w14:textId="57D2FF2C" w:rsidR="00257E9D" w:rsidRPr="00825774" w:rsidRDefault="009562A4" w:rsidP="00144C4D">
            <w:pPr>
              <w:rPr>
                <w:lang w:val="en-US"/>
              </w:rPr>
            </w:pPr>
            <w:r>
              <w:rPr>
                <w:lang w:val="en-US"/>
              </w:rPr>
              <w:t xml:space="preserve">First </w:t>
            </w:r>
            <w:r w:rsidR="00257E9D">
              <w:rPr>
                <w:lang w:val="en-US"/>
              </w:rPr>
              <w:t>r</w:t>
            </w:r>
            <w:r w:rsidR="00257E9D" w:rsidRPr="00825774">
              <w:rPr>
                <w:lang w:val="en-US"/>
              </w:rPr>
              <w:t>ib</w:t>
            </w:r>
            <w:r w:rsidR="00257E9D">
              <w:rPr>
                <w:lang w:val="en-US"/>
              </w:rPr>
              <w:t xml:space="preserve"> shaft frag</w:t>
            </w:r>
            <w:r w:rsidR="001515B3">
              <w:rPr>
                <w:lang w:val="en-US"/>
              </w:rPr>
              <w:t>.</w:t>
            </w:r>
          </w:p>
          <w:p w14:paraId="727656B9" w14:textId="77777777" w:rsidR="00257E9D" w:rsidRPr="00825774" w:rsidRDefault="00257E9D" w:rsidP="00144C4D">
            <w:pPr>
              <w:rPr>
                <w:lang w:val="en-US"/>
              </w:rPr>
            </w:pPr>
          </w:p>
        </w:tc>
      </w:tr>
      <w:tr w:rsidR="00257E9D" w:rsidRPr="008C4A6A" w14:paraId="0F940342" w14:textId="77777777" w:rsidTr="001515B3">
        <w:trPr>
          <w:jc w:val="center"/>
        </w:trPr>
        <w:tc>
          <w:tcPr>
            <w:tcW w:w="1980" w:type="dxa"/>
          </w:tcPr>
          <w:p w14:paraId="663EDCEF" w14:textId="77777777" w:rsidR="00257E9D" w:rsidRPr="00825774" w:rsidRDefault="00257E9D" w:rsidP="00144C4D">
            <w:pPr>
              <w:rPr>
                <w:lang w:val="en-US"/>
              </w:rPr>
            </w:pPr>
            <w:r w:rsidRPr="00825774">
              <w:rPr>
                <w:lang w:val="en-US"/>
              </w:rPr>
              <w:t>G67/I P15 S19</w:t>
            </w:r>
          </w:p>
        </w:tc>
        <w:tc>
          <w:tcPr>
            <w:tcW w:w="1568" w:type="dxa"/>
          </w:tcPr>
          <w:p w14:paraId="01B670FA" w14:textId="31B1CAAC" w:rsidR="00257E9D" w:rsidRPr="00825774" w:rsidRDefault="00257E9D" w:rsidP="00144C4D">
            <w:pPr>
              <w:rPr>
                <w:lang w:val="en-US"/>
              </w:rPr>
            </w:pPr>
            <w:r>
              <w:rPr>
                <w:lang w:val="en-US"/>
              </w:rPr>
              <w:t>Botromagno</w:t>
            </w:r>
          </w:p>
        </w:tc>
        <w:tc>
          <w:tcPr>
            <w:tcW w:w="1409" w:type="dxa"/>
          </w:tcPr>
          <w:p w14:paraId="14AEA162" w14:textId="11D70A65" w:rsidR="00257E9D" w:rsidRPr="00825774" w:rsidRDefault="00257E9D" w:rsidP="00144C4D">
            <w:pPr>
              <w:rPr>
                <w:lang w:val="en-US"/>
              </w:rPr>
            </w:pPr>
            <w:r w:rsidRPr="00825774">
              <w:rPr>
                <w:lang w:val="en-US"/>
              </w:rPr>
              <w:t>7-8 yrs +/- 24 months</w:t>
            </w:r>
          </w:p>
        </w:tc>
        <w:tc>
          <w:tcPr>
            <w:tcW w:w="992" w:type="dxa"/>
          </w:tcPr>
          <w:p w14:paraId="0A71D6F1" w14:textId="77777777" w:rsidR="00257E9D" w:rsidRPr="00825774" w:rsidRDefault="00257E9D" w:rsidP="00144C4D">
            <w:pPr>
              <w:rPr>
                <w:lang w:val="en-US"/>
              </w:rPr>
            </w:pPr>
            <w:r w:rsidRPr="00825774">
              <w:rPr>
                <w:lang w:val="en-US"/>
              </w:rPr>
              <w:t>m1</w:t>
            </w:r>
          </w:p>
        </w:tc>
        <w:tc>
          <w:tcPr>
            <w:tcW w:w="2693" w:type="dxa"/>
          </w:tcPr>
          <w:p w14:paraId="4C4F80B7" w14:textId="5248794B" w:rsidR="00257E9D" w:rsidRPr="00825774" w:rsidRDefault="00257E9D" w:rsidP="00144C4D">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1515B3">
              <w:rPr>
                <w:lang w:val="en-US"/>
              </w:rPr>
              <w:t>.</w:t>
            </w:r>
          </w:p>
          <w:p w14:paraId="2109C9EB" w14:textId="6C8CF619" w:rsidR="00257E9D" w:rsidRPr="00825774" w:rsidRDefault="009562A4" w:rsidP="00144C4D">
            <w:pPr>
              <w:rPr>
                <w:lang w:val="en-US"/>
              </w:rPr>
            </w:pPr>
            <w:r>
              <w:rPr>
                <w:lang w:val="en-US"/>
              </w:rPr>
              <w:t>Und</w:t>
            </w:r>
            <w:r w:rsidR="005A42FA">
              <w:rPr>
                <w:lang w:val="en-US"/>
              </w:rPr>
              <w:t>.</w:t>
            </w:r>
            <w:r>
              <w:rPr>
                <w:lang w:val="en-US"/>
              </w:rPr>
              <w:t xml:space="preserve"> f</w:t>
            </w:r>
            <w:r w:rsidRPr="00825774">
              <w:rPr>
                <w:lang w:val="en-US"/>
              </w:rPr>
              <w:t xml:space="preserve">emoral </w:t>
            </w:r>
            <w:r>
              <w:rPr>
                <w:lang w:val="en-US"/>
              </w:rPr>
              <w:t>f</w:t>
            </w:r>
            <w:r w:rsidRPr="00825774">
              <w:rPr>
                <w:lang w:val="en-US"/>
              </w:rPr>
              <w:t>rag</w:t>
            </w:r>
            <w:r w:rsidR="001515B3">
              <w:rPr>
                <w:lang w:val="en-US"/>
              </w:rPr>
              <w:t>.</w:t>
            </w:r>
          </w:p>
        </w:tc>
      </w:tr>
      <w:tr w:rsidR="00257E9D" w:rsidRPr="008C4A6A" w14:paraId="71E12C70" w14:textId="77777777" w:rsidTr="001515B3">
        <w:trPr>
          <w:jc w:val="center"/>
        </w:trPr>
        <w:tc>
          <w:tcPr>
            <w:tcW w:w="1980" w:type="dxa"/>
          </w:tcPr>
          <w:p w14:paraId="3C4DA802" w14:textId="77777777" w:rsidR="00257E9D" w:rsidRPr="00825774" w:rsidRDefault="00257E9D" w:rsidP="00144C4D">
            <w:pPr>
              <w:rPr>
                <w:lang w:val="en-US"/>
              </w:rPr>
            </w:pPr>
            <w:r w:rsidRPr="00825774">
              <w:rPr>
                <w:lang w:val="en-US"/>
              </w:rPr>
              <w:t>G67 Site C RZ3 Pit 3 tomb infill</w:t>
            </w:r>
          </w:p>
        </w:tc>
        <w:tc>
          <w:tcPr>
            <w:tcW w:w="1568" w:type="dxa"/>
          </w:tcPr>
          <w:p w14:paraId="097DF023" w14:textId="0CB8E5B4" w:rsidR="00257E9D" w:rsidRPr="00825774" w:rsidRDefault="00257E9D" w:rsidP="00144C4D">
            <w:pPr>
              <w:rPr>
                <w:lang w:val="en-US"/>
              </w:rPr>
            </w:pPr>
            <w:r>
              <w:rPr>
                <w:lang w:val="en-US"/>
              </w:rPr>
              <w:t>Botromagno</w:t>
            </w:r>
          </w:p>
        </w:tc>
        <w:tc>
          <w:tcPr>
            <w:tcW w:w="1409" w:type="dxa"/>
          </w:tcPr>
          <w:p w14:paraId="0A3334F0" w14:textId="4F18E7B5" w:rsidR="00257E9D" w:rsidRPr="00825774" w:rsidRDefault="00257E9D" w:rsidP="00144C4D">
            <w:pPr>
              <w:rPr>
                <w:lang w:val="en-US"/>
              </w:rPr>
            </w:pPr>
            <w:r w:rsidRPr="00825774">
              <w:rPr>
                <w:lang w:val="en-US"/>
              </w:rPr>
              <w:t>9 yrs +/- 24 months</w:t>
            </w:r>
          </w:p>
        </w:tc>
        <w:tc>
          <w:tcPr>
            <w:tcW w:w="992" w:type="dxa"/>
          </w:tcPr>
          <w:p w14:paraId="6982975A" w14:textId="77777777" w:rsidR="00257E9D" w:rsidRPr="00825774" w:rsidRDefault="00257E9D" w:rsidP="00144C4D">
            <w:pPr>
              <w:rPr>
                <w:vertAlign w:val="subscript"/>
                <w:lang w:val="en-US"/>
              </w:rPr>
            </w:pPr>
            <w:r w:rsidRPr="00825774">
              <w:rPr>
                <w:lang w:val="en-US"/>
              </w:rPr>
              <w:t>LM</w:t>
            </w:r>
            <w:r w:rsidRPr="00825774">
              <w:rPr>
                <w:vertAlign w:val="subscript"/>
                <w:lang w:val="en-US"/>
              </w:rPr>
              <w:t>1</w:t>
            </w:r>
          </w:p>
        </w:tc>
        <w:tc>
          <w:tcPr>
            <w:tcW w:w="2693" w:type="dxa"/>
          </w:tcPr>
          <w:p w14:paraId="51F5526D" w14:textId="3FA4CFCA" w:rsidR="00257E9D" w:rsidRPr="00825774" w:rsidRDefault="00257E9D" w:rsidP="005A42FA">
            <w:pPr>
              <w:rPr>
                <w:lang w:val="en-US"/>
              </w:rPr>
            </w:pPr>
            <w:r>
              <w:rPr>
                <w:lang w:val="en-US"/>
              </w:rPr>
              <w:t>Und</w:t>
            </w:r>
            <w:r w:rsidR="005A42FA">
              <w:rPr>
                <w:lang w:val="en-US"/>
              </w:rPr>
              <w:t>.</w:t>
            </w:r>
            <w:r>
              <w:rPr>
                <w:lang w:val="en-US"/>
              </w:rPr>
              <w:t xml:space="preserve"> r</w:t>
            </w:r>
            <w:r w:rsidRPr="00825774">
              <w:rPr>
                <w:lang w:val="en-US"/>
              </w:rPr>
              <w:t>ib</w:t>
            </w:r>
            <w:r>
              <w:rPr>
                <w:lang w:val="en-US"/>
              </w:rPr>
              <w:t xml:space="preserve"> shaft frag</w:t>
            </w:r>
            <w:r w:rsidR="001515B3">
              <w:rPr>
                <w:lang w:val="en-US"/>
              </w:rPr>
              <w:t>.</w:t>
            </w:r>
          </w:p>
          <w:p w14:paraId="4B680DAB" w14:textId="78D20C83" w:rsidR="00257E9D" w:rsidRPr="00825774" w:rsidRDefault="00257E9D" w:rsidP="00144C4D">
            <w:pPr>
              <w:rPr>
                <w:lang w:val="en-US"/>
              </w:rPr>
            </w:pPr>
            <w:r w:rsidRPr="00825774">
              <w:rPr>
                <w:lang w:val="en-US"/>
              </w:rPr>
              <w:t xml:space="preserve">Femoral </w:t>
            </w:r>
            <w:r>
              <w:rPr>
                <w:lang w:val="en-US"/>
              </w:rPr>
              <w:t>f</w:t>
            </w:r>
            <w:r w:rsidRPr="00825774">
              <w:rPr>
                <w:lang w:val="en-US"/>
              </w:rPr>
              <w:t>rag</w:t>
            </w:r>
            <w:r w:rsidR="001515B3">
              <w:rPr>
                <w:lang w:val="en-US"/>
              </w:rPr>
              <w:t>.</w:t>
            </w:r>
            <w:r>
              <w:rPr>
                <w:lang w:val="en-US"/>
              </w:rPr>
              <w:t xml:space="preserve"> from the metaphysis region</w:t>
            </w:r>
          </w:p>
        </w:tc>
      </w:tr>
    </w:tbl>
    <w:p w14:paraId="6672C44A" w14:textId="68357332" w:rsidR="0012320E" w:rsidRDefault="0012320E" w:rsidP="0045577D">
      <w:pPr>
        <w:rPr>
          <w:lang w:val="en-US"/>
        </w:rPr>
      </w:pPr>
      <w:r>
        <w:t xml:space="preserve">*Age-at-death was estimated using dental formation and eruptions charts by </w:t>
      </w:r>
      <w:r w:rsidRPr="00986896">
        <w:rPr>
          <w:lang w:val="en-US"/>
        </w:rPr>
        <w:t>Moorrees et al. (1963) and Ubelaker (1989)</w:t>
      </w:r>
      <w:r>
        <w:rPr>
          <w:lang w:val="en-US"/>
        </w:rPr>
        <w:t>.</w:t>
      </w:r>
    </w:p>
    <w:p w14:paraId="7EF43AC6" w14:textId="72D54F0E" w:rsidR="009562A4" w:rsidRPr="00965216" w:rsidRDefault="0012320E" w:rsidP="00965216">
      <w:r>
        <w:t xml:space="preserve">** Location of bone sample was variable for each individual due to poor skeletal preservation and fragmentation. </w:t>
      </w:r>
    </w:p>
    <w:p w14:paraId="13F295FA" w14:textId="77777777" w:rsidR="009562A4" w:rsidRDefault="009562A4" w:rsidP="00986896">
      <w:pPr>
        <w:ind w:firstLine="720"/>
        <w:rPr>
          <w:lang w:val="en-US"/>
        </w:rPr>
      </w:pPr>
    </w:p>
    <w:p w14:paraId="60755AE7" w14:textId="4205CEDC" w:rsidR="00986896" w:rsidRDefault="001D7D33" w:rsidP="00986896">
      <w:pPr>
        <w:spacing w:line="480" w:lineRule="auto"/>
        <w:ind w:firstLine="720"/>
        <w:rPr>
          <w:lang w:val="en-US"/>
        </w:rPr>
      </w:pPr>
      <w:r>
        <w:rPr>
          <w:lang w:val="en-US"/>
        </w:rPr>
        <w:t xml:space="preserve">The subadult dental and bone samples used in this study are shown in Table 4.1. </w:t>
      </w:r>
      <w:r w:rsidR="00986896" w:rsidRPr="00825774">
        <w:rPr>
          <w:lang w:val="en-US"/>
        </w:rPr>
        <w:t xml:space="preserve">Rib and femoral fragments (predominantly the metaphysis area), as well as first and second deciduous molars or first permanent molars were prepared for stable isotope analysis. This means that </w:t>
      </w:r>
      <w:r w:rsidR="00986896">
        <w:rPr>
          <w:lang w:val="en-US"/>
        </w:rPr>
        <w:t>1</w:t>
      </w:r>
      <w:r w:rsidR="009C522C">
        <w:rPr>
          <w:lang w:val="en-US"/>
        </w:rPr>
        <w:t>0</w:t>
      </w:r>
      <w:r w:rsidR="00986896">
        <w:rPr>
          <w:lang w:val="en-US"/>
        </w:rPr>
        <w:t xml:space="preserve">/12 </w:t>
      </w:r>
      <w:r w:rsidR="00986896" w:rsidRPr="00825774">
        <w:rPr>
          <w:lang w:val="en-US"/>
        </w:rPr>
        <w:t xml:space="preserve">subadult individuals had three sets of isotope data </w:t>
      </w:r>
      <w:r w:rsidR="00986896" w:rsidRPr="00825774">
        <w:rPr>
          <w:lang w:val="en-US"/>
        </w:rPr>
        <w:lastRenderedPageBreak/>
        <w:t xml:space="preserve">collected: tooth, rib, and femur. Rib collagen represents the isotope values from </w:t>
      </w:r>
      <w:r w:rsidR="00986896">
        <w:rPr>
          <w:lang w:val="en-US"/>
        </w:rPr>
        <w:t>closer to the</w:t>
      </w:r>
      <w:r w:rsidR="00986896" w:rsidRPr="00825774">
        <w:rPr>
          <w:lang w:val="en-US"/>
        </w:rPr>
        <w:t xml:space="preserve"> time of death</w:t>
      </w:r>
      <w:r w:rsidR="00986896">
        <w:rPr>
          <w:lang w:val="en-US"/>
        </w:rPr>
        <w:t xml:space="preserve">, </w:t>
      </w:r>
      <w:r w:rsidR="00986896" w:rsidRPr="00825774">
        <w:rPr>
          <w:lang w:val="en-US"/>
        </w:rPr>
        <w:t>while long bone samples taken from young infants likely contains a mix of collagen from bone deposited in utero and bone deposited after birth</w:t>
      </w:r>
      <w:r w:rsidR="00986896">
        <w:rPr>
          <w:lang w:val="en-US"/>
        </w:rPr>
        <w:t>,</w:t>
      </w:r>
      <w:r w:rsidR="00986896" w:rsidRPr="00825774">
        <w:rPr>
          <w:lang w:val="en-US"/>
        </w:rPr>
        <w:t xml:space="preserve"> </w:t>
      </w:r>
      <w:r w:rsidR="00986896" w:rsidRPr="008B33EA">
        <w:rPr>
          <w:color w:val="000000" w:themeColor="text1"/>
        </w:rPr>
        <w:t>although</w:t>
      </w:r>
      <w:r w:rsidR="009C522C">
        <w:rPr>
          <w:color w:val="000000" w:themeColor="text1"/>
        </w:rPr>
        <w:t xml:space="preserve"> </w:t>
      </w:r>
      <w:r w:rsidR="00986896" w:rsidRPr="008B33EA">
        <w:rPr>
          <w:color w:val="000000" w:themeColor="text1"/>
        </w:rPr>
        <w:t>the metaphyseal ends turn over more rapidly than diaphyseal cortical bone.</w:t>
      </w:r>
      <w:r w:rsidR="00986896">
        <w:rPr>
          <w:color w:val="000000" w:themeColor="text1"/>
        </w:rPr>
        <w:t xml:space="preserve"> </w:t>
      </w:r>
      <w:r w:rsidR="00986896" w:rsidRPr="00825774">
        <w:rPr>
          <w:lang w:val="en-US"/>
        </w:rPr>
        <w:t>This is because ribs have a faster bone formation and turnover rate, while long bones have a slower formation and turnover rate, although the rate of bone formation in general is faster in growing infants and children (</w:t>
      </w:r>
      <w:r w:rsidR="00986896" w:rsidRPr="008C4A6A">
        <w:rPr>
          <w:lang w:val="en-US"/>
        </w:rPr>
        <w:t xml:space="preserve">Sealy et al. 1995). </w:t>
      </w:r>
      <w:r w:rsidR="00986896" w:rsidRPr="00825774">
        <w:rPr>
          <w:lang w:val="en-US"/>
        </w:rPr>
        <w:t>Furthermore, femoral samples from older children may include collagen produced during the period of exclusive breastfeeding and following the introduction of non-breast milk foods</w:t>
      </w:r>
      <w:r w:rsidR="00986896">
        <w:rPr>
          <w:lang w:val="en-US"/>
        </w:rPr>
        <w:t>,</w:t>
      </w:r>
      <w:r w:rsidR="00986896" w:rsidRPr="00825774">
        <w:rPr>
          <w:lang w:val="en-US"/>
        </w:rPr>
        <w:t xml:space="preserve"> </w:t>
      </w:r>
      <w:r w:rsidR="00986896">
        <w:rPr>
          <w:lang w:val="en-US"/>
        </w:rPr>
        <w:t>t</w:t>
      </w:r>
      <w:r w:rsidR="00986896" w:rsidRPr="00825774">
        <w:rPr>
          <w:lang w:val="en-US"/>
        </w:rPr>
        <w:t xml:space="preserve">hus, evaluating both rib and femoral fragments gives the opportunity to note variation in nitrogen values at various breastfeeding and weaning stages. </w:t>
      </w:r>
    </w:p>
    <w:p w14:paraId="112D4CE7" w14:textId="77777777" w:rsidR="00986896" w:rsidRPr="00825774" w:rsidRDefault="00986896" w:rsidP="00986896">
      <w:pPr>
        <w:ind w:firstLine="720"/>
        <w:rPr>
          <w:lang w:val="en-US"/>
        </w:rPr>
      </w:pPr>
    </w:p>
    <w:p w14:paraId="11EBEC7F" w14:textId="2C457E33" w:rsidR="00986896" w:rsidRDefault="00986896" w:rsidP="00986896">
      <w:pPr>
        <w:spacing w:line="480" w:lineRule="auto"/>
        <w:ind w:firstLine="720"/>
        <w:rPr>
          <w:lang w:val="en-US"/>
        </w:rPr>
      </w:pPr>
      <w:r w:rsidRPr="00825774">
        <w:rPr>
          <w:lang w:val="en-US"/>
        </w:rPr>
        <w:t>The first deciduous molar begins forming 15 weeks after fertilization and is complete around 2.5 years of age</w:t>
      </w:r>
      <w:r w:rsidR="001159C9">
        <w:rPr>
          <w:lang w:val="en-US"/>
        </w:rPr>
        <w:t>;</w:t>
      </w:r>
      <w:r w:rsidRPr="00825774">
        <w:rPr>
          <w:lang w:val="en-US"/>
        </w:rPr>
        <w:t xml:space="preserve"> meanwhile the second deciduous molar begins forming 6 months after </w:t>
      </w:r>
      <w:r w:rsidRPr="00825774">
        <w:rPr>
          <w:color w:val="000000" w:themeColor="text1"/>
          <w:lang w:val="en-US"/>
        </w:rPr>
        <w:t xml:space="preserve">fertilization </w:t>
      </w:r>
      <w:r w:rsidRPr="00825774">
        <w:rPr>
          <w:lang w:val="en-US"/>
        </w:rPr>
        <w:t>and is complete around 3 years of age (</w:t>
      </w:r>
      <w:r w:rsidRPr="00825774">
        <w:rPr>
          <w:color w:val="000000" w:themeColor="text1"/>
          <w:lang w:val="en-US"/>
        </w:rPr>
        <w:t xml:space="preserve">Hillson 1986). The </w:t>
      </w:r>
      <w:r w:rsidRPr="00825774">
        <w:rPr>
          <w:lang w:val="en-US"/>
        </w:rPr>
        <w:t xml:space="preserve">timing of deciduous teeth formation allows researchers to analyze dietary signals from early life stages including fetal life (the maternal diet), breastfeeding, and (depending on weaning age) weaning (Burt </w:t>
      </w:r>
      <w:r w:rsidR="0045577D">
        <w:rPr>
          <w:lang w:val="en-US"/>
        </w:rPr>
        <w:t>&amp;</w:t>
      </w:r>
      <w:r w:rsidRPr="00825774">
        <w:rPr>
          <w:lang w:val="en-US"/>
        </w:rPr>
        <w:t xml:space="preserve"> Garvie-Lok 2013). Further, primary dentine is mineralized within 3-4 days of secretion and does not remodel, thus it represents the diet at the time the tooth was growing in contrast to bone collagen, which represents a long-term average of individual’s diet.</w:t>
      </w:r>
    </w:p>
    <w:p w14:paraId="0298546B" w14:textId="77777777" w:rsidR="001C6BF3" w:rsidRPr="00825774" w:rsidRDefault="001C6BF3" w:rsidP="001C6BF3">
      <w:pPr>
        <w:ind w:firstLine="720"/>
        <w:rPr>
          <w:lang w:val="en-US"/>
        </w:rPr>
      </w:pPr>
    </w:p>
    <w:p w14:paraId="7C6D08DA" w14:textId="5DB7F160" w:rsidR="00E14AE9" w:rsidRPr="00825774" w:rsidRDefault="004E3DAB" w:rsidP="00511E3B">
      <w:pPr>
        <w:spacing w:line="480" w:lineRule="auto"/>
        <w:ind w:firstLine="720"/>
        <w:rPr>
          <w:lang w:val="en-US"/>
        </w:rPr>
      </w:pPr>
      <w:r w:rsidRPr="001D7D33">
        <w:rPr>
          <w:color w:val="000000" w:themeColor="text1"/>
          <w:lang w:val="en-US"/>
        </w:rPr>
        <w:lastRenderedPageBreak/>
        <w:t>Table 4.</w:t>
      </w:r>
      <w:r w:rsidR="00986896" w:rsidRPr="001D7D33">
        <w:rPr>
          <w:color w:val="000000" w:themeColor="text1"/>
          <w:lang w:val="en-US"/>
        </w:rPr>
        <w:t>2</w:t>
      </w:r>
      <w:r w:rsidRPr="001D7D33">
        <w:rPr>
          <w:color w:val="000000" w:themeColor="text1"/>
          <w:lang w:val="en-US"/>
        </w:rPr>
        <w:t xml:space="preserve"> </w:t>
      </w:r>
      <w:r w:rsidR="0012320E" w:rsidRPr="001D7D33">
        <w:rPr>
          <w:color w:val="000000" w:themeColor="text1"/>
          <w:lang w:val="en-US"/>
        </w:rPr>
        <w:t xml:space="preserve">below </w:t>
      </w:r>
      <w:r w:rsidRPr="001D7D33">
        <w:rPr>
          <w:color w:val="000000" w:themeColor="text1"/>
          <w:lang w:val="en-US"/>
        </w:rPr>
        <w:t xml:space="preserve">presents </w:t>
      </w:r>
      <w:r w:rsidR="00E424AE" w:rsidRPr="001D7D33">
        <w:rPr>
          <w:color w:val="000000" w:themeColor="text1"/>
          <w:lang w:val="en-US"/>
        </w:rPr>
        <w:t xml:space="preserve">the </w:t>
      </w:r>
      <w:r w:rsidRPr="001D7D33">
        <w:rPr>
          <w:color w:val="000000" w:themeColor="text1"/>
          <w:lang w:val="en-US"/>
        </w:rPr>
        <w:t>subadult burial information</w:t>
      </w:r>
      <w:r w:rsidR="0012320E" w:rsidRPr="001D7D33">
        <w:rPr>
          <w:color w:val="000000" w:themeColor="text1"/>
          <w:lang w:val="en-US"/>
        </w:rPr>
        <w:t xml:space="preserve"> and associated grave goods</w:t>
      </w:r>
      <w:r w:rsidRPr="001D7D33">
        <w:rPr>
          <w:color w:val="000000" w:themeColor="text1"/>
          <w:lang w:val="en-US"/>
        </w:rPr>
        <w:t xml:space="preserve">. </w:t>
      </w:r>
      <w:r w:rsidR="00CF5BB7" w:rsidRPr="001D7D33">
        <w:rPr>
          <w:color w:val="000000" w:themeColor="text1"/>
          <w:lang w:val="en-US"/>
        </w:rPr>
        <w:t>The report on the burial excavations at Parco San Stefano by du Plat Taylor (</w:t>
      </w:r>
      <w:r w:rsidR="0059106A" w:rsidRPr="001D7D33">
        <w:rPr>
          <w:color w:val="000000" w:themeColor="text1"/>
          <w:lang w:val="en-US"/>
        </w:rPr>
        <w:t>1976;</w:t>
      </w:r>
      <w:r w:rsidR="0045577D">
        <w:rPr>
          <w:color w:val="000000" w:themeColor="text1"/>
          <w:lang w:val="en-US"/>
        </w:rPr>
        <w:t xml:space="preserve"> </w:t>
      </w:r>
      <w:r w:rsidR="00CF5BB7" w:rsidRPr="001D7D33">
        <w:rPr>
          <w:color w:val="000000" w:themeColor="text1"/>
          <w:lang w:val="en-US"/>
        </w:rPr>
        <w:t>1977) does not include a description of ‘Tomba 30’, but all of the burials excavated in P</w:t>
      </w:r>
      <w:r w:rsidR="0059106A" w:rsidRPr="001D7D33">
        <w:rPr>
          <w:color w:val="000000" w:themeColor="text1"/>
          <w:lang w:val="en-US"/>
        </w:rPr>
        <w:t>arco San Stefano</w:t>
      </w:r>
      <w:r w:rsidR="00CF5BB7" w:rsidRPr="001D7D33">
        <w:rPr>
          <w:color w:val="000000" w:themeColor="text1"/>
          <w:lang w:val="en-US"/>
        </w:rPr>
        <w:t xml:space="preserve"> date between the </w:t>
      </w:r>
      <w:r w:rsidR="0059106A" w:rsidRPr="001D7D33">
        <w:rPr>
          <w:color w:val="000000" w:themeColor="text1"/>
          <w:lang w:val="en-US"/>
        </w:rPr>
        <w:t>7</w:t>
      </w:r>
      <w:r w:rsidR="0059106A" w:rsidRPr="001D7D33">
        <w:rPr>
          <w:color w:val="000000" w:themeColor="text1"/>
          <w:vertAlign w:val="superscript"/>
          <w:lang w:val="en-US"/>
        </w:rPr>
        <w:t>th</w:t>
      </w:r>
      <w:r w:rsidR="0059106A" w:rsidRPr="001D7D33">
        <w:rPr>
          <w:color w:val="000000" w:themeColor="text1"/>
          <w:lang w:val="en-US"/>
        </w:rPr>
        <w:t xml:space="preserve"> </w:t>
      </w:r>
      <w:r w:rsidR="00CF5BB7" w:rsidRPr="001D7D33">
        <w:rPr>
          <w:color w:val="000000" w:themeColor="text1"/>
          <w:lang w:val="en-US"/>
        </w:rPr>
        <w:t>and</w:t>
      </w:r>
      <w:r w:rsidR="0059106A" w:rsidRPr="001D7D33">
        <w:rPr>
          <w:color w:val="000000" w:themeColor="text1"/>
          <w:lang w:val="en-US"/>
        </w:rPr>
        <w:t xml:space="preserve"> 6</w:t>
      </w:r>
      <w:r w:rsidR="0059106A" w:rsidRPr="001D7D33">
        <w:rPr>
          <w:color w:val="000000" w:themeColor="text1"/>
          <w:vertAlign w:val="superscript"/>
          <w:lang w:val="en-US"/>
        </w:rPr>
        <w:t>th</w:t>
      </w:r>
      <w:r w:rsidR="00CF5BB7" w:rsidRPr="001D7D33">
        <w:rPr>
          <w:color w:val="000000" w:themeColor="text1"/>
          <w:lang w:val="en-US"/>
        </w:rPr>
        <w:t xml:space="preserve"> centuries BCE. Excavations at Botromagno uncovered a number of infant and child burials distributed throughout the habitation areas</w:t>
      </w:r>
      <w:r w:rsidR="003C3B26" w:rsidRPr="001D7D33">
        <w:rPr>
          <w:color w:val="000000" w:themeColor="text1"/>
          <w:lang w:val="en-US"/>
        </w:rPr>
        <w:t xml:space="preserve"> reported by Small (1992) and Whitehouse et al. (2000), however no</w:t>
      </w:r>
      <w:r w:rsidR="00CF5BB7" w:rsidRPr="001D7D33">
        <w:rPr>
          <w:color w:val="000000" w:themeColor="text1"/>
          <w:lang w:val="en-US"/>
        </w:rPr>
        <w:t>t all burials are reported in the publications</w:t>
      </w:r>
      <w:r w:rsidR="003C3B26" w:rsidRPr="001D7D33">
        <w:rPr>
          <w:color w:val="000000" w:themeColor="text1"/>
          <w:lang w:val="en-US"/>
        </w:rPr>
        <w:t xml:space="preserve"> (</w:t>
      </w:r>
      <w:r w:rsidR="0067128B" w:rsidRPr="001D7D33">
        <w:rPr>
          <w:color w:val="000000" w:themeColor="text1"/>
          <w:lang w:val="en-US"/>
        </w:rPr>
        <w:t>i.e</w:t>
      </w:r>
      <w:r w:rsidR="00E424AE" w:rsidRPr="001D7D33">
        <w:rPr>
          <w:color w:val="000000" w:themeColor="text1"/>
          <w:lang w:val="en-US"/>
        </w:rPr>
        <w:t>.,</w:t>
      </w:r>
      <w:r w:rsidR="0067128B" w:rsidRPr="001D7D33">
        <w:rPr>
          <w:color w:val="000000" w:themeColor="text1"/>
          <w:lang w:val="en-US"/>
        </w:rPr>
        <w:t xml:space="preserve"> </w:t>
      </w:r>
      <w:r w:rsidR="003C3B26" w:rsidRPr="001D7D33">
        <w:rPr>
          <w:color w:val="000000" w:themeColor="text1"/>
          <w:lang w:val="en-US"/>
        </w:rPr>
        <w:t xml:space="preserve">21/12/71 Tomba di bambino Ind. 1, GS70 F25, 1968 DB 1 Contents of Sarcophagus, 1972 Area NA Burial 1 of A-1 and G67 Site C RZ3 Pit 3 tomb infill). Further, individual </w:t>
      </w:r>
      <w:r w:rsidR="00E424AE" w:rsidRPr="001D7D33">
        <w:rPr>
          <w:color w:val="000000" w:themeColor="text1"/>
          <w:lang w:val="en-US"/>
        </w:rPr>
        <w:t>identified as ‘</w:t>
      </w:r>
      <w:r w:rsidR="003C3B26" w:rsidRPr="001D7D33">
        <w:rPr>
          <w:lang w:val="en-US"/>
        </w:rPr>
        <w:t>No Label #2</w:t>
      </w:r>
      <w:r w:rsidR="00E424AE" w:rsidRPr="001D7D33">
        <w:rPr>
          <w:lang w:val="en-US"/>
        </w:rPr>
        <w:t>’</w:t>
      </w:r>
      <w:r w:rsidR="003C3B26" w:rsidRPr="001D7D33">
        <w:rPr>
          <w:lang w:val="en-US"/>
        </w:rPr>
        <w:t xml:space="preserve"> did not have a burial site ID</w:t>
      </w:r>
      <w:r w:rsidR="00E424AE" w:rsidRPr="001D7D33">
        <w:rPr>
          <w:lang w:val="en-US"/>
        </w:rPr>
        <w:t>, but was</w:t>
      </w:r>
      <w:r w:rsidR="00F94BEE" w:rsidRPr="001D7D33">
        <w:rPr>
          <w:lang w:val="en-US"/>
        </w:rPr>
        <w:t xml:space="preserve"> included</w:t>
      </w:r>
      <w:r w:rsidR="00E424AE" w:rsidRPr="001D7D33">
        <w:rPr>
          <w:lang w:val="en-US"/>
        </w:rPr>
        <w:t xml:space="preserve"> in boxes with skeletal material from the other Iron Age sites, so</w:t>
      </w:r>
      <w:r w:rsidR="00B848F4" w:rsidRPr="001D7D33">
        <w:rPr>
          <w:lang w:val="en-US"/>
        </w:rPr>
        <w:t xml:space="preserve"> it is assumed that it is from this time period</w:t>
      </w:r>
      <w:r w:rsidR="003C3B26" w:rsidRPr="001D7D33">
        <w:rPr>
          <w:lang w:val="en-US"/>
        </w:rPr>
        <w:t>.</w:t>
      </w:r>
    </w:p>
    <w:p w14:paraId="676CC07F" w14:textId="1A3D7218" w:rsidR="00CF5BB7" w:rsidRPr="00CF4ACE" w:rsidRDefault="003C3B26" w:rsidP="00CF4ACE">
      <w:pPr>
        <w:contextualSpacing/>
        <w:jc w:val="center"/>
        <w:rPr>
          <w:color w:val="C00000"/>
          <w:lang w:val="en-US"/>
        </w:rPr>
      </w:pPr>
      <w:r w:rsidRPr="00825774">
        <w:rPr>
          <w:b/>
          <w:lang w:val="en-US"/>
        </w:rPr>
        <w:t>T</w:t>
      </w:r>
      <w:r w:rsidR="00CF5BB7" w:rsidRPr="00825774">
        <w:rPr>
          <w:b/>
          <w:lang w:val="en-US"/>
        </w:rPr>
        <w:t>able 4.</w:t>
      </w:r>
      <w:r w:rsidR="00986896">
        <w:rPr>
          <w:b/>
          <w:lang w:val="en-US"/>
        </w:rPr>
        <w:t>2</w:t>
      </w:r>
      <w:r w:rsidR="00E14AE9">
        <w:rPr>
          <w:b/>
          <w:lang w:val="en-US"/>
        </w:rPr>
        <w:t>:</w:t>
      </w:r>
      <w:r w:rsidR="00CF5BB7" w:rsidRPr="00825774">
        <w:rPr>
          <w:lang w:val="en-US"/>
        </w:rPr>
        <w:t xml:space="preserve"> Subadult </w:t>
      </w:r>
      <w:r w:rsidR="001A61E9">
        <w:rPr>
          <w:lang w:val="en-US"/>
        </w:rPr>
        <w:t>b</w:t>
      </w:r>
      <w:r w:rsidR="00CF5BB7" w:rsidRPr="00825774">
        <w:rPr>
          <w:lang w:val="en-US"/>
        </w:rPr>
        <w:t xml:space="preserve">urial </w:t>
      </w:r>
      <w:r w:rsidR="001A61E9">
        <w:rPr>
          <w:lang w:val="en-US"/>
        </w:rPr>
        <w:t>i</w:t>
      </w:r>
      <w:r w:rsidR="00CF5BB7" w:rsidRPr="00825774">
        <w:rPr>
          <w:lang w:val="en-US"/>
        </w:rPr>
        <w:t>nformation</w:t>
      </w:r>
      <w:r w:rsidR="00CF4ACE">
        <w:rPr>
          <w:lang w:val="en-US"/>
        </w:rPr>
        <w:t>.</w:t>
      </w:r>
    </w:p>
    <w:tbl>
      <w:tblPr>
        <w:tblStyle w:val="TableGrid"/>
        <w:tblpPr w:leftFromText="180" w:rightFromText="180" w:vertAnchor="text" w:horzAnchor="margin" w:tblpY="400"/>
        <w:tblW w:w="8359" w:type="dxa"/>
        <w:tblLook w:val="04A0" w:firstRow="1" w:lastRow="0" w:firstColumn="1" w:lastColumn="0" w:noHBand="0" w:noVBand="1"/>
      </w:tblPr>
      <w:tblGrid>
        <w:gridCol w:w="1443"/>
        <w:gridCol w:w="1416"/>
        <w:gridCol w:w="1247"/>
        <w:gridCol w:w="1418"/>
        <w:gridCol w:w="2835"/>
      </w:tblGrid>
      <w:tr w:rsidR="00CF4ACE" w:rsidRPr="008C4A6A" w14:paraId="57EC9201" w14:textId="77777777" w:rsidTr="001515B3">
        <w:tc>
          <w:tcPr>
            <w:tcW w:w="1443" w:type="dxa"/>
          </w:tcPr>
          <w:p w14:paraId="5878C3CC" w14:textId="77777777" w:rsidR="00CF4ACE" w:rsidRPr="00825774" w:rsidRDefault="00CF4ACE" w:rsidP="00CF4ACE">
            <w:pPr>
              <w:contextualSpacing/>
              <w:rPr>
                <w:lang w:val="en-US"/>
              </w:rPr>
            </w:pPr>
            <w:r w:rsidRPr="00825774">
              <w:rPr>
                <w:b/>
                <w:lang w:val="en-US"/>
              </w:rPr>
              <w:t>Sample ID</w:t>
            </w:r>
          </w:p>
        </w:tc>
        <w:tc>
          <w:tcPr>
            <w:tcW w:w="1416" w:type="dxa"/>
          </w:tcPr>
          <w:p w14:paraId="2BFC5156" w14:textId="77777777" w:rsidR="00CF4ACE" w:rsidRPr="00825774" w:rsidRDefault="00CF4ACE" w:rsidP="00CF4ACE">
            <w:pPr>
              <w:contextualSpacing/>
              <w:rPr>
                <w:b/>
                <w:lang w:val="en-US"/>
              </w:rPr>
            </w:pPr>
            <w:r w:rsidRPr="00825774">
              <w:rPr>
                <w:b/>
                <w:lang w:val="en-US"/>
              </w:rPr>
              <w:t>Burial Site</w:t>
            </w:r>
          </w:p>
          <w:p w14:paraId="09C91D1F" w14:textId="77777777" w:rsidR="00CF4ACE" w:rsidRPr="00825774" w:rsidRDefault="00CF4ACE" w:rsidP="00CF4ACE">
            <w:pPr>
              <w:contextualSpacing/>
              <w:rPr>
                <w:lang w:val="en-US"/>
              </w:rPr>
            </w:pPr>
          </w:p>
        </w:tc>
        <w:tc>
          <w:tcPr>
            <w:tcW w:w="1247" w:type="dxa"/>
          </w:tcPr>
          <w:p w14:paraId="036EEFAE" w14:textId="77777777" w:rsidR="00CF4ACE" w:rsidRPr="00825774" w:rsidRDefault="00CF4ACE" w:rsidP="00CF4ACE">
            <w:pPr>
              <w:contextualSpacing/>
              <w:rPr>
                <w:lang w:val="en-US"/>
              </w:rPr>
            </w:pPr>
            <w:r w:rsidRPr="00825774">
              <w:rPr>
                <w:b/>
                <w:lang w:val="en-US"/>
              </w:rPr>
              <w:t xml:space="preserve">Date cent. BCE  </w:t>
            </w:r>
          </w:p>
        </w:tc>
        <w:tc>
          <w:tcPr>
            <w:tcW w:w="1418" w:type="dxa"/>
          </w:tcPr>
          <w:p w14:paraId="51ED8947" w14:textId="77777777" w:rsidR="00CF4ACE" w:rsidRPr="00825774" w:rsidRDefault="00CF4ACE" w:rsidP="00CF4ACE">
            <w:pPr>
              <w:contextualSpacing/>
              <w:rPr>
                <w:b/>
                <w:lang w:val="en-US"/>
              </w:rPr>
            </w:pPr>
            <w:r w:rsidRPr="00825774">
              <w:rPr>
                <w:b/>
                <w:lang w:val="en-US"/>
              </w:rPr>
              <w:t>Tomb Type</w:t>
            </w:r>
          </w:p>
        </w:tc>
        <w:tc>
          <w:tcPr>
            <w:tcW w:w="2835" w:type="dxa"/>
          </w:tcPr>
          <w:p w14:paraId="20B842EF" w14:textId="046403AB" w:rsidR="00CF4ACE" w:rsidRPr="00825774" w:rsidRDefault="00CF4ACE" w:rsidP="00CF4ACE">
            <w:pPr>
              <w:contextualSpacing/>
              <w:rPr>
                <w:b/>
                <w:lang w:val="en-US"/>
              </w:rPr>
            </w:pPr>
            <w:r w:rsidRPr="00825774">
              <w:rPr>
                <w:b/>
                <w:lang w:val="en-US"/>
              </w:rPr>
              <w:t xml:space="preserve">Associated </w:t>
            </w:r>
            <w:r w:rsidR="0012320E">
              <w:rPr>
                <w:b/>
                <w:lang w:val="en-US"/>
              </w:rPr>
              <w:t>G</w:t>
            </w:r>
            <w:r w:rsidRPr="00825774">
              <w:rPr>
                <w:b/>
                <w:lang w:val="en-US"/>
              </w:rPr>
              <w:t>rave</w:t>
            </w:r>
            <w:r w:rsidR="0012320E">
              <w:rPr>
                <w:b/>
                <w:lang w:val="en-US"/>
              </w:rPr>
              <w:t xml:space="preserve"> g</w:t>
            </w:r>
            <w:r w:rsidRPr="00825774">
              <w:rPr>
                <w:b/>
                <w:lang w:val="en-US"/>
              </w:rPr>
              <w:t>oods</w:t>
            </w:r>
          </w:p>
        </w:tc>
      </w:tr>
      <w:tr w:rsidR="00CF4ACE" w:rsidRPr="003E5D96" w14:paraId="72DA0C36" w14:textId="77777777" w:rsidTr="001515B3">
        <w:tc>
          <w:tcPr>
            <w:tcW w:w="1443" w:type="dxa"/>
          </w:tcPr>
          <w:p w14:paraId="29AA1FA2" w14:textId="77777777" w:rsidR="00CF4ACE" w:rsidRPr="00825774" w:rsidRDefault="00CF4ACE" w:rsidP="00CF4ACE">
            <w:pPr>
              <w:contextualSpacing/>
              <w:rPr>
                <w:lang w:val="en-US"/>
              </w:rPr>
            </w:pPr>
            <w:r w:rsidRPr="00825774">
              <w:rPr>
                <w:lang w:val="en-US"/>
              </w:rPr>
              <w:t>G67/I p3 e2 S4 = Tomb 4</w:t>
            </w:r>
          </w:p>
        </w:tc>
        <w:tc>
          <w:tcPr>
            <w:tcW w:w="1416" w:type="dxa"/>
          </w:tcPr>
          <w:p w14:paraId="7E8C5992" w14:textId="77777777" w:rsidR="00CF4ACE" w:rsidRPr="00825774" w:rsidRDefault="00CF4ACE" w:rsidP="00CF4ACE">
            <w:pPr>
              <w:contextualSpacing/>
              <w:rPr>
                <w:lang w:val="en-US"/>
              </w:rPr>
            </w:pPr>
            <w:r w:rsidRPr="00825774">
              <w:rPr>
                <w:lang w:val="en-US"/>
              </w:rPr>
              <w:t>Botromagno</w:t>
            </w:r>
          </w:p>
          <w:p w14:paraId="6955406E" w14:textId="77777777" w:rsidR="00CF4ACE" w:rsidRPr="00825774" w:rsidRDefault="00CF4ACE" w:rsidP="00CF4ACE">
            <w:pPr>
              <w:contextualSpacing/>
              <w:rPr>
                <w:lang w:val="en-US"/>
              </w:rPr>
            </w:pPr>
          </w:p>
        </w:tc>
        <w:tc>
          <w:tcPr>
            <w:tcW w:w="1247" w:type="dxa"/>
          </w:tcPr>
          <w:p w14:paraId="18F33371" w14:textId="77777777" w:rsidR="001515B3" w:rsidRDefault="00CF4ACE" w:rsidP="00CF4ACE">
            <w:pPr>
              <w:contextualSpacing/>
              <w:rPr>
                <w:lang w:val="en-US"/>
              </w:rPr>
            </w:pPr>
            <w:r>
              <w:rPr>
                <w:lang w:val="en-US"/>
              </w:rPr>
              <w:t xml:space="preserve">Late Iron Age </w:t>
            </w:r>
          </w:p>
          <w:p w14:paraId="0695A8B0" w14:textId="33171E53" w:rsidR="00CF4ACE" w:rsidRPr="00825774" w:rsidRDefault="00CF4ACE" w:rsidP="00CF4ACE">
            <w:pPr>
              <w:contextualSpacing/>
              <w:rPr>
                <w:lang w:val="en-US"/>
              </w:rPr>
            </w:pPr>
            <w:r>
              <w:rPr>
                <w:lang w:val="en-US"/>
              </w:rPr>
              <w:t>(</w:t>
            </w:r>
            <w:r w:rsidRPr="00825774">
              <w:rPr>
                <w:lang w:val="en-US"/>
              </w:rPr>
              <w:t>Later 4</w:t>
            </w:r>
            <w:r w:rsidRPr="00825774">
              <w:rPr>
                <w:vertAlign w:val="superscript"/>
                <w:lang w:val="en-US"/>
              </w:rPr>
              <w:t>th</w:t>
            </w:r>
            <w:r>
              <w:rPr>
                <w:lang w:val="en-US"/>
              </w:rPr>
              <w:t>)</w:t>
            </w:r>
            <w:r w:rsidRPr="00825774">
              <w:rPr>
                <w:lang w:val="en-US"/>
              </w:rPr>
              <w:t xml:space="preserve"> </w:t>
            </w:r>
          </w:p>
        </w:tc>
        <w:tc>
          <w:tcPr>
            <w:tcW w:w="1418" w:type="dxa"/>
          </w:tcPr>
          <w:p w14:paraId="36750A8E" w14:textId="77777777" w:rsidR="00CF4ACE" w:rsidRPr="00825774" w:rsidRDefault="00CF4ACE" w:rsidP="00CF4ACE">
            <w:pPr>
              <w:contextualSpacing/>
              <w:rPr>
                <w:lang w:val="en-US"/>
              </w:rPr>
            </w:pPr>
            <w:r w:rsidRPr="00825774">
              <w:rPr>
                <w:lang w:val="en-US"/>
              </w:rPr>
              <w:t>Rock-cut grotticella</w:t>
            </w:r>
          </w:p>
          <w:p w14:paraId="4322C047" w14:textId="77777777" w:rsidR="00CF4ACE" w:rsidRPr="00825774" w:rsidRDefault="00CF4ACE" w:rsidP="00CF4ACE">
            <w:pPr>
              <w:contextualSpacing/>
              <w:rPr>
                <w:lang w:val="en-US"/>
              </w:rPr>
            </w:pPr>
          </w:p>
        </w:tc>
        <w:tc>
          <w:tcPr>
            <w:tcW w:w="2835" w:type="dxa"/>
          </w:tcPr>
          <w:p w14:paraId="273743B4" w14:textId="77777777" w:rsidR="00CF4ACE" w:rsidRPr="00825774" w:rsidRDefault="00CF4ACE" w:rsidP="00CF4ACE">
            <w:pPr>
              <w:contextualSpacing/>
              <w:rPr>
                <w:lang w:val="en-US"/>
              </w:rPr>
            </w:pPr>
            <w:r w:rsidRPr="00825774">
              <w:rPr>
                <w:lang w:val="en-US"/>
              </w:rPr>
              <w:t xml:space="preserve">- Large globular stamnos </w:t>
            </w:r>
          </w:p>
          <w:p w14:paraId="0E2D170D" w14:textId="77777777" w:rsidR="00CF4ACE" w:rsidRPr="00825774" w:rsidRDefault="00CF4ACE" w:rsidP="00CF4ACE">
            <w:pPr>
              <w:contextualSpacing/>
              <w:rPr>
                <w:lang w:val="en-US"/>
              </w:rPr>
            </w:pPr>
            <w:r w:rsidRPr="00825774">
              <w:rPr>
                <w:lang w:val="en-US"/>
              </w:rPr>
              <w:t>- Banded ring-handled kantharos</w:t>
            </w:r>
          </w:p>
        </w:tc>
      </w:tr>
      <w:tr w:rsidR="00CF4ACE" w:rsidRPr="008C4A6A" w14:paraId="7B20C44C" w14:textId="77777777" w:rsidTr="001515B3">
        <w:tc>
          <w:tcPr>
            <w:tcW w:w="1443" w:type="dxa"/>
          </w:tcPr>
          <w:p w14:paraId="32136031" w14:textId="77777777" w:rsidR="00CF4ACE" w:rsidRPr="00825774" w:rsidRDefault="00CF4ACE" w:rsidP="00CF4ACE">
            <w:pPr>
              <w:contextualSpacing/>
              <w:rPr>
                <w:lang w:val="en-US"/>
              </w:rPr>
            </w:pPr>
            <w:r w:rsidRPr="00825774">
              <w:rPr>
                <w:lang w:val="en-US"/>
              </w:rPr>
              <w:t>22/5/67 Tomba 30</w:t>
            </w:r>
          </w:p>
        </w:tc>
        <w:tc>
          <w:tcPr>
            <w:tcW w:w="1416" w:type="dxa"/>
          </w:tcPr>
          <w:p w14:paraId="2C5DF2EC" w14:textId="065BDDC0" w:rsidR="00CF4ACE" w:rsidRPr="00825774" w:rsidRDefault="00CF4ACE" w:rsidP="00CF4ACE">
            <w:pPr>
              <w:contextualSpacing/>
              <w:rPr>
                <w:lang w:val="en-US"/>
              </w:rPr>
            </w:pPr>
            <w:r w:rsidRPr="00825774">
              <w:rPr>
                <w:lang w:val="en-US"/>
              </w:rPr>
              <w:t>P</w:t>
            </w:r>
            <w:r w:rsidR="001515B3">
              <w:rPr>
                <w:lang w:val="en-US"/>
              </w:rPr>
              <w:t>.</w:t>
            </w:r>
            <w:r w:rsidRPr="00825774">
              <w:rPr>
                <w:lang w:val="en-US"/>
              </w:rPr>
              <w:t xml:space="preserve"> S</w:t>
            </w:r>
            <w:r w:rsidR="001515B3">
              <w:rPr>
                <w:lang w:val="en-US"/>
              </w:rPr>
              <w:t>.</w:t>
            </w:r>
            <w:r w:rsidRPr="00825774">
              <w:rPr>
                <w:lang w:val="en-US"/>
              </w:rPr>
              <w:t xml:space="preserve"> Stefano</w:t>
            </w:r>
          </w:p>
        </w:tc>
        <w:tc>
          <w:tcPr>
            <w:tcW w:w="1247" w:type="dxa"/>
          </w:tcPr>
          <w:p w14:paraId="0E53775F" w14:textId="77777777" w:rsidR="001515B3" w:rsidRDefault="00CF4ACE" w:rsidP="00CF4ACE">
            <w:pPr>
              <w:contextualSpacing/>
              <w:rPr>
                <w:lang w:val="en-US"/>
              </w:rPr>
            </w:pPr>
            <w:r>
              <w:rPr>
                <w:lang w:val="en-US"/>
              </w:rPr>
              <w:t xml:space="preserve">Mid-Iron Age </w:t>
            </w:r>
          </w:p>
          <w:p w14:paraId="2B3D0746" w14:textId="4364D530" w:rsidR="00CF4ACE" w:rsidRPr="00493F1B" w:rsidRDefault="00CF4ACE" w:rsidP="00CF4ACE">
            <w:pPr>
              <w:contextualSpacing/>
              <w:rPr>
                <w:lang w:val="en-US"/>
              </w:rPr>
            </w:pPr>
            <w:r>
              <w:rPr>
                <w:lang w:val="en-US"/>
              </w:rPr>
              <w:t>(7</w:t>
            </w:r>
            <w:r w:rsidRPr="00493F1B">
              <w:rPr>
                <w:vertAlign w:val="superscript"/>
                <w:lang w:val="en-US"/>
              </w:rPr>
              <w:t>th</w:t>
            </w:r>
            <w:r>
              <w:rPr>
                <w:lang w:val="en-US"/>
              </w:rPr>
              <w:t xml:space="preserve"> – 6</w:t>
            </w:r>
            <w:r w:rsidRPr="00493F1B">
              <w:rPr>
                <w:vertAlign w:val="superscript"/>
                <w:lang w:val="en-US"/>
              </w:rPr>
              <w:t>th</w:t>
            </w:r>
            <w:r>
              <w:rPr>
                <w:lang w:val="en-US"/>
              </w:rPr>
              <w:t>)</w:t>
            </w:r>
          </w:p>
        </w:tc>
        <w:tc>
          <w:tcPr>
            <w:tcW w:w="1418" w:type="dxa"/>
          </w:tcPr>
          <w:p w14:paraId="5F4CE377" w14:textId="77777777" w:rsidR="00CF4ACE" w:rsidRPr="00825774" w:rsidRDefault="00CF4ACE" w:rsidP="00CF4ACE">
            <w:pPr>
              <w:contextualSpacing/>
              <w:rPr>
                <w:lang w:val="en-US"/>
              </w:rPr>
            </w:pPr>
            <w:r w:rsidRPr="00825774">
              <w:rPr>
                <w:lang w:val="en-US"/>
              </w:rPr>
              <w:t>Unknown</w:t>
            </w:r>
          </w:p>
        </w:tc>
        <w:tc>
          <w:tcPr>
            <w:tcW w:w="2835" w:type="dxa"/>
          </w:tcPr>
          <w:p w14:paraId="23BF40AC" w14:textId="77777777" w:rsidR="00CF4ACE" w:rsidRPr="00825774" w:rsidRDefault="00CF4ACE" w:rsidP="00CF4ACE">
            <w:pPr>
              <w:contextualSpacing/>
              <w:rPr>
                <w:lang w:val="en-US"/>
              </w:rPr>
            </w:pPr>
            <w:r w:rsidRPr="00825774">
              <w:rPr>
                <w:lang w:val="en-US"/>
              </w:rPr>
              <w:t>Unknown</w:t>
            </w:r>
          </w:p>
        </w:tc>
      </w:tr>
      <w:tr w:rsidR="00CF4ACE" w:rsidRPr="003E5D96" w14:paraId="0DDFEBB1" w14:textId="77777777" w:rsidTr="001515B3">
        <w:tc>
          <w:tcPr>
            <w:tcW w:w="1443" w:type="dxa"/>
          </w:tcPr>
          <w:p w14:paraId="33179231" w14:textId="77777777" w:rsidR="00CF4ACE" w:rsidRPr="00825774" w:rsidRDefault="00CF4ACE" w:rsidP="00CF4ACE">
            <w:pPr>
              <w:contextualSpacing/>
              <w:rPr>
                <w:lang w:val="en-US"/>
              </w:rPr>
            </w:pPr>
            <w:r w:rsidRPr="00825774">
              <w:rPr>
                <w:lang w:val="en-US"/>
              </w:rPr>
              <w:t>G67/II P4 S17 Infill 3</w:t>
            </w:r>
          </w:p>
        </w:tc>
        <w:tc>
          <w:tcPr>
            <w:tcW w:w="1416" w:type="dxa"/>
          </w:tcPr>
          <w:p w14:paraId="2A5041EF" w14:textId="77777777" w:rsidR="00CF4ACE" w:rsidRPr="00825774" w:rsidRDefault="00CF4ACE" w:rsidP="00CF4ACE">
            <w:pPr>
              <w:contextualSpacing/>
              <w:rPr>
                <w:lang w:val="en-US"/>
              </w:rPr>
            </w:pPr>
            <w:r w:rsidRPr="00825774">
              <w:rPr>
                <w:lang w:val="en-US"/>
              </w:rPr>
              <w:t>Botromagno</w:t>
            </w:r>
          </w:p>
          <w:p w14:paraId="63FE4962" w14:textId="77777777" w:rsidR="00CF4ACE" w:rsidRPr="00825774" w:rsidRDefault="00CF4ACE" w:rsidP="00CF4ACE">
            <w:pPr>
              <w:contextualSpacing/>
              <w:rPr>
                <w:lang w:val="en-US"/>
              </w:rPr>
            </w:pPr>
          </w:p>
        </w:tc>
        <w:tc>
          <w:tcPr>
            <w:tcW w:w="1247" w:type="dxa"/>
          </w:tcPr>
          <w:p w14:paraId="2D523375" w14:textId="77777777" w:rsidR="00CF4ACE" w:rsidRPr="00825774" w:rsidRDefault="00CF4ACE" w:rsidP="00CF4ACE">
            <w:pPr>
              <w:contextualSpacing/>
              <w:rPr>
                <w:lang w:val="en-US"/>
              </w:rPr>
            </w:pPr>
            <w:r>
              <w:rPr>
                <w:lang w:val="en-US"/>
              </w:rPr>
              <w:t>Late Iron Age (</w:t>
            </w:r>
            <w:r w:rsidRPr="00825774">
              <w:rPr>
                <w:lang w:val="en-US"/>
              </w:rPr>
              <w:t>4</w:t>
            </w:r>
            <w:r w:rsidRPr="00825774">
              <w:rPr>
                <w:vertAlign w:val="superscript"/>
                <w:lang w:val="en-US"/>
              </w:rPr>
              <w:t>th</w:t>
            </w:r>
            <w:r>
              <w:rPr>
                <w:lang w:val="en-US"/>
              </w:rPr>
              <w:t>)</w:t>
            </w:r>
          </w:p>
        </w:tc>
        <w:tc>
          <w:tcPr>
            <w:tcW w:w="1418" w:type="dxa"/>
          </w:tcPr>
          <w:p w14:paraId="458CD6D6" w14:textId="77777777" w:rsidR="00CF4ACE" w:rsidRPr="00825774" w:rsidRDefault="00CF4ACE" w:rsidP="00CF4ACE">
            <w:pPr>
              <w:contextualSpacing/>
              <w:rPr>
                <w:lang w:val="en-US"/>
              </w:rPr>
            </w:pPr>
            <w:r w:rsidRPr="00825774">
              <w:rPr>
                <w:lang w:val="en-US"/>
              </w:rPr>
              <w:t>Rock-cut pit grave</w:t>
            </w:r>
          </w:p>
          <w:p w14:paraId="471AA695" w14:textId="77777777" w:rsidR="00CF4ACE" w:rsidRPr="00825774" w:rsidRDefault="00CF4ACE" w:rsidP="00CF4ACE">
            <w:pPr>
              <w:contextualSpacing/>
              <w:rPr>
                <w:lang w:val="en-US"/>
              </w:rPr>
            </w:pPr>
          </w:p>
        </w:tc>
        <w:tc>
          <w:tcPr>
            <w:tcW w:w="2835" w:type="dxa"/>
          </w:tcPr>
          <w:p w14:paraId="64758FF9" w14:textId="77777777" w:rsidR="00CF4ACE" w:rsidRPr="00825774" w:rsidRDefault="00CF4ACE" w:rsidP="00CF4ACE">
            <w:pPr>
              <w:contextualSpacing/>
              <w:rPr>
                <w:lang w:val="en-US"/>
              </w:rPr>
            </w:pPr>
            <w:r w:rsidRPr="00825774">
              <w:rPr>
                <w:lang w:val="en-US"/>
              </w:rPr>
              <w:t>- Black glazed dish</w:t>
            </w:r>
          </w:p>
          <w:p w14:paraId="0D21283D" w14:textId="77777777" w:rsidR="00CF4ACE" w:rsidRPr="00825774" w:rsidRDefault="00CF4ACE" w:rsidP="00CF4ACE">
            <w:pPr>
              <w:contextualSpacing/>
              <w:rPr>
                <w:lang w:val="en-US"/>
              </w:rPr>
            </w:pPr>
            <w:r w:rsidRPr="00825774">
              <w:rPr>
                <w:lang w:val="en-US"/>
              </w:rPr>
              <w:t>- 2 Black glazed small jugs</w:t>
            </w:r>
          </w:p>
          <w:p w14:paraId="4C116B66" w14:textId="77777777" w:rsidR="00CF4ACE" w:rsidRPr="00825774" w:rsidRDefault="00CF4ACE" w:rsidP="00CF4ACE">
            <w:pPr>
              <w:contextualSpacing/>
              <w:rPr>
                <w:lang w:val="en-US"/>
              </w:rPr>
            </w:pPr>
            <w:r w:rsidRPr="00825774">
              <w:rPr>
                <w:lang w:val="en-US"/>
              </w:rPr>
              <w:t>- Black glazed salt cellar</w:t>
            </w:r>
          </w:p>
          <w:p w14:paraId="53520D95" w14:textId="77777777" w:rsidR="00CF4ACE" w:rsidRPr="00825774" w:rsidRDefault="00CF4ACE" w:rsidP="00CF4ACE">
            <w:pPr>
              <w:contextualSpacing/>
              <w:rPr>
                <w:lang w:val="en-US"/>
              </w:rPr>
            </w:pPr>
            <w:r w:rsidRPr="00825774">
              <w:rPr>
                <w:lang w:val="en-US"/>
              </w:rPr>
              <w:t>- 4 terracotta figurines of seated women</w:t>
            </w:r>
          </w:p>
        </w:tc>
      </w:tr>
      <w:tr w:rsidR="00CF4ACE" w:rsidRPr="008C4A6A" w14:paraId="5B4D6032" w14:textId="77777777" w:rsidTr="001515B3">
        <w:tc>
          <w:tcPr>
            <w:tcW w:w="1443" w:type="dxa"/>
          </w:tcPr>
          <w:p w14:paraId="6261A19E" w14:textId="77777777" w:rsidR="00CF4ACE" w:rsidRPr="00825774" w:rsidRDefault="00CF4ACE" w:rsidP="00CF4ACE">
            <w:pPr>
              <w:contextualSpacing/>
              <w:rPr>
                <w:lang w:val="en-US"/>
              </w:rPr>
            </w:pPr>
            <w:r w:rsidRPr="00825774">
              <w:rPr>
                <w:lang w:val="en-US"/>
              </w:rPr>
              <w:t>21/12/71 Tomba di bambino Ind. 1</w:t>
            </w:r>
          </w:p>
        </w:tc>
        <w:tc>
          <w:tcPr>
            <w:tcW w:w="1416" w:type="dxa"/>
          </w:tcPr>
          <w:p w14:paraId="56820CB4" w14:textId="77777777" w:rsidR="00CF4ACE" w:rsidRPr="00825774" w:rsidRDefault="00CF4ACE" w:rsidP="00CF4ACE">
            <w:pPr>
              <w:contextualSpacing/>
              <w:rPr>
                <w:lang w:val="en-US"/>
              </w:rPr>
            </w:pPr>
            <w:r w:rsidRPr="00825774">
              <w:rPr>
                <w:lang w:val="en-US"/>
              </w:rPr>
              <w:t>Botromagno</w:t>
            </w:r>
          </w:p>
        </w:tc>
        <w:tc>
          <w:tcPr>
            <w:tcW w:w="1247" w:type="dxa"/>
          </w:tcPr>
          <w:p w14:paraId="16AA92B2" w14:textId="77777777" w:rsidR="001515B3" w:rsidRDefault="00CF4ACE" w:rsidP="00CF4ACE">
            <w:pPr>
              <w:contextualSpacing/>
              <w:rPr>
                <w:lang w:val="en-US"/>
              </w:rPr>
            </w:pPr>
            <w:r>
              <w:rPr>
                <w:lang w:val="en-US"/>
              </w:rPr>
              <w:t xml:space="preserve">Iron Age </w:t>
            </w:r>
          </w:p>
          <w:p w14:paraId="562E3B38" w14:textId="2E33DCCE" w:rsidR="00CF4ACE" w:rsidRPr="00825774" w:rsidRDefault="00CF4ACE" w:rsidP="00CF4ACE">
            <w:pPr>
              <w:contextualSpacing/>
              <w:rPr>
                <w:lang w:val="en-US"/>
              </w:rPr>
            </w:pPr>
            <w:r>
              <w:rPr>
                <w:lang w:val="en-US"/>
              </w:rPr>
              <w:t>(6</w:t>
            </w:r>
            <w:r w:rsidRPr="00493F1B">
              <w:rPr>
                <w:vertAlign w:val="superscript"/>
                <w:lang w:val="en-US"/>
              </w:rPr>
              <w:t>th</w:t>
            </w:r>
            <w:r>
              <w:rPr>
                <w:lang w:val="en-US"/>
              </w:rPr>
              <w:t xml:space="preserve"> – 3</w:t>
            </w:r>
            <w:r w:rsidRPr="00493F1B">
              <w:rPr>
                <w:vertAlign w:val="superscript"/>
                <w:lang w:val="en-US"/>
              </w:rPr>
              <w:t>rd</w:t>
            </w:r>
            <w:r>
              <w:rPr>
                <w:lang w:val="en-US"/>
              </w:rPr>
              <w:t>)</w:t>
            </w:r>
          </w:p>
        </w:tc>
        <w:tc>
          <w:tcPr>
            <w:tcW w:w="1418" w:type="dxa"/>
          </w:tcPr>
          <w:p w14:paraId="46A2A76A" w14:textId="77777777" w:rsidR="00CF4ACE" w:rsidRPr="00825774" w:rsidRDefault="00CF4ACE" w:rsidP="00CF4ACE">
            <w:pPr>
              <w:contextualSpacing/>
              <w:rPr>
                <w:lang w:val="en-US"/>
              </w:rPr>
            </w:pPr>
            <w:r w:rsidRPr="00825774">
              <w:rPr>
                <w:lang w:val="en-US"/>
              </w:rPr>
              <w:t>Unknown</w:t>
            </w:r>
          </w:p>
        </w:tc>
        <w:tc>
          <w:tcPr>
            <w:tcW w:w="2835" w:type="dxa"/>
          </w:tcPr>
          <w:p w14:paraId="68FD5FB4" w14:textId="77777777" w:rsidR="00CF4ACE" w:rsidRPr="00825774" w:rsidRDefault="00CF4ACE" w:rsidP="00CF4ACE">
            <w:pPr>
              <w:contextualSpacing/>
              <w:rPr>
                <w:lang w:val="en-US"/>
              </w:rPr>
            </w:pPr>
            <w:r w:rsidRPr="00825774">
              <w:rPr>
                <w:lang w:val="en-US"/>
              </w:rPr>
              <w:t>Unknown</w:t>
            </w:r>
          </w:p>
        </w:tc>
      </w:tr>
      <w:tr w:rsidR="00CF4ACE" w:rsidRPr="008C4A6A" w14:paraId="2EDF388D" w14:textId="77777777" w:rsidTr="001515B3">
        <w:tc>
          <w:tcPr>
            <w:tcW w:w="1443" w:type="dxa"/>
          </w:tcPr>
          <w:p w14:paraId="427035E8" w14:textId="77777777" w:rsidR="00CF4ACE" w:rsidRPr="00825774" w:rsidRDefault="00CF4ACE" w:rsidP="00CF4ACE">
            <w:pPr>
              <w:contextualSpacing/>
              <w:rPr>
                <w:lang w:val="en-US"/>
              </w:rPr>
            </w:pPr>
            <w:r w:rsidRPr="00825774">
              <w:rPr>
                <w:lang w:val="en-US"/>
              </w:rPr>
              <w:t>GS70 F25</w:t>
            </w:r>
          </w:p>
        </w:tc>
        <w:tc>
          <w:tcPr>
            <w:tcW w:w="1416" w:type="dxa"/>
          </w:tcPr>
          <w:p w14:paraId="65D0D3A7" w14:textId="77777777" w:rsidR="00CF4ACE" w:rsidRPr="00825774" w:rsidRDefault="00CF4ACE" w:rsidP="00CF4ACE">
            <w:pPr>
              <w:contextualSpacing/>
              <w:rPr>
                <w:lang w:val="en-US"/>
              </w:rPr>
            </w:pPr>
            <w:r w:rsidRPr="00825774">
              <w:rPr>
                <w:lang w:val="en-US"/>
              </w:rPr>
              <w:t>Botromagno</w:t>
            </w:r>
          </w:p>
        </w:tc>
        <w:tc>
          <w:tcPr>
            <w:tcW w:w="1247" w:type="dxa"/>
          </w:tcPr>
          <w:p w14:paraId="29DA373C" w14:textId="77777777" w:rsidR="001515B3" w:rsidRDefault="00CF4ACE" w:rsidP="00CF4ACE">
            <w:pPr>
              <w:contextualSpacing/>
              <w:rPr>
                <w:lang w:val="en-US"/>
              </w:rPr>
            </w:pPr>
            <w:r>
              <w:rPr>
                <w:lang w:val="en-US"/>
              </w:rPr>
              <w:t>Iron Age</w:t>
            </w:r>
          </w:p>
          <w:p w14:paraId="1754ADB9" w14:textId="3385C719" w:rsidR="00CF4ACE" w:rsidRPr="00825774" w:rsidRDefault="00CF4ACE" w:rsidP="00CF4ACE">
            <w:pPr>
              <w:contextualSpacing/>
              <w:rPr>
                <w:lang w:val="en-US"/>
              </w:rPr>
            </w:pPr>
            <w:r>
              <w:rPr>
                <w:lang w:val="en-US"/>
              </w:rPr>
              <w:t>(6</w:t>
            </w:r>
            <w:r w:rsidRPr="0029125B">
              <w:rPr>
                <w:vertAlign w:val="superscript"/>
                <w:lang w:val="en-US"/>
              </w:rPr>
              <w:t>th</w:t>
            </w:r>
            <w:r>
              <w:rPr>
                <w:lang w:val="en-US"/>
              </w:rPr>
              <w:t xml:space="preserve"> – 3</w:t>
            </w:r>
            <w:r w:rsidRPr="0029125B">
              <w:rPr>
                <w:vertAlign w:val="superscript"/>
                <w:lang w:val="en-US"/>
              </w:rPr>
              <w:t>rd</w:t>
            </w:r>
            <w:r>
              <w:rPr>
                <w:lang w:val="en-US"/>
              </w:rPr>
              <w:t>)</w:t>
            </w:r>
          </w:p>
        </w:tc>
        <w:tc>
          <w:tcPr>
            <w:tcW w:w="1418" w:type="dxa"/>
          </w:tcPr>
          <w:p w14:paraId="269955F2" w14:textId="77777777" w:rsidR="00CF4ACE" w:rsidRPr="00825774" w:rsidRDefault="00CF4ACE" w:rsidP="00CF4ACE">
            <w:pPr>
              <w:contextualSpacing/>
              <w:rPr>
                <w:lang w:val="en-US"/>
              </w:rPr>
            </w:pPr>
            <w:r w:rsidRPr="00825774">
              <w:rPr>
                <w:lang w:val="en-US"/>
              </w:rPr>
              <w:t>Unknown</w:t>
            </w:r>
          </w:p>
        </w:tc>
        <w:tc>
          <w:tcPr>
            <w:tcW w:w="2835" w:type="dxa"/>
          </w:tcPr>
          <w:p w14:paraId="6382E02E" w14:textId="77777777" w:rsidR="00CF4ACE" w:rsidRPr="00825774" w:rsidRDefault="00CF4ACE" w:rsidP="00CF4ACE">
            <w:pPr>
              <w:contextualSpacing/>
              <w:rPr>
                <w:lang w:val="en-US"/>
              </w:rPr>
            </w:pPr>
            <w:r w:rsidRPr="00825774">
              <w:rPr>
                <w:lang w:val="en-US"/>
              </w:rPr>
              <w:t>Unknown</w:t>
            </w:r>
          </w:p>
        </w:tc>
      </w:tr>
      <w:tr w:rsidR="00CF4ACE" w:rsidRPr="008C4A6A" w14:paraId="18D109B0" w14:textId="77777777" w:rsidTr="001515B3">
        <w:tc>
          <w:tcPr>
            <w:tcW w:w="1443" w:type="dxa"/>
          </w:tcPr>
          <w:p w14:paraId="44894C05" w14:textId="77777777" w:rsidR="00CF4ACE" w:rsidRPr="00825774" w:rsidRDefault="00CF4ACE" w:rsidP="00CF4ACE">
            <w:pPr>
              <w:contextualSpacing/>
              <w:rPr>
                <w:lang w:val="en-US"/>
              </w:rPr>
            </w:pPr>
            <w:r w:rsidRPr="00825774">
              <w:rPr>
                <w:lang w:val="en-US"/>
              </w:rPr>
              <w:lastRenderedPageBreak/>
              <w:t>1968 DB 1 Contents of Sarcophagus</w:t>
            </w:r>
          </w:p>
        </w:tc>
        <w:tc>
          <w:tcPr>
            <w:tcW w:w="1416" w:type="dxa"/>
          </w:tcPr>
          <w:p w14:paraId="62362AA4" w14:textId="77777777" w:rsidR="00CF4ACE" w:rsidRPr="00825774" w:rsidRDefault="00CF4ACE" w:rsidP="00CF4ACE">
            <w:pPr>
              <w:contextualSpacing/>
              <w:rPr>
                <w:lang w:val="en-US"/>
              </w:rPr>
            </w:pPr>
            <w:r w:rsidRPr="00825774">
              <w:rPr>
                <w:lang w:val="en-US"/>
              </w:rPr>
              <w:t>Botromagno</w:t>
            </w:r>
          </w:p>
        </w:tc>
        <w:tc>
          <w:tcPr>
            <w:tcW w:w="1247" w:type="dxa"/>
          </w:tcPr>
          <w:p w14:paraId="530EB2B7" w14:textId="77777777" w:rsidR="00CF4ACE" w:rsidRPr="00825774" w:rsidRDefault="00CF4ACE" w:rsidP="00CF4ACE">
            <w:pPr>
              <w:contextualSpacing/>
              <w:rPr>
                <w:lang w:val="en-US"/>
              </w:rPr>
            </w:pPr>
            <w:r>
              <w:rPr>
                <w:lang w:val="en-US"/>
              </w:rPr>
              <w:t>Iron Age (6</w:t>
            </w:r>
            <w:r w:rsidRPr="0029125B">
              <w:rPr>
                <w:vertAlign w:val="superscript"/>
                <w:lang w:val="en-US"/>
              </w:rPr>
              <w:t>th</w:t>
            </w:r>
            <w:r>
              <w:rPr>
                <w:lang w:val="en-US"/>
              </w:rPr>
              <w:t xml:space="preserve"> – 3</w:t>
            </w:r>
            <w:r w:rsidRPr="0029125B">
              <w:rPr>
                <w:vertAlign w:val="superscript"/>
                <w:lang w:val="en-US"/>
              </w:rPr>
              <w:t>rd</w:t>
            </w:r>
            <w:r>
              <w:rPr>
                <w:lang w:val="en-US"/>
              </w:rPr>
              <w:t>)</w:t>
            </w:r>
          </w:p>
        </w:tc>
        <w:tc>
          <w:tcPr>
            <w:tcW w:w="1418" w:type="dxa"/>
          </w:tcPr>
          <w:p w14:paraId="75EAE7DA" w14:textId="77777777" w:rsidR="00CF4ACE" w:rsidRPr="00825774" w:rsidRDefault="00CF4ACE" w:rsidP="00CF4ACE">
            <w:pPr>
              <w:contextualSpacing/>
              <w:rPr>
                <w:lang w:val="en-US"/>
              </w:rPr>
            </w:pPr>
            <w:r w:rsidRPr="00825774">
              <w:rPr>
                <w:lang w:val="en-US"/>
              </w:rPr>
              <w:t>Stone cut sarcophagus</w:t>
            </w:r>
          </w:p>
        </w:tc>
        <w:tc>
          <w:tcPr>
            <w:tcW w:w="2835" w:type="dxa"/>
          </w:tcPr>
          <w:p w14:paraId="4FCD7A13" w14:textId="77777777" w:rsidR="00CF4ACE" w:rsidRPr="00825774" w:rsidRDefault="00CF4ACE" w:rsidP="00CF4ACE">
            <w:pPr>
              <w:contextualSpacing/>
              <w:rPr>
                <w:lang w:val="en-US"/>
              </w:rPr>
            </w:pPr>
            <w:r w:rsidRPr="00825774">
              <w:rPr>
                <w:lang w:val="en-US"/>
              </w:rPr>
              <w:t>Unknown</w:t>
            </w:r>
          </w:p>
        </w:tc>
      </w:tr>
      <w:tr w:rsidR="00CF4ACE" w:rsidRPr="008C4A6A" w14:paraId="249996B8" w14:textId="77777777" w:rsidTr="001515B3">
        <w:tc>
          <w:tcPr>
            <w:tcW w:w="1443" w:type="dxa"/>
          </w:tcPr>
          <w:p w14:paraId="266D7629" w14:textId="77777777" w:rsidR="00CF4ACE" w:rsidRPr="00825774" w:rsidRDefault="00CF4ACE" w:rsidP="00CF4ACE">
            <w:pPr>
              <w:contextualSpacing/>
              <w:rPr>
                <w:lang w:val="en-US"/>
              </w:rPr>
            </w:pPr>
            <w:r w:rsidRPr="00825774">
              <w:rPr>
                <w:lang w:val="en-US"/>
              </w:rPr>
              <w:t>G67/I S5 small tomb</w:t>
            </w:r>
          </w:p>
        </w:tc>
        <w:tc>
          <w:tcPr>
            <w:tcW w:w="1416" w:type="dxa"/>
          </w:tcPr>
          <w:p w14:paraId="505AD8D6" w14:textId="77777777" w:rsidR="00CF4ACE" w:rsidRPr="00825774" w:rsidRDefault="00CF4ACE" w:rsidP="00CF4ACE">
            <w:pPr>
              <w:contextualSpacing/>
              <w:rPr>
                <w:lang w:val="en-US"/>
              </w:rPr>
            </w:pPr>
            <w:r w:rsidRPr="00825774">
              <w:rPr>
                <w:lang w:val="en-US"/>
              </w:rPr>
              <w:t>Botromagno</w:t>
            </w:r>
          </w:p>
        </w:tc>
        <w:tc>
          <w:tcPr>
            <w:tcW w:w="1247" w:type="dxa"/>
          </w:tcPr>
          <w:p w14:paraId="483D70B2" w14:textId="77777777" w:rsidR="00CF4ACE" w:rsidRPr="00F134CB" w:rsidRDefault="00CF4ACE" w:rsidP="00CF4ACE">
            <w:pPr>
              <w:contextualSpacing/>
              <w:rPr>
                <w:lang w:val="en-US"/>
              </w:rPr>
            </w:pPr>
            <w:r>
              <w:rPr>
                <w:lang w:val="en-US"/>
              </w:rPr>
              <w:t>Late Iron Age (2</w:t>
            </w:r>
            <w:r w:rsidRPr="00E93AC9">
              <w:rPr>
                <w:vertAlign w:val="superscript"/>
                <w:lang w:val="en-US"/>
              </w:rPr>
              <w:t>nd</w:t>
            </w:r>
            <w:r>
              <w:rPr>
                <w:vertAlign w:val="superscript"/>
                <w:lang w:val="en-US"/>
              </w:rPr>
              <w:t xml:space="preserve"> </w:t>
            </w:r>
            <w:r>
              <w:rPr>
                <w:lang w:val="en-US"/>
              </w:rPr>
              <w:t>– 1</w:t>
            </w:r>
            <w:r w:rsidRPr="00E93AC9">
              <w:rPr>
                <w:vertAlign w:val="superscript"/>
                <w:lang w:val="en-US"/>
              </w:rPr>
              <w:t>st</w:t>
            </w:r>
            <w:r>
              <w:rPr>
                <w:lang w:val="en-US"/>
              </w:rPr>
              <w:t>)</w:t>
            </w:r>
          </w:p>
        </w:tc>
        <w:tc>
          <w:tcPr>
            <w:tcW w:w="1418" w:type="dxa"/>
          </w:tcPr>
          <w:p w14:paraId="7819262A" w14:textId="77777777" w:rsidR="00CF4ACE" w:rsidRDefault="00CF4ACE" w:rsidP="00CF4ACE">
            <w:pPr>
              <w:contextualSpacing/>
              <w:rPr>
                <w:lang w:val="en-US"/>
              </w:rPr>
            </w:pPr>
            <w:r w:rsidRPr="00825774">
              <w:rPr>
                <w:lang w:val="en-US"/>
              </w:rPr>
              <w:t>Rock-cut grave</w:t>
            </w:r>
          </w:p>
          <w:p w14:paraId="77DA20BA" w14:textId="77777777" w:rsidR="00CF4ACE" w:rsidRPr="00825774" w:rsidRDefault="00CF4ACE" w:rsidP="00CF4ACE">
            <w:pPr>
              <w:contextualSpacing/>
              <w:rPr>
                <w:lang w:val="en-US"/>
              </w:rPr>
            </w:pPr>
          </w:p>
        </w:tc>
        <w:tc>
          <w:tcPr>
            <w:tcW w:w="2835" w:type="dxa"/>
          </w:tcPr>
          <w:p w14:paraId="06266900" w14:textId="77777777" w:rsidR="00CF4ACE" w:rsidRPr="00825774" w:rsidRDefault="00CF4ACE" w:rsidP="00CF4ACE">
            <w:pPr>
              <w:contextualSpacing/>
              <w:rPr>
                <w:lang w:val="en-US"/>
              </w:rPr>
            </w:pPr>
            <w:r w:rsidRPr="00825774">
              <w:rPr>
                <w:lang w:val="en-US"/>
              </w:rPr>
              <w:t>- 5 terracotta figurines of standing women</w:t>
            </w:r>
          </w:p>
          <w:p w14:paraId="0A96C7FF" w14:textId="77777777" w:rsidR="00CF4ACE" w:rsidRPr="00825774" w:rsidRDefault="00CF4ACE" w:rsidP="00CF4ACE">
            <w:pPr>
              <w:contextualSpacing/>
              <w:rPr>
                <w:lang w:val="en-US"/>
              </w:rPr>
            </w:pPr>
            <w:r w:rsidRPr="00825774">
              <w:rPr>
                <w:lang w:val="en-US"/>
              </w:rPr>
              <w:t>- Terracotta figurine of seated woman</w:t>
            </w:r>
          </w:p>
          <w:p w14:paraId="55832E71" w14:textId="77777777" w:rsidR="00CF4ACE" w:rsidRPr="00956FFD" w:rsidRDefault="00CF4ACE" w:rsidP="00CF4ACE">
            <w:pPr>
              <w:contextualSpacing/>
              <w:rPr>
                <w:lang w:val="en-US"/>
              </w:rPr>
            </w:pPr>
            <w:r w:rsidRPr="00825774">
              <w:rPr>
                <w:lang w:val="en-US"/>
              </w:rPr>
              <w:t>- Fragments of terracotta figurines</w:t>
            </w:r>
            <w:r>
              <w:rPr>
                <w:lang w:val="en-US"/>
              </w:rPr>
              <w:t xml:space="preserve"> </w:t>
            </w:r>
          </w:p>
        </w:tc>
      </w:tr>
      <w:tr w:rsidR="00CF4ACE" w:rsidRPr="008C4A6A" w14:paraId="543E08ED" w14:textId="77777777" w:rsidTr="001515B3">
        <w:tc>
          <w:tcPr>
            <w:tcW w:w="1443" w:type="dxa"/>
          </w:tcPr>
          <w:p w14:paraId="3337D960" w14:textId="77777777" w:rsidR="00CF4ACE" w:rsidRPr="00825774" w:rsidRDefault="00CF4ACE" w:rsidP="00CF4ACE">
            <w:pPr>
              <w:contextualSpacing/>
              <w:rPr>
                <w:lang w:val="en-US"/>
              </w:rPr>
            </w:pPr>
            <w:r w:rsidRPr="00825774">
              <w:rPr>
                <w:lang w:val="en-US"/>
              </w:rPr>
              <w:t>1967 G67/I SG-Tomb 6(2) Infill 1</w:t>
            </w:r>
          </w:p>
        </w:tc>
        <w:tc>
          <w:tcPr>
            <w:tcW w:w="1416" w:type="dxa"/>
          </w:tcPr>
          <w:p w14:paraId="009B0B20" w14:textId="77777777" w:rsidR="00CF4ACE" w:rsidRPr="00825774" w:rsidRDefault="00CF4ACE" w:rsidP="00CF4ACE">
            <w:pPr>
              <w:contextualSpacing/>
              <w:rPr>
                <w:lang w:val="en-US"/>
              </w:rPr>
            </w:pPr>
            <w:r w:rsidRPr="00825774">
              <w:rPr>
                <w:lang w:val="en-US"/>
              </w:rPr>
              <w:t>Botromagno</w:t>
            </w:r>
          </w:p>
          <w:p w14:paraId="57067688" w14:textId="77777777" w:rsidR="00CF4ACE" w:rsidRPr="00825774" w:rsidRDefault="00CF4ACE" w:rsidP="00CF4ACE">
            <w:pPr>
              <w:contextualSpacing/>
              <w:rPr>
                <w:lang w:val="en-US"/>
              </w:rPr>
            </w:pPr>
          </w:p>
        </w:tc>
        <w:tc>
          <w:tcPr>
            <w:tcW w:w="1247" w:type="dxa"/>
          </w:tcPr>
          <w:p w14:paraId="2DFE2A2F" w14:textId="77777777" w:rsidR="00CF4ACE" w:rsidRPr="00F134CB" w:rsidRDefault="00CF4ACE" w:rsidP="00CF4ACE">
            <w:pPr>
              <w:contextualSpacing/>
              <w:rPr>
                <w:lang w:val="en-US"/>
              </w:rPr>
            </w:pPr>
            <w:r>
              <w:rPr>
                <w:lang w:val="en-US"/>
              </w:rPr>
              <w:t>Late Iron Age (</w:t>
            </w:r>
            <w:r w:rsidRPr="00825774">
              <w:rPr>
                <w:lang w:val="en-US"/>
              </w:rPr>
              <w:t>Later 4</w:t>
            </w:r>
            <w:r w:rsidRPr="00825774">
              <w:rPr>
                <w:vertAlign w:val="superscript"/>
                <w:lang w:val="en-US"/>
              </w:rPr>
              <w:t>th</w:t>
            </w:r>
            <w:r w:rsidRPr="00825774">
              <w:rPr>
                <w:lang w:val="en-US"/>
              </w:rPr>
              <w:t>-early 3</w:t>
            </w:r>
            <w:r w:rsidRPr="00825774">
              <w:rPr>
                <w:vertAlign w:val="superscript"/>
                <w:lang w:val="en-US"/>
              </w:rPr>
              <w:t>rd</w:t>
            </w:r>
            <w:r>
              <w:rPr>
                <w:lang w:val="en-US"/>
              </w:rPr>
              <w:t>)</w:t>
            </w:r>
          </w:p>
        </w:tc>
        <w:tc>
          <w:tcPr>
            <w:tcW w:w="1418" w:type="dxa"/>
          </w:tcPr>
          <w:p w14:paraId="0AA505CC" w14:textId="77777777" w:rsidR="00CF4ACE" w:rsidRPr="00825774" w:rsidRDefault="00CF4ACE" w:rsidP="00CF4ACE">
            <w:pPr>
              <w:contextualSpacing/>
              <w:rPr>
                <w:lang w:val="en-US"/>
              </w:rPr>
            </w:pPr>
            <w:r w:rsidRPr="00825774">
              <w:rPr>
                <w:lang w:val="en-US"/>
              </w:rPr>
              <w:t>Rock-cut grotticella</w:t>
            </w:r>
          </w:p>
        </w:tc>
        <w:tc>
          <w:tcPr>
            <w:tcW w:w="2835" w:type="dxa"/>
          </w:tcPr>
          <w:p w14:paraId="77DC29D7" w14:textId="77777777" w:rsidR="00CF4ACE" w:rsidRPr="00825774" w:rsidRDefault="00CF4ACE" w:rsidP="00CF4ACE">
            <w:pPr>
              <w:contextualSpacing/>
              <w:rPr>
                <w:lang w:val="en-US"/>
              </w:rPr>
            </w:pPr>
          </w:p>
        </w:tc>
      </w:tr>
      <w:tr w:rsidR="00CF4ACE" w:rsidRPr="008C4A6A" w14:paraId="14B1CE43" w14:textId="77777777" w:rsidTr="001515B3">
        <w:tc>
          <w:tcPr>
            <w:tcW w:w="1443" w:type="dxa"/>
          </w:tcPr>
          <w:p w14:paraId="6AE9549F" w14:textId="77777777" w:rsidR="00CF4ACE" w:rsidRPr="00825774" w:rsidRDefault="00CF4ACE" w:rsidP="00CF4ACE">
            <w:pPr>
              <w:contextualSpacing/>
              <w:rPr>
                <w:lang w:val="en-US"/>
              </w:rPr>
            </w:pPr>
            <w:r w:rsidRPr="00825774">
              <w:rPr>
                <w:lang w:val="en-US"/>
              </w:rPr>
              <w:t>No Label #2</w:t>
            </w:r>
          </w:p>
        </w:tc>
        <w:tc>
          <w:tcPr>
            <w:tcW w:w="1416" w:type="dxa"/>
          </w:tcPr>
          <w:p w14:paraId="14604084" w14:textId="77777777" w:rsidR="00CF4ACE" w:rsidRPr="00825774" w:rsidRDefault="00CF4ACE" w:rsidP="00CF4ACE">
            <w:pPr>
              <w:contextualSpacing/>
              <w:rPr>
                <w:lang w:val="en-US"/>
              </w:rPr>
            </w:pPr>
            <w:r w:rsidRPr="00825774">
              <w:rPr>
                <w:lang w:val="en-US"/>
              </w:rPr>
              <w:t>Parco San Stefano</w:t>
            </w:r>
          </w:p>
        </w:tc>
        <w:tc>
          <w:tcPr>
            <w:tcW w:w="1247" w:type="dxa"/>
          </w:tcPr>
          <w:p w14:paraId="4B97B908" w14:textId="77777777" w:rsidR="00CF4ACE" w:rsidRPr="00825774" w:rsidRDefault="00CF4ACE" w:rsidP="00CF4ACE">
            <w:pPr>
              <w:contextualSpacing/>
              <w:rPr>
                <w:lang w:val="en-US"/>
              </w:rPr>
            </w:pPr>
            <w:r>
              <w:rPr>
                <w:lang w:val="en-US"/>
              </w:rPr>
              <w:t>Mid-Iron Age (7</w:t>
            </w:r>
            <w:r w:rsidRPr="0029125B">
              <w:rPr>
                <w:vertAlign w:val="superscript"/>
                <w:lang w:val="en-US"/>
              </w:rPr>
              <w:t>th</w:t>
            </w:r>
            <w:r>
              <w:rPr>
                <w:lang w:val="en-US"/>
              </w:rPr>
              <w:t xml:space="preserve"> – 6</w:t>
            </w:r>
            <w:r w:rsidRPr="0029125B">
              <w:rPr>
                <w:vertAlign w:val="superscript"/>
                <w:lang w:val="en-US"/>
              </w:rPr>
              <w:t>th</w:t>
            </w:r>
            <w:r>
              <w:rPr>
                <w:lang w:val="en-US"/>
              </w:rPr>
              <w:t>)</w:t>
            </w:r>
          </w:p>
        </w:tc>
        <w:tc>
          <w:tcPr>
            <w:tcW w:w="1418" w:type="dxa"/>
          </w:tcPr>
          <w:p w14:paraId="16A240C6" w14:textId="77777777" w:rsidR="00CF4ACE" w:rsidRPr="00825774" w:rsidRDefault="00CF4ACE" w:rsidP="00CF4ACE">
            <w:pPr>
              <w:contextualSpacing/>
              <w:rPr>
                <w:lang w:val="en-US"/>
              </w:rPr>
            </w:pPr>
            <w:r>
              <w:rPr>
                <w:lang w:val="en-US"/>
              </w:rPr>
              <w:t>U</w:t>
            </w:r>
            <w:r w:rsidRPr="00825774">
              <w:rPr>
                <w:lang w:val="en-US"/>
              </w:rPr>
              <w:t>nknown</w:t>
            </w:r>
          </w:p>
        </w:tc>
        <w:tc>
          <w:tcPr>
            <w:tcW w:w="2835" w:type="dxa"/>
          </w:tcPr>
          <w:p w14:paraId="699BAFBD" w14:textId="77777777" w:rsidR="00CF4ACE" w:rsidRPr="00825774" w:rsidRDefault="00CF4ACE" w:rsidP="00CF4ACE">
            <w:pPr>
              <w:contextualSpacing/>
              <w:rPr>
                <w:lang w:val="en-US"/>
              </w:rPr>
            </w:pPr>
            <w:r>
              <w:rPr>
                <w:lang w:val="en-US"/>
              </w:rPr>
              <w:t>U</w:t>
            </w:r>
            <w:r w:rsidRPr="00825774">
              <w:rPr>
                <w:lang w:val="en-US"/>
              </w:rPr>
              <w:t>nknown</w:t>
            </w:r>
          </w:p>
        </w:tc>
      </w:tr>
      <w:tr w:rsidR="00CF4ACE" w:rsidRPr="008C4A6A" w14:paraId="513E9A2C" w14:textId="77777777" w:rsidTr="001515B3">
        <w:tc>
          <w:tcPr>
            <w:tcW w:w="1443" w:type="dxa"/>
          </w:tcPr>
          <w:p w14:paraId="0442A9B3" w14:textId="77777777" w:rsidR="00CF4ACE" w:rsidRPr="00825774" w:rsidRDefault="00CF4ACE" w:rsidP="00CF4ACE">
            <w:pPr>
              <w:contextualSpacing/>
              <w:rPr>
                <w:lang w:val="en-US"/>
              </w:rPr>
            </w:pPr>
            <w:r w:rsidRPr="00825774">
              <w:rPr>
                <w:lang w:val="en-US"/>
              </w:rPr>
              <w:t>1972 Area NA Burial 1 of A-1</w:t>
            </w:r>
          </w:p>
        </w:tc>
        <w:tc>
          <w:tcPr>
            <w:tcW w:w="1416" w:type="dxa"/>
          </w:tcPr>
          <w:p w14:paraId="0C74E4D7" w14:textId="77777777" w:rsidR="00CF4ACE" w:rsidRPr="00825774" w:rsidRDefault="00CF4ACE" w:rsidP="00CF4ACE">
            <w:pPr>
              <w:contextualSpacing/>
              <w:rPr>
                <w:lang w:val="en-US"/>
              </w:rPr>
            </w:pPr>
            <w:r w:rsidRPr="00825774">
              <w:rPr>
                <w:lang w:val="en-US"/>
              </w:rPr>
              <w:t>Botromagno</w:t>
            </w:r>
          </w:p>
        </w:tc>
        <w:tc>
          <w:tcPr>
            <w:tcW w:w="1247" w:type="dxa"/>
          </w:tcPr>
          <w:p w14:paraId="7B7BB10B" w14:textId="77777777" w:rsidR="00CF4ACE" w:rsidRPr="00825774" w:rsidRDefault="00CF4ACE" w:rsidP="00CF4ACE">
            <w:pPr>
              <w:contextualSpacing/>
              <w:rPr>
                <w:lang w:val="en-US"/>
              </w:rPr>
            </w:pPr>
            <w:r>
              <w:rPr>
                <w:lang w:val="en-US"/>
              </w:rPr>
              <w:t>Iron Age (6</w:t>
            </w:r>
            <w:r w:rsidRPr="0029125B">
              <w:rPr>
                <w:vertAlign w:val="superscript"/>
                <w:lang w:val="en-US"/>
              </w:rPr>
              <w:t>th</w:t>
            </w:r>
            <w:r>
              <w:rPr>
                <w:lang w:val="en-US"/>
              </w:rPr>
              <w:t xml:space="preserve"> – 3</w:t>
            </w:r>
            <w:r w:rsidRPr="0029125B">
              <w:rPr>
                <w:vertAlign w:val="superscript"/>
                <w:lang w:val="en-US"/>
              </w:rPr>
              <w:t>rd</w:t>
            </w:r>
            <w:r>
              <w:rPr>
                <w:lang w:val="en-US"/>
              </w:rPr>
              <w:t>)</w:t>
            </w:r>
          </w:p>
        </w:tc>
        <w:tc>
          <w:tcPr>
            <w:tcW w:w="1418" w:type="dxa"/>
          </w:tcPr>
          <w:p w14:paraId="5343E1E4" w14:textId="77777777" w:rsidR="00CF4ACE" w:rsidRPr="00825774" w:rsidRDefault="00CF4ACE" w:rsidP="00CF4ACE">
            <w:pPr>
              <w:contextualSpacing/>
              <w:rPr>
                <w:lang w:val="en-US"/>
              </w:rPr>
            </w:pPr>
            <w:r w:rsidRPr="00825774">
              <w:rPr>
                <w:lang w:val="en-US"/>
              </w:rPr>
              <w:t>Unknown</w:t>
            </w:r>
          </w:p>
        </w:tc>
        <w:tc>
          <w:tcPr>
            <w:tcW w:w="2835" w:type="dxa"/>
          </w:tcPr>
          <w:p w14:paraId="6E3DBB12" w14:textId="77777777" w:rsidR="00CF4ACE" w:rsidRPr="00825774" w:rsidRDefault="00CF4ACE" w:rsidP="00CF4ACE">
            <w:pPr>
              <w:contextualSpacing/>
              <w:rPr>
                <w:lang w:val="en-US"/>
              </w:rPr>
            </w:pPr>
            <w:r w:rsidRPr="00825774">
              <w:rPr>
                <w:lang w:val="en-US"/>
              </w:rPr>
              <w:t>Unknown</w:t>
            </w:r>
          </w:p>
        </w:tc>
      </w:tr>
      <w:tr w:rsidR="00CF4ACE" w:rsidRPr="008C4A6A" w14:paraId="7DFA3AEF" w14:textId="77777777" w:rsidTr="001515B3">
        <w:tc>
          <w:tcPr>
            <w:tcW w:w="1443" w:type="dxa"/>
          </w:tcPr>
          <w:p w14:paraId="69AD74E8" w14:textId="77777777" w:rsidR="00CF4ACE" w:rsidRPr="00825774" w:rsidRDefault="00CF4ACE" w:rsidP="00CF4ACE">
            <w:pPr>
              <w:contextualSpacing/>
              <w:rPr>
                <w:lang w:val="en-US"/>
              </w:rPr>
            </w:pPr>
            <w:r w:rsidRPr="00825774">
              <w:rPr>
                <w:lang w:val="en-US"/>
              </w:rPr>
              <w:t>G67/I P15 S19</w:t>
            </w:r>
          </w:p>
        </w:tc>
        <w:tc>
          <w:tcPr>
            <w:tcW w:w="1416" w:type="dxa"/>
          </w:tcPr>
          <w:p w14:paraId="3E6AC9D7" w14:textId="77777777" w:rsidR="00CF4ACE" w:rsidRPr="00825774" w:rsidRDefault="00CF4ACE" w:rsidP="00CF4ACE">
            <w:pPr>
              <w:contextualSpacing/>
              <w:rPr>
                <w:lang w:val="en-US"/>
              </w:rPr>
            </w:pPr>
            <w:r w:rsidRPr="00825774">
              <w:rPr>
                <w:lang w:val="en-US"/>
              </w:rPr>
              <w:t>Botromagno</w:t>
            </w:r>
          </w:p>
        </w:tc>
        <w:tc>
          <w:tcPr>
            <w:tcW w:w="1247" w:type="dxa"/>
          </w:tcPr>
          <w:p w14:paraId="21CE039D" w14:textId="77777777" w:rsidR="00CF4ACE" w:rsidRPr="00825774" w:rsidRDefault="00CF4ACE" w:rsidP="00CF4ACE">
            <w:pPr>
              <w:contextualSpacing/>
              <w:rPr>
                <w:lang w:val="en-US"/>
              </w:rPr>
            </w:pPr>
            <w:r>
              <w:rPr>
                <w:lang w:val="en-US"/>
              </w:rPr>
              <w:t>Iron Age (6</w:t>
            </w:r>
            <w:r w:rsidRPr="0029125B">
              <w:rPr>
                <w:vertAlign w:val="superscript"/>
                <w:lang w:val="en-US"/>
              </w:rPr>
              <w:t>th</w:t>
            </w:r>
            <w:r>
              <w:rPr>
                <w:lang w:val="en-US"/>
              </w:rPr>
              <w:t xml:space="preserve"> – 3</w:t>
            </w:r>
            <w:r w:rsidRPr="0029125B">
              <w:rPr>
                <w:vertAlign w:val="superscript"/>
                <w:lang w:val="en-US"/>
              </w:rPr>
              <w:t>rd</w:t>
            </w:r>
            <w:r>
              <w:rPr>
                <w:lang w:val="en-US"/>
              </w:rPr>
              <w:t>)</w:t>
            </w:r>
          </w:p>
        </w:tc>
        <w:tc>
          <w:tcPr>
            <w:tcW w:w="1418" w:type="dxa"/>
          </w:tcPr>
          <w:p w14:paraId="776D74F3" w14:textId="77777777" w:rsidR="00CF4ACE" w:rsidRPr="00825774" w:rsidRDefault="00CF4ACE" w:rsidP="00CF4ACE">
            <w:pPr>
              <w:contextualSpacing/>
              <w:rPr>
                <w:lang w:val="en-US"/>
              </w:rPr>
            </w:pPr>
            <w:r w:rsidRPr="00825774">
              <w:rPr>
                <w:lang w:val="en-US"/>
              </w:rPr>
              <w:t>Stone slab cist grave</w:t>
            </w:r>
          </w:p>
          <w:p w14:paraId="3D2C8317" w14:textId="77777777" w:rsidR="00CF4ACE" w:rsidRPr="00825774" w:rsidRDefault="00CF4ACE" w:rsidP="00CF4ACE">
            <w:pPr>
              <w:contextualSpacing/>
              <w:rPr>
                <w:lang w:val="en-US"/>
              </w:rPr>
            </w:pPr>
          </w:p>
        </w:tc>
        <w:tc>
          <w:tcPr>
            <w:tcW w:w="2835" w:type="dxa"/>
          </w:tcPr>
          <w:p w14:paraId="6FADEA16" w14:textId="77777777" w:rsidR="00CF4ACE" w:rsidRPr="00825774" w:rsidRDefault="00CF4ACE" w:rsidP="00CF4ACE">
            <w:pPr>
              <w:contextualSpacing/>
              <w:rPr>
                <w:lang w:val="en-US"/>
              </w:rPr>
            </w:pPr>
            <w:r w:rsidRPr="00825774">
              <w:rPr>
                <w:lang w:val="en-US"/>
              </w:rPr>
              <w:t>No associated pottery</w:t>
            </w:r>
          </w:p>
        </w:tc>
      </w:tr>
      <w:tr w:rsidR="00CF4ACE" w:rsidRPr="008C4A6A" w14:paraId="585FC09D" w14:textId="77777777" w:rsidTr="001515B3">
        <w:tc>
          <w:tcPr>
            <w:tcW w:w="1443" w:type="dxa"/>
          </w:tcPr>
          <w:p w14:paraId="03B3E73A" w14:textId="77777777" w:rsidR="00CF4ACE" w:rsidRPr="00825774" w:rsidRDefault="00CF4ACE" w:rsidP="00CF4ACE">
            <w:pPr>
              <w:contextualSpacing/>
              <w:rPr>
                <w:lang w:val="en-US"/>
              </w:rPr>
            </w:pPr>
            <w:r w:rsidRPr="00825774">
              <w:rPr>
                <w:lang w:val="en-US"/>
              </w:rPr>
              <w:t>G67 Site C RZ3 Pit 3 tomb infill</w:t>
            </w:r>
          </w:p>
        </w:tc>
        <w:tc>
          <w:tcPr>
            <w:tcW w:w="1416" w:type="dxa"/>
          </w:tcPr>
          <w:p w14:paraId="27BA4E0D" w14:textId="77777777" w:rsidR="00CF4ACE" w:rsidRPr="00825774" w:rsidRDefault="00CF4ACE" w:rsidP="00CF4ACE">
            <w:pPr>
              <w:contextualSpacing/>
              <w:rPr>
                <w:lang w:val="en-US"/>
              </w:rPr>
            </w:pPr>
            <w:r w:rsidRPr="00825774">
              <w:rPr>
                <w:lang w:val="en-US"/>
              </w:rPr>
              <w:t>Botromagno</w:t>
            </w:r>
          </w:p>
        </w:tc>
        <w:tc>
          <w:tcPr>
            <w:tcW w:w="1247" w:type="dxa"/>
          </w:tcPr>
          <w:p w14:paraId="3151021E" w14:textId="77777777" w:rsidR="00CF4ACE" w:rsidRPr="00825774" w:rsidRDefault="00CF4ACE" w:rsidP="00CF4ACE">
            <w:pPr>
              <w:contextualSpacing/>
              <w:rPr>
                <w:lang w:val="en-US"/>
              </w:rPr>
            </w:pPr>
            <w:r>
              <w:rPr>
                <w:lang w:val="en-US"/>
              </w:rPr>
              <w:t>Iron Age (6</w:t>
            </w:r>
            <w:r w:rsidRPr="0029125B">
              <w:rPr>
                <w:vertAlign w:val="superscript"/>
                <w:lang w:val="en-US"/>
              </w:rPr>
              <w:t>th</w:t>
            </w:r>
            <w:r>
              <w:rPr>
                <w:lang w:val="en-US"/>
              </w:rPr>
              <w:t xml:space="preserve"> – 3</w:t>
            </w:r>
            <w:r w:rsidRPr="0029125B">
              <w:rPr>
                <w:vertAlign w:val="superscript"/>
                <w:lang w:val="en-US"/>
              </w:rPr>
              <w:t>rd</w:t>
            </w:r>
            <w:r>
              <w:rPr>
                <w:lang w:val="en-US"/>
              </w:rPr>
              <w:t>)</w:t>
            </w:r>
          </w:p>
        </w:tc>
        <w:tc>
          <w:tcPr>
            <w:tcW w:w="1418" w:type="dxa"/>
          </w:tcPr>
          <w:p w14:paraId="0BCB17FC" w14:textId="77777777" w:rsidR="00CF4ACE" w:rsidRPr="00825774" w:rsidRDefault="00CF4ACE" w:rsidP="00CF4ACE">
            <w:pPr>
              <w:contextualSpacing/>
              <w:rPr>
                <w:lang w:val="en-US"/>
              </w:rPr>
            </w:pPr>
            <w:r w:rsidRPr="00825774">
              <w:rPr>
                <w:lang w:val="en-US"/>
              </w:rPr>
              <w:t>Pit</w:t>
            </w:r>
          </w:p>
        </w:tc>
        <w:tc>
          <w:tcPr>
            <w:tcW w:w="2835" w:type="dxa"/>
          </w:tcPr>
          <w:p w14:paraId="0963E548" w14:textId="77777777" w:rsidR="00CF4ACE" w:rsidRPr="00825774" w:rsidRDefault="00CF4ACE" w:rsidP="00CF4ACE">
            <w:pPr>
              <w:contextualSpacing/>
              <w:rPr>
                <w:lang w:val="en-US"/>
              </w:rPr>
            </w:pPr>
            <w:r w:rsidRPr="00825774">
              <w:rPr>
                <w:lang w:val="en-US"/>
              </w:rPr>
              <w:t>Unknown</w:t>
            </w:r>
          </w:p>
        </w:tc>
      </w:tr>
    </w:tbl>
    <w:p w14:paraId="4131F7A5" w14:textId="000F2B0B" w:rsidR="00B05E90" w:rsidRDefault="00B05E90" w:rsidP="00986896">
      <w:pPr>
        <w:rPr>
          <w:lang w:val="en-US"/>
        </w:rPr>
      </w:pPr>
    </w:p>
    <w:p w14:paraId="60F2F89F" w14:textId="77777777" w:rsidR="009E777B" w:rsidRPr="00825774" w:rsidRDefault="009E777B" w:rsidP="00986896">
      <w:pPr>
        <w:rPr>
          <w:lang w:val="en-US"/>
        </w:rPr>
      </w:pPr>
    </w:p>
    <w:p w14:paraId="3F61051F" w14:textId="6757110B" w:rsidR="00511E3B" w:rsidRDefault="00CF5BB7" w:rsidP="00D5154A">
      <w:pPr>
        <w:spacing w:line="480" w:lineRule="auto"/>
        <w:ind w:right="-421" w:firstLine="720"/>
        <w:rPr>
          <w:lang w:val="en-US"/>
        </w:rPr>
      </w:pPr>
      <w:r w:rsidRPr="00825774">
        <w:rPr>
          <w:lang w:val="en-US"/>
        </w:rPr>
        <w:t xml:space="preserve">Along with the subadult samples, nine archaeological adult teeth (permanent first molars and a first incisor) from the same sites were also prepared for stable isotope analysis (Table 4.3). The adults included in this study were </w:t>
      </w:r>
      <w:r w:rsidR="001D7D33">
        <w:rPr>
          <w:lang w:val="en-US"/>
        </w:rPr>
        <w:t xml:space="preserve">~ </w:t>
      </w:r>
      <w:r w:rsidRPr="00825774">
        <w:rPr>
          <w:lang w:val="en-US"/>
        </w:rPr>
        <w:t xml:space="preserve">20 years old at the time of death and represent individuals who survived into adulthood. Adult age estimation was based on methods outlined by Buikstra and Ubelaker (1994), using morphology of the pubic symphysis </w:t>
      </w:r>
      <w:r w:rsidR="001D7D33">
        <w:rPr>
          <w:lang w:val="en-US"/>
        </w:rPr>
        <w:t xml:space="preserve">(after Brooks &amp; Suchey 1990) </w:t>
      </w:r>
      <w:r w:rsidR="009C522C">
        <w:rPr>
          <w:lang w:val="en-US"/>
        </w:rPr>
        <w:t xml:space="preserve">and </w:t>
      </w:r>
      <w:r w:rsidRPr="00825774">
        <w:rPr>
          <w:lang w:val="en-US"/>
        </w:rPr>
        <w:t>when possible</w:t>
      </w:r>
      <w:r w:rsidR="009C522C">
        <w:rPr>
          <w:lang w:val="en-US"/>
        </w:rPr>
        <w:t>, the</w:t>
      </w:r>
      <w:r w:rsidRPr="00825774">
        <w:rPr>
          <w:lang w:val="en-US"/>
        </w:rPr>
        <w:t xml:space="preserve"> auricular surface</w:t>
      </w:r>
      <w:r w:rsidR="00092E31">
        <w:rPr>
          <w:lang w:val="en-US"/>
        </w:rPr>
        <w:t xml:space="preserve">. For those individuals who did not have a well-preserved innominate bone, dentition and epiphyseal union and fusion of primary ossification centers was used (Ubelaker 1989). </w:t>
      </w:r>
      <w:r w:rsidRPr="00825774">
        <w:rPr>
          <w:lang w:val="en-US"/>
        </w:rPr>
        <w:t xml:space="preserve">Sex was </w:t>
      </w:r>
      <w:r w:rsidR="009C59F7">
        <w:rPr>
          <w:lang w:val="en-US"/>
        </w:rPr>
        <w:t>estimated</w:t>
      </w:r>
      <w:r w:rsidR="009C59F7" w:rsidRPr="00825774">
        <w:rPr>
          <w:lang w:val="en-US"/>
        </w:rPr>
        <w:t xml:space="preserve"> </w:t>
      </w:r>
      <w:r w:rsidRPr="00825774">
        <w:rPr>
          <w:lang w:val="en-US"/>
        </w:rPr>
        <w:t xml:space="preserve">using </w:t>
      </w:r>
      <w:r w:rsidR="009C59F7">
        <w:rPr>
          <w:lang w:val="en-US"/>
        </w:rPr>
        <w:t xml:space="preserve">morphological </w:t>
      </w:r>
      <w:r w:rsidRPr="00825774">
        <w:rPr>
          <w:lang w:val="en-US"/>
        </w:rPr>
        <w:t>features of the cranium</w:t>
      </w:r>
      <w:r w:rsidR="00092E31">
        <w:rPr>
          <w:lang w:val="en-US"/>
        </w:rPr>
        <w:t xml:space="preserve"> </w:t>
      </w:r>
      <w:r w:rsidRPr="00825774">
        <w:rPr>
          <w:lang w:val="en-US"/>
        </w:rPr>
        <w:t xml:space="preserve">and </w:t>
      </w:r>
      <w:r w:rsidR="009C59F7">
        <w:rPr>
          <w:lang w:val="en-US"/>
        </w:rPr>
        <w:t>innominate</w:t>
      </w:r>
      <w:r w:rsidR="00092E31">
        <w:rPr>
          <w:lang w:val="en-US"/>
        </w:rPr>
        <w:t xml:space="preserve">, such as the greater sciatic notch and </w:t>
      </w:r>
      <w:r w:rsidR="00092E31">
        <w:rPr>
          <w:lang w:val="en-US"/>
        </w:rPr>
        <w:lastRenderedPageBreak/>
        <w:t>pubic symphysis</w:t>
      </w:r>
      <w:r w:rsidR="009C59F7" w:rsidRPr="00825774">
        <w:rPr>
          <w:lang w:val="en-US"/>
        </w:rPr>
        <w:t xml:space="preserve"> </w:t>
      </w:r>
      <w:r w:rsidRPr="00825774">
        <w:rPr>
          <w:lang w:val="en-US"/>
        </w:rPr>
        <w:t>(</w:t>
      </w:r>
      <w:r w:rsidR="009C59F7">
        <w:rPr>
          <w:lang w:val="en-US"/>
        </w:rPr>
        <w:t xml:space="preserve">following </w:t>
      </w:r>
      <w:r w:rsidRPr="00825774">
        <w:rPr>
          <w:lang w:val="en-US"/>
        </w:rPr>
        <w:t xml:space="preserve">Buikstra </w:t>
      </w:r>
      <w:r w:rsidR="00013B07">
        <w:rPr>
          <w:lang w:val="en-US"/>
        </w:rPr>
        <w:t>&amp;</w:t>
      </w:r>
      <w:r w:rsidRPr="00825774">
        <w:rPr>
          <w:lang w:val="en-US"/>
        </w:rPr>
        <w:t xml:space="preserve"> Ubelaker 1994). </w:t>
      </w:r>
      <w:r w:rsidR="003C3B26" w:rsidRPr="00825774">
        <w:rPr>
          <w:lang w:val="en-US"/>
        </w:rPr>
        <w:t>Th</w:t>
      </w:r>
      <w:r w:rsidR="009C59F7">
        <w:rPr>
          <w:lang w:val="en-US"/>
        </w:rPr>
        <w:t>e inclusion of isotope data obtained from the dentine of permanent teeth</w:t>
      </w:r>
      <w:r w:rsidRPr="00825774">
        <w:rPr>
          <w:lang w:val="en-US"/>
        </w:rPr>
        <w:t xml:space="preserve"> allows for the comparison of weaning profiles from children who did not survive childhood to those who did survive. Permanent first molars begin to form in-utero at 28-32 weeks after fertilization and are complete by 9-10 years of age </w:t>
      </w:r>
      <w:r w:rsidRPr="00825774">
        <w:rPr>
          <w:color w:val="000000" w:themeColor="text1"/>
          <w:lang w:val="en-US"/>
        </w:rPr>
        <w:t>(Hillson</w:t>
      </w:r>
      <w:r w:rsidR="00503119" w:rsidRPr="00825774">
        <w:rPr>
          <w:color w:val="000000" w:themeColor="text1"/>
          <w:lang w:val="en-US"/>
        </w:rPr>
        <w:t xml:space="preserve"> </w:t>
      </w:r>
      <w:r w:rsidRPr="00825774">
        <w:rPr>
          <w:color w:val="000000" w:themeColor="text1"/>
          <w:lang w:val="en-US"/>
        </w:rPr>
        <w:t xml:space="preserve">1986). </w:t>
      </w:r>
      <w:r w:rsidRPr="00825774">
        <w:rPr>
          <w:lang w:val="en-US"/>
        </w:rPr>
        <w:t>Similarly, permanent first incisors begin to form at 0.25-0.3 years of age and are complete by 9 -10 years of age (</w:t>
      </w:r>
      <w:r w:rsidRPr="00825774">
        <w:rPr>
          <w:color w:val="000000" w:themeColor="text1"/>
          <w:lang w:val="en-US"/>
        </w:rPr>
        <w:t xml:space="preserve">Hillson 1986). </w:t>
      </w:r>
      <w:r w:rsidRPr="00825774">
        <w:rPr>
          <w:lang w:val="en-US"/>
        </w:rPr>
        <w:t xml:space="preserve">Thus, both these tooth types </w:t>
      </w:r>
      <w:r w:rsidR="000F4041">
        <w:rPr>
          <w:lang w:val="en-US"/>
        </w:rPr>
        <w:t>provide dietary</w:t>
      </w:r>
      <w:r w:rsidRPr="00825774">
        <w:rPr>
          <w:lang w:val="en-US"/>
        </w:rPr>
        <w:t xml:space="preserve"> information from earl</w:t>
      </w:r>
      <w:r w:rsidR="000F4041">
        <w:rPr>
          <w:lang w:val="en-US"/>
        </w:rPr>
        <w:t>ier</w:t>
      </w:r>
      <w:r w:rsidRPr="00825774">
        <w:rPr>
          <w:lang w:val="en-US"/>
        </w:rPr>
        <w:t xml:space="preserve"> life stage</w:t>
      </w:r>
      <w:r w:rsidR="000F4041">
        <w:rPr>
          <w:lang w:val="en-US"/>
        </w:rPr>
        <w:t>s</w:t>
      </w:r>
      <w:r w:rsidRPr="00825774">
        <w:rPr>
          <w:lang w:val="en-US"/>
        </w:rPr>
        <w:t>.</w:t>
      </w:r>
    </w:p>
    <w:p w14:paraId="0F0A5425" w14:textId="11787D08" w:rsidR="00CF5BB7" w:rsidRDefault="00CF5BB7" w:rsidP="00E14AE9">
      <w:pPr>
        <w:spacing w:line="480" w:lineRule="auto"/>
        <w:jc w:val="center"/>
        <w:rPr>
          <w:lang w:val="en-US"/>
        </w:rPr>
      </w:pPr>
      <w:r w:rsidRPr="00825774">
        <w:rPr>
          <w:b/>
          <w:lang w:val="en-US"/>
        </w:rPr>
        <w:t>Table 4.3</w:t>
      </w:r>
      <w:r w:rsidR="00E14AE9">
        <w:rPr>
          <w:b/>
          <w:lang w:val="en-US"/>
        </w:rPr>
        <w:t>:</w:t>
      </w:r>
      <w:r w:rsidRPr="00825774">
        <w:rPr>
          <w:lang w:val="en-US"/>
        </w:rPr>
        <w:t xml:space="preserve"> Adult </w:t>
      </w:r>
      <w:r w:rsidR="001A61E9">
        <w:rPr>
          <w:lang w:val="en-US"/>
        </w:rPr>
        <w:t>t</w:t>
      </w:r>
      <w:r w:rsidR="00E93840">
        <w:rPr>
          <w:lang w:val="en-US"/>
        </w:rPr>
        <w:t>oo</w:t>
      </w:r>
      <w:r w:rsidRPr="00825774">
        <w:rPr>
          <w:lang w:val="en-US"/>
        </w:rPr>
        <w:t xml:space="preserve">th </w:t>
      </w:r>
      <w:r w:rsidR="001A61E9">
        <w:rPr>
          <w:lang w:val="en-US"/>
        </w:rPr>
        <w:t>s</w:t>
      </w:r>
      <w:r w:rsidRPr="00825774">
        <w:rPr>
          <w:lang w:val="en-US"/>
        </w:rPr>
        <w:t>amples</w:t>
      </w:r>
      <w:r w:rsidR="001A61E9">
        <w:rPr>
          <w:lang w:val="en-US"/>
        </w:rPr>
        <w:t>.</w:t>
      </w:r>
    </w:p>
    <w:p w14:paraId="4ACAAEEE" w14:textId="77777777" w:rsidR="001C6BF3" w:rsidRPr="00825774" w:rsidRDefault="001C6BF3" w:rsidP="0079060E">
      <w:pPr>
        <w:jc w:val="center"/>
        <w:rPr>
          <w:lang w:val="en-US"/>
        </w:rPr>
      </w:pPr>
    </w:p>
    <w:tbl>
      <w:tblPr>
        <w:tblStyle w:val="TableGrid"/>
        <w:tblW w:w="8500" w:type="dxa"/>
        <w:jc w:val="center"/>
        <w:tblLayout w:type="fixed"/>
        <w:tblLook w:val="04A0" w:firstRow="1" w:lastRow="0" w:firstColumn="1" w:lastColumn="0" w:noHBand="0" w:noVBand="1"/>
      </w:tblPr>
      <w:tblGrid>
        <w:gridCol w:w="2972"/>
        <w:gridCol w:w="1418"/>
        <w:gridCol w:w="1417"/>
        <w:gridCol w:w="1276"/>
        <w:gridCol w:w="1417"/>
      </w:tblGrid>
      <w:tr w:rsidR="00CF5BB7" w:rsidRPr="008C4A6A" w14:paraId="33905C2F" w14:textId="77777777" w:rsidTr="0079060E">
        <w:trPr>
          <w:jc w:val="center"/>
        </w:trPr>
        <w:tc>
          <w:tcPr>
            <w:tcW w:w="2972" w:type="dxa"/>
          </w:tcPr>
          <w:p w14:paraId="1A4ACDA2" w14:textId="77777777" w:rsidR="00CF5BB7" w:rsidRPr="00825774" w:rsidRDefault="00CF5BB7" w:rsidP="0079060E">
            <w:pPr>
              <w:rPr>
                <w:b/>
                <w:lang w:val="en-US"/>
              </w:rPr>
            </w:pPr>
            <w:r w:rsidRPr="00825774">
              <w:rPr>
                <w:b/>
                <w:lang w:val="en-US"/>
              </w:rPr>
              <w:t>Sample ID</w:t>
            </w:r>
          </w:p>
        </w:tc>
        <w:tc>
          <w:tcPr>
            <w:tcW w:w="1418" w:type="dxa"/>
          </w:tcPr>
          <w:p w14:paraId="42BF908D" w14:textId="77777777" w:rsidR="00CF5BB7" w:rsidRPr="00825774" w:rsidRDefault="00CF5BB7" w:rsidP="0079060E">
            <w:pPr>
              <w:rPr>
                <w:b/>
                <w:lang w:val="en-US"/>
              </w:rPr>
            </w:pPr>
            <w:r w:rsidRPr="00825774">
              <w:rPr>
                <w:b/>
                <w:lang w:val="en-US"/>
              </w:rPr>
              <w:t xml:space="preserve">Burial Site </w:t>
            </w:r>
          </w:p>
        </w:tc>
        <w:tc>
          <w:tcPr>
            <w:tcW w:w="1417" w:type="dxa"/>
          </w:tcPr>
          <w:p w14:paraId="4A193CC0" w14:textId="77777777" w:rsidR="00CF5BB7" w:rsidRPr="00825774" w:rsidRDefault="00CF5BB7" w:rsidP="0079060E">
            <w:pPr>
              <w:rPr>
                <w:b/>
                <w:lang w:val="en-US"/>
              </w:rPr>
            </w:pPr>
            <w:r w:rsidRPr="00825774">
              <w:rPr>
                <w:b/>
                <w:lang w:val="en-US"/>
              </w:rPr>
              <w:t>Age-at-death</w:t>
            </w:r>
          </w:p>
        </w:tc>
        <w:tc>
          <w:tcPr>
            <w:tcW w:w="1276" w:type="dxa"/>
          </w:tcPr>
          <w:p w14:paraId="453C6F30" w14:textId="77777777" w:rsidR="00CF5BB7" w:rsidRPr="00825774" w:rsidRDefault="00CF5BB7" w:rsidP="0079060E">
            <w:pPr>
              <w:rPr>
                <w:b/>
                <w:lang w:val="en-US"/>
              </w:rPr>
            </w:pPr>
            <w:r w:rsidRPr="00825774">
              <w:rPr>
                <w:b/>
                <w:lang w:val="en-US"/>
              </w:rPr>
              <w:t>Sex</w:t>
            </w:r>
          </w:p>
        </w:tc>
        <w:tc>
          <w:tcPr>
            <w:tcW w:w="1417" w:type="dxa"/>
          </w:tcPr>
          <w:p w14:paraId="3A824B52" w14:textId="77777777" w:rsidR="00CF5BB7" w:rsidRPr="00825774" w:rsidRDefault="00CF5BB7" w:rsidP="0079060E">
            <w:pPr>
              <w:rPr>
                <w:b/>
                <w:lang w:val="en-US"/>
              </w:rPr>
            </w:pPr>
            <w:r w:rsidRPr="00825774">
              <w:rPr>
                <w:b/>
                <w:lang w:val="en-US"/>
              </w:rPr>
              <w:t>Tooth Sample</w:t>
            </w:r>
          </w:p>
        </w:tc>
      </w:tr>
      <w:tr w:rsidR="00CF5BB7" w:rsidRPr="008C4A6A" w14:paraId="35BBECB0" w14:textId="77777777" w:rsidTr="0079060E">
        <w:trPr>
          <w:jc w:val="center"/>
        </w:trPr>
        <w:tc>
          <w:tcPr>
            <w:tcW w:w="2972" w:type="dxa"/>
          </w:tcPr>
          <w:p w14:paraId="442D5748" w14:textId="77777777" w:rsidR="00CF5BB7" w:rsidRPr="00825774" w:rsidRDefault="00CF5BB7" w:rsidP="00CF5BB7">
            <w:pPr>
              <w:rPr>
                <w:lang w:val="en-US"/>
              </w:rPr>
            </w:pPr>
            <w:r w:rsidRPr="00825774">
              <w:rPr>
                <w:lang w:val="en-US"/>
              </w:rPr>
              <w:t>1972 Grave 2 bottom burial</w:t>
            </w:r>
          </w:p>
        </w:tc>
        <w:tc>
          <w:tcPr>
            <w:tcW w:w="1418" w:type="dxa"/>
          </w:tcPr>
          <w:p w14:paraId="1A7A47B1" w14:textId="77777777" w:rsidR="00CF5BB7" w:rsidRPr="00825774" w:rsidRDefault="00CF5BB7" w:rsidP="00CF5BB7">
            <w:pPr>
              <w:rPr>
                <w:lang w:val="en-US"/>
              </w:rPr>
            </w:pPr>
            <w:r w:rsidRPr="00825774">
              <w:rPr>
                <w:lang w:val="en-US"/>
              </w:rPr>
              <w:t>Botromagno</w:t>
            </w:r>
          </w:p>
        </w:tc>
        <w:tc>
          <w:tcPr>
            <w:tcW w:w="1417" w:type="dxa"/>
          </w:tcPr>
          <w:p w14:paraId="601CFF4E" w14:textId="39F17FAE" w:rsidR="00CF5BB7" w:rsidRPr="00825774" w:rsidRDefault="00CF5BB7" w:rsidP="00CF5BB7">
            <w:pPr>
              <w:rPr>
                <w:lang w:val="en-US"/>
              </w:rPr>
            </w:pPr>
            <w:r w:rsidRPr="00825774">
              <w:rPr>
                <w:lang w:val="en-US"/>
              </w:rPr>
              <w:t xml:space="preserve">21&lt;yrs </w:t>
            </w:r>
          </w:p>
        </w:tc>
        <w:tc>
          <w:tcPr>
            <w:tcW w:w="1276" w:type="dxa"/>
          </w:tcPr>
          <w:p w14:paraId="537B4168" w14:textId="52DBFFCF" w:rsidR="00CF5BB7" w:rsidRPr="00825774" w:rsidRDefault="00CF5BB7" w:rsidP="00CF5BB7">
            <w:pPr>
              <w:rPr>
                <w:lang w:val="en-US"/>
              </w:rPr>
            </w:pPr>
            <w:r w:rsidRPr="00825774">
              <w:rPr>
                <w:lang w:val="en-US"/>
              </w:rPr>
              <w:t>Male</w:t>
            </w:r>
          </w:p>
        </w:tc>
        <w:tc>
          <w:tcPr>
            <w:tcW w:w="1417" w:type="dxa"/>
          </w:tcPr>
          <w:p w14:paraId="3A89061A" w14:textId="77777777" w:rsidR="00CF5BB7" w:rsidRPr="00825774" w:rsidRDefault="00CF5BB7" w:rsidP="00CF5BB7">
            <w:pPr>
              <w:rPr>
                <w:vertAlign w:val="superscript"/>
                <w:lang w:val="en-US"/>
              </w:rPr>
            </w:pPr>
            <w:r w:rsidRPr="00825774">
              <w:rPr>
                <w:lang w:val="en-US"/>
              </w:rPr>
              <w:t>LM</w:t>
            </w:r>
            <w:r w:rsidRPr="00825774">
              <w:rPr>
                <w:vertAlign w:val="superscript"/>
                <w:lang w:val="en-US"/>
              </w:rPr>
              <w:t>1</w:t>
            </w:r>
          </w:p>
        </w:tc>
      </w:tr>
      <w:tr w:rsidR="00CF5BB7" w:rsidRPr="008C4A6A" w14:paraId="363F8324" w14:textId="77777777" w:rsidTr="0079060E">
        <w:trPr>
          <w:jc w:val="center"/>
        </w:trPr>
        <w:tc>
          <w:tcPr>
            <w:tcW w:w="2972" w:type="dxa"/>
          </w:tcPr>
          <w:p w14:paraId="0573DC3B" w14:textId="77777777" w:rsidR="00CF5BB7" w:rsidRPr="00825774" w:rsidRDefault="00CF5BB7" w:rsidP="00CF5BB7">
            <w:pPr>
              <w:rPr>
                <w:lang w:val="en-US"/>
              </w:rPr>
            </w:pPr>
            <w:r w:rsidRPr="00825774">
              <w:rPr>
                <w:lang w:val="en-US"/>
              </w:rPr>
              <w:t>No Label #3 (box 6)</w:t>
            </w:r>
          </w:p>
        </w:tc>
        <w:tc>
          <w:tcPr>
            <w:tcW w:w="1418" w:type="dxa"/>
          </w:tcPr>
          <w:p w14:paraId="48D47111" w14:textId="77777777" w:rsidR="00CF5BB7" w:rsidRPr="00825774" w:rsidRDefault="00CF5BB7" w:rsidP="00CF5BB7">
            <w:pPr>
              <w:rPr>
                <w:lang w:val="en-US"/>
              </w:rPr>
            </w:pPr>
            <w:r w:rsidRPr="00825774">
              <w:rPr>
                <w:lang w:val="en-US"/>
              </w:rPr>
              <w:t>Parco San Stefano</w:t>
            </w:r>
          </w:p>
        </w:tc>
        <w:tc>
          <w:tcPr>
            <w:tcW w:w="1417" w:type="dxa"/>
          </w:tcPr>
          <w:p w14:paraId="19026468" w14:textId="00BC12E7" w:rsidR="00CF5BB7" w:rsidRPr="00825774" w:rsidRDefault="00CF5BB7" w:rsidP="00CF5BB7">
            <w:pPr>
              <w:rPr>
                <w:lang w:val="en-US"/>
              </w:rPr>
            </w:pPr>
            <w:r w:rsidRPr="00825774">
              <w:rPr>
                <w:lang w:val="en-US"/>
              </w:rPr>
              <w:t>2</w:t>
            </w:r>
            <w:r w:rsidR="007E3BC4">
              <w:rPr>
                <w:lang w:val="en-US"/>
              </w:rPr>
              <w:t>1</w:t>
            </w:r>
            <w:r w:rsidRPr="00825774">
              <w:rPr>
                <w:lang w:val="en-US"/>
              </w:rPr>
              <w:t xml:space="preserve"> &lt; yrs</w:t>
            </w:r>
          </w:p>
        </w:tc>
        <w:tc>
          <w:tcPr>
            <w:tcW w:w="1276" w:type="dxa"/>
          </w:tcPr>
          <w:p w14:paraId="0BD2AB59" w14:textId="77777777" w:rsidR="00CF5BB7" w:rsidRPr="00825774" w:rsidRDefault="00CF5BB7" w:rsidP="00CF5BB7">
            <w:pPr>
              <w:rPr>
                <w:lang w:val="en-US"/>
              </w:rPr>
            </w:pPr>
            <w:r w:rsidRPr="00825774">
              <w:rPr>
                <w:lang w:val="en-US"/>
              </w:rPr>
              <w:t>Male</w:t>
            </w:r>
          </w:p>
        </w:tc>
        <w:tc>
          <w:tcPr>
            <w:tcW w:w="1417" w:type="dxa"/>
          </w:tcPr>
          <w:p w14:paraId="2C042656" w14:textId="77777777" w:rsidR="00CF5BB7" w:rsidRPr="00825774" w:rsidRDefault="00CF5BB7" w:rsidP="00CF5BB7">
            <w:pPr>
              <w:rPr>
                <w:vertAlign w:val="subscript"/>
                <w:lang w:val="en-US"/>
              </w:rPr>
            </w:pPr>
            <w:r w:rsidRPr="00825774">
              <w:rPr>
                <w:lang w:val="en-US"/>
              </w:rPr>
              <w:t>RM</w:t>
            </w:r>
            <w:r w:rsidRPr="00825774">
              <w:rPr>
                <w:vertAlign w:val="subscript"/>
                <w:lang w:val="en-US"/>
              </w:rPr>
              <w:t>1</w:t>
            </w:r>
          </w:p>
        </w:tc>
      </w:tr>
      <w:tr w:rsidR="00CF5BB7" w:rsidRPr="008C4A6A" w14:paraId="205A1CED" w14:textId="77777777" w:rsidTr="0079060E">
        <w:trPr>
          <w:jc w:val="center"/>
        </w:trPr>
        <w:tc>
          <w:tcPr>
            <w:tcW w:w="2972" w:type="dxa"/>
          </w:tcPr>
          <w:p w14:paraId="3D96C402" w14:textId="77777777" w:rsidR="00CF5BB7" w:rsidRPr="00825774" w:rsidRDefault="00CF5BB7" w:rsidP="00CF5BB7">
            <w:pPr>
              <w:rPr>
                <w:lang w:val="en-US"/>
              </w:rPr>
            </w:pPr>
            <w:r w:rsidRPr="00825774">
              <w:rPr>
                <w:lang w:val="en-US"/>
              </w:rPr>
              <w:t>F5 20108 Layer 1047 Skull</w:t>
            </w:r>
          </w:p>
        </w:tc>
        <w:tc>
          <w:tcPr>
            <w:tcW w:w="1418" w:type="dxa"/>
          </w:tcPr>
          <w:p w14:paraId="5BEA68F3" w14:textId="77777777" w:rsidR="00CF5BB7" w:rsidRPr="00825774" w:rsidRDefault="00CF5BB7" w:rsidP="00CF5BB7">
            <w:pPr>
              <w:rPr>
                <w:lang w:val="en-US"/>
              </w:rPr>
            </w:pPr>
            <w:r w:rsidRPr="00825774">
              <w:rPr>
                <w:lang w:val="en-US"/>
              </w:rPr>
              <w:t>Botromagno</w:t>
            </w:r>
          </w:p>
        </w:tc>
        <w:tc>
          <w:tcPr>
            <w:tcW w:w="1417" w:type="dxa"/>
          </w:tcPr>
          <w:p w14:paraId="4AC92584" w14:textId="4A2DCF7B" w:rsidR="00CF5BB7" w:rsidRPr="00825774" w:rsidRDefault="00CF5BB7" w:rsidP="00CF5BB7">
            <w:pPr>
              <w:rPr>
                <w:lang w:val="en-US"/>
              </w:rPr>
            </w:pPr>
            <w:r w:rsidRPr="00825774">
              <w:rPr>
                <w:lang w:val="en-US"/>
              </w:rPr>
              <w:t>35&lt; yrs</w:t>
            </w:r>
          </w:p>
        </w:tc>
        <w:tc>
          <w:tcPr>
            <w:tcW w:w="1276" w:type="dxa"/>
          </w:tcPr>
          <w:p w14:paraId="21B120BB" w14:textId="77777777" w:rsidR="00CF5BB7" w:rsidRPr="00825774" w:rsidRDefault="00CF5BB7" w:rsidP="00CF5BB7">
            <w:pPr>
              <w:rPr>
                <w:lang w:val="en-US"/>
              </w:rPr>
            </w:pPr>
            <w:r w:rsidRPr="00825774">
              <w:rPr>
                <w:lang w:val="en-US"/>
              </w:rPr>
              <w:t>Male</w:t>
            </w:r>
          </w:p>
        </w:tc>
        <w:tc>
          <w:tcPr>
            <w:tcW w:w="1417" w:type="dxa"/>
          </w:tcPr>
          <w:p w14:paraId="23416F5E" w14:textId="77777777" w:rsidR="00CF5BB7" w:rsidRPr="00825774" w:rsidRDefault="00CF5BB7" w:rsidP="00CF5BB7">
            <w:pPr>
              <w:rPr>
                <w:vertAlign w:val="subscript"/>
                <w:lang w:val="en-US"/>
              </w:rPr>
            </w:pPr>
            <w:r w:rsidRPr="00825774">
              <w:rPr>
                <w:lang w:val="en-US"/>
              </w:rPr>
              <w:t>RM</w:t>
            </w:r>
            <w:r w:rsidRPr="00825774">
              <w:rPr>
                <w:vertAlign w:val="subscript"/>
                <w:lang w:val="en-US"/>
              </w:rPr>
              <w:t>1</w:t>
            </w:r>
          </w:p>
        </w:tc>
      </w:tr>
      <w:tr w:rsidR="00CF5BB7" w:rsidRPr="008C4A6A" w14:paraId="5754D47D" w14:textId="77777777" w:rsidTr="0079060E">
        <w:trPr>
          <w:jc w:val="center"/>
        </w:trPr>
        <w:tc>
          <w:tcPr>
            <w:tcW w:w="2972" w:type="dxa"/>
          </w:tcPr>
          <w:p w14:paraId="3C147748" w14:textId="77777777" w:rsidR="00CF5BB7" w:rsidRPr="00825774" w:rsidRDefault="00CF5BB7" w:rsidP="00CF5BB7">
            <w:pPr>
              <w:rPr>
                <w:lang w:val="en-US"/>
              </w:rPr>
            </w:pPr>
            <w:r w:rsidRPr="00825774">
              <w:rPr>
                <w:lang w:val="en-US"/>
              </w:rPr>
              <w:t>Tomba 43</w:t>
            </w:r>
          </w:p>
        </w:tc>
        <w:tc>
          <w:tcPr>
            <w:tcW w:w="1418" w:type="dxa"/>
          </w:tcPr>
          <w:p w14:paraId="7830CE0F" w14:textId="77777777" w:rsidR="00CF5BB7" w:rsidRPr="00825774" w:rsidRDefault="00CF5BB7" w:rsidP="00CF5BB7">
            <w:pPr>
              <w:rPr>
                <w:lang w:val="en-US"/>
              </w:rPr>
            </w:pPr>
            <w:r w:rsidRPr="00825774">
              <w:rPr>
                <w:lang w:val="en-US"/>
              </w:rPr>
              <w:t>Parco San Stefano</w:t>
            </w:r>
          </w:p>
        </w:tc>
        <w:tc>
          <w:tcPr>
            <w:tcW w:w="1417" w:type="dxa"/>
          </w:tcPr>
          <w:p w14:paraId="035E0B8A" w14:textId="5A7D77ED" w:rsidR="00CF5BB7" w:rsidRPr="00825774" w:rsidRDefault="00CF5BB7" w:rsidP="00CF5BB7">
            <w:pPr>
              <w:rPr>
                <w:lang w:val="en-US"/>
              </w:rPr>
            </w:pPr>
            <w:r w:rsidRPr="00825774">
              <w:rPr>
                <w:lang w:val="en-US"/>
              </w:rPr>
              <w:t>38.2+/- 10.9 yrs</w:t>
            </w:r>
          </w:p>
        </w:tc>
        <w:tc>
          <w:tcPr>
            <w:tcW w:w="1276" w:type="dxa"/>
          </w:tcPr>
          <w:p w14:paraId="49ED6ACC" w14:textId="77777777" w:rsidR="00CF5BB7" w:rsidRPr="00825774" w:rsidRDefault="00CF5BB7" w:rsidP="00CF5BB7">
            <w:pPr>
              <w:rPr>
                <w:lang w:val="en-US"/>
              </w:rPr>
            </w:pPr>
            <w:r w:rsidRPr="00825774">
              <w:rPr>
                <w:lang w:val="en-US"/>
              </w:rPr>
              <w:t>Female</w:t>
            </w:r>
          </w:p>
        </w:tc>
        <w:tc>
          <w:tcPr>
            <w:tcW w:w="1417" w:type="dxa"/>
          </w:tcPr>
          <w:p w14:paraId="342700C2" w14:textId="77777777" w:rsidR="00CF5BB7" w:rsidRPr="00825774" w:rsidRDefault="00CF5BB7" w:rsidP="00CF5BB7">
            <w:pPr>
              <w:rPr>
                <w:vertAlign w:val="superscript"/>
                <w:lang w:val="en-US"/>
              </w:rPr>
            </w:pPr>
            <w:r w:rsidRPr="00825774">
              <w:rPr>
                <w:lang w:val="en-US"/>
              </w:rPr>
              <w:t>RM</w:t>
            </w:r>
            <w:r w:rsidRPr="00825774">
              <w:rPr>
                <w:vertAlign w:val="superscript"/>
                <w:lang w:val="en-US"/>
              </w:rPr>
              <w:t>1</w:t>
            </w:r>
          </w:p>
        </w:tc>
      </w:tr>
      <w:tr w:rsidR="00CF5BB7" w:rsidRPr="008C4A6A" w14:paraId="24BA8B3E" w14:textId="77777777" w:rsidTr="0079060E">
        <w:trPr>
          <w:jc w:val="center"/>
        </w:trPr>
        <w:tc>
          <w:tcPr>
            <w:tcW w:w="2972" w:type="dxa"/>
          </w:tcPr>
          <w:p w14:paraId="6C689A39" w14:textId="77777777" w:rsidR="00CF5BB7" w:rsidRPr="00825774" w:rsidRDefault="00CF5BB7" w:rsidP="00CF5BB7">
            <w:pPr>
              <w:rPr>
                <w:lang w:val="en-US"/>
              </w:rPr>
            </w:pPr>
            <w:r w:rsidRPr="00825774">
              <w:rPr>
                <w:lang w:val="en-US"/>
              </w:rPr>
              <w:t>Tomba 11</w:t>
            </w:r>
          </w:p>
        </w:tc>
        <w:tc>
          <w:tcPr>
            <w:tcW w:w="1418" w:type="dxa"/>
          </w:tcPr>
          <w:p w14:paraId="03F15C3F" w14:textId="77777777" w:rsidR="00CF5BB7" w:rsidRPr="00825774" w:rsidRDefault="00CF5BB7" w:rsidP="00CF5BB7">
            <w:pPr>
              <w:rPr>
                <w:lang w:val="en-US"/>
              </w:rPr>
            </w:pPr>
            <w:r w:rsidRPr="00825774">
              <w:rPr>
                <w:lang w:val="en-US"/>
              </w:rPr>
              <w:t>Parco San Stefano</w:t>
            </w:r>
          </w:p>
        </w:tc>
        <w:tc>
          <w:tcPr>
            <w:tcW w:w="1417" w:type="dxa"/>
          </w:tcPr>
          <w:p w14:paraId="5D6C80C7" w14:textId="1A6EA707" w:rsidR="00CF5BB7" w:rsidRPr="00825774" w:rsidRDefault="00CF5BB7" w:rsidP="00CF5BB7">
            <w:pPr>
              <w:rPr>
                <w:lang w:val="en-US"/>
              </w:rPr>
            </w:pPr>
            <w:r w:rsidRPr="00825774">
              <w:rPr>
                <w:lang w:val="en-US"/>
              </w:rPr>
              <w:t>35-</w:t>
            </w:r>
            <w:r w:rsidR="007E3BC4">
              <w:rPr>
                <w:lang w:val="en-US"/>
              </w:rPr>
              <w:t>39</w:t>
            </w:r>
            <w:r w:rsidRPr="00825774">
              <w:rPr>
                <w:lang w:val="en-US"/>
              </w:rPr>
              <w:t xml:space="preserve"> yrs</w:t>
            </w:r>
          </w:p>
        </w:tc>
        <w:tc>
          <w:tcPr>
            <w:tcW w:w="1276" w:type="dxa"/>
          </w:tcPr>
          <w:p w14:paraId="26952C5C" w14:textId="77777777" w:rsidR="00CF5BB7" w:rsidRPr="00825774" w:rsidRDefault="00CF5BB7" w:rsidP="00CF5BB7">
            <w:pPr>
              <w:rPr>
                <w:lang w:val="en-US"/>
              </w:rPr>
            </w:pPr>
            <w:r w:rsidRPr="00825774">
              <w:rPr>
                <w:lang w:val="en-US"/>
              </w:rPr>
              <w:t>Male</w:t>
            </w:r>
          </w:p>
        </w:tc>
        <w:tc>
          <w:tcPr>
            <w:tcW w:w="1417" w:type="dxa"/>
          </w:tcPr>
          <w:p w14:paraId="43D385A3" w14:textId="77777777" w:rsidR="00CF5BB7" w:rsidRPr="00825774" w:rsidRDefault="00CF5BB7" w:rsidP="00CF5BB7">
            <w:pPr>
              <w:rPr>
                <w:vertAlign w:val="subscript"/>
                <w:lang w:val="en-US"/>
              </w:rPr>
            </w:pPr>
            <w:r w:rsidRPr="00825774">
              <w:rPr>
                <w:lang w:val="en-US"/>
              </w:rPr>
              <w:t>I</w:t>
            </w:r>
            <w:r w:rsidRPr="00825774">
              <w:rPr>
                <w:vertAlign w:val="subscript"/>
                <w:lang w:val="en-US"/>
              </w:rPr>
              <w:t>1</w:t>
            </w:r>
          </w:p>
        </w:tc>
      </w:tr>
      <w:tr w:rsidR="00CF5BB7" w:rsidRPr="008C4A6A" w14:paraId="3C475118" w14:textId="77777777" w:rsidTr="0079060E">
        <w:trPr>
          <w:jc w:val="center"/>
        </w:trPr>
        <w:tc>
          <w:tcPr>
            <w:tcW w:w="2972" w:type="dxa"/>
          </w:tcPr>
          <w:p w14:paraId="237C98E0" w14:textId="77777777" w:rsidR="00CF5BB7" w:rsidRPr="00825774" w:rsidRDefault="00CF5BB7" w:rsidP="00CF5BB7">
            <w:pPr>
              <w:rPr>
                <w:lang w:val="en-US"/>
              </w:rPr>
            </w:pPr>
            <w:r w:rsidRPr="00825774">
              <w:rPr>
                <w:lang w:val="en-US"/>
              </w:rPr>
              <w:t>G67III p.1 e.1 PI 1 Layer 1 pit fill</w:t>
            </w:r>
          </w:p>
        </w:tc>
        <w:tc>
          <w:tcPr>
            <w:tcW w:w="1418" w:type="dxa"/>
          </w:tcPr>
          <w:p w14:paraId="7E018A8F" w14:textId="77777777" w:rsidR="00CF5BB7" w:rsidRPr="00825774" w:rsidRDefault="00CF5BB7" w:rsidP="00CF5BB7">
            <w:pPr>
              <w:rPr>
                <w:lang w:val="en-US"/>
              </w:rPr>
            </w:pPr>
            <w:r w:rsidRPr="00825774">
              <w:rPr>
                <w:lang w:val="en-US"/>
              </w:rPr>
              <w:t>Botromagno</w:t>
            </w:r>
          </w:p>
        </w:tc>
        <w:tc>
          <w:tcPr>
            <w:tcW w:w="1417" w:type="dxa"/>
          </w:tcPr>
          <w:p w14:paraId="1C2D9134" w14:textId="220A688C" w:rsidR="00CF5BB7" w:rsidRPr="00825774" w:rsidRDefault="00CF5BB7" w:rsidP="00CF5BB7">
            <w:pPr>
              <w:rPr>
                <w:lang w:val="en-US"/>
              </w:rPr>
            </w:pPr>
            <w:r w:rsidRPr="00825774">
              <w:rPr>
                <w:lang w:val="en-US"/>
              </w:rPr>
              <w:t>1</w:t>
            </w:r>
            <w:r w:rsidR="00CB4EA6">
              <w:rPr>
                <w:lang w:val="en-US"/>
              </w:rPr>
              <w:t>6</w:t>
            </w:r>
            <w:r w:rsidRPr="00825774">
              <w:rPr>
                <w:lang w:val="en-US"/>
              </w:rPr>
              <w:t>-24 yrs</w:t>
            </w:r>
          </w:p>
        </w:tc>
        <w:tc>
          <w:tcPr>
            <w:tcW w:w="1276" w:type="dxa"/>
          </w:tcPr>
          <w:p w14:paraId="1B28381B" w14:textId="77777777" w:rsidR="00CF5BB7" w:rsidRPr="00825774" w:rsidRDefault="00CF5BB7" w:rsidP="00CF5BB7">
            <w:pPr>
              <w:rPr>
                <w:lang w:val="en-US"/>
              </w:rPr>
            </w:pPr>
            <w:r w:rsidRPr="00825774">
              <w:rPr>
                <w:lang w:val="en-US"/>
              </w:rPr>
              <w:t>Female</w:t>
            </w:r>
          </w:p>
        </w:tc>
        <w:tc>
          <w:tcPr>
            <w:tcW w:w="1417" w:type="dxa"/>
          </w:tcPr>
          <w:p w14:paraId="70FD30D5" w14:textId="77777777" w:rsidR="00CF5BB7" w:rsidRPr="00825774" w:rsidRDefault="00CF5BB7" w:rsidP="00CF5BB7">
            <w:pPr>
              <w:rPr>
                <w:vertAlign w:val="superscript"/>
                <w:lang w:val="en-US"/>
              </w:rPr>
            </w:pPr>
            <w:r w:rsidRPr="00825774">
              <w:rPr>
                <w:lang w:val="en-US"/>
              </w:rPr>
              <w:t>I</w:t>
            </w:r>
            <w:r w:rsidRPr="00825774">
              <w:rPr>
                <w:vertAlign w:val="superscript"/>
                <w:lang w:val="en-US"/>
              </w:rPr>
              <w:t>1</w:t>
            </w:r>
          </w:p>
        </w:tc>
      </w:tr>
      <w:tr w:rsidR="00CF5BB7" w:rsidRPr="008C4A6A" w14:paraId="52AA3714" w14:textId="77777777" w:rsidTr="0079060E">
        <w:trPr>
          <w:jc w:val="center"/>
        </w:trPr>
        <w:tc>
          <w:tcPr>
            <w:tcW w:w="2972" w:type="dxa"/>
          </w:tcPr>
          <w:p w14:paraId="16FEC6FC" w14:textId="77777777" w:rsidR="00CF5BB7" w:rsidRPr="00825774" w:rsidRDefault="00CF5BB7" w:rsidP="00CF5BB7">
            <w:pPr>
              <w:rPr>
                <w:lang w:val="en-US"/>
              </w:rPr>
            </w:pPr>
            <w:r w:rsidRPr="00825774">
              <w:rPr>
                <w:lang w:val="en-US"/>
              </w:rPr>
              <w:t>1968 GDA 68 R1 F1 L5</w:t>
            </w:r>
          </w:p>
        </w:tc>
        <w:tc>
          <w:tcPr>
            <w:tcW w:w="1418" w:type="dxa"/>
          </w:tcPr>
          <w:p w14:paraId="47246D0A" w14:textId="77777777" w:rsidR="00CF5BB7" w:rsidRPr="00825774" w:rsidRDefault="00CF5BB7" w:rsidP="00CF5BB7">
            <w:pPr>
              <w:rPr>
                <w:lang w:val="en-US"/>
              </w:rPr>
            </w:pPr>
            <w:r w:rsidRPr="00825774">
              <w:rPr>
                <w:lang w:val="en-US"/>
              </w:rPr>
              <w:t>Botromagno</w:t>
            </w:r>
          </w:p>
        </w:tc>
        <w:tc>
          <w:tcPr>
            <w:tcW w:w="1417" w:type="dxa"/>
          </w:tcPr>
          <w:p w14:paraId="5B77FB03" w14:textId="3A95DEBF" w:rsidR="00CF5BB7" w:rsidRPr="00825774" w:rsidRDefault="00CB4EA6" w:rsidP="00CF5BB7">
            <w:pPr>
              <w:rPr>
                <w:lang w:val="en-US"/>
              </w:rPr>
            </w:pPr>
            <w:r>
              <w:rPr>
                <w:lang w:val="en-US"/>
              </w:rPr>
              <w:t xml:space="preserve">16 - 20 </w:t>
            </w:r>
            <w:r w:rsidR="00CF5BB7" w:rsidRPr="00825774">
              <w:rPr>
                <w:lang w:val="en-US"/>
              </w:rPr>
              <w:t>yrs</w:t>
            </w:r>
          </w:p>
        </w:tc>
        <w:tc>
          <w:tcPr>
            <w:tcW w:w="1276" w:type="dxa"/>
          </w:tcPr>
          <w:p w14:paraId="24E58EE3" w14:textId="77777777" w:rsidR="00CF5BB7" w:rsidRPr="00825774" w:rsidRDefault="00CF5BB7" w:rsidP="00CF5BB7">
            <w:pPr>
              <w:rPr>
                <w:lang w:val="en-US"/>
              </w:rPr>
            </w:pPr>
            <w:r w:rsidRPr="00825774">
              <w:rPr>
                <w:lang w:val="en-US"/>
              </w:rPr>
              <w:t>Male</w:t>
            </w:r>
          </w:p>
        </w:tc>
        <w:tc>
          <w:tcPr>
            <w:tcW w:w="1417" w:type="dxa"/>
          </w:tcPr>
          <w:p w14:paraId="15A76A6B" w14:textId="77777777" w:rsidR="00CF5BB7" w:rsidRPr="00825774" w:rsidRDefault="00CF5BB7" w:rsidP="00CF5BB7">
            <w:pPr>
              <w:rPr>
                <w:vertAlign w:val="superscript"/>
                <w:lang w:val="en-US"/>
              </w:rPr>
            </w:pPr>
            <w:r w:rsidRPr="00825774">
              <w:rPr>
                <w:lang w:val="en-US"/>
              </w:rPr>
              <w:t>LM</w:t>
            </w:r>
            <w:r w:rsidRPr="00825774">
              <w:rPr>
                <w:vertAlign w:val="superscript"/>
                <w:lang w:val="en-US"/>
              </w:rPr>
              <w:t>1</w:t>
            </w:r>
          </w:p>
        </w:tc>
      </w:tr>
      <w:tr w:rsidR="00CF5BB7" w:rsidRPr="008C4A6A" w14:paraId="3E7B9FF4" w14:textId="77777777" w:rsidTr="0079060E">
        <w:trPr>
          <w:jc w:val="center"/>
        </w:trPr>
        <w:tc>
          <w:tcPr>
            <w:tcW w:w="2972" w:type="dxa"/>
          </w:tcPr>
          <w:p w14:paraId="670FDA8C" w14:textId="3CA78060" w:rsidR="00CF5BB7" w:rsidRPr="0079060E" w:rsidRDefault="00CF5BB7" w:rsidP="00CF5BB7">
            <w:pPr>
              <w:rPr>
                <w:lang w:val="it-IT"/>
              </w:rPr>
            </w:pPr>
            <w:r w:rsidRPr="0079060E">
              <w:rPr>
                <w:lang w:val="it-IT"/>
              </w:rPr>
              <w:t xml:space="preserve">Settore II Tomba 11 </w:t>
            </w:r>
            <w:r w:rsidR="00A83A77" w:rsidRPr="0079060E">
              <w:rPr>
                <w:lang w:val="it-IT"/>
              </w:rPr>
              <w:t>Scheletro</w:t>
            </w:r>
            <w:r w:rsidRPr="0079060E">
              <w:rPr>
                <w:lang w:val="it-IT"/>
              </w:rPr>
              <w:t xml:space="preserve"> in Con.</w:t>
            </w:r>
          </w:p>
        </w:tc>
        <w:tc>
          <w:tcPr>
            <w:tcW w:w="1418" w:type="dxa"/>
          </w:tcPr>
          <w:p w14:paraId="6640165B" w14:textId="77777777" w:rsidR="00CF5BB7" w:rsidRPr="00825774" w:rsidRDefault="00CF5BB7" w:rsidP="00CF5BB7">
            <w:pPr>
              <w:rPr>
                <w:lang w:val="en-US"/>
              </w:rPr>
            </w:pPr>
            <w:r w:rsidRPr="00825774">
              <w:rPr>
                <w:lang w:val="en-US"/>
              </w:rPr>
              <w:t>Padreterno</w:t>
            </w:r>
          </w:p>
        </w:tc>
        <w:tc>
          <w:tcPr>
            <w:tcW w:w="1417" w:type="dxa"/>
          </w:tcPr>
          <w:p w14:paraId="43A697AC" w14:textId="045994C3" w:rsidR="00CF5BB7" w:rsidRPr="00825774" w:rsidRDefault="00A84538" w:rsidP="00CF5BB7">
            <w:pPr>
              <w:rPr>
                <w:lang w:val="en-US"/>
              </w:rPr>
            </w:pPr>
            <w:r>
              <w:rPr>
                <w:lang w:val="en-US"/>
              </w:rPr>
              <w:t>38.2 ± 10.9</w:t>
            </w:r>
            <w:r w:rsidR="00CF5BB7" w:rsidRPr="00825774">
              <w:rPr>
                <w:lang w:val="en-US"/>
              </w:rPr>
              <w:t xml:space="preserve"> yrs</w:t>
            </w:r>
          </w:p>
        </w:tc>
        <w:tc>
          <w:tcPr>
            <w:tcW w:w="1276" w:type="dxa"/>
          </w:tcPr>
          <w:p w14:paraId="69156990" w14:textId="77777777" w:rsidR="00CF5BB7" w:rsidRPr="00825774" w:rsidRDefault="00CF5BB7" w:rsidP="00CF5BB7">
            <w:pPr>
              <w:rPr>
                <w:lang w:val="en-US"/>
              </w:rPr>
            </w:pPr>
            <w:r w:rsidRPr="00825774">
              <w:rPr>
                <w:lang w:val="en-US"/>
              </w:rPr>
              <w:t>Female</w:t>
            </w:r>
          </w:p>
        </w:tc>
        <w:tc>
          <w:tcPr>
            <w:tcW w:w="1417" w:type="dxa"/>
          </w:tcPr>
          <w:p w14:paraId="757FAF79" w14:textId="77777777" w:rsidR="00CF5BB7" w:rsidRPr="00825774" w:rsidRDefault="00CF5BB7" w:rsidP="00CF5BB7">
            <w:pPr>
              <w:rPr>
                <w:vertAlign w:val="superscript"/>
                <w:lang w:val="en-US"/>
              </w:rPr>
            </w:pPr>
            <w:r w:rsidRPr="00825774">
              <w:rPr>
                <w:lang w:val="en-US"/>
              </w:rPr>
              <w:t>LM</w:t>
            </w:r>
            <w:r w:rsidRPr="00825774">
              <w:rPr>
                <w:vertAlign w:val="superscript"/>
                <w:lang w:val="en-US"/>
              </w:rPr>
              <w:t>1</w:t>
            </w:r>
          </w:p>
        </w:tc>
      </w:tr>
      <w:tr w:rsidR="00CF5BB7" w:rsidRPr="008C4A6A" w14:paraId="03759D8B" w14:textId="77777777" w:rsidTr="0079060E">
        <w:trPr>
          <w:jc w:val="center"/>
        </w:trPr>
        <w:tc>
          <w:tcPr>
            <w:tcW w:w="2972" w:type="dxa"/>
          </w:tcPr>
          <w:p w14:paraId="27B43C2B" w14:textId="77777777" w:rsidR="00CF5BB7" w:rsidRPr="00825774" w:rsidRDefault="00CF5BB7" w:rsidP="00CF5BB7">
            <w:pPr>
              <w:rPr>
                <w:lang w:val="en-US"/>
              </w:rPr>
            </w:pPr>
            <w:r w:rsidRPr="00825774">
              <w:rPr>
                <w:lang w:val="en-US"/>
              </w:rPr>
              <w:t>1971 Area NB, Grave 3</w:t>
            </w:r>
          </w:p>
        </w:tc>
        <w:tc>
          <w:tcPr>
            <w:tcW w:w="1418" w:type="dxa"/>
          </w:tcPr>
          <w:p w14:paraId="48750002" w14:textId="77777777" w:rsidR="00CF5BB7" w:rsidRPr="00825774" w:rsidRDefault="00CF5BB7" w:rsidP="00CF5BB7">
            <w:pPr>
              <w:rPr>
                <w:lang w:val="en-US"/>
              </w:rPr>
            </w:pPr>
            <w:r w:rsidRPr="00825774">
              <w:rPr>
                <w:lang w:val="en-US"/>
              </w:rPr>
              <w:t>Botromagno</w:t>
            </w:r>
          </w:p>
        </w:tc>
        <w:tc>
          <w:tcPr>
            <w:tcW w:w="1417" w:type="dxa"/>
          </w:tcPr>
          <w:p w14:paraId="4B8E2405" w14:textId="7BAC9E68" w:rsidR="00CF5BB7" w:rsidRPr="00825774" w:rsidRDefault="00CF5BB7" w:rsidP="00CF5BB7">
            <w:pPr>
              <w:rPr>
                <w:lang w:val="en-US"/>
              </w:rPr>
            </w:pPr>
            <w:r w:rsidRPr="00825774">
              <w:rPr>
                <w:lang w:val="en-US"/>
              </w:rPr>
              <w:t>21</w:t>
            </w:r>
            <w:r w:rsidR="00CB4EA6">
              <w:rPr>
                <w:lang w:val="en-US"/>
              </w:rPr>
              <w:t xml:space="preserve">&lt; </w:t>
            </w:r>
            <w:r w:rsidRPr="00825774">
              <w:rPr>
                <w:lang w:val="en-US"/>
              </w:rPr>
              <w:t>yrs</w:t>
            </w:r>
          </w:p>
        </w:tc>
        <w:tc>
          <w:tcPr>
            <w:tcW w:w="1276" w:type="dxa"/>
          </w:tcPr>
          <w:p w14:paraId="27089EBF" w14:textId="293DCE70" w:rsidR="00CF5BB7" w:rsidRPr="008C4A6A" w:rsidRDefault="0067128B" w:rsidP="00CF5BB7">
            <w:pPr>
              <w:pStyle w:val="ListParagraph"/>
              <w:ind w:left="0"/>
              <w:rPr>
                <w:rFonts w:ascii="Times New Roman" w:hAnsi="Times New Roman" w:cs="Times New Roman"/>
              </w:rPr>
            </w:pPr>
            <w:r w:rsidRPr="008C4A6A">
              <w:rPr>
                <w:rFonts w:ascii="Times New Roman" w:hAnsi="Times New Roman" w:cs="Times New Roman"/>
              </w:rPr>
              <w:t>Unknown</w:t>
            </w:r>
          </w:p>
        </w:tc>
        <w:tc>
          <w:tcPr>
            <w:tcW w:w="1417" w:type="dxa"/>
          </w:tcPr>
          <w:p w14:paraId="10BED171" w14:textId="77777777" w:rsidR="00CF5BB7" w:rsidRPr="00825774" w:rsidRDefault="00CF5BB7" w:rsidP="00CF5BB7">
            <w:pPr>
              <w:rPr>
                <w:vertAlign w:val="subscript"/>
                <w:lang w:val="en-US"/>
              </w:rPr>
            </w:pPr>
            <w:r w:rsidRPr="00825774">
              <w:rPr>
                <w:lang w:val="en-US"/>
              </w:rPr>
              <w:t>RM</w:t>
            </w:r>
            <w:r w:rsidRPr="00825774">
              <w:rPr>
                <w:vertAlign w:val="subscript"/>
                <w:lang w:val="en-US"/>
              </w:rPr>
              <w:t>1</w:t>
            </w:r>
          </w:p>
        </w:tc>
      </w:tr>
    </w:tbl>
    <w:p w14:paraId="3751EC90" w14:textId="5348829C" w:rsidR="00CF4ACE" w:rsidRDefault="00CF4ACE" w:rsidP="001C6BF3">
      <w:pPr>
        <w:rPr>
          <w:lang w:val="en-US"/>
        </w:rPr>
      </w:pPr>
    </w:p>
    <w:p w14:paraId="1FC77557" w14:textId="41ED414E" w:rsidR="001A78DE" w:rsidRDefault="001A78DE" w:rsidP="001C6BF3">
      <w:pPr>
        <w:rPr>
          <w:lang w:val="en-US"/>
        </w:rPr>
      </w:pPr>
    </w:p>
    <w:p w14:paraId="45EF17BD" w14:textId="77777777" w:rsidR="001A78DE" w:rsidRDefault="001A78DE" w:rsidP="001C6BF3">
      <w:pPr>
        <w:rPr>
          <w:lang w:val="en-US"/>
        </w:rPr>
      </w:pPr>
    </w:p>
    <w:p w14:paraId="49229DB6" w14:textId="098DAB21" w:rsidR="001A78DE" w:rsidRDefault="001A78DE" w:rsidP="001A78DE">
      <w:pPr>
        <w:spacing w:line="480" w:lineRule="auto"/>
        <w:ind w:right="-421" w:firstLine="720"/>
        <w:rPr>
          <w:lang w:val="en-US"/>
        </w:rPr>
      </w:pPr>
      <w:r w:rsidRPr="00825774">
        <w:rPr>
          <w:lang w:val="en-US"/>
        </w:rPr>
        <w:t>Adult burial information (presented in Table 4.4) was gathered from Whitehouse et al. (2000) and Small (1992), however not all burials were published in these sources. Additionally, No Label #3 (box 6) did not have a burial site ID.</w:t>
      </w:r>
    </w:p>
    <w:p w14:paraId="33FA33F6" w14:textId="77777777" w:rsidR="00D5154A" w:rsidRDefault="00D5154A" w:rsidP="00E14AE9">
      <w:pPr>
        <w:spacing w:line="480" w:lineRule="auto"/>
        <w:ind w:right="-421"/>
        <w:rPr>
          <w:lang w:val="en-US"/>
        </w:rPr>
      </w:pPr>
    </w:p>
    <w:p w14:paraId="4B55E560" w14:textId="3ECA4B9D" w:rsidR="009C59F7" w:rsidRPr="00825774" w:rsidRDefault="009C59F7" w:rsidP="008B33EA">
      <w:pPr>
        <w:jc w:val="center"/>
        <w:rPr>
          <w:lang w:val="en-US"/>
        </w:rPr>
      </w:pPr>
      <w:r w:rsidRPr="00825774">
        <w:rPr>
          <w:b/>
          <w:lang w:val="en-US"/>
        </w:rPr>
        <w:lastRenderedPageBreak/>
        <w:t>Table 4.4</w:t>
      </w:r>
      <w:r w:rsidR="00E14AE9">
        <w:rPr>
          <w:b/>
          <w:lang w:val="en-US"/>
        </w:rPr>
        <w:t>:</w:t>
      </w:r>
      <w:r w:rsidRPr="00825774">
        <w:rPr>
          <w:lang w:val="en-US"/>
        </w:rPr>
        <w:t xml:space="preserve"> Adult </w:t>
      </w:r>
      <w:r w:rsidR="001A61E9">
        <w:rPr>
          <w:lang w:val="en-US"/>
        </w:rPr>
        <w:t>b</w:t>
      </w:r>
      <w:r w:rsidRPr="00825774">
        <w:rPr>
          <w:lang w:val="en-US"/>
        </w:rPr>
        <w:t xml:space="preserve">urial </w:t>
      </w:r>
      <w:r w:rsidR="001A61E9">
        <w:rPr>
          <w:lang w:val="en-US"/>
        </w:rPr>
        <w:t>i</w:t>
      </w:r>
      <w:r w:rsidRPr="00825774">
        <w:rPr>
          <w:lang w:val="en-US"/>
        </w:rPr>
        <w:t>nformation.</w:t>
      </w:r>
    </w:p>
    <w:tbl>
      <w:tblPr>
        <w:tblStyle w:val="TableGrid"/>
        <w:tblpPr w:leftFromText="180" w:rightFromText="180" w:vertAnchor="text" w:horzAnchor="margin" w:tblpY="327"/>
        <w:tblW w:w="8500" w:type="dxa"/>
        <w:tblLook w:val="04A0" w:firstRow="1" w:lastRow="0" w:firstColumn="1" w:lastColumn="0" w:noHBand="0" w:noVBand="1"/>
      </w:tblPr>
      <w:tblGrid>
        <w:gridCol w:w="1869"/>
        <w:gridCol w:w="1869"/>
        <w:gridCol w:w="1641"/>
        <w:gridCol w:w="1443"/>
        <w:gridCol w:w="1678"/>
      </w:tblGrid>
      <w:tr w:rsidR="00CF5BB7" w:rsidRPr="008C4A6A" w14:paraId="45253669" w14:textId="77777777" w:rsidTr="001515B3">
        <w:tc>
          <w:tcPr>
            <w:tcW w:w="1869" w:type="dxa"/>
          </w:tcPr>
          <w:p w14:paraId="1E41426D" w14:textId="77777777" w:rsidR="00CF5BB7" w:rsidRPr="00825774" w:rsidRDefault="00CF5BB7" w:rsidP="00CF5BB7">
            <w:pPr>
              <w:rPr>
                <w:lang w:val="en-US"/>
              </w:rPr>
            </w:pPr>
            <w:r w:rsidRPr="00825774">
              <w:rPr>
                <w:b/>
                <w:lang w:val="en-US"/>
              </w:rPr>
              <w:t>Sample ID</w:t>
            </w:r>
          </w:p>
        </w:tc>
        <w:tc>
          <w:tcPr>
            <w:tcW w:w="1869" w:type="dxa"/>
          </w:tcPr>
          <w:p w14:paraId="489E1727" w14:textId="77777777" w:rsidR="00CF5BB7" w:rsidRPr="00825774" w:rsidRDefault="00CF5BB7" w:rsidP="00CF5BB7">
            <w:pPr>
              <w:rPr>
                <w:b/>
                <w:lang w:val="en-US"/>
              </w:rPr>
            </w:pPr>
            <w:r w:rsidRPr="00825774">
              <w:rPr>
                <w:b/>
                <w:lang w:val="en-US"/>
              </w:rPr>
              <w:t>Burial Site*</w:t>
            </w:r>
          </w:p>
          <w:p w14:paraId="73EB1EE9" w14:textId="77777777" w:rsidR="00CF5BB7" w:rsidRPr="00825774" w:rsidRDefault="00CF5BB7" w:rsidP="00CF5BB7">
            <w:pPr>
              <w:rPr>
                <w:lang w:val="en-US"/>
              </w:rPr>
            </w:pPr>
            <w:r w:rsidRPr="00825774">
              <w:rPr>
                <w:b/>
                <w:lang w:val="en-US"/>
              </w:rPr>
              <w:t>Date cent. BCE</w:t>
            </w:r>
          </w:p>
        </w:tc>
        <w:tc>
          <w:tcPr>
            <w:tcW w:w="1641" w:type="dxa"/>
          </w:tcPr>
          <w:p w14:paraId="1E0DD87E" w14:textId="77777777" w:rsidR="00CF5BB7" w:rsidRPr="00825774" w:rsidRDefault="00CF5BB7" w:rsidP="00CF5BB7">
            <w:pPr>
              <w:rPr>
                <w:lang w:val="en-US"/>
              </w:rPr>
            </w:pPr>
            <w:r w:rsidRPr="00825774">
              <w:rPr>
                <w:b/>
                <w:lang w:val="en-US"/>
              </w:rPr>
              <w:t xml:space="preserve">Date cent. BCE  </w:t>
            </w:r>
          </w:p>
        </w:tc>
        <w:tc>
          <w:tcPr>
            <w:tcW w:w="1443" w:type="dxa"/>
          </w:tcPr>
          <w:p w14:paraId="14371964" w14:textId="77777777" w:rsidR="00CF5BB7" w:rsidRPr="00825774" w:rsidRDefault="00CF5BB7" w:rsidP="00CF5BB7">
            <w:pPr>
              <w:spacing w:line="480" w:lineRule="auto"/>
              <w:rPr>
                <w:b/>
                <w:lang w:val="en-US"/>
              </w:rPr>
            </w:pPr>
            <w:r w:rsidRPr="00825774">
              <w:rPr>
                <w:b/>
                <w:lang w:val="en-US"/>
              </w:rPr>
              <w:t>Tomb Type</w:t>
            </w:r>
          </w:p>
        </w:tc>
        <w:tc>
          <w:tcPr>
            <w:tcW w:w="1678" w:type="dxa"/>
          </w:tcPr>
          <w:p w14:paraId="20D5CCF9" w14:textId="77777777" w:rsidR="00CF5BB7" w:rsidRPr="00825774" w:rsidRDefault="00CF5BB7" w:rsidP="00CF5BB7">
            <w:pPr>
              <w:rPr>
                <w:b/>
                <w:lang w:val="en-US"/>
              </w:rPr>
            </w:pPr>
            <w:r w:rsidRPr="00825774">
              <w:rPr>
                <w:b/>
                <w:lang w:val="en-US"/>
              </w:rPr>
              <w:t>Associated Grave goods</w:t>
            </w:r>
          </w:p>
        </w:tc>
      </w:tr>
      <w:tr w:rsidR="00CF5BB7" w:rsidRPr="008C4A6A" w14:paraId="5DE184EC" w14:textId="77777777" w:rsidTr="001515B3">
        <w:tc>
          <w:tcPr>
            <w:tcW w:w="1869" w:type="dxa"/>
          </w:tcPr>
          <w:p w14:paraId="3FA53EB3" w14:textId="77777777" w:rsidR="00CF5BB7" w:rsidRPr="00825774" w:rsidRDefault="00CF5BB7" w:rsidP="00CF5BB7">
            <w:pPr>
              <w:rPr>
                <w:b/>
                <w:lang w:val="en-US"/>
              </w:rPr>
            </w:pPr>
            <w:r w:rsidRPr="00825774">
              <w:rPr>
                <w:lang w:val="en-US"/>
              </w:rPr>
              <w:t>1972 Grave 2 bottom burial</w:t>
            </w:r>
          </w:p>
        </w:tc>
        <w:tc>
          <w:tcPr>
            <w:tcW w:w="1869" w:type="dxa"/>
          </w:tcPr>
          <w:p w14:paraId="416329BA" w14:textId="77777777" w:rsidR="00CF5BB7" w:rsidRPr="00825774" w:rsidRDefault="00CF5BB7" w:rsidP="00CF5BB7">
            <w:pPr>
              <w:rPr>
                <w:b/>
                <w:lang w:val="en-US"/>
              </w:rPr>
            </w:pPr>
            <w:r w:rsidRPr="00825774">
              <w:rPr>
                <w:lang w:val="en-US"/>
              </w:rPr>
              <w:t>Botromagno</w:t>
            </w:r>
          </w:p>
        </w:tc>
        <w:tc>
          <w:tcPr>
            <w:tcW w:w="1641" w:type="dxa"/>
          </w:tcPr>
          <w:p w14:paraId="12E6FF46" w14:textId="77777777" w:rsidR="001515B3" w:rsidRDefault="009C59F7" w:rsidP="00CF5BB7">
            <w:pPr>
              <w:rPr>
                <w:lang w:val="en-US"/>
              </w:rPr>
            </w:pPr>
            <w:r>
              <w:rPr>
                <w:lang w:val="en-US"/>
              </w:rPr>
              <w:t xml:space="preserve">Iron Age </w:t>
            </w:r>
          </w:p>
          <w:p w14:paraId="1444901A" w14:textId="19EC2227" w:rsidR="00CF5BB7" w:rsidRPr="00825774" w:rsidRDefault="009C59F7" w:rsidP="00CF5BB7">
            <w:pPr>
              <w:rPr>
                <w:b/>
                <w:lang w:val="en-US"/>
              </w:rPr>
            </w:pPr>
            <w:r>
              <w:rPr>
                <w:lang w:val="en-US"/>
              </w:rPr>
              <w:t>(6</w:t>
            </w:r>
            <w:r w:rsidRPr="009C59F7">
              <w:rPr>
                <w:vertAlign w:val="superscript"/>
                <w:lang w:val="en-US"/>
              </w:rPr>
              <w:t>th</w:t>
            </w:r>
            <w:r>
              <w:rPr>
                <w:lang w:val="en-US"/>
              </w:rPr>
              <w:t xml:space="preserve"> – 3</w:t>
            </w:r>
            <w:r w:rsidRPr="009C59F7">
              <w:rPr>
                <w:vertAlign w:val="superscript"/>
                <w:lang w:val="en-US"/>
              </w:rPr>
              <w:t>rd</w:t>
            </w:r>
            <w:r>
              <w:rPr>
                <w:lang w:val="en-US"/>
              </w:rPr>
              <w:t>)</w:t>
            </w:r>
          </w:p>
        </w:tc>
        <w:tc>
          <w:tcPr>
            <w:tcW w:w="1443" w:type="dxa"/>
          </w:tcPr>
          <w:p w14:paraId="2558EC85" w14:textId="67BCB2C3" w:rsidR="00CF5BB7" w:rsidRPr="00825774" w:rsidRDefault="007179A1" w:rsidP="00CF5BB7">
            <w:pPr>
              <w:rPr>
                <w:b/>
                <w:lang w:val="en-US"/>
              </w:rPr>
            </w:pPr>
            <w:r w:rsidRPr="00825774">
              <w:rPr>
                <w:lang w:val="en-US"/>
              </w:rPr>
              <w:t>unknown</w:t>
            </w:r>
          </w:p>
        </w:tc>
        <w:tc>
          <w:tcPr>
            <w:tcW w:w="1678" w:type="dxa"/>
          </w:tcPr>
          <w:p w14:paraId="5F767132" w14:textId="4DAC333B" w:rsidR="00CF5BB7" w:rsidRPr="00825774" w:rsidRDefault="001515B3" w:rsidP="00CF5BB7">
            <w:pPr>
              <w:rPr>
                <w:b/>
                <w:lang w:val="en-US"/>
              </w:rPr>
            </w:pPr>
            <w:r w:rsidRPr="00825774">
              <w:rPr>
                <w:lang w:val="en-US"/>
              </w:rPr>
              <w:t>U</w:t>
            </w:r>
            <w:r w:rsidR="007179A1" w:rsidRPr="00825774">
              <w:rPr>
                <w:lang w:val="en-US"/>
              </w:rPr>
              <w:t>nk</w:t>
            </w:r>
            <w:r>
              <w:rPr>
                <w:lang w:val="en-US"/>
              </w:rPr>
              <w:t>nown</w:t>
            </w:r>
          </w:p>
        </w:tc>
      </w:tr>
      <w:tr w:rsidR="00CF5BB7" w:rsidRPr="008C4A6A" w14:paraId="0EF37725" w14:textId="77777777" w:rsidTr="001515B3">
        <w:tc>
          <w:tcPr>
            <w:tcW w:w="1869" w:type="dxa"/>
          </w:tcPr>
          <w:p w14:paraId="2FB531F2" w14:textId="77777777" w:rsidR="00CF5BB7" w:rsidRPr="00825774" w:rsidRDefault="00CF5BB7" w:rsidP="00CF5BB7">
            <w:pPr>
              <w:rPr>
                <w:lang w:val="en-US"/>
              </w:rPr>
            </w:pPr>
            <w:r w:rsidRPr="00825774">
              <w:rPr>
                <w:lang w:val="en-US"/>
              </w:rPr>
              <w:t>No Label #3 (box 6)</w:t>
            </w:r>
          </w:p>
        </w:tc>
        <w:tc>
          <w:tcPr>
            <w:tcW w:w="1869" w:type="dxa"/>
          </w:tcPr>
          <w:p w14:paraId="5549CD15" w14:textId="02DFDBB1" w:rsidR="00CF5BB7" w:rsidRPr="00825774" w:rsidRDefault="00CF5BB7" w:rsidP="00CF5BB7">
            <w:pPr>
              <w:rPr>
                <w:lang w:val="en-US"/>
              </w:rPr>
            </w:pPr>
            <w:r w:rsidRPr="00825774">
              <w:rPr>
                <w:lang w:val="en-US"/>
              </w:rPr>
              <w:t>P</w:t>
            </w:r>
            <w:r w:rsidR="001515B3">
              <w:rPr>
                <w:lang w:val="en-US"/>
              </w:rPr>
              <w:t>.</w:t>
            </w:r>
            <w:r w:rsidRPr="00825774">
              <w:rPr>
                <w:lang w:val="en-US"/>
              </w:rPr>
              <w:t xml:space="preserve"> S</w:t>
            </w:r>
            <w:r w:rsidR="001515B3">
              <w:rPr>
                <w:lang w:val="en-US"/>
              </w:rPr>
              <w:t>.</w:t>
            </w:r>
            <w:r w:rsidRPr="00825774">
              <w:rPr>
                <w:lang w:val="en-US"/>
              </w:rPr>
              <w:t xml:space="preserve"> Stefano</w:t>
            </w:r>
          </w:p>
        </w:tc>
        <w:tc>
          <w:tcPr>
            <w:tcW w:w="1641" w:type="dxa"/>
          </w:tcPr>
          <w:p w14:paraId="05D62309" w14:textId="77777777" w:rsidR="001515B3" w:rsidRDefault="00F134CB" w:rsidP="00CF5BB7">
            <w:pPr>
              <w:rPr>
                <w:lang w:val="en-US"/>
              </w:rPr>
            </w:pPr>
            <w:r>
              <w:rPr>
                <w:lang w:val="en-US"/>
              </w:rPr>
              <w:t>Mid-</w:t>
            </w:r>
            <w:r w:rsidR="009C59F7">
              <w:rPr>
                <w:lang w:val="en-US"/>
              </w:rPr>
              <w:t xml:space="preserve">Iron Age </w:t>
            </w:r>
          </w:p>
          <w:p w14:paraId="0B4D7300" w14:textId="42DBD062" w:rsidR="00CF5BB7" w:rsidRPr="009C59F7" w:rsidRDefault="009C59F7" w:rsidP="00CF5BB7">
            <w:pPr>
              <w:rPr>
                <w:b/>
                <w:lang w:val="en-US"/>
              </w:rPr>
            </w:pPr>
            <w:r>
              <w:rPr>
                <w:lang w:val="en-US"/>
              </w:rPr>
              <w:t>(7</w:t>
            </w:r>
            <w:r w:rsidRPr="009C59F7">
              <w:rPr>
                <w:vertAlign w:val="superscript"/>
                <w:lang w:val="en-US"/>
              </w:rPr>
              <w:t>th</w:t>
            </w:r>
            <w:r>
              <w:rPr>
                <w:lang w:val="en-US"/>
              </w:rPr>
              <w:t xml:space="preserve"> – 6</w:t>
            </w:r>
            <w:r w:rsidRPr="009C59F7">
              <w:rPr>
                <w:vertAlign w:val="superscript"/>
                <w:lang w:val="en-US"/>
              </w:rPr>
              <w:t>th</w:t>
            </w:r>
            <w:r>
              <w:rPr>
                <w:lang w:val="en-US"/>
              </w:rPr>
              <w:t>)</w:t>
            </w:r>
          </w:p>
        </w:tc>
        <w:tc>
          <w:tcPr>
            <w:tcW w:w="1443" w:type="dxa"/>
          </w:tcPr>
          <w:p w14:paraId="35418EB5" w14:textId="77777777" w:rsidR="00CF5BB7" w:rsidRPr="00825774" w:rsidRDefault="00CF5BB7" w:rsidP="00CF5BB7">
            <w:pPr>
              <w:rPr>
                <w:b/>
                <w:lang w:val="en-US"/>
              </w:rPr>
            </w:pPr>
            <w:r w:rsidRPr="00825774">
              <w:rPr>
                <w:lang w:val="en-US"/>
              </w:rPr>
              <w:t>unknown</w:t>
            </w:r>
          </w:p>
        </w:tc>
        <w:tc>
          <w:tcPr>
            <w:tcW w:w="1678" w:type="dxa"/>
          </w:tcPr>
          <w:p w14:paraId="2F0C8913" w14:textId="34FA8B3E" w:rsidR="00CF5BB7" w:rsidRPr="00825774" w:rsidRDefault="001515B3" w:rsidP="00CF5BB7">
            <w:pPr>
              <w:rPr>
                <w:b/>
                <w:lang w:val="en-US"/>
              </w:rPr>
            </w:pPr>
            <w:r w:rsidRPr="00825774">
              <w:rPr>
                <w:lang w:val="en-US"/>
              </w:rPr>
              <w:t>U</w:t>
            </w:r>
            <w:r w:rsidR="007179A1" w:rsidRPr="00825774">
              <w:rPr>
                <w:lang w:val="en-US"/>
              </w:rPr>
              <w:t>nk</w:t>
            </w:r>
            <w:r>
              <w:rPr>
                <w:lang w:val="en-US"/>
              </w:rPr>
              <w:t>nown</w:t>
            </w:r>
          </w:p>
        </w:tc>
      </w:tr>
      <w:tr w:rsidR="00CF5BB7" w:rsidRPr="008C4A6A" w14:paraId="37F41891" w14:textId="77777777" w:rsidTr="001515B3">
        <w:tc>
          <w:tcPr>
            <w:tcW w:w="1869" w:type="dxa"/>
          </w:tcPr>
          <w:p w14:paraId="2D2E86BB" w14:textId="77777777" w:rsidR="00CF5BB7" w:rsidRPr="00825774" w:rsidRDefault="00CF5BB7" w:rsidP="00CF5BB7">
            <w:pPr>
              <w:rPr>
                <w:lang w:val="en-US"/>
              </w:rPr>
            </w:pPr>
            <w:r w:rsidRPr="00825774">
              <w:rPr>
                <w:lang w:val="en-US"/>
              </w:rPr>
              <w:t>F5 20108 Layer 1047 Skull</w:t>
            </w:r>
          </w:p>
        </w:tc>
        <w:tc>
          <w:tcPr>
            <w:tcW w:w="1869" w:type="dxa"/>
          </w:tcPr>
          <w:p w14:paraId="6CF387ED" w14:textId="77777777" w:rsidR="00CF5BB7" w:rsidRPr="00825774" w:rsidRDefault="00CF5BB7" w:rsidP="00CF5BB7">
            <w:pPr>
              <w:rPr>
                <w:lang w:val="en-US"/>
              </w:rPr>
            </w:pPr>
            <w:r w:rsidRPr="00825774">
              <w:rPr>
                <w:lang w:val="en-US"/>
              </w:rPr>
              <w:t>Botromagno</w:t>
            </w:r>
          </w:p>
        </w:tc>
        <w:tc>
          <w:tcPr>
            <w:tcW w:w="1641" w:type="dxa"/>
          </w:tcPr>
          <w:p w14:paraId="4F3AE59A" w14:textId="77777777" w:rsidR="001515B3" w:rsidRDefault="009C59F7" w:rsidP="00CF5BB7">
            <w:pPr>
              <w:rPr>
                <w:lang w:val="en-US"/>
              </w:rPr>
            </w:pPr>
            <w:r>
              <w:rPr>
                <w:lang w:val="en-US"/>
              </w:rPr>
              <w:t xml:space="preserve">Iron Age </w:t>
            </w:r>
          </w:p>
          <w:p w14:paraId="55B280B0" w14:textId="030AC52C" w:rsidR="00CF5BB7" w:rsidRPr="00825774" w:rsidRDefault="009C59F7" w:rsidP="00CF5BB7">
            <w:pPr>
              <w:rPr>
                <w:b/>
                <w:lang w:val="en-US"/>
              </w:rPr>
            </w:pPr>
            <w:r>
              <w:rPr>
                <w:lang w:val="en-US"/>
              </w:rPr>
              <w:t>(6</w:t>
            </w:r>
            <w:r w:rsidRPr="009C59F7">
              <w:rPr>
                <w:vertAlign w:val="superscript"/>
                <w:lang w:val="en-US"/>
              </w:rPr>
              <w:t>th</w:t>
            </w:r>
            <w:r>
              <w:rPr>
                <w:lang w:val="en-US"/>
              </w:rPr>
              <w:t xml:space="preserve"> – 3</w:t>
            </w:r>
            <w:r w:rsidRPr="009C59F7">
              <w:rPr>
                <w:vertAlign w:val="superscript"/>
                <w:lang w:val="en-US"/>
              </w:rPr>
              <w:t>rd</w:t>
            </w:r>
            <w:r>
              <w:rPr>
                <w:lang w:val="en-US"/>
              </w:rPr>
              <w:t>)</w:t>
            </w:r>
          </w:p>
        </w:tc>
        <w:tc>
          <w:tcPr>
            <w:tcW w:w="1443" w:type="dxa"/>
          </w:tcPr>
          <w:p w14:paraId="3BFFC7DD" w14:textId="35FAF24C" w:rsidR="00CF5BB7" w:rsidRPr="00825774" w:rsidRDefault="007179A1" w:rsidP="00CF5BB7">
            <w:pPr>
              <w:rPr>
                <w:b/>
                <w:lang w:val="en-US"/>
              </w:rPr>
            </w:pPr>
            <w:r w:rsidRPr="00825774">
              <w:rPr>
                <w:lang w:val="en-US"/>
              </w:rPr>
              <w:t>unknown</w:t>
            </w:r>
          </w:p>
        </w:tc>
        <w:tc>
          <w:tcPr>
            <w:tcW w:w="1678" w:type="dxa"/>
          </w:tcPr>
          <w:p w14:paraId="5EA340A6" w14:textId="3193A20A" w:rsidR="00CF5BB7" w:rsidRPr="00825774" w:rsidRDefault="001515B3" w:rsidP="00CF5BB7">
            <w:pPr>
              <w:rPr>
                <w:b/>
                <w:lang w:val="en-US"/>
              </w:rPr>
            </w:pPr>
            <w:r w:rsidRPr="00825774">
              <w:rPr>
                <w:lang w:val="en-US"/>
              </w:rPr>
              <w:t>U</w:t>
            </w:r>
            <w:r w:rsidR="007179A1" w:rsidRPr="00825774">
              <w:rPr>
                <w:lang w:val="en-US"/>
              </w:rPr>
              <w:t>nk</w:t>
            </w:r>
            <w:r>
              <w:rPr>
                <w:lang w:val="en-US"/>
              </w:rPr>
              <w:t>nown</w:t>
            </w:r>
          </w:p>
        </w:tc>
      </w:tr>
      <w:tr w:rsidR="00CF5BB7" w:rsidRPr="008C4A6A" w14:paraId="02064493" w14:textId="77777777" w:rsidTr="001515B3">
        <w:tc>
          <w:tcPr>
            <w:tcW w:w="1869" w:type="dxa"/>
          </w:tcPr>
          <w:p w14:paraId="2A5F3A9C" w14:textId="77777777" w:rsidR="00CF5BB7" w:rsidRPr="00825774" w:rsidRDefault="00CF5BB7" w:rsidP="00CF5BB7">
            <w:pPr>
              <w:rPr>
                <w:lang w:val="en-US"/>
              </w:rPr>
            </w:pPr>
            <w:r w:rsidRPr="00825774">
              <w:rPr>
                <w:lang w:val="en-US"/>
              </w:rPr>
              <w:t>Tomba 43</w:t>
            </w:r>
          </w:p>
        </w:tc>
        <w:tc>
          <w:tcPr>
            <w:tcW w:w="1869" w:type="dxa"/>
          </w:tcPr>
          <w:p w14:paraId="22583489" w14:textId="5D589A29" w:rsidR="00CF5BB7" w:rsidRPr="00825774" w:rsidRDefault="00CF5BB7" w:rsidP="00CF5BB7">
            <w:pPr>
              <w:rPr>
                <w:lang w:val="en-US"/>
              </w:rPr>
            </w:pPr>
            <w:r w:rsidRPr="00825774">
              <w:rPr>
                <w:lang w:val="en-US"/>
              </w:rPr>
              <w:t>P</w:t>
            </w:r>
            <w:r w:rsidR="001515B3">
              <w:rPr>
                <w:lang w:val="en-US"/>
              </w:rPr>
              <w:t>.</w:t>
            </w:r>
            <w:r w:rsidRPr="00825774">
              <w:rPr>
                <w:lang w:val="en-US"/>
              </w:rPr>
              <w:t xml:space="preserve"> S</w:t>
            </w:r>
            <w:r w:rsidR="001515B3">
              <w:rPr>
                <w:lang w:val="en-US"/>
              </w:rPr>
              <w:t>.</w:t>
            </w:r>
            <w:r w:rsidRPr="00825774">
              <w:rPr>
                <w:lang w:val="en-US"/>
              </w:rPr>
              <w:t xml:space="preserve"> Stefano</w:t>
            </w:r>
          </w:p>
        </w:tc>
        <w:tc>
          <w:tcPr>
            <w:tcW w:w="1641" w:type="dxa"/>
          </w:tcPr>
          <w:p w14:paraId="5767512F" w14:textId="77777777" w:rsidR="001515B3" w:rsidRDefault="00F134CB" w:rsidP="00CF5BB7">
            <w:pPr>
              <w:rPr>
                <w:lang w:val="en-US"/>
              </w:rPr>
            </w:pPr>
            <w:r>
              <w:rPr>
                <w:lang w:val="en-US"/>
              </w:rPr>
              <w:t>Mid-</w:t>
            </w:r>
            <w:r w:rsidR="009C59F7">
              <w:rPr>
                <w:lang w:val="en-US"/>
              </w:rPr>
              <w:t xml:space="preserve">Iron Age </w:t>
            </w:r>
          </w:p>
          <w:p w14:paraId="2CE438A6" w14:textId="21871CC4" w:rsidR="00CF5BB7" w:rsidRPr="00825774" w:rsidRDefault="009C59F7" w:rsidP="00CF5BB7">
            <w:pPr>
              <w:rPr>
                <w:b/>
                <w:lang w:val="en-US"/>
              </w:rPr>
            </w:pPr>
            <w:r>
              <w:rPr>
                <w:lang w:val="en-US"/>
              </w:rPr>
              <w:t>(7</w:t>
            </w:r>
            <w:r w:rsidRPr="009C59F7">
              <w:rPr>
                <w:vertAlign w:val="superscript"/>
                <w:lang w:val="en-US"/>
              </w:rPr>
              <w:t>th</w:t>
            </w:r>
            <w:r>
              <w:rPr>
                <w:lang w:val="en-US"/>
              </w:rPr>
              <w:t xml:space="preserve"> – 6</w:t>
            </w:r>
            <w:r w:rsidRPr="009C59F7">
              <w:rPr>
                <w:vertAlign w:val="superscript"/>
                <w:lang w:val="en-US"/>
              </w:rPr>
              <w:t>th</w:t>
            </w:r>
            <w:r>
              <w:rPr>
                <w:lang w:val="en-US"/>
              </w:rPr>
              <w:t>)</w:t>
            </w:r>
          </w:p>
        </w:tc>
        <w:tc>
          <w:tcPr>
            <w:tcW w:w="1443" w:type="dxa"/>
          </w:tcPr>
          <w:p w14:paraId="4A5DF9B7" w14:textId="08B05F61" w:rsidR="00CF5BB7" w:rsidRPr="00825774" w:rsidRDefault="007179A1" w:rsidP="00CF5BB7">
            <w:pPr>
              <w:rPr>
                <w:b/>
                <w:lang w:val="en-US"/>
              </w:rPr>
            </w:pPr>
            <w:r w:rsidRPr="00825774">
              <w:rPr>
                <w:lang w:val="en-US"/>
              </w:rPr>
              <w:t>unknown</w:t>
            </w:r>
          </w:p>
        </w:tc>
        <w:tc>
          <w:tcPr>
            <w:tcW w:w="1678" w:type="dxa"/>
          </w:tcPr>
          <w:p w14:paraId="1241D147" w14:textId="0A8C960E" w:rsidR="00CF5BB7" w:rsidRPr="00825774" w:rsidRDefault="001515B3" w:rsidP="00CF5BB7">
            <w:pPr>
              <w:rPr>
                <w:b/>
                <w:lang w:val="en-US"/>
              </w:rPr>
            </w:pPr>
            <w:r w:rsidRPr="00825774">
              <w:rPr>
                <w:lang w:val="en-US"/>
              </w:rPr>
              <w:t>U</w:t>
            </w:r>
            <w:r w:rsidR="007179A1" w:rsidRPr="00825774">
              <w:rPr>
                <w:lang w:val="en-US"/>
              </w:rPr>
              <w:t>nk</w:t>
            </w:r>
            <w:r>
              <w:rPr>
                <w:lang w:val="en-US"/>
              </w:rPr>
              <w:t>nown</w:t>
            </w:r>
          </w:p>
        </w:tc>
      </w:tr>
      <w:tr w:rsidR="00CF5BB7" w:rsidRPr="003E5D96" w14:paraId="4A97F1DA" w14:textId="77777777" w:rsidTr="001515B3">
        <w:tc>
          <w:tcPr>
            <w:tcW w:w="1869" w:type="dxa"/>
          </w:tcPr>
          <w:p w14:paraId="45815C39" w14:textId="77777777" w:rsidR="00CF5BB7" w:rsidRPr="00825774" w:rsidRDefault="00CF5BB7" w:rsidP="00CF5BB7">
            <w:pPr>
              <w:rPr>
                <w:lang w:val="en-US"/>
              </w:rPr>
            </w:pPr>
            <w:r w:rsidRPr="00825774">
              <w:rPr>
                <w:lang w:val="en-US"/>
              </w:rPr>
              <w:t>Tomba 11</w:t>
            </w:r>
          </w:p>
        </w:tc>
        <w:tc>
          <w:tcPr>
            <w:tcW w:w="1869" w:type="dxa"/>
          </w:tcPr>
          <w:p w14:paraId="0EBBBF9E" w14:textId="7437687B" w:rsidR="00CF5BB7" w:rsidRPr="00825774" w:rsidRDefault="00CF5BB7" w:rsidP="00CF5BB7">
            <w:pPr>
              <w:rPr>
                <w:lang w:val="en-US"/>
              </w:rPr>
            </w:pPr>
            <w:r w:rsidRPr="00825774">
              <w:rPr>
                <w:lang w:val="en-US"/>
              </w:rPr>
              <w:t>P</w:t>
            </w:r>
            <w:r w:rsidR="001515B3">
              <w:rPr>
                <w:lang w:val="en-US"/>
              </w:rPr>
              <w:t>.</w:t>
            </w:r>
            <w:r w:rsidRPr="00825774">
              <w:rPr>
                <w:lang w:val="en-US"/>
              </w:rPr>
              <w:t xml:space="preserve"> S</w:t>
            </w:r>
            <w:r w:rsidR="001515B3">
              <w:rPr>
                <w:lang w:val="en-US"/>
              </w:rPr>
              <w:t xml:space="preserve">. </w:t>
            </w:r>
            <w:r w:rsidRPr="00825774">
              <w:rPr>
                <w:lang w:val="en-US"/>
              </w:rPr>
              <w:t>Stefano</w:t>
            </w:r>
          </w:p>
        </w:tc>
        <w:tc>
          <w:tcPr>
            <w:tcW w:w="1641" w:type="dxa"/>
          </w:tcPr>
          <w:p w14:paraId="3EED647C" w14:textId="77777777" w:rsidR="001515B3" w:rsidRDefault="00F134CB" w:rsidP="00CF5BB7">
            <w:pPr>
              <w:rPr>
                <w:lang w:val="en-US"/>
              </w:rPr>
            </w:pPr>
            <w:r>
              <w:rPr>
                <w:lang w:val="en-US"/>
              </w:rPr>
              <w:t>Mid-Iron Age</w:t>
            </w:r>
          </w:p>
          <w:p w14:paraId="53B2D0C3" w14:textId="0CB02E46" w:rsidR="00CF5BB7" w:rsidRPr="00825774" w:rsidRDefault="00F134CB" w:rsidP="00CF5BB7">
            <w:pPr>
              <w:rPr>
                <w:lang w:val="en-US"/>
              </w:rPr>
            </w:pPr>
            <w:r>
              <w:rPr>
                <w:lang w:val="en-US"/>
              </w:rPr>
              <w:t>(</w:t>
            </w:r>
            <w:r w:rsidR="009C59F7">
              <w:rPr>
                <w:lang w:val="en-US"/>
              </w:rPr>
              <w:t>7</w:t>
            </w:r>
            <w:r w:rsidR="009C59F7" w:rsidRPr="009C59F7">
              <w:rPr>
                <w:vertAlign w:val="superscript"/>
                <w:lang w:val="en-US"/>
              </w:rPr>
              <w:t>th</w:t>
            </w:r>
            <w:r w:rsidR="009C59F7">
              <w:rPr>
                <w:lang w:val="en-US"/>
              </w:rPr>
              <w:t xml:space="preserve"> – 6</w:t>
            </w:r>
            <w:r w:rsidR="009C59F7" w:rsidRPr="009C59F7">
              <w:rPr>
                <w:vertAlign w:val="superscript"/>
                <w:lang w:val="en-US"/>
              </w:rPr>
              <w:t>th</w:t>
            </w:r>
            <w:r>
              <w:rPr>
                <w:lang w:val="en-US"/>
              </w:rPr>
              <w:t>)</w:t>
            </w:r>
            <w:r w:rsidR="009C59F7">
              <w:rPr>
                <w:lang w:val="en-US"/>
              </w:rPr>
              <w:t xml:space="preserve"> </w:t>
            </w:r>
            <w:r w:rsidR="00087F32" w:rsidRPr="00825774">
              <w:rPr>
                <w:lang w:val="en-US"/>
              </w:rPr>
              <w:t xml:space="preserve"> </w:t>
            </w:r>
          </w:p>
        </w:tc>
        <w:tc>
          <w:tcPr>
            <w:tcW w:w="1443" w:type="dxa"/>
          </w:tcPr>
          <w:p w14:paraId="0DFFA3CE" w14:textId="45BEF24A" w:rsidR="00CF5BB7" w:rsidRPr="00825774" w:rsidRDefault="00087F32" w:rsidP="00CF5BB7">
            <w:pPr>
              <w:rPr>
                <w:lang w:val="en-US"/>
              </w:rPr>
            </w:pPr>
            <w:r w:rsidRPr="00825774">
              <w:rPr>
                <w:lang w:val="en-US"/>
              </w:rPr>
              <w:t>sarcophagus</w:t>
            </w:r>
          </w:p>
        </w:tc>
        <w:tc>
          <w:tcPr>
            <w:tcW w:w="1678" w:type="dxa"/>
          </w:tcPr>
          <w:p w14:paraId="233BDCF2" w14:textId="59E30131" w:rsidR="00CF5BB7" w:rsidRPr="00825774" w:rsidRDefault="00087F32" w:rsidP="00CF5BB7">
            <w:pPr>
              <w:rPr>
                <w:lang w:val="en-US"/>
              </w:rPr>
            </w:pPr>
            <w:r w:rsidRPr="00825774">
              <w:rPr>
                <w:lang w:val="en-US"/>
              </w:rPr>
              <w:t>sherds include an Iron Age geometric handle of a small pot, a staff handle and some plain</w:t>
            </w:r>
          </w:p>
        </w:tc>
      </w:tr>
      <w:tr w:rsidR="00CF5BB7" w:rsidRPr="008C4A6A" w14:paraId="7B025AD1" w14:textId="77777777" w:rsidTr="001515B3">
        <w:tc>
          <w:tcPr>
            <w:tcW w:w="1869" w:type="dxa"/>
          </w:tcPr>
          <w:p w14:paraId="42260C0A" w14:textId="77777777" w:rsidR="00CF5BB7" w:rsidRPr="00825774" w:rsidRDefault="00CF5BB7" w:rsidP="00CF5BB7">
            <w:pPr>
              <w:rPr>
                <w:lang w:val="en-US"/>
              </w:rPr>
            </w:pPr>
            <w:r w:rsidRPr="00825774">
              <w:rPr>
                <w:lang w:val="en-US"/>
              </w:rPr>
              <w:t>G67III p.1 e.1 PI 1 Layer 1 pit fill</w:t>
            </w:r>
          </w:p>
        </w:tc>
        <w:tc>
          <w:tcPr>
            <w:tcW w:w="1869" w:type="dxa"/>
          </w:tcPr>
          <w:p w14:paraId="48A8BF4A" w14:textId="77777777" w:rsidR="00CF5BB7" w:rsidRPr="00825774" w:rsidRDefault="00CF5BB7" w:rsidP="00CF5BB7">
            <w:pPr>
              <w:rPr>
                <w:lang w:val="en-US"/>
              </w:rPr>
            </w:pPr>
            <w:r w:rsidRPr="00825774">
              <w:rPr>
                <w:lang w:val="en-US"/>
              </w:rPr>
              <w:t>Botromagno</w:t>
            </w:r>
          </w:p>
        </w:tc>
        <w:tc>
          <w:tcPr>
            <w:tcW w:w="1641" w:type="dxa"/>
          </w:tcPr>
          <w:p w14:paraId="70276AEA" w14:textId="77777777" w:rsidR="001515B3" w:rsidRDefault="009C59F7" w:rsidP="00CF5BB7">
            <w:pPr>
              <w:rPr>
                <w:lang w:val="en-US"/>
              </w:rPr>
            </w:pPr>
            <w:r>
              <w:rPr>
                <w:lang w:val="en-US"/>
              </w:rPr>
              <w:t xml:space="preserve">Iron Age </w:t>
            </w:r>
          </w:p>
          <w:p w14:paraId="0CBF43B1" w14:textId="7DE5B396" w:rsidR="00CF5BB7" w:rsidRPr="001515B3" w:rsidRDefault="009C59F7" w:rsidP="00CF5BB7">
            <w:pPr>
              <w:rPr>
                <w:lang w:val="en-US"/>
              </w:rPr>
            </w:pPr>
            <w:r>
              <w:rPr>
                <w:lang w:val="en-US"/>
              </w:rPr>
              <w:t>(6</w:t>
            </w:r>
            <w:r w:rsidRPr="009C59F7">
              <w:rPr>
                <w:vertAlign w:val="superscript"/>
                <w:lang w:val="en-US"/>
              </w:rPr>
              <w:t>th</w:t>
            </w:r>
            <w:r>
              <w:rPr>
                <w:lang w:val="en-US"/>
              </w:rPr>
              <w:t xml:space="preserve"> – 3</w:t>
            </w:r>
            <w:r w:rsidRPr="009C59F7">
              <w:rPr>
                <w:vertAlign w:val="superscript"/>
                <w:lang w:val="en-US"/>
              </w:rPr>
              <w:t>rd</w:t>
            </w:r>
            <w:r>
              <w:rPr>
                <w:lang w:val="en-US"/>
              </w:rPr>
              <w:t>)</w:t>
            </w:r>
          </w:p>
        </w:tc>
        <w:tc>
          <w:tcPr>
            <w:tcW w:w="1443" w:type="dxa"/>
          </w:tcPr>
          <w:p w14:paraId="20948D8F" w14:textId="77777777" w:rsidR="00CF5BB7" w:rsidRPr="00825774" w:rsidRDefault="00CF5BB7" w:rsidP="00CF5BB7">
            <w:pPr>
              <w:rPr>
                <w:b/>
                <w:lang w:val="en-US"/>
              </w:rPr>
            </w:pPr>
            <w:r w:rsidRPr="00825774">
              <w:rPr>
                <w:lang w:val="en-US"/>
              </w:rPr>
              <w:t>Pit</w:t>
            </w:r>
          </w:p>
        </w:tc>
        <w:tc>
          <w:tcPr>
            <w:tcW w:w="1678" w:type="dxa"/>
          </w:tcPr>
          <w:p w14:paraId="7E075986" w14:textId="0B57D0FE" w:rsidR="00CF5BB7" w:rsidRPr="00825774" w:rsidRDefault="001515B3" w:rsidP="00CF5BB7">
            <w:pPr>
              <w:rPr>
                <w:b/>
                <w:lang w:val="en-US"/>
              </w:rPr>
            </w:pPr>
            <w:r w:rsidRPr="00825774">
              <w:rPr>
                <w:lang w:val="en-US"/>
              </w:rPr>
              <w:t>U</w:t>
            </w:r>
            <w:r w:rsidR="007179A1" w:rsidRPr="00825774">
              <w:rPr>
                <w:lang w:val="en-US"/>
              </w:rPr>
              <w:t>nk</w:t>
            </w:r>
            <w:r>
              <w:rPr>
                <w:lang w:val="en-US"/>
              </w:rPr>
              <w:t>nown</w:t>
            </w:r>
          </w:p>
        </w:tc>
      </w:tr>
      <w:tr w:rsidR="00CF5BB7" w:rsidRPr="008C4A6A" w14:paraId="33A37D74" w14:textId="77777777" w:rsidTr="001515B3">
        <w:tc>
          <w:tcPr>
            <w:tcW w:w="1869" w:type="dxa"/>
          </w:tcPr>
          <w:p w14:paraId="24630EEB" w14:textId="77777777" w:rsidR="00CF5BB7" w:rsidRPr="00825774" w:rsidRDefault="00CF5BB7" w:rsidP="00CF5BB7">
            <w:pPr>
              <w:rPr>
                <w:lang w:val="en-US"/>
              </w:rPr>
            </w:pPr>
            <w:r w:rsidRPr="00825774">
              <w:rPr>
                <w:lang w:val="en-US"/>
              </w:rPr>
              <w:t>1968 GDA 68 R1 F1 L5</w:t>
            </w:r>
          </w:p>
        </w:tc>
        <w:tc>
          <w:tcPr>
            <w:tcW w:w="1869" w:type="dxa"/>
          </w:tcPr>
          <w:p w14:paraId="0740251E" w14:textId="77777777" w:rsidR="00CF5BB7" w:rsidRPr="00825774" w:rsidRDefault="00CF5BB7" w:rsidP="00CF5BB7">
            <w:pPr>
              <w:rPr>
                <w:lang w:val="en-US"/>
              </w:rPr>
            </w:pPr>
            <w:r w:rsidRPr="00825774">
              <w:rPr>
                <w:lang w:val="en-US"/>
              </w:rPr>
              <w:t>Botromagno</w:t>
            </w:r>
          </w:p>
        </w:tc>
        <w:tc>
          <w:tcPr>
            <w:tcW w:w="1641" w:type="dxa"/>
          </w:tcPr>
          <w:p w14:paraId="59CCECD0" w14:textId="77777777" w:rsidR="001515B3" w:rsidRDefault="009C59F7" w:rsidP="00CF5BB7">
            <w:pPr>
              <w:rPr>
                <w:lang w:val="en-US"/>
              </w:rPr>
            </w:pPr>
            <w:r>
              <w:rPr>
                <w:lang w:val="en-US"/>
              </w:rPr>
              <w:t xml:space="preserve">Iron Age </w:t>
            </w:r>
          </w:p>
          <w:p w14:paraId="42DC97E9" w14:textId="333D82BA" w:rsidR="00CF5BB7" w:rsidRPr="00825774" w:rsidRDefault="009C59F7" w:rsidP="00CF5BB7">
            <w:pPr>
              <w:rPr>
                <w:b/>
                <w:lang w:val="en-US"/>
              </w:rPr>
            </w:pPr>
            <w:r>
              <w:rPr>
                <w:lang w:val="en-US"/>
              </w:rPr>
              <w:t>(6</w:t>
            </w:r>
            <w:r w:rsidRPr="009C59F7">
              <w:rPr>
                <w:vertAlign w:val="superscript"/>
                <w:lang w:val="en-US"/>
              </w:rPr>
              <w:t>th</w:t>
            </w:r>
            <w:r>
              <w:rPr>
                <w:lang w:val="en-US"/>
              </w:rPr>
              <w:t xml:space="preserve"> – 3</w:t>
            </w:r>
            <w:r w:rsidRPr="009C59F7">
              <w:rPr>
                <w:vertAlign w:val="superscript"/>
                <w:lang w:val="en-US"/>
              </w:rPr>
              <w:t>rd</w:t>
            </w:r>
            <w:r>
              <w:rPr>
                <w:lang w:val="en-US"/>
              </w:rPr>
              <w:t>)</w:t>
            </w:r>
          </w:p>
        </w:tc>
        <w:tc>
          <w:tcPr>
            <w:tcW w:w="1443" w:type="dxa"/>
          </w:tcPr>
          <w:p w14:paraId="23BC9F56" w14:textId="77777777" w:rsidR="00CF5BB7" w:rsidRPr="00825774" w:rsidRDefault="00CF5BB7" w:rsidP="00CF5BB7">
            <w:pPr>
              <w:rPr>
                <w:b/>
                <w:lang w:val="en-US"/>
              </w:rPr>
            </w:pPr>
            <w:r w:rsidRPr="00825774">
              <w:rPr>
                <w:lang w:val="en-US"/>
              </w:rPr>
              <w:t>Fill of Sarcophagus</w:t>
            </w:r>
          </w:p>
        </w:tc>
        <w:tc>
          <w:tcPr>
            <w:tcW w:w="1678" w:type="dxa"/>
          </w:tcPr>
          <w:p w14:paraId="163969FB" w14:textId="75B53783" w:rsidR="00CF5BB7" w:rsidRPr="00825774" w:rsidRDefault="001515B3" w:rsidP="00CF5BB7">
            <w:pPr>
              <w:rPr>
                <w:b/>
                <w:lang w:val="en-US"/>
              </w:rPr>
            </w:pPr>
            <w:r w:rsidRPr="00825774">
              <w:rPr>
                <w:lang w:val="en-US"/>
              </w:rPr>
              <w:t>U</w:t>
            </w:r>
            <w:r w:rsidR="007179A1" w:rsidRPr="00825774">
              <w:rPr>
                <w:lang w:val="en-US"/>
              </w:rPr>
              <w:t>nk</w:t>
            </w:r>
            <w:r>
              <w:rPr>
                <w:lang w:val="en-US"/>
              </w:rPr>
              <w:t>nown</w:t>
            </w:r>
          </w:p>
        </w:tc>
      </w:tr>
      <w:tr w:rsidR="00CF5BB7" w:rsidRPr="008C4A6A" w14:paraId="539DE5D0" w14:textId="77777777" w:rsidTr="001515B3">
        <w:tc>
          <w:tcPr>
            <w:tcW w:w="1869" w:type="dxa"/>
          </w:tcPr>
          <w:p w14:paraId="2210989E" w14:textId="77777777" w:rsidR="00CF5BB7" w:rsidRPr="0079060E" w:rsidRDefault="00CF5BB7" w:rsidP="00CF5BB7">
            <w:pPr>
              <w:rPr>
                <w:lang w:val="it-IT"/>
              </w:rPr>
            </w:pPr>
            <w:r w:rsidRPr="0079060E">
              <w:rPr>
                <w:lang w:val="it-IT"/>
              </w:rPr>
              <w:t>Settore II Tomba 11 Scheletro in Con.</w:t>
            </w:r>
          </w:p>
        </w:tc>
        <w:tc>
          <w:tcPr>
            <w:tcW w:w="1869" w:type="dxa"/>
          </w:tcPr>
          <w:p w14:paraId="71BBB831" w14:textId="77777777" w:rsidR="00CF5BB7" w:rsidRPr="00825774" w:rsidRDefault="00CF5BB7" w:rsidP="00CF5BB7">
            <w:pPr>
              <w:rPr>
                <w:lang w:val="en-US"/>
              </w:rPr>
            </w:pPr>
            <w:r w:rsidRPr="00825774">
              <w:rPr>
                <w:lang w:val="en-US"/>
              </w:rPr>
              <w:t>Padreterno</w:t>
            </w:r>
          </w:p>
        </w:tc>
        <w:tc>
          <w:tcPr>
            <w:tcW w:w="1641" w:type="dxa"/>
          </w:tcPr>
          <w:p w14:paraId="6796C8EF" w14:textId="77777777" w:rsidR="001515B3" w:rsidRDefault="00F134CB" w:rsidP="00CF5BB7">
            <w:pPr>
              <w:rPr>
                <w:lang w:val="en-US"/>
              </w:rPr>
            </w:pPr>
            <w:r>
              <w:rPr>
                <w:lang w:val="en-US"/>
              </w:rPr>
              <w:t>Mid-</w:t>
            </w:r>
            <w:r w:rsidR="009C59F7">
              <w:rPr>
                <w:lang w:val="en-US"/>
              </w:rPr>
              <w:t xml:space="preserve">Iron Age </w:t>
            </w:r>
          </w:p>
          <w:p w14:paraId="499624FD" w14:textId="25A5E033" w:rsidR="00CF5BB7" w:rsidRPr="00825774" w:rsidRDefault="009C59F7" w:rsidP="00CF5BB7">
            <w:pPr>
              <w:rPr>
                <w:b/>
                <w:lang w:val="en-US"/>
              </w:rPr>
            </w:pPr>
            <w:r>
              <w:rPr>
                <w:lang w:val="en-US"/>
              </w:rPr>
              <w:t>(</w:t>
            </w:r>
            <w:r w:rsidR="006A3E8D">
              <w:rPr>
                <w:lang w:val="en-US"/>
              </w:rPr>
              <w:t>6</w:t>
            </w:r>
            <w:r w:rsidRPr="009C59F7">
              <w:rPr>
                <w:vertAlign w:val="superscript"/>
                <w:lang w:val="en-US"/>
              </w:rPr>
              <w:t>th</w:t>
            </w:r>
            <w:r>
              <w:rPr>
                <w:lang w:val="en-US"/>
              </w:rPr>
              <w:t xml:space="preserve"> – </w:t>
            </w:r>
            <w:r w:rsidR="006A3E8D">
              <w:rPr>
                <w:lang w:val="en-US"/>
              </w:rPr>
              <w:t>4</w:t>
            </w:r>
            <w:r w:rsidRPr="009C59F7">
              <w:rPr>
                <w:vertAlign w:val="superscript"/>
                <w:lang w:val="en-US"/>
              </w:rPr>
              <w:t>th</w:t>
            </w:r>
            <w:r>
              <w:rPr>
                <w:lang w:val="en-US"/>
              </w:rPr>
              <w:t>)</w:t>
            </w:r>
          </w:p>
        </w:tc>
        <w:tc>
          <w:tcPr>
            <w:tcW w:w="1443" w:type="dxa"/>
          </w:tcPr>
          <w:p w14:paraId="2015DB0C" w14:textId="6407954E" w:rsidR="00CF5BB7" w:rsidRPr="00825774" w:rsidRDefault="007179A1" w:rsidP="00CF5BB7">
            <w:pPr>
              <w:rPr>
                <w:b/>
                <w:lang w:val="en-US"/>
              </w:rPr>
            </w:pPr>
            <w:r w:rsidRPr="00825774">
              <w:rPr>
                <w:lang w:val="en-US"/>
              </w:rPr>
              <w:t>unknown</w:t>
            </w:r>
          </w:p>
        </w:tc>
        <w:tc>
          <w:tcPr>
            <w:tcW w:w="1678" w:type="dxa"/>
          </w:tcPr>
          <w:p w14:paraId="01812CBC" w14:textId="539EA2B6" w:rsidR="00CF5BB7" w:rsidRPr="00825774" w:rsidRDefault="001515B3" w:rsidP="00CF5BB7">
            <w:pPr>
              <w:rPr>
                <w:b/>
                <w:lang w:val="en-US"/>
              </w:rPr>
            </w:pPr>
            <w:r w:rsidRPr="00825774">
              <w:rPr>
                <w:lang w:val="en-US"/>
              </w:rPr>
              <w:t>U</w:t>
            </w:r>
            <w:r w:rsidR="007179A1" w:rsidRPr="00825774">
              <w:rPr>
                <w:lang w:val="en-US"/>
              </w:rPr>
              <w:t>nk</w:t>
            </w:r>
            <w:r>
              <w:rPr>
                <w:lang w:val="en-US"/>
              </w:rPr>
              <w:t>nown</w:t>
            </w:r>
          </w:p>
        </w:tc>
      </w:tr>
      <w:tr w:rsidR="00CF5BB7" w:rsidRPr="008C4A6A" w14:paraId="71AF6A79" w14:textId="77777777" w:rsidTr="001515B3">
        <w:tc>
          <w:tcPr>
            <w:tcW w:w="1869" w:type="dxa"/>
          </w:tcPr>
          <w:p w14:paraId="6B863B45" w14:textId="77777777" w:rsidR="00CF5BB7" w:rsidRPr="00825774" w:rsidRDefault="00CF5BB7" w:rsidP="00CF5BB7">
            <w:pPr>
              <w:rPr>
                <w:lang w:val="en-US"/>
              </w:rPr>
            </w:pPr>
            <w:r w:rsidRPr="00825774">
              <w:rPr>
                <w:lang w:val="en-US"/>
              </w:rPr>
              <w:t>1971 Area NB, Grave 3</w:t>
            </w:r>
          </w:p>
        </w:tc>
        <w:tc>
          <w:tcPr>
            <w:tcW w:w="1869" w:type="dxa"/>
          </w:tcPr>
          <w:p w14:paraId="179CC227" w14:textId="77777777" w:rsidR="00CF5BB7" w:rsidRPr="00825774" w:rsidRDefault="00CF5BB7" w:rsidP="00CF5BB7">
            <w:pPr>
              <w:rPr>
                <w:lang w:val="en-US"/>
              </w:rPr>
            </w:pPr>
            <w:r w:rsidRPr="00825774">
              <w:rPr>
                <w:lang w:val="en-US"/>
              </w:rPr>
              <w:t>Botromagno</w:t>
            </w:r>
          </w:p>
        </w:tc>
        <w:tc>
          <w:tcPr>
            <w:tcW w:w="1641" w:type="dxa"/>
          </w:tcPr>
          <w:p w14:paraId="18EC3DF4" w14:textId="77777777" w:rsidR="001515B3" w:rsidRDefault="009C59F7" w:rsidP="00CF5BB7">
            <w:pPr>
              <w:rPr>
                <w:lang w:val="en-US"/>
              </w:rPr>
            </w:pPr>
            <w:r>
              <w:rPr>
                <w:lang w:val="en-US"/>
              </w:rPr>
              <w:t xml:space="preserve">Iron Age </w:t>
            </w:r>
          </w:p>
          <w:p w14:paraId="73D0FDD9" w14:textId="1EA772CF" w:rsidR="00CF5BB7" w:rsidRPr="00825774" w:rsidRDefault="009C59F7" w:rsidP="00CF5BB7">
            <w:pPr>
              <w:rPr>
                <w:b/>
                <w:lang w:val="en-US"/>
              </w:rPr>
            </w:pPr>
            <w:r>
              <w:rPr>
                <w:lang w:val="en-US"/>
              </w:rPr>
              <w:t>(6</w:t>
            </w:r>
            <w:r w:rsidRPr="009C59F7">
              <w:rPr>
                <w:vertAlign w:val="superscript"/>
                <w:lang w:val="en-US"/>
              </w:rPr>
              <w:t>th</w:t>
            </w:r>
            <w:r>
              <w:rPr>
                <w:lang w:val="en-US"/>
              </w:rPr>
              <w:t xml:space="preserve"> – 3</w:t>
            </w:r>
            <w:r w:rsidRPr="009C59F7">
              <w:rPr>
                <w:vertAlign w:val="superscript"/>
                <w:lang w:val="en-US"/>
              </w:rPr>
              <w:t>rd</w:t>
            </w:r>
            <w:r>
              <w:rPr>
                <w:lang w:val="en-US"/>
              </w:rPr>
              <w:t>)</w:t>
            </w:r>
          </w:p>
        </w:tc>
        <w:tc>
          <w:tcPr>
            <w:tcW w:w="1443" w:type="dxa"/>
          </w:tcPr>
          <w:p w14:paraId="33A76A10" w14:textId="486B916A" w:rsidR="00CF5BB7" w:rsidRPr="00825774" w:rsidRDefault="007179A1" w:rsidP="00CF5BB7">
            <w:pPr>
              <w:rPr>
                <w:b/>
                <w:lang w:val="en-US"/>
              </w:rPr>
            </w:pPr>
            <w:r w:rsidRPr="00825774">
              <w:rPr>
                <w:lang w:val="en-US"/>
              </w:rPr>
              <w:t>unknown</w:t>
            </w:r>
          </w:p>
        </w:tc>
        <w:tc>
          <w:tcPr>
            <w:tcW w:w="1678" w:type="dxa"/>
          </w:tcPr>
          <w:p w14:paraId="389CC7F2" w14:textId="32C1AB47" w:rsidR="00CF5BB7" w:rsidRPr="00825774" w:rsidRDefault="001515B3" w:rsidP="00CF5BB7">
            <w:pPr>
              <w:rPr>
                <w:b/>
                <w:lang w:val="en-US"/>
              </w:rPr>
            </w:pPr>
            <w:r w:rsidRPr="00825774">
              <w:rPr>
                <w:lang w:val="en-US"/>
              </w:rPr>
              <w:t>U</w:t>
            </w:r>
            <w:r w:rsidR="007179A1" w:rsidRPr="00825774">
              <w:rPr>
                <w:lang w:val="en-US"/>
              </w:rPr>
              <w:t>nk</w:t>
            </w:r>
            <w:r>
              <w:rPr>
                <w:lang w:val="en-US"/>
              </w:rPr>
              <w:t>nown</w:t>
            </w:r>
          </w:p>
        </w:tc>
      </w:tr>
    </w:tbl>
    <w:p w14:paraId="6B3CE9C8" w14:textId="1AE18955" w:rsidR="00913F85" w:rsidRDefault="00913F85" w:rsidP="008B33EA">
      <w:pPr>
        <w:spacing w:line="480" w:lineRule="auto"/>
        <w:rPr>
          <w:b/>
        </w:rPr>
      </w:pPr>
    </w:p>
    <w:p w14:paraId="595E361A" w14:textId="77777777" w:rsidR="00913F85" w:rsidRDefault="00913F85" w:rsidP="001C6BF3">
      <w:pPr>
        <w:spacing w:line="480" w:lineRule="auto"/>
        <w:rPr>
          <w:b/>
        </w:rPr>
      </w:pPr>
    </w:p>
    <w:p w14:paraId="26F68B36" w14:textId="38A1A0D7" w:rsidR="00E911B0" w:rsidRPr="00246437" w:rsidRDefault="00CF5BB7" w:rsidP="00246437">
      <w:pPr>
        <w:pStyle w:val="ListParagraph"/>
        <w:numPr>
          <w:ilvl w:val="1"/>
          <w:numId w:val="33"/>
        </w:numPr>
        <w:spacing w:line="480" w:lineRule="auto"/>
        <w:ind w:left="284" w:hanging="426"/>
        <w:rPr>
          <w:rFonts w:ascii="Times New Roman" w:hAnsi="Times New Roman" w:cs="Times New Roman"/>
          <w:b/>
        </w:rPr>
      </w:pPr>
      <w:r w:rsidRPr="00913F85">
        <w:rPr>
          <w:rFonts w:ascii="Times New Roman" w:hAnsi="Times New Roman" w:cs="Times New Roman"/>
          <w:b/>
        </w:rPr>
        <w:t xml:space="preserve">Stable Isotope Methodology </w:t>
      </w:r>
    </w:p>
    <w:p w14:paraId="19121F79" w14:textId="1F6A0538" w:rsidR="00B05E90" w:rsidRPr="00246437" w:rsidRDefault="00CF5BB7" w:rsidP="00246437">
      <w:pPr>
        <w:pStyle w:val="ListParagraph"/>
        <w:numPr>
          <w:ilvl w:val="2"/>
          <w:numId w:val="33"/>
        </w:numPr>
        <w:spacing w:line="480" w:lineRule="auto"/>
        <w:ind w:left="426" w:hanging="568"/>
        <w:rPr>
          <w:rFonts w:ascii="Times New Roman" w:hAnsi="Times New Roman" w:cs="Times New Roman"/>
        </w:rPr>
      </w:pPr>
      <w:r w:rsidRPr="00246437">
        <w:rPr>
          <w:rFonts w:ascii="Times New Roman" w:hAnsi="Times New Roman" w:cs="Times New Roman"/>
        </w:rPr>
        <w:t>Bone Collagen Stable Isotope Analysis</w:t>
      </w:r>
    </w:p>
    <w:p w14:paraId="524E42EB" w14:textId="77777777" w:rsidR="00246437" w:rsidRPr="001C6BF3" w:rsidRDefault="00246437" w:rsidP="00246437">
      <w:pPr>
        <w:pStyle w:val="ListParagraph"/>
        <w:ind w:left="1080"/>
      </w:pPr>
    </w:p>
    <w:p w14:paraId="28E347F3" w14:textId="11519A7B" w:rsidR="00CF5BB7" w:rsidRDefault="00CF5BB7" w:rsidP="0079060E">
      <w:pPr>
        <w:spacing w:line="480" w:lineRule="auto"/>
        <w:ind w:firstLine="709"/>
        <w:rPr>
          <w:lang w:val="en-US"/>
        </w:rPr>
      </w:pPr>
      <w:r w:rsidRPr="00A748B2">
        <w:rPr>
          <w:lang w:val="en-US"/>
        </w:rPr>
        <w:t xml:space="preserve">Bone collagen preparation methods for isotopic analysis were drawn from modified procedures proposed by Longin (1971) and Chisholm and colleagues (1982). If needed the femoral and rib fragments were pulverized with a mortar and pestle. Bone samples were then rinsed with de-ionized water and placed in an ultrasonic bath 3 times </w:t>
      </w:r>
      <w:r w:rsidRPr="00A748B2">
        <w:rPr>
          <w:lang w:val="en-US"/>
        </w:rPr>
        <w:lastRenderedPageBreak/>
        <w:t xml:space="preserve">for 5 minutes or more if needed (if the water continued to be cloudy after 3 washes). The bone samples were then left in an oven at 60 </w:t>
      </w:r>
      <w:r w:rsidRPr="00A748B2">
        <w:rPr>
          <w:lang w:val="en-US"/>
        </w:rPr>
        <w:sym w:font="Symbol" w:char="F0B0"/>
      </w:r>
      <w:r w:rsidRPr="00A748B2">
        <w:rPr>
          <w:lang w:val="en-US"/>
        </w:rPr>
        <w:t xml:space="preserve">C overnight to dry. Once dried, sample weights were measured and recorded. </w:t>
      </w:r>
    </w:p>
    <w:p w14:paraId="02A01CDB" w14:textId="77777777" w:rsidR="00246437" w:rsidRPr="00A748B2" w:rsidRDefault="00246437" w:rsidP="00246437">
      <w:pPr>
        <w:ind w:firstLine="709"/>
        <w:jc w:val="both"/>
        <w:rPr>
          <w:lang w:val="en-US"/>
        </w:rPr>
      </w:pPr>
    </w:p>
    <w:p w14:paraId="284C21D6" w14:textId="537FAB90" w:rsidR="00CF5BB7" w:rsidRDefault="00CF5BB7" w:rsidP="00246437">
      <w:pPr>
        <w:spacing w:line="480" w:lineRule="auto"/>
        <w:ind w:firstLine="709"/>
        <w:rPr>
          <w:lang w:val="en-US"/>
        </w:rPr>
      </w:pPr>
      <w:r w:rsidRPr="00A748B2">
        <w:rPr>
          <w:lang w:val="en-US"/>
        </w:rPr>
        <w:t>For bone demineralization</w:t>
      </w:r>
      <w:r w:rsidR="004530A3">
        <w:rPr>
          <w:lang w:val="en-US"/>
        </w:rPr>
        <w:t>,</w:t>
      </w:r>
      <w:r w:rsidRPr="00A748B2">
        <w:rPr>
          <w:lang w:val="en-US"/>
        </w:rPr>
        <w:t xml:space="preserve"> samples were placed in BD Falcon plastic 50 ml centrifuge tubes. The mineral portion of bone was removed by soaking the samples in 0.25 M HCl (hydrochloric acid). The acid was changed daily until the bone mineral dissolved, leaving a pellet composed of organic material, primarily composed of collagen. The remaining bone pellets were washed with de-ionized water 3 times to remove any acid, and then were rinsed with 0.1 NaOH </w:t>
      </w:r>
      <w:r w:rsidR="001E1D4A">
        <w:rPr>
          <w:lang w:val="en-US"/>
        </w:rPr>
        <w:t xml:space="preserve">(sodium hydroxide) </w:t>
      </w:r>
      <w:r w:rsidRPr="00A748B2">
        <w:rPr>
          <w:lang w:val="en-US"/>
        </w:rPr>
        <w:t>twice</w:t>
      </w:r>
      <w:r w:rsidR="003B371F" w:rsidRPr="00A748B2">
        <w:rPr>
          <w:lang w:val="en-US"/>
        </w:rPr>
        <w:t xml:space="preserve"> to remove any remaining humic materials</w:t>
      </w:r>
      <w:r w:rsidRPr="00A748B2">
        <w:rPr>
          <w:lang w:val="en-US"/>
        </w:rPr>
        <w:t xml:space="preserve">; first for 1 minute and then for up to 20-60 minutes to remove any base-soluble contaminants. Following this, the samples were rinsed in de-ionized water 4 times once again to remove any remaining NaOH. </w:t>
      </w:r>
    </w:p>
    <w:p w14:paraId="63E5A162" w14:textId="77777777" w:rsidR="00246437" w:rsidRPr="00A748B2" w:rsidRDefault="00246437" w:rsidP="00246437">
      <w:pPr>
        <w:ind w:firstLine="709"/>
        <w:rPr>
          <w:lang w:val="en-US"/>
        </w:rPr>
      </w:pPr>
    </w:p>
    <w:p w14:paraId="1771A7BE" w14:textId="49CA8C82" w:rsidR="00CF5BB7" w:rsidRDefault="00CF5BB7" w:rsidP="00246437">
      <w:pPr>
        <w:pStyle w:val="NormalWeb"/>
        <w:spacing w:line="480" w:lineRule="auto"/>
        <w:ind w:firstLine="709"/>
        <w:rPr>
          <w:lang w:val="en-US"/>
        </w:rPr>
      </w:pPr>
      <w:r w:rsidRPr="00A748B2">
        <w:rPr>
          <w:lang w:val="en-US"/>
        </w:rPr>
        <w:t xml:space="preserve">For the hot water extraction, bone pellets were sealed in 50 ml glass test tubes with 0.001 M HCl and placed in the oven overnight at 90 </w:t>
      </w:r>
      <w:r w:rsidRPr="00A748B2">
        <w:rPr>
          <w:lang w:val="en-US"/>
        </w:rPr>
        <w:sym w:font="Symbol" w:char="F0B0"/>
      </w:r>
      <w:r w:rsidRPr="00A748B2">
        <w:rPr>
          <w:lang w:val="en-US"/>
        </w:rPr>
        <w:t>C. Heating the bone pellet caused the collagen within it to become water soluble. The hot water extracted solution was removed from the oven, and its liquid component was decanted into 50 ml Teflon beakers and placed back in the 90</w:t>
      </w:r>
      <w:r w:rsidR="00FE38DB">
        <w:rPr>
          <w:lang w:val="en-US"/>
        </w:rPr>
        <w:t xml:space="preserve"> </w:t>
      </w:r>
      <w:r w:rsidRPr="00A748B2">
        <w:rPr>
          <w:lang w:val="en-US"/>
        </w:rPr>
        <w:t xml:space="preserve">°C oven. While the liquefied collagen dried, any remaining organic pellets went through the hot water extraction process again to ensure the maximum amount of collagen was extracted. </w:t>
      </w:r>
    </w:p>
    <w:p w14:paraId="23155246" w14:textId="77777777" w:rsidR="00246437" w:rsidRPr="00A748B2" w:rsidRDefault="00246437" w:rsidP="00246437">
      <w:pPr>
        <w:pStyle w:val="NormalWeb"/>
        <w:ind w:firstLine="709"/>
        <w:rPr>
          <w:lang w:val="en-US"/>
        </w:rPr>
      </w:pPr>
    </w:p>
    <w:p w14:paraId="5D145028" w14:textId="5642EC42" w:rsidR="00246437" w:rsidRDefault="00CF5BB7" w:rsidP="00CF4ACE">
      <w:pPr>
        <w:pStyle w:val="NormalWeb"/>
        <w:spacing w:line="480" w:lineRule="auto"/>
        <w:ind w:firstLine="709"/>
        <w:rPr>
          <w:lang w:val="en-US"/>
        </w:rPr>
      </w:pPr>
      <w:r w:rsidRPr="00A748B2">
        <w:rPr>
          <w:lang w:val="en-US"/>
        </w:rPr>
        <w:t>After the collagen dried, it was liquified with a small amount of de-ionized water and poured into a pre-weighed and pre-labeled ThermoFisher glass vial. The pre-</w:t>
      </w:r>
      <w:r w:rsidR="0011090D">
        <w:rPr>
          <w:lang w:val="en-US"/>
        </w:rPr>
        <w:t>weighed</w:t>
      </w:r>
      <w:r w:rsidRPr="00A748B2">
        <w:rPr>
          <w:lang w:val="en-US"/>
        </w:rPr>
        <w:t xml:space="preserve"> </w:t>
      </w:r>
      <w:r w:rsidRPr="00A748B2">
        <w:rPr>
          <w:lang w:val="en-US"/>
        </w:rPr>
        <w:lastRenderedPageBreak/>
        <w:t xml:space="preserve">glass vials were placed back in the oven at 80 </w:t>
      </w:r>
      <w:r w:rsidRPr="00A748B2">
        <w:rPr>
          <w:lang w:val="en-US"/>
        </w:rPr>
        <w:sym w:font="Symbol" w:char="F0B0"/>
      </w:r>
      <w:r w:rsidRPr="00A748B2">
        <w:rPr>
          <w:lang w:val="en-US"/>
        </w:rPr>
        <w:t xml:space="preserve">C. Once the de-ionized water had evaporated, the solid collagen was weighed and percent yield was calculated using the following equation: </w:t>
      </w:r>
    </w:p>
    <w:p w14:paraId="024E0772" w14:textId="77777777" w:rsidR="00246437" w:rsidRPr="00A748B2" w:rsidRDefault="00246437" w:rsidP="00246437">
      <w:pPr>
        <w:pStyle w:val="NormalWeb"/>
        <w:rPr>
          <w:lang w:val="en-US"/>
        </w:rPr>
      </w:pPr>
    </w:p>
    <w:p w14:paraId="33839CF0" w14:textId="5B9007F0" w:rsidR="00CF5BB7" w:rsidRDefault="00CF5BB7" w:rsidP="00CF5BB7">
      <w:pPr>
        <w:pStyle w:val="NormalWeb"/>
        <w:spacing w:line="480" w:lineRule="auto"/>
        <w:rPr>
          <w:i/>
          <w:iCs/>
          <w:lang w:val="en-US"/>
        </w:rPr>
      </w:pPr>
      <w:r w:rsidRPr="00A748B2">
        <w:rPr>
          <w:i/>
          <w:iCs/>
          <w:lang w:val="en-US"/>
        </w:rPr>
        <w:t>Equation 4.1 - Formula to calculate bone collagen yield</w:t>
      </w:r>
      <w:r w:rsidR="001E1D4A">
        <w:rPr>
          <w:i/>
          <w:iCs/>
          <w:lang w:val="en-US"/>
        </w:rPr>
        <w:t xml:space="preserve"> (percent)</w:t>
      </w:r>
      <w:r w:rsidRPr="00A748B2">
        <w:rPr>
          <w:i/>
          <w:iCs/>
          <w:lang w:val="en-US"/>
        </w:rPr>
        <w:t xml:space="preserve">. </w:t>
      </w:r>
    </w:p>
    <w:p w14:paraId="3F8D5A27" w14:textId="77777777" w:rsidR="00246437" w:rsidRPr="00A748B2" w:rsidRDefault="00246437" w:rsidP="00246437">
      <w:pPr>
        <w:pStyle w:val="NormalWeb"/>
        <w:rPr>
          <w:i/>
          <w:iCs/>
          <w:lang w:val="en-US"/>
        </w:rPr>
      </w:pPr>
    </w:p>
    <w:p w14:paraId="5B286978" w14:textId="35769FEC" w:rsidR="00CF5BB7" w:rsidRPr="00A748B2" w:rsidRDefault="00BD4967" w:rsidP="00CF5BB7">
      <w:pPr>
        <w:pStyle w:val="NormalWeb"/>
        <w:spacing w:line="480" w:lineRule="auto"/>
        <w:rPr>
          <w:lang w:val="en-US"/>
        </w:rPr>
      </w:pPr>
      <m:oMathPara>
        <m:oMath>
          <m:f>
            <m:fPr>
              <m:ctrlPr>
                <w:rPr>
                  <w:rFonts w:ascii="Cambria Math" w:hAnsi="Cambria Math"/>
                  <w:i/>
                  <w:iCs/>
                  <w:lang w:val="en-US"/>
                </w:rPr>
              </m:ctrlPr>
            </m:fPr>
            <m:num>
              <m:r>
                <w:rPr>
                  <w:rFonts w:ascii="Cambria Math" w:hAnsi="Cambria Math"/>
                  <w:lang w:val="en-US"/>
                </w:rPr>
                <m:t>weight of collagen</m:t>
              </m:r>
            </m:num>
            <m:den>
              <m:r>
                <w:rPr>
                  <w:rFonts w:ascii="Cambria Math" w:hAnsi="Cambria Math"/>
                  <w:lang w:val="en-US"/>
                </w:rPr>
                <m:t xml:space="preserve">weight of bone </m:t>
              </m:r>
            </m:den>
          </m:f>
          <m:r>
            <w:rPr>
              <w:rFonts w:ascii="Cambria Math" w:hAnsi="Cambria Math"/>
              <w:lang w:val="en-US"/>
            </w:rPr>
            <m:t>*100 =% yield of collagen</m:t>
          </m:r>
        </m:oMath>
      </m:oMathPara>
    </w:p>
    <w:p w14:paraId="386308F8" w14:textId="77777777" w:rsidR="00CF5BB7" w:rsidRPr="00A748B2" w:rsidRDefault="00CF5BB7" w:rsidP="00246437">
      <w:pPr>
        <w:pStyle w:val="NormalWeb"/>
        <w:rPr>
          <w:iCs/>
          <w:lang w:val="en-US"/>
        </w:rPr>
      </w:pPr>
    </w:p>
    <w:p w14:paraId="4D16D0ED" w14:textId="40CCBC67" w:rsidR="00CF4ACE" w:rsidRPr="00A748B2" w:rsidRDefault="00CF5BB7" w:rsidP="00CF4ACE">
      <w:pPr>
        <w:pStyle w:val="NormalWeb"/>
        <w:spacing w:line="480" w:lineRule="auto"/>
        <w:ind w:firstLine="720"/>
        <w:rPr>
          <w:color w:val="000000"/>
          <w:shd w:val="clear" w:color="auto" w:fill="FFFFFF"/>
          <w:lang w:val="en-US"/>
        </w:rPr>
      </w:pPr>
      <w:r w:rsidRPr="00A748B2">
        <w:rPr>
          <w:lang w:val="en-US"/>
        </w:rPr>
        <w:t xml:space="preserve">A maximum of 130 mg of collagen was collected from the glass vials and transferred into 2.0 ml micro tubes for mass spectrometry. Mass spectrometry was conducted at the </w:t>
      </w:r>
      <w:r w:rsidR="001B3BD9" w:rsidRPr="001B3BD9">
        <w:rPr>
          <w:lang w:val="en-US"/>
        </w:rPr>
        <w:t xml:space="preserve">Ján Veizer Stable Isotope Laboratory (formerly G.G. </w:t>
      </w:r>
      <w:r w:rsidR="00A83A77" w:rsidRPr="001B3BD9">
        <w:rPr>
          <w:lang w:val="en-US"/>
        </w:rPr>
        <w:t>Hatch)</w:t>
      </w:r>
      <w:r w:rsidR="00A83A77" w:rsidRPr="00A748B2">
        <w:rPr>
          <w:lang w:val="en-US"/>
        </w:rPr>
        <w:t xml:space="preserve"> at</w:t>
      </w:r>
      <w:r w:rsidRPr="00A748B2">
        <w:rPr>
          <w:lang w:val="en-US"/>
        </w:rPr>
        <w:t xml:space="preserve"> the University of Ottawa using a Thermo Finnigan Delta XP</w:t>
      </w:r>
      <w:r w:rsidR="001E1D4A">
        <w:rPr>
          <w:lang w:val="en-US"/>
        </w:rPr>
        <w:t xml:space="preserve"> mass spectrometer</w:t>
      </w:r>
      <w:r w:rsidRPr="00A748B2">
        <w:rPr>
          <w:lang w:val="en-US"/>
        </w:rPr>
        <w:t>. The Hatch Lab procedures were as follows. The powder</w:t>
      </w:r>
      <w:r w:rsidR="001E1D4A">
        <w:rPr>
          <w:lang w:val="en-US"/>
        </w:rPr>
        <w:t>ed</w:t>
      </w:r>
      <w:r w:rsidRPr="00A748B2">
        <w:rPr>
          <w:lang w:val="en-US"/>
        </w:rPr>
        <w:t xml:space="preserve"> collagen samples were weighed in tin capsules and loaded into an elemental </w:t>
      </w:r>
      <w:r w:rsidR="00A83A77" w:rsidRPr="00A748B2">
        <w:rPr>
          <w:lang w:val="en-US"/>
        </w:rPr>
        <w:t>analyzer</w:t>
      </w:r>
      <w:r w:rsidRPr="00A748B2">
        <w:rPr>
          <w:lang w:val="en-US"/>
        </w:rPr>
        <w:t xml:space="preserve"> linked to an isotopic ratio mass spectrometer (IRMS). In the elemental </w:t>
      </w:r>
      <w:r w:rsidR="00A83A77" w:rsidRPr="00A748B2">
        <w:rPr>
          <w:lang w:val="en-US"/>
        </w:rPr>
        <w:t>analyzer</w:t>
      </w:r>
      <w:r w:rsidRPr="00A748B2">
        <w:rPr>
          <w:lang w:val="en-US"/>
        </w:rPr>
        <w:t xml:space="preserve"> the samples were flash combusted at 1800 </w:t>
      </w:r>
      <w:r w:rsidRPr="00A748B2">
        <w:rPr>
          <w:lang w:val="en-US"/>
        </w:rPr>
        <w:sym w:font="Symbol" w:char="F0B0"/>
      </w:r>
      <w:r w:rsidRPr="00A748B2">
        <w:rPr>
          <w:lang w:val="en-US"/>
        </w:rPr>
        <w:t>C. The resulting carbon dioxide (CO</w:t>
      </w:r>
      <w:r w:rsidRPr="00A748B2">
        <w:rPr>
          <w:vertAlign w:val="subscript"/>
          <w:lang w:val="en-US"/>
        </w:rPr>
        <w:t>2</w:t>
      </w:r>
      <w:r w:rsidRPr="00A748B2">
        <w:rPr>
          <w:lang w:val="en-US"/>
        </w:rPr>
        <w:t>) and nitrogen (N</w:t>
      </w:r>
      <w:r w:rsidRPr="00A748B2">
        <w:rPr>
          <w:vertAlign w:val="subscript"/>
          <w:lang w:val="en-US"/>
        </w:rPr>
        <w:t>2</w:t>
      </w:r>
      <w:r w:rsidRPr="00A748B2">
        <w:rPr>
          <w:lang w:val="en-US"/>
        </w:rPr>
        <w:t>) gas products were carried by helium through columns of oxidizing and reducing chemicals optimized for CO</w:t>
      </w:r>
      <w:r w:rsidRPr="00A748B2">
        <w:rPr>
          <w:vertAlign w:val="subscript"/>
          <w:lang w:val="en-US"/>
        </w:rPr>
        <w:t>2</w:t>
      </w:r>
      <w:r w:rsidRPr="00A748B2">
        <w:rPr>
          <w:lang w:val="en-US"/>
        </w:rPr>
        <w:t xml:space="preserve"> and N</w:t>
      </w:r>
      <w:r w:rsidRPr="00A748B2">
        <w:rPr>
          <w:vertAlign w:val="subscript"/>
          <w:lang w:val="en-US"/>
        </w:rPr>
        <w:t>2</w:t>
      </w:r>
      <w:r w:rsidRPr="00A748B2">
        <w:rPr>
          <w:lang w:val="en-US"/>
        </w:rPr>
        <w:t xml:space="preserve">. A </w:t>
      </w:r>
      <w:r w:rsidRPr="00A748B2">
        <w:rPr>
          <w:color w:val="000000"/>
          <w:shd w:val="clear" w:color="auto" w:fill="FFFFFF"/>
          <w:lang w:val="en-US"/>
        </w:rPr>
        <w:t>"trap and purge" column separated the CO</w:t>
      </w:r>
      <w:r w:rsidRPr="00A748B2">
        <w:rPr>
          <w:color w:val="000000"/>
          <w:shd w:val="clear" w:color="auto" w:fill="FFFFFF"/>
          <w:vertAlign w:val="subscript"/>
          <w:lang w:val="en-US"/>
        </w:rPr>
        <w:t>2</w:t>
      </w:r>
      <w:r w:rsidRPr="00A748B2">
        <w:rPr>
          <w:color w:val="000000"/>
          <w:shd w:val="clear" w:color="auto" w:fill="FFFFFF"/>
          <w:lang w:val="en-US"/>
        </w:rPr>
        <w:t xml:space="preserve"> and N</w:t>
      </w:r>
      <w:r w:rsidRPr="00A748B2">
        <w:rPr>
          <w:color w:val="000000"/>
          <w:shd w:val="clear" w:color="auto" w:fill="FFFFFF"/>
          <w:vertAlign w:val="subscript"/>
          <w:lang w:val="en-US"/>
        </w:rPr>
        <w:t>2</w:t>
      </w:r>
      <w:r w:rsidRPr="00A748B2">
        <w:rPr>
          <w:color w:val="000000"/>
          <w:shd w:val="clear" w:color="auto" w:fill="FFFFFF"/>
          <w:vertAlign w:val="superscript"/>
          <w:lang w:val="en-US"/>
        </w:rPr>
        <w:t xml:space="preserve"> </w:t>
      </w:r>
      <w:r w:rsidRPr="00A748B2">
        <w:rPr>
          <w:color w:val="000000"/>
          <w:shd w:val="clear" w:color="auto" w:fill="FFFFFF"/>
          <w:lang w:val="en-US"/>
        </w:rPr>
        <w:t>before they were sent to the IRMS interface and IRMS. The IRMS generated the isotope ratios from each sample. Isotope ratios were reported in Delta notation relative to international standards, with δ</w:t>
      </w:r>
      <w:r w:rsidRPr="00A748B2">
        <w:rPr>
          <w:color w:val="000000"/>
          <w:shd w:val="clear" w:color="auto" w:fill="FFFFFF"/>
          <w:vertAlign w:val="superscript"/>
          <w:lang w:val="en-US"/>
        </w:rPr>
        <w:t>13</w:t>
      </w:r>
      <w:r w:rsidRPr="00A748B2">
        <w:rPr>
          <w:color w:val="000000"/>
          <w:shd w:val="clear" w:color="auto" w:fill="FFFFFF"/>
          <w:lang w:val="en-US"/>
        </w:rPr>
        <w:t>C reported as ‰ vs. VPDB (Vienna Pee Dee Belemnite) and δ</w:t>
      </w:r>
      <w:r w:rsidRPr="00A748B2">
        <w:rPr>
          <w:color w:val="000000"/>
          <w:shd w:val="clear" w:color="auto" w:fill="FFFFFF"/>
          <w:vertAlign w:val="superscript"/>
          <w:lang w:val="en-US"/>
        </w:rPr>
        <w:t>15</w:t>
      </w:r>
      <w:r w:rsidRPr="00A748B2">
        <w:rPr>
          <w:color w:val="000000"/>
          <w:shd w:val="clear" w:color="auto" w:fill="FFFFFF"/>
          <w:lang w:val="en-US"/>
        </w:rPr>
        <w:t>N reported as ‰ vs. AIR (Ambient Inhalable Reservoir).</w:t>
      </w:r>
      <w:r w:rsidR="007D19DC" w:rsidRPr="00A748B2">
        <w:rPr>
          <w:color w:val="000000"/>
          <w:shd w:val="clear" w:color="auto" w:fill="FFFFFF"/>
          <w:lang w:val="en-US"/>
        </w:rPr>
        <w:t xml:space="preserve"> G. G. Hatch reports that analytical precision is ± 0.2‰ based on internal laboratory standards.</w:t>
      </w:r>
      <w:r w:rsidRPr="00A748B2">
        <w:rPr>
          <w:color w:val="000000"/>
          <w:shd w:val="clear" w:color="auto" w:fill="FFFFFF"/>
          <w:lang w:val="en-US"/>
        </w:rPr>
        <w:t xml:space="preserve"> Following mass spectrometry, preservation of </w:t>
      </w:r>
      <w:r w:rsidRPr="00A748B2">
        <w:rPr>
          <w:color w:val="000000"/>
          <w:shd w:val="clear" w:color="auto" w:fill="FFFFFF"/>
          <w:lang w:val="en-US"/>
        </w:rPr>
        <w:lastRenderedPageBreak/>
        <w:t xml:space="preserve">bone collagen was evaluated using both percent yield and carbon to nitrogen (C:N) ratios of the samples. A C:N ratio between 2.9 to 3.6 signals that the collagen in bone has not been affected by post-mortem processes (DeNiro, 1985). Ratios of carbon to nitrogen were calculated using Equation 4.2. </w:t>
      </w:r>
    </w:p>
    <w:p w14:paraId="61149F1A" w14:textId="77777777" w:rsidR="00CF5BB7" w:rsidRPr="00A748B2" w:rsidRDefault="00CF5BB7" w:rsidP="00CF5BB7">
      <w:pPr>
        <w:pStyle w:val="NormalWeb"/>
        <w:spacing w:line="480" w:lineRule="auto"/>
        <w:rPr>
          <w:i/>
          <w:iCs/>
          <w:color w:val="000000"/>
          <w:shd w:val="clear" w:color="auto" w:fill="FFFFFF"/>
          <w:lang w:val="en-US"/>
        </w:rPr>
      </w:pPr>
      <w:r w:rsidRPr="00A748B2">
        <w:rPr>
          <w:i/>
          <w:iCs/>
          <w:color w:val="000000"/>
          <w:shd w:val="clear" w:color="auto" w:fill="FFFFFF"/>
          <w:lang w:val="en-US"/>
        </w:rPr>
        <w:t xml:space="preserve">Equation 4.2 - Formula to calculate the carbon to nitrogen ratio in collagen. </w:t>
      </w:r>
    </w:p>
    <w:p w14:paraId="6F28A1E7" w14:textId="77777777" w:rsidR="00CF5BB7" w:rsidRPr="00A748B2" w:rsidRDefault="00CF5BB7" w:rsidP="00246437">
      <w:pPr>
        <w:pStyle w:val="NormalWeb"/>
        <w:rPr>
          <w:color w:val="000000"/>
          <w:shd w:val="clear" w:color="auto" w:fill="FFFFFF"/>
          <w:lang w:val="en-US"/>
        </w:rPr>
      </w:pPr>
    </w:p>
    <w:p w14:paraId="04D8059F" w14:textId="77777777" w:rsidR="00CF5BB7" w:rsidRPr="00A748B2" w:rsidRDefault="00CF5BB7" w:rsidP="00CF5BB7">
      <w:pPr>
        <w:pStyle w:val="NormalWeb"/>
        <w:spacing w:line="480" w:lineRule="auto"/>
        <w:rPr>
          <w:color w:val="000000"/>
          <w:shd w:val="clear" w:color="auto" w:fill="FFFFFF"/>
          <w:lang w:val="en-US"/>
        </w:rPr>
      </w:pPr>
      <m:oMathPara>
        <m:oMath>
          <m:r>
            <w:rPr>
              <w:rFonts w:ascii="Cambria Math" w:hAnsi="Cambria Math"/>
              <w:color w:val="000000"/>
              <w:shd w:val="clear" w:color="auto" w:fill="FFFFFF"/>
              <w:lang w:val="en-US"/>
            </w:rPr>
            <m:t xml:space="preserve">C:N = </m:t>
          </m:r>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 C of sample</m:t>
              </m:r>
            </m:num>
            <m:den>
              <m:r>
                <w:rPr>
                  <w:rFonts w:ascii="Cambria Math" w:hAnsi="Cambria Math"/>
                  <w:color w:val="000000"/>
                  <w:shd w:val="clear" w:color="auto" w:fill="FFFFFF"/>
                  <w:lang w:val="en-US"/>
                </w:rPr>
                <m:t xml:space="preserve">% N of sample </m:t>
              </m:r>
            </m:den>
          </m:f>
          <m:r>
            <w:rPr>
              <w:rFonts w:ascii="Cambria Math" w:hAnsi="Cambria Math"/>
              <w:color w:val="000000"/>
              <w:shd w:val="clear" w:color="auto" w:fill="FFFFFF"/>
              <w:lang w:val="en-US"/>
            </w:rPr>
            <m:t xml:space="preserve">* </m:t>
          </m:r>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14</m:t>
              </m:r>
            </m:num>
            <m:den>
              <m:r>
                <w:rPr>
                  <w:rFonts w:ascii="Cambria Math" w:hAnsi="Cambria Math"/>
                  <w:color w:val="000000"/>
                  <w:shd w:val="clear" w:color="auto" w:fill="FFFFFF"/>
                  <w:lang w:val="en-US"/>
                </w:rPr>
                <m:t>12</m:t>
              </m:r>
            </m:den>
          </m:f>
        </m:oMath>
      </m:oMathPara>
    </w:p>
    <w:p w14:paraId="6E5C4B0C" w14:textId="77777777" w:rsidR="00CF5BB7" w:rsidRPr="00A748B2" w:rsidRDefault="00CF5BB7" w:rsidP="00CF5BB7">
      <w:pPr>
        <w:pStyle w:val="NormalWeb"/>
        <w:spacing w:line="480" w:lineRule="auto"/>
        <w:rPr>
          <w:rFonts w:ascii="Helvetica" w:hAnsi="Helvetica"/>
          <w:color w:val="000000"/>
          <w:sz w:val="20"/>
          <w:szCs w:val="20"/>
          <w:shd w:val="clear" w:color="auto" w:fill="FFFFFF"/>
          <w:lang w:val="en-US"/>
        </w:rPr>
      </w:pPr>
    </w:p>
    <w:p w14:paraId="5F951129" w14:textId="0E8E160E" w:rsidR="00CF5BB7" w:rsidRDefault="00CF5BB7" w:rsidP="00CF5BB7">
      <w:pPr>
        <w:pStyle w:val="NormalWeb"/>
        <w:spacing w:line="480" w:lineRule="auto"/>
        <w:rPr>
          <w:color w:val="000000"/>
          <w:shd w:val="clear" w:color="auto" w:fill="FFFFFF"/>
          <w:lang w:val="en-US"/>
        </w:rPr>
      </w:pPr>
      <w:r w:rsidRPr="00A748B2">
        <w:rPr>
          <w:color w:val="000000"/>
          <w:shd w:val="clear" w:color="auto" w:fill="FFFFFF"/>
          <w:lang w:val="en-US"/>
        </w:rPr>
        <w:t>Samples were included in this study if their collagen yields and/or C:N ratios were within the accepted range</w:t>
      </w:r>
      <w:r w:rsidR="0011090D">
        <w:rPr>
          <w:color w:val="000000"/>
          <w:shd w:val="clear" w:color="auto" w:fill="FFFFFF"/>
          <w:lang w:val="en-US"/>
        </w:rPr>
        <w:t xml:space="preserve"> of 1% (Dobberstein et al. 2009).</w:t>
      </w:r>
    </w:p>
    <w:p w14:paraId="7FF062A0" w14:textId="77777777" w:rsidR="00042B1A" w:rsidRPr="00042B1A" w:rsidRDefault="00042B1A" w:rsidP="00246437">
      <w:pPr>
        <w:pStyle w:val="NormalWeb"/>
        <w:rPr>
          <w:color w:val="000000"/>
          <w:shd w:val="clear" w:color="auto" w:fill="FFFFFF"/>
          <w:lang w:val="en-US"/>
        </w:rPr>
      </w:pPr>
    </w:p>
    <w:p w14:paraId="0D51A657" w14:textId="2CC86D73" w:rsidR="00CF5BB7" w:rsidRDefault="00CF5BB7" w:rsidP="00913F85">
      <w:pPr>
        <w:pStyle w:val="NormalWeb"/>
        <w:numPr>
          <w:ilvl w:val="2"/>
          <w:numId w:val="34"/>
        </w:numPr>
        <w:spacing w:line="480" w:lineRule="auto"/>
        <w:rPr>
          <w:lang w:val="en-US"/>
        </w:rPr>
      </w:pPr>
      <w:r w:rsidRPr="00246437">
        <w:rPr>
          <w:lang w:val="en-US"/>
        </w:rPr>
        <w:t xml:space="preserve">Dentine Collagen Microsampling </w:t>
      </w:r>
    </w:p>
    <w:p w14:paraId="201BA21B" w14:textId="77777777" w:rsidR="00246437" w:rsidRPr="00246437" w:rsidRDefault="00246437" w:rsidP="00246437">
      <w:pPr>
        <w:pStyle w:val="NormalWeb"/>
        <w:ind w:left="720"/>
        <w:rPr>
          <w:lang w:val="en-US"/>
        </w:rPr>
      </w:pPr>
    </w:p>
    <w:p w14:paraId="5D3AA9A0" w14:textId="3217B098" w:rsidR="00CF5BB7" w:rsidRDefault="00CF5BB7" w:rsidP="00246437">
      <w:pPr>
        <w:pStyle w:val="NormalWeb"/>
        <w:spacing w:line="480" w:lineRule="auto"/>
        <w:ind w:firstLine="709"/>
        <w:rPr>
          <w:lang w:val="en-US"/>
        </w:rPr>
      </w:pPr>
      <w:r w:rsidRPr="00A748B2">
        <w:rPr>
          <w:lang w:val="en-US"/>
        </w:rPr>
        <w:t xml:space="preserve">Dentine collagen preparation methods were derived from procedures outlined by Beaumont et al. (2013). Enamel was removed for all tooth samples with a hand held Dremel drill with a diamond burr without breaching the enamel/dentine junction (EDJ). Samples were then rinsed with de-ionized water and placed in an ultrasonic bath 3 times for 5 minutes. After that, the samples were dried in the oven at 60 </w:t>
      </w:r>
      <w:r w:rsidRPr="00A748B2">
        <w:rPr>
          <w:lang w:val="en-US"/>
        </w:rPr>
        <w:sym w:font="Symbol" w:char="F0B0"/>
      </w:r>
      <w:r w:rsidRPr="00A748B2">
        <w:rPr>
          <w:lang w:val="en-US"/>
        </w:rPr>
        <w:t>C overnight. Teeth were then placed in labeled plastic 50 ml centrifuge tubes for demineralization. Samples were soaked in 0.5M HCl and placed in the refrigerator at 4</w:t>
      </w:r>
      <w:r w:rsidR="00FE38DB">
        <w:rPr>
          <w:lang w:val="en-US"/>
        </w:rPr>
        <w:t xml:space="preserve"> </w:t>
      </w:r>
      <w:r w:rsidRPr="00A748B2">
        <w:rPr>
          <w:lang w:val="en-US"/>
        </w:rPr>
        <w:sym w:font="Symbol" w:char="F0B0"/>
      </w:r>
      <w:r w:rsidRPr="00A748B2">
        <w:rPr>
          <w:lang w:val="en-US"/>
        </w:rPr>
        <w:t xml:space="preserve">C. Stronger acid was used for teeth in comparison to the bone samples due to the fact that teeth are more densely mineralized. The acid was changed daily until the dentine was demineralized. </w:t>
      </w:r>
    </w:p>
    <w:p w14:paraId="696E3930" w14:textId="77777777" w:rsidR="00246437" w:rsidRPr="00A748B2" w:rsidRDefault="00246437" w:rsidP="00246437">
      <w:pPr>
        <w:pStyle w:val="NormalWeb"/>
        <w:ind w:firstLine="709"/>
        <w:rPr>
          <w:lang w:val="en-US"/>
        </w:rPr>
      </w:pPr>
    </w:p>
    <w:p w14:paraId="2E8A4AA6" w14:textId="08960C03" w:rsidR="00CF5BB7" w:rsidRPr="00A748B2" w:rsidRDefault="00CF5BB7" w:rsidP="00246437">
      <w:pPr>
        <w:pStyle w:val="NormalWeb"/>
        <w:spacing w:line="480" w:lineRule="auto"/>
        <w:ind w:firstLine="709"/>
        <w:rPr>
          <w:lang w:val="en-US"/>
        </w:rPr>
      </w:pPr>
      <w:r w:rsidRPr="00A748B2">
        <w:rPr>
          <w:lang w:val="en-US"/>
        </w:rPr>
        <w:lastRenderedPageBreak/>
        <w:t xml:space="preserve">To section a demineralized tooth, the complete tooth was first measured with a metal ruler. Using the complete length of the tooth the number of sections were estimated with the minimum width of the sections being 2 mm and maximum being 4 mm in order to obtain the minimum amount of collagen (0.8 mg) required to run through mass spectrometry. Sections were cut using a sharp scalpel on a silicon cutting board starting at the apex and placed in prelabeled and pre-weighed 2.0 ml Axygen microtubes. To each tube and section 0.001 M HCl was added and heated at 70 </w:t>
      </w:r>
      <w:r w:rsidRPr="00A748B2">
        <w:rPr>
          <w:lang w:val="en-US"/>
        </w:rPr>
        <w:sym w:font="Symbol" w:char="F0B0"/>
      </w:r>
      <w:r w:rsidRPr="00A748B2">
        <w:rPr>
          <w:lang w:val="en-US"/>
        </w:rPr>
        <w:t>C for 24 hours to produce soluble collagen. If there was any remaining organic pellet, the liquid component was decanted into another pre-weighed microtube and dried, while the organic pellet was heated with 0.001 M HCl for another round</w:t>
      </w:r>
      <w:r w:rsidR="001E1D4A">
        <w:rPr>
          <w:lang w:val="en-US"/>
        </w:rPr>
        <w:t xml:space="preserve"> of heating</w:t>
      </w:r>
      <w:r w:rsidRPr="00A748B2">
        <w:rPr>
          <w:lang w:val="en-US"/>
        </w:rPr>
        <w:t xml:space="preserve">. Once the dentine collagen was dried, the microtubes were weighed to determine the weight of the collagen sample and percent yield. </w:t>
      </w:r>
    </w:p>
    <w:p w14:paraId="0A5E8EE3" w14:textId="77777777" w:rsidR="00CF5BB7" w:rsidRPr="00A748B2" w:rsidRDefault="00CF5BB7" w:rsidP="00246437">
      <w:pPr>
        <w:pStyle w:val="NormalWeb"/>
        <w:rPr>
          <w:lang w:val="en-US"/>
        </w:rPr>
      </w:pPr>
    </w:p>
    <w:p w14:paraId="689C4000" w14:textId="0D714384" w:rsidR="00CF5BB7" w:rsidRPr="00A748B2" w:rsidRDefault="00CF5BB7" w:rsidP="00CF5BB7">
      <w:pPr>
        <w:pStyle w:val="NormalWeb"/>
        <w:spacing w:line="480" w:lineRule="auto"/>
        <w:rPr>
          <w:i/>
          <w:iCs/>
          <w:lang w:val="en-US"/>
        </w:rPr>
      </w:pPr>
      <w:r w:rsidRPr="00A748B2">
        <w:rPr>
          <w:i/>
          <w:lang w:val="en-US"/>
        </w:rPr>
        <w:t xml:space="preserve">Equation 4.3 </w:t>
      </w:r>
      <w:r w:rsidR="00965216">
        <w:rPr>
          <w:i/>
          <w:lang w:val="en-US"/>
        </w:rPr>
        <w:t xml:space="preserve">- </w:t>
      </w:r>
      <w:r w:rsidRPr="00A748B2">
        <w:rPr>
          <w:i/>
          <w:iCs/>
          <w:lang w:val="en-US"/>
        </w:rPr>
        <w:t xml:space="preserve">Formula to calculate dentine collagen percent yield. </w:t>
      </w:r>
    </w:p>
    <w:p w14:paraId="4D504047" w14:textId="77777777" w:rsidR="00CF5BB7" w:rsidRPr="00A748B2" w:rsidRDefault="00CF5BB7" w:rsidP="00CF5BB7">
      <w:pPr>
        <w:pStyle w:val="NormalWeb"/>
        <w:spacing w:line="480" w:lineRule="auto"/>
        <w:rPr>
          <w:i/>
          <w:iCs/>
          <w:lang w:val="en-US"/>
        </w:rPr>
      </w:pPr>
    </w:p>
    <w:p w14:paraId="224FC398" w14:textId="44048B90" w:rsidR="00CF5BB7" w:rsidRPr="00042B1A" w:rsidRDefault="00BD4967" w:rsidP="00CF5BB7">
      <w:pPr>
        <w:pStyle w:val="NormalWeb"/>
        <w:spacing w:line="480" w:lineRule="auto"/>
        <w:rPr>
          <w:i/>
          <w:iCs/>
          <w:lang w:val="en-US"/>
        </w:rPr>
      </w:pPr>
      <m:oMathPara>
        <m:oMath>
          <m:f>
            <m:fPr>
              <m:ctrlPr>
                <w:rPr>
                  <w:rFonts w:ascii="Cambria Math" w:hAnsi="Cambria Math"/>
                  <w:i/>
                  <w:iCs/>
                  <w:lang w:val="en-US"/>
                </w:rPr>
              </m:ctrlPr>
            </m:fPr>
            <m:num>
              <m:r>
                <w:rPr>
                  <w:rFonts w:ascii="Cambria Math" w:hAnsi="Cambria Math"/>
                  <w:lang w:val="en-US"/>
                </w:rPr>
                <m:t>sum of all microsample collagen weights</m:t>
              </m:r>
            </m:num>
            <m:den>
              <m:eqArr>
                <m:eqArrPr>
                  <m:ctrlPr>
                    <w:rPr>
                      <w:rFonts w:ascii="Cambria Math" w:hAnsi="Cambria Math"/>
                      <w:i/>
                      <w:lang w:val="en-US"/>
                    </w:rPr>
                  </m:ctrlPr>
                </m:eqArrPr>
                <m:e>
                  <m:r>
                    <w:rPr>
                      <w:rFonts w:ascii="Cambria Math" w:hAnsi="Cambria Math"/>
                      <w:lang w:val="en-US"/>
                    </w:rPr>
                    <m:t>weight of complete tooth (after removal</m:t>
                  </m:r>
                </m:e>
                <m:e>
                  <m:r>
                    <w:rPr>
                      <w:rFonts w:ascii="Cambria Math" w:hAnsi="Cambria Math"/>
                      <w:lang w:val="en-US"/>
                    </w:rPr>
                    <m:t>of enamel)</m:t>
                  </m:r>
                </m:e>
              </m:eqArr>
            </m:den>
          </m:f>
          <m:r>
            <w:rPr>
              <w:rFonts w:ascii="Cambria Math" w:hAnsi="Cambria Math"/>
              <w:lang w:val="en-US"/>
            </w:rPr>
            <m:t>*100=% dentine collagen yield</m:t>
          </m:r>
        </m:oMath>
      </m:oMathPara>
    </w:p>
    <w:p w14:paraId="690F6CD1" w14:textId="77777777" w:rsidR="00CF5BB7" w:rsidRPr="00A748B2" w:rsidRDefault="00CF5BB7" w:rsidP="00CF5BB7">
      <w:pPr>
        <w:pStyle w:val="NormalWeb"/>
        <w:spacing w:line="480" w:lineRule="auto"/>
        <w:rPr>
          <w:lang w:val="en-US"/>
        </w:rPr>
      </w:pPr>
    </w:p>
    <w:p w14:paraId="7F8BD80C" w14:textId="4EB51CC3" w:rsidR="00CF5BB7" w:rsidRDefault="00CF5BB7" w:rsidP="00CF5BB7">
      <w:pPr>
        <w:pStyle w:val="NormalWeb"/>
        <w:spacing w:line="480" w:lineRule="auto"/>
        <w:rPr>
          <w:lang w:val="en-US"/>
        </w:rPr>
      </w:pPr>
      <w:r w:rsidRPr="00A748B2">
        <w:rPr>
          <w:lang w:val="en-US"/>
        </w:rPr>
        <w:t xml:space="preserve"> </w:t>
      </w:r>
      <w:r w:rsidRPr="00A748B2">
        <w:rPr>
          <w:lang w:val="en-US"/>
        </w:rPr>
        <w:tab/>
        <w:t>Similar to bone collagen samples, the dentine collagen samples were also sent to the</w:t>
      </w:r>
      <w:r w:rsidR="001E1D4A">
        <w:rPr>
          <w:lang w:val="en-US"/>
        </w:rPr>
        <w:t xml:space="preserve"> </w:t>
      </w:r>
      <w:r w:rsidR="0011090D">
        <w:rPr>
          <w:lang w:val="en-US"/>
        </w:rPr>
        <w:t>Ján Veizier</w:t>
      </w:r>
      <w:r w:rsidRPr="00A748B2">
        <w:rPr>
          <w:lang w:val="en-US"/>
        </w:rPr>
        <w:t xml:space="preserve"> Isotope Laboratory at the University of Ottawa for mass spectrometry. </w:t>
      </w:r>
    </w:p>
    <w:p w14:paraId="7F08AE5A" w14:textId="77777777" w:rsidR="00112285" w:rsidRPr="00A748B2" w:rsidRDefault="00112285" w:rsidP="00965216">
      <w:pPr>
        <w:pStyle w:val="NormalWeb"/>
        <w:rPr>
          <w:lang w:val="en-US"/>
        </w:rPr>
      </w:pPr>
    </w:p>
    <w:p w14:paraId="0ECD6351" w14:textId="77777777" w:rsidR="003509C3" w:rsidRDefault="003509C3" w:rsidP="00112285">
      <w:pPr>
        <w:pStyle w:val="NormalWeb"/>
        <w:spacing w:line="480" w:lineRule="auto"/>
        <w:ind w:firstLine="720"/>
        <w:rPr>
          <w:lang w:val="en-US"/>
        </w:rPr>
      </w:pPr>
    </w:p>
    <w:p w14:paraId="631ED6CA" w14:textId="2113C731" w:rsidR="00CF5BB7" w:rsidRDefault="00CF5BB7" w:rsidP="00112285">
      <w:pPr>
        <w:pStyle w:val="NormalWeb"/>
        <w:spacing w:line="480" w:lineRule="auto"/>
        <w:ind w:firstLine="720"/>
        <w:rPr>
          <w:lang w:val="en-US"/>
        </w:rPr>
      </w:pPr>
      <w:r w:rsidRPr="00A748B2">
        <w:rPr>
          <w:lang w:val="en-US"/>
        </w:rPr>
        <w:lastRenderedPageBreak/>
        <w:t xml:space="preserve">The collagen samples obtained from each tooth section were allocated an age range following the method outlined by Beaumont and Montgomery (2015), which was based on the developmental charts produced by the Queen Mary University of London (QMUL) London Atlas (AlQahtani et al. 2010).  The total time taken for the tooth to develop was calculated by subtracting the age at cusp initiation from the age at apex closure. This number was then divided by the regularized sections/increments taken from the tooth. If irregular sections were taken, calculations were adjusted to take this into account. </w:t>
      </w:r>
      <w:r w:rsidR="00D950E3" w:rsidRPr="00A748B2">
        <w:rPr>
          <w:lang w:val="en-US"/>
        </w:rPr>
        <w:t>In several cases in this study, occlusal wear removed two or more years of growth</w:t>
      </w:r>
      <w:r w:rsidR="001E1D4A">
        <w:rPr>
          <w:lang w:val="en-US"/>
        </w:rPr>
        <w:t xml:space="preserve"> from the top portion of the tooth, so some samples do not have data for the earliest stages of development</w:t>
      </w:r>
      <w:r w:rsidR="00D950E3" w:rsidRPr="00A748B2">
        <w:rPr>
          <w:lang w:val="en-US"/>
        </w:rPr>
        <w:t xml:space="preserve">. </w:t>
      </w:r>
      <w:r w:rsidRPr="00A748B2">
        <w:rPr>
          <w:lang w:val="en-US"/>
        </w:rPr>
        <w:t>Figure 4.</w:t>
      </w:r>
      <w:r w:rsidR="001A1463">
        <w:rPr>
          <w:lang w:val="en-US"/>
        </w:rPr>
        <w:t>3</w:t>
      </w:r>
      <w:r w:rsidRPr="00A748B2">
        <w:rPr>
          <w:lang w:val="en-US"/>
        </w:rPr>
        <w:t xml:space="preserve"> serves as a general indication of the timing for dentine development for a mandibular permanent first molar and how age estimation for tooth sections were calculated. It should be noted that these ranges are approximate and are complicated by the differences in development rates between individuals and populations (Beaumont</w:t>
      </w:r>
      <w:r w:rsidR="0057525E" w:rsidRPr="00A748B2">
        <w:rPr>
          <w:lang w:val="en-US"/>
        </w:rPr>
        <w:t xml:space="preserve"> &amp; </w:t>
      </w:r>
      <w:r w:rsidRPr="00A748B2">
        <w:rPr>
          <w:lang w:val="en-US"/>
        </w:rPr>
        <w:t>Montgomery 2015).</w:t>
      </w:r>
    </w:p>
    <w:p w14:paraId="2CDDE4D3" w14:textId="4A4CCCD7" w:rsidR="00B13223" w:rsidRDefault="00B13223" w:rsidP="00B13223">
      <w:pPr>
        <w:pStyle w:val="NormalWeb"/>
        <w:spacing w:line="480" w:lineRule="auto"/>
        <w:rPr>
          <w:lang w:val="en-US"/>
        </w:rPr>
      </w:pPr>
    </w:p>
    <w:p w14:paraId="7F5B21A7" w14:textId="01C973F8" w:rsidR="00511E3B" w:rsidRDefault="00511E3B" w:rsidP="00B13223">
      <w:pPr>
        <w:pStyle w:val="NormalWeb"/>
        <w:spacing w:line="480" w:lineRule="auto"/>
        <w:rPr>
          <w:lang w:val="en-US"/>
        </w:rPr>
      </w:pPr>
    </w:p>
    <w:p w14:paraId="28728FD1" w14:textId="63CB5B1D" w:rsidR="00511E3B" w:rsidRDefault="00511E3B" w:rsidP="00B13223">
      <w:pPr>
        <w:pStyle w:val="NormalWeb"/>
        <w:spacing w:line="480" w:lineRule="auto"/>
        <w:rPr>
          <w:lang w:val="en-US"/>
        </w:rPr>
      </w:pPr>
    </w:p>
    <w:p w14:paraId="04B04986" w14:textId="77777777" w:rsidR="00511E3B" w:rsidRPr="00A748B2" w:rsidRDefault="00511E3B" w:rsidP="00B13223">
      <w:pPr>
        <w:pStyle w:val="NormalWeb"/>
        <w:spacing w:line="480" w:lineRule="auto"/>
        <w:rPr>
          <w:lang w:val="en-US"/>
        </w:rPr>
      </w:pPr>
    </w:p>
    <w:p w14:paraId="26396F95" w14:textId="770A9647" w:rsidR="00CF5BB7" w:rsidRPr="00A748B2" w:rsidRDefault="00511E3B" w:rsidP="00CF5BB7">
      <w:pPr>
        <w:pStyle w:val="NormalWeb"/>
        <w:spacing w:line="480" w:lineRule="auto"/>
        <w:rPr>
          <w:lang w:val="en-US"/>
        </w:rPr>
      </w:pPr>
      <w:bookmarkStart w:id="3" w:name="OLE_LINK4"/>
      <w:bookmarkStart w:id="4" w:name="OLE_LINK5"/>
      <w:r w:rsidRPr="00A748B2">
        <w:rPr>
          <w:noProof/>
          <w:lang w:eastAsia="en-CA"/>
        </w:rPr>
        <w:lastRenderedPageBreak/>
        <w:drawing>
          <wp:anchor distT="0" distB="0" distL="114300" distR="114300" simplePos="0" relativeHeight="251656189" behindDoc="0" locked="0" layoutInCell="1" allowOverlap="1" wp14:anchorId="37C817B1" wp14:editId="74E37BBD">
            <wp:simplePos x="0" y="0"/>
            <wp:positionH relativeFrom="margin">
              <wp:posOffset>1230024</wp:posOffset>
            </wp:positionH>
            <wp:positionV relativeFrom="margin">
              <wp:posOffset>-1066</wp:posOffset>
            </wp:positionV>
            <wp:extent cx="2458720" cy="3394075"/>
            <wp:effectExtent l="0" t="0" r="5080" b="0"/>
            <wp:wrapSquare wrapText="bothSides"/>
            <wp:docPr id="13" name="Chart 13">
              <a:extLst xmlns:a="http://schemas.openxmlformats.org/drawingml/2006/main">
                <a:ext uri="{FF2B5EF4-FFF2-40B4-BE49-F238E27FC236}">
                  <a16:creationId xmlns:a16="http://schemas.microsoft.com/office/drawing/2014/main" id="{858D5850-9A25-A242-A2AD-A9763CB6E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9748C0">
        <w:rPr>
          <w:b/>
          <w:noProof/>
          <w:lang w:eastAsia="en-CA"/>
        </w:rPr>
        <w:drawing>
          <wp:anchor distT="0" distB="0" distL="114300" distR="114300" simplePos="0" relativeHeight="251658239" behindDoc="0" locked="0" layoutInCell="1" allowOverlap="1" wp14:anchorId="1A35B2BC" wp14:editId="2B7C2DFD">
            <wp:simplePos x="0" y="0"/>
            <wp:positionH relativeFrom="margin">
              <wp:align>center</wp:align>
            </wp:positionH>
            <wp:positionV relativeFrom="paragraph">
              <wp:posOffset>245745</wp:posOffset>
            </wp:positionV>
            <wp:extent cx="1879600" cy="3149600"/>
            <wp:effectExtent l="0" t="0" r="0" b="0"/>
            <wp:wrapNone/>
            <wp:docPr id="42" name="Picture 4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11.png"/>
                    <pic:cNvPicPr/>
                  </pic:nvPicPr>
                  <pic:blipFill>
                    <a:blip r:embed="rId23">
                      <a:extLst>
                        <a:ext uri="{28A0092B-C50C-407E-A947-70E740481C1C}">
                          <a14:useLocalDpi xmlns:a14="http://schemas.microsoft.com/office/drawing/2010/main" val="0"/>
                        </a:ext>
                      </a:extLst>
                    </a:blip>
                    <a:stretch>
                      <a:fillRect/>
                    </a:stretch>
                  </pic:blipFill>
                  <pic:spPr>
                    <a:xfrm>
                      <a:off x="0" y="0"/>
                      <a:ext cx="1879600" cy="3149600"/>
                    </a:xfrm>
                    <a:prstGeom prst="rect">
                      <a:avLst/>
                    </a:prstGeom>
                  </pic:spPr>
                </pic:pic>
              </a:graphicData>
            </a:graphic>
            <wp14:sizeRelH relativeFrom="page">
              <wp14:pctWidth>0</wp14:pctWidth>
            </wp14:sizeRelH>
            <wp14:sizeRelV relativeFrom="page">
              <wp14:pctHeight>0</wp14:pctHeight>
            </wp14:sizeRelV>
          </wp:anchor>
        </w:drawing>
      </w:r>
    </w:p>
    <w:bookmarkEnd w:id="3"/>
    <w:bookmarkEnd w:id="4"/>
    <w:p w14:paraId="44E36D52" w14:textId="10361363" w:rsidR="00511E3B" w:rsidRDefault="00511E3B" w:rsidP="00E911B0">
      <w:pPr>
        <w:jc w:val="center"/>
        <w:rPr>
          <w:b/>
          <w:lang w:val="en-US"/>
        </w:rPr>
      </w:pPr>
      <w:r w:rsidRPr="00A748B2">
        <w:rPr>
          <w:noProof/>
          <w:lang w:eastAsia="en-CA"/>
        </w:rPr>
        <w:drawing>
          <wp:anchor distT="0" distB="0" distL="114300" distR="114300" simplePos="0" relativeHeight="251660288" behindDoc="0" locked="0" layoutInCell="1" allowOverlap="1" wp14:anchorId="2DBD1C02" wp14:editId="656DDB29">
            <wp:simplePos x="0" y="0"/>
            <wp:positionH relativeFrom="margin">
              <wp:posOffset>1785836</wp:posOffset>
            </wp:positionH>
            <wp:positionV relativeFrom="paragraph">
              <wp:posOffset>126633</wp:posOffset>
            </wp:positionV>
            <wp:extent cx="1929765" cy="2776756"/>
            <wp:effectExtent l="0" t="0" r="63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3-01-01 00.00.00-21 copy.jpg"/>
                    <pic:cNvPicPr/>
                  </pic:nvPicPr>
                  <pic:blipFill rotWithShape="1">
                    <a:blip r:embed="rId24" cstate="print">
                      <a:alphaModFix amt="50000"/>
                      <a:extLst>
                        <a:ext uri="{BEBA8EAE-BF5A-486C-A8C5-ECC9F3942E4B}">
                          <a14:imgProps xmlns:a14="http://schemas.microsoft.com/office/drawing/2010/main">
                            <a14:imgLayer r:embed="rId25">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l="27951" t="6819" r="24466" b="13213"/>
                    <a:stretch/>
                  </pic:blipFill>
                  <pic:spPr bwMode="auto">
                    <a:xfrm>
                      <a:off x="0" y="0"/>
                      <a:ext cx="1932178" cy="2780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79213" w14:textId="77777777" w:rsidR="00511E3B" w:rsidRDefault="00511E3B" w:rsidP="00E911B0">
      <w:pPr>
        <w:jc w:val="center"/>
        <w:rPr>
          <w:b/>
          <w:lang w:val="en-US"/>
        </w:rPr>
      </w:pPr>
    </w:p>
    <w:p w14:paraId="4DD27398" w14:textId="6C341FD2" w:rsidR="00511E3B" w:rsidRDefault="00511E3B" w:rsidP="00E911B0">
      <w:pPr>
        <w:jc w:val="center"/>
        <w:rPr>
          <w:b/>
          <w:lang w:val="en-US"/>
        </w:rPr>
      </w:pPr>
      <w:r w:rsidRPr="00A748B2">
        <w:rPr>
          <w:noProof/>
          <w:lang w:eastAsia="en-CA"/>
        </w:rPr>
        <mc:AlternateContent>
          <mc:Choice Requires="wps">
            <w:drawing>
              <wp:anchor distT="0" distB="0" distL="114300" distR="114300" simplePos="0" relativeHeight="251671552" behindDoc="0" locked="0" layoutInCell="1" allowOverlap="1" wp14:anchorId="44E62350" wp14:editId="2FB2F8CD">
                <wp:simplePos x="0" y="0"/>
                <wp:positionH relativeFrom="column">
                  <wp:posOffset>4016241</wp:posOffset>
                </wp:positionH>
                <wp:positionV relativeFrom="paragraph">
                  <wp:posOffset>71755</wp:posOffset>
                </wp:positionV>
                <wp:extent cx="438150" cy="1398905"/>
                <wp:effectExtent l="0" t="0" r="6350" b="0"/>
                <wp:wrapNone/>
                <wp:docPr id="25" name="Text Box 25"/>
                <wp:cNvGraphicFramePr/>
                <a:graphic xmlns:a="http://schemas.openxmlformats.org/drawingml/2006/main">
                  <a:graphicData uri="http://schemas.microsoft.com/office/word/2010/wordprocessingShape">
                    <wps:wsp>
                      <wps:cNvSpPr txBox="1"/>
                      <wps:spPr>
                        <a:xfrm flipV="1">
                          <a:off x="0" y="0"/>
                          <a:ext cx="438150" cy="1398905"/>
                        </a:xfrm>
                        <a:prstGeom prst="rect">
                          <a:avLst/>
                        </a:prstGeom>
                        <a:solidFill>
                          <a:schemeClr val="lt1"/>
                        </a:solidFill>
                        <a:ln w="6350">
                          <a:noFill/>
                        </a:ln>
                      </wps:spPr>
                      <wps:txbx>
                        <w:txbxContent>
                          <w:p w14:paraId="4BD64CB0" w14:textId="77777777" w:rsidR="00BD4967" w:rsidRPr="00C35CCD" w:rsidRDefault="00BD4967" w:rsidP="00CF5BB7">
                            <w:pPr>
                              <w:rPr>
                                <w:color w:val="000000" w:themeColor="text1"/>
                                <w:sz w:val="20"/>
                              </w:rPr>
                            </w:pPr>
                            <w:r w:rsidRPr="00C35CCD">
                              <w:rPr>
                                <w:color w:val="000000" w:themeColor="text1"/>
                                <w:sz w:val="20"/>
                              </w:rPr>
                              <w:t>Length in cm</w:t>
                            </w:r>
                          </w:p>
                          <w:p w14:paraId="7748E057" w14:textId="77777777" w:rsidR="00BD4967" w:rsidRPr="00C35CCD" w:rsidRDefault="00BD4967" w:rsidP="00CF5BB7">
                            <w:pPr>
                              <w:rPr>
                                <w:color w:val="000000" w:themeColor="text1"/>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62350" id="_x0000_t202" coordsize="21600,21600" o:spt="202" path="m,l,21600r21600,l21600,xe">
                <v:stroke joinstyle="miter"/>
                <v:path gradientshapeok="t" o:connecttype="rect"/>
              </v:shapetype>
              <v:shape id="Text Box 25" o:spid="_x0000_s1026" type="#_x0000_t202" style="position:absolute;left:0;text-align:left;margin-left:316.25pt;margin-top:5.65pt;width:34.5pt;height:110.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" fillcolor="white [3201]" stroked="f" strokeweight=".5pt">
                <v:textbox style="layout-flow:vertical-ideographic">
                  <w:txbxContent>
                    <w:p w14:paraId="4BD64CB0" w14:textId="77777777" w:rsidR="00BD4967" w:rsidRPr="00C35CCD" w:rsidRDefault="00BD4967" w:rsidP="00CF5BB7">
                      <w:pPr>
                        <w:rPr>
                          <w:color w:val="000000" w:themeColor="text1"/>
                          <w:sz w:val="20"/>
                        </w:rPr>
                      </w:pPr>
                      <w:r w:rsidRPr="00C35CCD">
                        <w:rPr>
                          <w:color w:val="000000" w:themeColor="text1"/>
                          <w:sz w:val="20"/>
                        </w:rPr>
                        <w:t>Length in cm</w:t>
                      </w:r>
                    </w:p>
                    <w:p w14:paraId="7748E057" w14:textId="77777777" w:rsidR="00BD4967" w:rsidRPr="00C35CCD" w:rsidRDefault="00BD4967" w:rsidP="00CF5BB7">
                      <w:pPr>
                        <w:rPr>
                          <w:color w:val="000000" w:themeColor="text1"/>
                        </w:rPr>
                      </w:pPr>
                    </w:p>
                  </w:txbxContent>
                </v:textbox>
              </v:shape>
            </w:pict>
          </mc:Fallback>
        </mc:AlternateContent>
      </w:r>
    </w:p>
    <w:p w14:paraId="06C4DC3B" w14:textId="37D6F030" w:rsidR="00511E3B" w:rsidRDefault="00511E3B" w:rsidP="00E911B0">
      <w:pPr>
        <w:jc w:val="center"/>
        <w:rPr>
          <w:b/>
          <w:lang w:val="en-US"/>
        </w:rPr>
      </w:pPr>
    </w:p>
    <w:p w14:paraId="6CFD7706" w14:textId="4BC92971" w:rsidR="00511E3B" w:rsidRDefault="001A1463" w:rsidP="00E911B0">
      <w:pPr>
        <w:jc w:val="center"/>
        <w:rPr>
          <w:b/>
          <w:lang w:val="en-US"/>
        </w:rPr>
      </w:pPr>
      <w:r w:rsidRPr="00A748B2">
        <w:rPr>
          <w:noProof/>
          <w:lang w:eastAsia="en-CA"/>
        </w:rPr>
        <mc:AlternateContent>
          <mc:Choice Requires="wps">
            <w:drawing>
              <wp:anchor distT="0" distB="0" distL="114300" distR="114300" simplePos="0" relativeHeight="251669504" behindDoc="0" locked="0" layoutInCell="1" allowOverlap="1" wp14:anchorId="756DA60D" wp14:editId="0F0F1C43">
                <wp:simplePos x="0" y="0"/>
                <wp:positionH relativeFrom="column">
                  <wp:posOffset>1927994</wp:posOffset>
                </wp:positionH>
                <wp:positionV relativeFrom="paragraph">
                  <wp:posOffset>1270</wp:posOffset>
                </wp:positionV>
                <wp:extent cx="1595120" cy="0"/>
                <wp:effectExtent l="0" t="0" r="0" b="12700"/>
                <wp:wrapNone/>
                <wp:docPr id="22" name="Straight Connector 22"/>
                <wp:cNvGraphicFramePr/>
                <a:graphic xmlns:a="http://schemas.openxmlformats.org/drawingml/2006/main">
                  <a:graphicData uri="http://schemas.microsoft.com/office/word/2010/wordprocessingShape">
                    <wps:wsp>
                      <wps:cNvCnPr/>
                      <wps:spPr>
                        <a:xfrm>
                          <a:off x="0" y="0"/>
                          <a:ext cx="1595120"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2E9BEBE"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1.8pt,.1pt" to="277.4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" strokecolor="black [3200]" strokeweight="1pt">
                <v:stroke dashstyle="dash"/>
              </v:line>
            </w:pict>
          </mc:Fallback>
        </mc:AlternateContent>
      </w:r>
    </w:p>
    <w:p w14:paraId="7B380935" w14:textId="4EF87A7A" w:rsidR="00511E3B" w:rsidRDefault="001A1463" w:rsidP="00E911B0">
      <w:pPr>
        <w:jc w:val="center"/>
        <w:rPr>
          <w:b/>
          <w:lang w:val="en-US"/>
        </w:rPr>
      </w:pPr>
      <w:r w:rsidRPr="00A748B2">
        <w:rPr>
          <w:noProof/>
          <w:lang w:eastAsia="en-CA"/>
        </w:rPr>
        <mc:AlternateContent>
          <mc:Choice Requires="wps">
            <w:drawing>
              <wp:anchor distT="0" distB="0" distL="114300" distR="114300" simplePos="0" relativeHeight="251668480" behindDoc="0" locked="0" layoutInCell="1" allowOverlap="1" wp14:anchorId="4B5B9160" wp14:editId="5C89C71C">
                <wp:simplePos x="0" y="0"/>
                <wp:positionH relativeFrom="column">
                  <wp:posOffset>1894339</wp:posOffset>
                </wp:positionH>
                <wp:positionV relativeFrom="paragraph">
                  <wp:posOffset>82550</wp:posOffset>
                </wp:positionV>
                <wp:extent cx="1595120" cy="0"/>
                <wp:effectExtent l="0" t="0" r="0" b="12700"/>
                <wp:wrapNone/>
                <wp:docPr id="21" name="Straight Connector 21"/>
                <wp:cNvGraphicFramePr/>
                <a:graphic xmlns:a="http://schemas.openxmlformats.org/drawingml/2006/main">
                  <a:graphicData uri="http://schemas.microsoft.com/office/word/2010/wordprocessingShape">
                    <wps:wsp>
                      <wps:cNvCnPr/>
                      <wps:spPr>
                        <a:xfrm>
                          <a:off x="0" y="0"/>
                          <a:ext cx="1595120"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5654282" id="Straight Connector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9.15pt,6.5pt" to="274.75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" strokecolor="black [3200]" strokeweight="1pt">
                <v:stroke dashstyle="dash"/>
              </v:line>
            </w:pict>
          </mc:Fallback>
        </mc:AlternateContent>
      </w:r>
    </w:p>
    <w:p w14:paraId="63408B85" w14:textId="2641652C" w:rsidR="00511E3B" w:rsidRDefault="001A1463" w:rsidP="00E911B0">
      <w:pPr>
        <w:jc w:val="center"/>
        <w:rPr>
          <w:b/>
          <w:lang w:val="en-US"/>
        </w:rPr>
      </w:pPr>
      <w:r w:rsidRPr="00A748B2">
        <w:rPr>
          <w:noProof/>
          <w:lang w:eastAsia="en-CA"/>
        </w:rPr>
        <mc:AlternateContent>
          <mc:Choice Requires="wps">
            <w:drawing>
              <wp:anchor distT="0" distB="0" distL="114300" distR="114300" simplePos="0" relativeHeight="251667456" behindDoc="0" locked="0" layoutInCell="1" allowOverlap="1" wp14:anchorId="272441F3" wp14:editId="58AD89D2">
                <wp:simplePos x="0" y="0"/>
                <wp:positionH relativeFrom="column">
                  <wp:posOffset>1904499</wp:posOffset>
                </wp:positionH>
                <wp:positionV relativeFrom="paragraph">
                  <wp:posOffset>155575</wp:posOffset>
                </wp:positionV>
                <wp:extent cx="1595120" cy="0"/>
                <wp:effectExtent l="0" t="0" r="0" b="12700"/>
                <wp:wrapNone/>
                <wp:docPr id="20" name="Straight Connector 20"/>
                <wp:cNvGraphicFramePr/>
                <a:graphic xmlns:a="http://schemas.openxmlformats.org/drawingml/2006/main">
                  <a:graphicData uri="http://schemas.microsoft.com/office/word/2010/wordprocessingShape">
                    <wps:wsp>
                      <wps:cNvCnPr/>
                      <wps:spPr>
                        <a:xfrm>
                          <a:off x="0" y="0"/>
                          <a:ext cx="1595120"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12D9E8C" id="Straight Connector 2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49.95pt,12.25pt" to="275.55pt,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" strokecolor="black [3200]" strokeweight="1pt">
                <v:stroke dashstyle="dash"/>
              </v:line>
            </w:pict>
          </mc:Fallback>
        </mc:AlternateContent>
      </w:r>
    </w:p>
    <w:p w14:paraId="21168BBE" w14:textId="73A862AB" w:rsidR="00511E3B" w:rsidRDefault="00511E3B" w:rsidP="00E911B0">
      <w:pPr>
        <w:jc w:val="center"/>
        <w:rPr>
          <w:b/>
          <w:lang w:val="en-US"/>
        </w:rPr>
      </w:pPr>
      <w:r w:rsidRPr="00A748B2">
        <w:rPr>
          <w:noProof/>
          <w:lang w:eastAsia="en-CA"/>
        </w:rPr>
        <w:drawing>
          <wp:anchor distT="0" distB="0" distL="114300" distR="114300" simplePos="0" relativeHeight="251670528" behindDoc="0" locked="0" layoutInCell="1" allowOverlap="1" wp14:anchorId="74EDD295" wp14:editId="781F05CF">
            <wp:simplePos x="0" y="0"/>
            <wp:positionH relativeFrom="column">
              <wp:posOffset>2527751</wp:posOffset>
            </wp:positionH>
            <wp:positionV relativeFrom="paragraph">
              <wp:posOffset>40958</wp:posOffset>
            </wp:positionV>
            <wp:extent cx="2626995" cy="248920"/>
            <wp:effectExtent l="0" t="4762"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ulerCm.png"/>
                    <pic:cNvPicPr/>
                  </pic:nvPicPr>
                  <pic:blipFill rotWithShape="1">
                    <a:blip r:embed="rId26" cstate="print">
                      <a:extLst>
                        <a:ext uri="{28A0092B-C50C-407E-A947-70E740481C1C}">
                          <a14:useLocalDpi xmlns:a14="http://schemas.microsoft.com/office/drawing/2010/main" val="0"/>
                        </a:ext>
                      </a:extLst>
                    </a:blip>
                    <a:srcRect l="1" t="-31" r="33233" b="33661"/>
                    <a:stretch/>
                  </pic:blipFill>
                  <pic:spPr bwMode="auto">
                    <a:xfrm rot="16200000">
                      <a:off x="0" y="0"/>
                      <a:ext cx="2626995" cy="24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DD9CB" w14:textId="5CB37DCA" w:rsidR="00511E3B" w:rsidRDefault="001A1463" w:rsidP="00E911B0">
      <w:pPr>
        <w:jc w:val="center"/>
        <w:rPr>
          <w:b/>
          <w:lang w:val="en-US"/>
        </w:rPr>
      </w:pPr>
      <w:r w:rsidRPr="00A748B2">
        <w:rPr>
          <w:noProof/>
          <w:lang w:eastAsia="en-CA"/>
        </w:rPr>
        <mc:AlternateContent>
          <mc:Choice Requires="wps">
            <w:drawing>
              <wp:anchor distT="0" distB="0" distL="114300" distR="114300" simplePos="0" relativeHeight="251666432" behindDoc="0" locked="0" layoutInCell="1" allowOverlap="1" wp14:anchorId="46BA5927" wp14:editId="1BC13073">
                <wp:simplePos x="0" y="0"/>
                <wp:positionH relativeFrom="column">
                  <wp:posOffset>1962150</wp:posOffset>
                </wp:positionH>
                <wp:positionV relativeFrom="paragraph">
                  <wp:posOffset>52204</wp:posOffset>
                </wp:positionV>
                <wp:extent cx="1595120" cy="0"/>
                <wp:effectExtent l="0" t="0" r="0" b="12700"/>
                <wp:wrapNone/>
                <wp:docPr id="19" name="Straight Connector 19"/>
                <wp:cNvGraphicFramePr/>
                <a:graphic xmlns:a="http://schemas.openxmlformats.org/drawingml/2006/main">
                  <a:graphicData uri="http://schemas.microsoft.com/office/word/2010/wordprocessingShape">
                    <wps:wsp>
                      <wps:cNvCnPr/>
                      <wps:spPr>
                        <a:xfrm>
                          <a:off x="0" y="0"/>
                          <a:ext cx="1595120"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2A4E0B5" id="Straight Connector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4.5pt,4.1pt" to="280.1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" strokecolor="black [3200]" strokeweight="1pt">
                <v:stroke dashstyle="dash"/>
              </v:line>
            </w:pict>
          </mc:Fallback>
        </mc:AlternateContent>
      </w:r>
    </w:p>
    <w:p w14:paraId="64BCFFA5" w14:textId="77E57AA8" w:rsidR="00511E3B" w:rsidRDefault="001A1463" w:rsidP="00E911B0">
      <w:pPr>
        <w:jc w:val="center"/>
        <w:rPr>
          <w:b/>
          <w:lang w:val="en-US"/>
        </w:rPr>
      </w:pPr>
      <w:r w:rsidRPr="00A748B2">
        <w:rPr>
          <w:noProof/>
          <w:lang w:eastAsia="en-CA"/>
        </w:rPr>
        <mc:AlternateContent>
          <mc:Choice Requires="wps">
            <w:drawing>
              <wp:anchor distT="0" distB="0" distL="114300" distR="114300" simplePos="0" relativeHeight="251665408" behindDoc="0" locked="0" layoutInCell="1" allowOverlap="1" wp14:anchorId="3B5F7CDB" wp14:editId="40C9564F">
                <wp:simplePos x="0" y="0"/>
                <wp:positionH relativeFrom="column">
                  <wp:posOffset>1914490</wp:posOffset>
                </wp:positionH>
                <wp:positionV relativeFrom="paragraph">
                  <wp:posOffset>135890</wp:posOffset>
                </wp:positionV>
                <wp:extent cx="1595120" cy="0"/>
                <wp:effectExtent l="0" t="0" r="0" b="12700"/>
                <wp:wrapNone/>
                <wp:docPr id="18" name="Straight Connector 18"/>
                <wp:cNvGraphicFramePr/>
                <a:graphic xmlns:a="http://schemas.openxmlformats.org/drawingml/2006/main">
                  <a:graphicData uri="http://schemas.microsoft.com/office/word/2010/wordprocessingShape">
                    <wps:wsp>
                      <wps:cNvCnPr/>
                      <wps:spPr>
                        <a:xfrm>
                          <a:off x="0" y="0"/>
                          <a:ext cx="1595120"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49D7DAA"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0.75pt,10.7pt" to="276.35pt,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" strokecolor="black [3200]" strokeweight="1pt">
                <v:stroke dashstyle="dash"/>
              </v:line>
            </w:pict>
          </mc:Fallback>
        </mc:AlternateContent>
      </w:r>
    </w:p>
    <w:p w14:paraId="6E4FFC8F" w14:textId="77777777" w:rsidR="00511E3B" w:rsidRDefault="00511E3B" w:rsidP="00E911B0">
      <w:pPr>
        <w:jc w:val="center"/>
        <w:rPr>
          <w:b/>
          <w:lang w:val="en-US"/>
        </w:rPr>
      </w:pPr>
    </w:p>
    <w:p w14:paraId="3C3B0FF5" w14:textId="77BCAE29" w:rsidR="00511E3B" w:rsidRDefault="001A1463" w:rsidP="00E911B0">
      <w:pPr>
        <w:jc w:val="center"/>
        <w:rPr>
          <w:b/>
          <w:lang w:val="en-US"/>
        </w:rPr>
      </w:pPr>
      <w:r w:rsidRPr="00A748B2">
        <w:rPr>
          <w:noProof/>
          <w:lang w:eastAsia="en-CA"/>
        </w:rPr>
        <mc:AlternateContent>
          <mc:Choice Requires="wps">
            <w:drawing>
              <wp:anchor distT="0" distB="0" distL="114300" distR="114300" simplePos="0" relativeHeight="251664384" behindDoc="0" locked="0" layoutInCell="1" allowOverlap="1" wp14:anchorId="6021322D" wp14:editId="58A2348A">
                <wp:simplePos x="0" y="0"/>
                <wp:positionH relativeFrom="column">
                  <wp:posOffset>1953994</wp:posOffset>
                </wp:positionH>
                <wp:positionV relativeFrom="paragraph">
                  <wp:posOffset>38735</wp:posOffset>
                </wp:positionV>
                <wp:extent cx="1595120" cy="0"/>
                <wp:effectExtent l="0" t="0" r="0" b="12700"/>
                <wp:wrapNone/>
                <wp:docPr id="17" name="Straight Connector 17"/>
                <wp:cNvGraphicFramePr/>
                <a:graphic xmlns:a="http://schemas.openxmlformats.org/drawingml/2006/main">
                  <a:graphicData uri="http://schemas.microsoft.com/office/word/2010/wordprocessingShape">
                    <wps:wsp>
                      <wps:cNvCnPr/>
                      <wps:spPr>
                        <a:xfrm>
                          <a:off x="0" y="0"/>
                          <a:ext cx="1595120"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FAF5FF3"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3.85pt,3.05pt" to="279.45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" strokecolor="black [3200]" strokeweight="1pt">
                <v:stroke dashstyle="dash"/>
              </v:line>
            </w:pict>
          </mc:Fallback>
        </mc:AlternateContent>
      </w:r>
    </w:p>
    <w:p w14:paraId="6E9B54A5" w14:textId="71BF7FA8" w:rsidR="00511E3B" w:rsidRDefault="001A1463" w:rsidP="00E911B0">
      <w:pPr>
        <w:jc w:val="center"/>
        <w:rPr>
          <w:b/>
          <w:lang w:val="en-US"/>
        </w:rPr>
      </w:pPr>
      <w:r w:rsidRPr="00A748B2">
        <w:rPr>
          <w:noProof/>
          <w:lang w:eastAsia="en-CA"/>
        </w:rPr>
        <mc:AlternateContent>
          <mc:Choice Requires="wps">
            <w:drawing>
              <wp:anchor distT="0" distB="0" distL="114300" distR="114300" simplePos="0" relativeHeight="251663360" behindDoc="0" locked="0" layoutInCell="1" allowOverlap="1" wp14:anchorId="274E93FC" wp14:editId="32340930">
                <wp:simplePos x="0" y="0"/>
                <wp:positionH relativeFrom="column">
                  <wp:posOffset>1969001</wp:posOffset>
                </wp:positionH>
                <wp:positionV relativeFrom="paragraph">
                  <wp:posOffset>116205</wp:posOffset>
                </wp:positionV>
                <wp:extent cx="1595120" cy="0"/>
                <wp:effectExtent l="0" t="0" r="0" b="12700"/>
                <wp:wrapNone/>
                <wp:docPr id="16" name="Straight Connector 16"/>
                <wp:cNvGraphicFramePr/>
                <a:graphic xmlns:a="http://schemas.openxmlformats.org/drawingml/2006/main">
                  <a:graphicData uri="http://schemas.microsoft.com/office/word/2010/wordprocessingShape">
                    <wps:wsp>
                      <wps:cNvCnPr/>
                      <wps:spPr>
                        <a:xfrm>
                          <a:off x="0" y="0"/>
                          <a:ext cx="1595120"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0BA33CA" id="Straight Connector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5.05pt,9.15pt" to="280.65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" strokecolor="black [3200]" strokeweight="1pt">
                <v:stroke dashstyle="dash"/>
              </v:line>
            </w:pict>
          </mc:Fallback>
        </mc:AlternateContent>
      </w:r>
    </w:p>
    <w:p w14:paraId="4036DBD1" w14:textId="77777777" w:rsidR="00511E3B" w:rsidRDefault="00511E3B" w:rsidP="00E911B0">
      <w:pPr>
        <w:jc w:val="center"/>
        <w:rPr>
          <w:b/>
          <w:lang w:val="en-US"/>
        </w:rPr>
      </w:pPr>
    </w:p>
    <w:p w14:paraId="55818398" w14:textId="5D077A51" w:rsidR="00511E3B" w:rsidRDefault="001A1463" w:rsidP="00E911B0">
      <w:pPr>
        <w:jc w:val="center"/>
        <w:rPr>
          <w:b/>
          <w:lang w:val="en-US"/>
        </w:rPr>
      </w:pPr>
      <w:r w:rsidRPr="00A748B2">
        <w:rPr>
          <w:noProof/>
          <w:lang w:eastAsia="en-CA"/>
        </w:rPr>
        <mc:AlternateContent>
          <mc:Choice Requires="wps">
            <w:drawing>
              <wp:anchor distT="0" distB="0" distL="114300" distR="114300" simplePos="0" relativeHeight="251662336" behindDoc="0" locked="0" layoutInCell="1" allowOverlap="1" wp14:anchorId="0B082705" wp14:editId="5D657CCF">
                <wp:simplePos x="0" y="0"/>
                <wp:positionH relativeFrom="column">
                  <wp:posOffset>1988051</wp:posOffset>
                </wp:positionH>
                <wp:positionV relativeFrom="paragraph">
                  <wp:posOffset>3810</wp:posOffset>
                </wp:positionV>
                <wp:extent cx="1595120" cy="0"/>
                <wp:effectExtent l="0" t="0" r="0" b="12700"/>
                <wp:wrapNone/>
                <wp:docPr id="14" name="Straight Connector 14"/>
                <wp:cNvGraphicFramePr/>
                <a:graphic xmlns:a="http://schemas.openxmlformats.org/drawingml/2006/main">
                  <a:graphicData uri="http://schemas.microsoft.com/office/word/2010/wordprocessingShape">
                    <wps:wsp>
                      <wps:cNvCnPr/>
                      <wps:spPr>
                        <a:xfrm>
                          <a:off x="0" y="0"/>
                          <a:ext cx="1595120" cy="0"/>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040CFA"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6.55pt,.3pt" to="282.15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" strokecolor="black [3200]" strokeweight="1pt">
                <v:stroke dashstyle="dash"/>
              </v:line>
            </w:pict>
          </mc:Fallback>
        </mc:AlternateContent>
      </w:r>
    </w:p>
    <w:p w14:paraId="3F41BE21" w14:textId="77777777" w:rsidR="00511E3B" w:rsidRDefault="00511E3B" w:rsidP="00E911B0">
      <w:pPr>
        <w:jc w:val="center"/>
        <w:rPr>
          <w:b/>
          <w:lang w:val="en-US"/>
        </w:rPr>
      </w:pPr>
    </w:p>
    <w:p w14:paraId="09D7AD22" w14:textId="77777777" w:rsidR="00511E3B" w:rsidRDefault="00511E3B" w:rsidP="00E911B0">
      <w:pPr>
        <w:jc w:val="center"/>
        <w:rPr>
          <w:b/>
          <w:lang w:val="en-US"/>
        </w:rPr>
      </w:pPr>
    </w:p>
    <w:p w14:paraId="1BDB15F1" w14:textId="77777777" w:rsidR="00511E3B" w:rsidRDefault="00511E3B" w:rsidP="00E911B0">
      <w:pPr>
        <w:jc w:val="center"/>
        <w:rPr>
          <w:b/>
          <w:lang w:val="en-US"/>
        </w:rPr>
      </w:pPr>
    </w:p>
    <w:p w14:paraId="053FD21B" w14:textId="77777777" w:rsidR="00511E3B" w:rsidRDefault="00511E3B" w:rsidP="00E911B0">
      <w:pPr>
        <w:jc w:val="center"/>
        <w:rPr>
          <w:b/>
          <w:lang w:val="en-US"/>
        </w:rPr>
      </w:pPr>
    </w:p>
    <w:p w14:paraId="31D7A33E" w14:textId="2060F5C0" w:rsidR="00913F85" w:rsidRPr="00E911B0" w:rsidRDefault="00ED399D" w:rsidP="00E911B0">
      <w:pPr>
        <w:jc w:val="center"/>
        <w:rPr>
          <w:lang w:val="en-US"/>
        </w:rPr>
      </w:pPr>
      <w:r w:rsidRPr="00A748B2">
        <w:rPr>
          <w:b/>
          <w:lang w:val="en-US"/>
        </w:rPr>
        <w:t>Figure 4.</w:t>
      </w:r>
      <w:r w:rsidR="001A1463">
        <w:rPr>
          <w:b/>
          <w:lang w:val="en-US"/>
        </w:rPr>
        <w:t>3</w:t>
      </w:r>
      <w:r w:rsidR="00E14AE9">
        <w:rPr>
          <w:b/>
          <w:lang w:val="en-US"/>
        </w:rPr>
        <w:t>:</w:t>
      </w:r>
      <w:r w:rsidRPr="00A748B2">
        <w:rPr>
          <w:lang w:val="en-US"/>
        </w:rPr>
        <w:t xml:space="preserve"> </w:t>
      </w:r>
      <w:r w:rsidR="001A1463">
        <w:rPr>
          <w:lang w:val="en-US"/>
        </w:rPr>
        <w:t>Diagram</w:t>
      </w:r>
      <w:r w:rsidR="0079060E">
        <w:rPr>
          <w:lang w:val="en-US"/>
        </w:rPr>
        <w:t xml:space="preserve"> </w:t>
      </w:r>
      <w:r w:rsidRPr="00A748B2">
        <w:rPr>
          <w:lang w:val="en-US"/>
        </w:rPr>
        <w:t xml:space="preserve">illustrating the ages at which dentine development reach </w:t>
      </w:r>
      <w:r w:rsidR="00020E0F">
        <w:rPr>
          <w:lang w:val="en-US"/>
        </w:rPr>
        <w:t>crown initiation</w:t>
      </w:r>
      <w:r w:rsidRPr="00A748B2">
        <w:rPr>
          <w:lang w:val="en-US"/>
        </w:rPr>
        <w:t>,</w:t>
      </w:r>
      <w:r w:rsidR="00020E0F">
        <w:rPr>
          <w:lang w:val="en-US"/>
        </w:rPr>
        <w:t xml:space="preserve"> crown completion</w:t>
      </w:r>
      <w:r w:rsidRPr="00A748B2">
        <w:rPr>
          <w:lang w:val="en-US"/>
        </w:rPr>
        <w:t xml:space="preserve"> and </w:t>
      </w:r>
      <w:r w:rsidR="00020E0F">
        <w:rPr>
          <w:lang w:val="en-US"/>
        </w:rPr>
        <w:t>apical completion,</w:t>
      </w:r>
      <w:r w:rsidRPr="00A748B2">
        <w:rPr>
          <w:lang w:val="en-US"/>
        </w:rPr>
        <w:t xml:space="preserve"> for upper permanent first molar</w:t>
      </w:r>
      <w:r w:rsidR="001A1463">
        <w:rPr>
          <w:lang w:val="en-US"/>
        </w:rPr>
        <w:t xml:space="preserve"> (demonstrated by the red solid lines) and s</w:t>
      </w:r>
      <w:r w:rsidRPr="00A748B2">
        <w:rPr>
          <w:lang w:val="en-US"/>
        </w:rPr>
        <w:t>ectioning of</w:t>
      </w:r>
      <w:r w:rsidR="001A1463">
        <w:rPr>
          <w:lang w:val="en-US"/>
        </w:rPr>
        <w:t xml:space="preserve"> the</w:t>
      </w:r>
      <w:r w:rsidRPr="00A748B2">
        <w:rPr>
          <w:lang w:val="en-US"/>
        </w:rPr>
        <w:t xml:space="preserve"> demineralized mandibular permanent first molar for individual No label #3 (box 6)</w:t>
      </w:r>
      <w:r w:rsidR="0079060E">
        <w:rPr>
          <w:lang w:val="en-US"/>
        </w:rPr>
        <w:t xml:space="preserve"> from this study</w:t>
      </w:r>
      <w:r w:rsidR="001A1463">
        <w:rPr>
          <w:lang w:val="en-US"/>
        </w:rPr>
        <w:t xml:space="preserve"> (shown by the black dashed lines)</w:t>
      </w:r>
      <w:r w:rsidR="0079060E">
        <w:rPr>
          <w:lang w:val="en-US"/>
        </w:rPr>
        <w:t>.</w:t>
      </w:r>
    </w:p>
    <w:p w14:paraId="2D6BD8BC" w14:textId="77777777" w:rsidR="00913F85" w:rsidRPr="00A748B2" w:rsidRDefault="00913F85" w:rsidP="00CF5BB7">
      <w:pPr>
        <w:pStyle w:val="NormalWeb"/>
        <w:spacing w:line="480" w:lineRule="auto"/>
        <w:rPr>
          <w:b/>
          <w:lang w:val="en-US"/>
        </w:rPr>
      </w:pPr>
    </w:p>
    <w:p w14:paraId="25CAD2BD" w14:textId="7F389F70" w:rsidR="00CF5BB7" w:rsidRDefault="00CF5BB7" w:rsidP="00246437">
      <w:pPr>
        <w:pStyle w:val="NormalWeb"/>
        <w:spacing w:line="480" w:lineRule="auto"/>
        <w:rPr>
          <w:b/>
          <w:lang w:val="en-US"/>
        </w:rPr>
      </w:pPr>
      <w:r w:rsidRPr="00A748B2">
        <w:rPr>
          <w:b/>
          <w:lang w:val="en-US"/>
        </w:rPr>
        <w:t xml:space="preserve">4.4 Statistical Methods for Data Analysis </w:t>
      </w:r>
    </w:p>
    <w:p w14:paraId="3A497902" w14:textId="77777777" w:rsidR="00913F85" w:rsidRPr="00913F85" w:rsidRDefault="00913F85" w:rsidP="00246437">
      <w:pPr>
        <w:pStyle w:val="NormalWeb"/>
        <w:rPr>
          <w:b/>
          <w:lang w:val="en-US"/>
        </w:rPr>
      </w:pPr>
    </w:p>
    <w:p w14:paraId="5495893B" w14:textId="474FCDD8" w:rsidR="00CF4ACE" w:rsidRDefault="00CF5BB7" w:rsidP="00E14AE9">
      <w:pPr>
        <w:spacing w:line="480" w:lineRule="auto"/>
        <w:ind w:firstLine="720"/>
        <w:rPr>
          <w:lang w:val="en-US"/>
        </w:rPr>
      </w:pPr>
      <w:r w:rsidRPr="00A748B2">
        <w:rPr>
          <w:lang w:val="en-US"/>
        </w:rPr>
        <w:t>Statistical tests were calculated using SPSS 23. Additionally, data were graphed using Excel 2016. The distributions of δ</w:t>
      </w:r>
      <w:r w:rsidRPr="00A748B2">
        <w:rPr>
          <w:vertAlign w:val="superscript"/>
          <w:lang w:val="en-US"/>
        </w:rPr>
        <w:t>13</w:t>
      </w:r>
      <w:r w:rsidRPr="00A748B2">
        <w:rPr>
          <w:lang w:val="en-US"/>
        </w:rPr>
        <w:t>C and δ</w:t>
      </w:r>
      <w:r w:rsidRPr="00A748B2">
        <w:rPr>
          <w:vertAlign w:val="superscript"/>
          <w:lang w:val="en-US"/>
        </w:rPr>
        <w:t>15</w:t>
      </w:r>
      <w:r w:rsidRPr="00A748B2">
        <w:rPr>
          <w:lang w:val="en-US"/>
        </w:rPr>
        <w:t xml:space="preserve">N </w:t>
      </w:r>
      <w:r w:rsidR="00DA2589">
        <w:rPr>
          <w:lang w:val="en-US"/>
        </w:rPr>
        <w:t xml:space="preserve">data </w:t>
      </w:r>
      <w:r w:rsidRPr="00A748B2">
        <w:rPr>
          <w:lang w:val="en-US"/>
        </w:rPr>
        <w:t xml:space="preserve">were examined using the Kolmogorov-Smirnov and Shapiro-Wilk tests of normality. </w:t>
      </w:r>
      <w:r w:rsidR="00DA2589">
        <w:rPr>
          <w:lang w:val="en-US"/>
        </w:rPr>
        <w:t>S</w:t>
      </w:r>
      <w:r w:rsidRPr="00A748B2">
        <w:rPr>
          <w:lang w:val="en-US"/>
        </w:rPr>
        <w:t xml:space="preserve">tatistical tests </w:t>
      </w:r>
      <w:r w:rsidR="00DA2589">
        <w:rPr>
          <w:lang w:val="en-US"/>
        </w:rPr>
        <w:t>including</w:t>
      </w:r>
      <w:r w:rsidRPr="00A748B2">
        <w:rPr>
          <w:lang w:val="en-US"/>
        </w:rPr>
        <w:t xml:space="preserve"> </w:t>
      </w:r>
      <w:r w:rsidR="00BF773E" w:rsidRPr="00A748B2">
        <w:rPr>
          <w:lang w:val="en-US"/>
        </w:rPr>
        <w:t xml:space="preserve">ANCOVA and t-tests </w:t>
      </w:r>
      <w:r w:rsidRPr="00A748B2">
        <w:rPr>
          <w:lang w:val="en-US"/>
        </w:rPr>
        <w:t xml:space="preserve">were used to analyze the isotope data and compare weaning profiles between </w:t>
      </w:r>
      <w:r w:rsidR="00BF773E" w:rsidRPr="00A748B2">
        <w:rPr>
          <w:lang w:val="en-US"/>
        </w:rPr>
        <w:t>survivors and non-survivors</w:t>
      </w:r>
      <w:r w:rsidRPr="00A748B2">
        <w:rPr>
          <w:lang w:val="en-US"/>
        </w:rPr>
        <w:t>,</w:t>
      </w:r>
      <w:r w:rsidR="00BF773E" w:rsidRPr="00A748B2">
        <w:rPr>
          <w:lang w:val="en-US"/>
        </w:rPr>
        <w:t xml:space="preserve"> adult males and females</w:t>
      </w:r>
      <w:r w:rsidR="00DA2589">
        <w:rPr>
          <w:lang w:val="en-US"/>
        </w:rPr>
        <w:t>,</w:t>
      </w:r>
      <w:r w:rsidR="00BF773E" w:rsidRPr="00A748B2">
        <w:rPr>
          <w:lang w:val="en-US"/>
        </w:rPr>
        <w:t xml:space="preserve"> </w:t>
      </w:r>
      <w:r w:rsidRPr="00A748B2">
        <w:rPr>
          <w:lang w:val="en-US"/>
        </w:rPr>
        <w:t xml:space="preserve">as well as </w:t>
      </w:r>
      <w:r w:rsidR="00DA2589">
        <w:rPr>
          <w:lang w:val="en-US"/>
        </w:rPr>
        <w:t xml:space="preserve">to </w:t>
      </w:r>
      <w:r w:rsidRPr="00A748B2">
        <w:rPr>
          <w:lang w:val="en-US"/>
        </w:rPr>
        <w:t xml:space="preserve">compare </w:t>
      </w:r>
      <w:r w:rsidR="00BF773E" w:rsidRPr="00A748B2">
        <w:rPr>
          <w:lang w:val="en-US"/>
        </w:rPr>
        <w:t xml:space="preserve">rib and femoral </w:t>
      </w:r>
      <w:r w:rsidRPr="00A748B2">
        <w:rPr>
          <w:lang w:val="en-US"/>
        </w:rPr>
        <w:t>isotope values</w:t>
      </w:r>
      <w:r w:rsidR="00BF773E" w:rsidRPr="00A748B2">
        <w:rPr>
          <w:lang w:val="en-US"/>
        </w:rPr>
        <w:t>.</w:t>
      </w:r>
    </w:p>
    <w:p w14:paraId="3AC31989" w14:textId="77777777" w:rsidR="00B13223" w:rsidRPr="00A748B2" w:rsidRDefault="00B13223" w:rsidP="003F46D1">
      <w:pPr>
        <w:rPr>
          <w:lang w:val="en-US"/>
        </w:rPr>
      </w:pPr>
    </w:p>
    <w:p w14:paraId="32855CB9" w14:textId="77777777" w:rsidR="00F96A4E" w:rsidRPr="00A748B2" w:rsidRDefault="00F96A4E" w:rsidP="0079060E">
      <w:pPr>
        <w:jc w:val="center"/>
        <w:rPr>
          <w:rFonts w:eastAsiaTheme="minorHAnsi"/>
          <w:b/>
          <w:lang w:val="en-US"/>
        </w:rPr>
      </w:pPr>
      <w:r w:rsidRPr="00A748B2">
        <w:rPr>
          <w:rFonts w:eastAsiaTheme="minorHAnsi"/>
          <w:b/>
          <w:lang w:val="en-US"/>
        </w:rPr>
        <w:lastRenderedPageBreak/>
        <w:t>Chapter 5: Results</w:t>
      </w:r>
    </w:p>
    <w:p w14:paraId="41D205F2" w14:textId="77777777" w:rsidR="00F96A4E" w:rsidRPr="00A748B2" w:rsidRDefault="00F96A4E" w:rsidP="00F96A4E">
      <w:pPr>
        <w:rPr>
          <w:rFonts w:eastAsiaTheme="minorHAnsi"/>
          <w:b/>
          <w:lang w:val="en-US"/>
        </w:rPr>
      </w:pPr>
    </w:p>
    <w:p w14:paraId="313AF174" w14:textId="77777777" w:rsidR="00F96A4E" w:rsidRDefault="00F96A4E" w:rsidP="00F96A4E">
      <w:pPr>
        <w:rPr>
          <w:rFonts w:eastAsiaTheme="minorHAnsi"/>
          <w:b/>
          <w:lang w:val="en-US"/>
        </w:rPr>
      </w:pPr>
      <w:r w:rsidRPr="00A748B2">
        <w:rPr>
          <w:rFonts w:eastAsiaTheme="minorHAnsi"/>
          <w:b/>
          <w:lang w:val="en-US"/>
        </w:rPr>
        <w:t>5.1 Introduction</w:t>
      </w:r>
    </w:p>
    <w:p w14:paraId="68446379" w14:textId="77777777" w:rsidR="00F96A4E" w:rsidRPr="00A748B2" w:rsidRDefault="00F96A4E" w:rsidP="00F96A4E">
      <w:pPr>
        <w:spacing w:line="480" w:lineRule="auto"/>
        <w:rPr>
          <w:rFonts w:eastAsiaTheme="minorHAnsi"/>
          <w:b/>
          <w:lang w:val="en-US"/>
        </w:rPr>
      </w:pPr>
    </w:p>
    <w:p w14:paraId="46BF2A8C" w14:textId="079753CD" w:rsidR="00F96A4E" w:rsidRDefault="00F96A4E" w:rsidP="00F96A4E">
      <w:pPr>
        <w:spacing w:line="480" w:lineRule="auto"/>
        <w:ind w:firstLine="720"/>
        <w:rPr>
          <w:rFonts w:eastAsiaTheme="minorHAnsi"/>
          <w:lang w:val="en-US"/>
        </w:rPr>
      </w:pPr>
      <w:r w:rsidRPr="00A748B2">
        <w:rPr>
          <w:rFonts w:eastAsiaTheme="minorHAnsi"/>
          <w:lang w:val="en-US"/>
        </w:rPr>
        <w:t xml:space="preserve">In this chapter the stable isotope results from incremental dentine sections and bulk bone samples of Iron Age individuals are presented. First, </w:t>
      </w:r>
      <w:r w:rsidR="00FE38DB">
        <w:rPr>
          <w:rFonts w:eastAsiaTheme="minorHAnsi"/>
          <w:lang w:val="en-US"/>
        </w:rPr>
        <w:t xml:space="preserve">results on </w:t>
      </w:r>
      <w:r w:rsidRPr="00A748B2">
        <w:rPr>
          <w:rFonts w:eastAsiaTheme="minorHAnsi"/>
          <w:lang w:val="en-US"/>
        </w:rPr>
        <w:t xml:space="preserve">sample integrity </w:t>
      </w:r>
      <w:r w:rsidR="00FE38DB">
        <w:rPr>
          <w:rFonts w:eastAsiaTheme="minorHAnsi"/>
          <w:lang w:val="en-US"/>
        </w:rPr>
        <w:t>are presented</w:t>
      </w:r>
      <w:r w:rsidRPr="00A748B2">
        <w:rPr>
          <w:rFonts w:eastAsiaTheme="minorHAnsi"/>
          <w:lang w:val="en-US"/>
        </w:rPr>
        <w:t xml:space="preserve"> to show that all samples are free of potential diagenetic alterations. Next, subadult dentine isotope data are presented followed by adult dentine isotope data. Subadult bone collagen isotope data are also presented along with graphs comparing dentine </w:t>
      </w:r>
      <w:r>
        <w:rPr>
          <w:rFonts w:eastAsiaTheme="minorHAnsi"/>
          <w:lang w:val="en-US"/>
        </w:rPr>
        <w:t xml:space="preserve">versus </w:t>
      </w:r>
      <w:r w:rsidRPr="00A748B2">
        <w:rPr>
          <w:rFonts w:eastAsiaTheme="minorHAnsi"/>
          <w:lang w:val="en-US"/>
        </w:rPr>
        <w:t>bone isotope values for each subadult individual. Lastly, dentine isotope results of individuals who survived the weaning process are compared to individuals identified as ‘non-survivors’ (i.e., individuals who died at age 4 years or younger</w:t>
      </w:r>
      <w:r>
        <w:rPr>
          <w:rFonts w:eastAsiaTheme="minorHAnsi"/>
          <w:lang w:val="en-US"/>
        </w:rPr>
        <w:t xml:space="preserve">). </w:t>
      </w:r>
    </w:p>
    <w:p w14:paraId="0C3B8FDF" w14:textId="77777777" w:rsidR="00F96A4E" w:rsidRPr="00A748B2" w:rsidRDefault="00F96A4E" w:rsidP="00F96A4E">
      <w:pPr>
        <w:ind w:firstLine="720"/>
        <w:rPr>
          <w:rFonts w:eastAsiaTheme="minorHAnsi"/>
          <w:lang w:val="en-US"/>
        </w:rPr>
      </w:pPr>
    </w:p>
    <w:p w14:paraId="2ED02250" w14:textId="77777777" w:rsidR="00F96A4E" w:rsidRDefault="00F96A4E" w:rsidP="00F96A4E">
      <w:pPr>
        <w:spacing w:line="480" w:lineRule="auto"/>
        <w:rPr>
          <w:rFonts w:eastAsiaTheme="minorHAnsi"/>
          <w:b/>
          <w:lang w:val="en-US"/>
        </w:rPr>
      </w:pPr>
      <w:r w:rsidRPr="00A748B2">
        <w:rPr>
          <w:rFonts w:eastAsiaTheme="minorHAnsi"/>
          <w:b/>
          <w:lang w:val="en-US"/>
        </w:rPr>
        <w:t xml:space="preserve">5.2 Sample Integrity </w:t>
      </w:r>
    </w:p>
    <w:p w14:paraId="01C12EA8" w14:textId="77777777" w:rsidR="00F96A4E" w:rsidRPr="00A748B2" w:rsidRDefault="00F96A4E" w:rsidP="00F96A4E">
      <w:pPr>
        <w:rPr>
          <w:rFonts w:eastAsiaTheme="minorHAnsi"/>
          <w:b/>
          <w:lang w:val="en-US"/>
        </w:rPr>
      </w:pPr>
    </w:p>
    <w:p w14:paraId="6AB71486" w14:textId="52D6E36B" w:rsidR="00F96A4E" w:rsidRDefault="00F96A4E" w:rsidP="00F96A4E">
      <w:pPr>
        <w:spacing w:line="480" w:lineRule="auto"/>
        <w:rPr>
          <w:rFonts w:eastAsiaTheme="minorHAnsi"/>
          <w:lang w:val="en-US"/>
        </w:rPr>
      </w:pPr>
      <w:r w:rsidRPr="00A748B2">
        <w:rPr>
          <w:rFonts w:eastAsiaTheme="minorHAnsi"/>
          <w:b/>
          <w:lang w:val="en-US"/>
        </w:rPr>
        <w:tab/>
      </w:r>
      <w:r w:rsidRPr="00A748B2">
        <w:rPr>
          <w:rFonts w:eastAsiaTheme="minorHAnsi"/>
          <w:lang w:val="en-US"/>
        </w:rPr>
        <w:t>As mentioned in Section</w:t>
      </w:r>
      <w:r>
        <w:rPr>
          <w:rFonts w:eastAsiaTheme="minorHAnsi"/>
          <w:lang w:val="en-US"/>
        </w:rPr>
        <w:t>s</w:t>
      </w:r>
      <w:r w:rsidRPr="00A748B2">
        <w:rPr>
          <w:rFonts w:eastAsiaTheme="minorHAnsi"/>
          <w:lang w:val="en-US"/>
        </w:rPr>
        <w:t xml:space="preserve"> </w:t>
      </w:r>
      <w:r w:rsidR="0032785D">
        <w:rPr>
          <w:rFonts w:eastAsiaTheme="minorHAnsi"/>
          <w:lang w:val="en-US"/>
        </w:rPr>
        <w:t>3.3</w:t>
      </w:r>
      <w:r w:rsidRPr="00A748B2">
        <w:rPr>
          <w:rFonts w:eastAsiaTheme="minorHAnsi"/>
          <w:lang w:val="en-US"/>
        </w:rPr>
        <w:t xml:space="preserve"> and </w:t>
      </w:r>
      <w:r w:rsidR="0032785D">
        <w:rPr>
          <w:rFonts w:eastAsiaTheme="minorHAnsi"/>
          <w:lang w:val="en-US"/>
        </w:rPr>
        <w:t>3.4</w:t>
      </w:r>
      <w:r w:rsidRPr="00A748B2">
        <w:rPr>
          <w:rFonts w:eastAsiaTheme="minorHAnsi"/>
          <w:lang w:val="en-US"/>
        </w:rPr>
        <w:t xml:space="preserve">, it is essential to ensure that stable isotope samples </w:t>
      </w:r>
      <w:r>
        <w:rPr>
          <w:rFonts w:eastAsiaTheme="minorHAnsi"/>
          <w:lang w:val="en-US"/>
        </w:rPr>
        <w:t>have minimal</w:t>
      </w:r>
      <w:r w:rsidRPr="00A748B2">
        <w:rPr>
          <w:rFonts w:eastAsiaTheme="minorHAnsi"/>
          <w:lang w:val="en-US"/>
        </w:rPr>
        <w:t xml:space="preserve"> </w:t>
      </w:r>
      <w:r>
        <w:rPr>
          <w:rFonts w:eastAsiaTheme="minorHAnsi"/>
          <w:lang w:val="en-US"/>
        </w:rPr>
        <w:t xml:space="preserve">to no </w:t>
      </w:r>
      <w:r w:rsidRPr="00A748B2">
        <w:rPr>
          <w:rFonts w:eastAsiaTheme="minorHAnsi"/>
          <w:lang w:val="en-US"/>
        </w:rPr>
        <w:t>diagenetic alternations that would impact interpretations of the data. Three values are used to evaluate the potential degree of diagenetic changes in collagen samples: C:N ratios, individual carbon (%C) and nitrogen (%N) percentages, and collagen yields.  The C:N ratio</w:t>
      </w:r>
      <w:r>
        <w:rPr>
          <w:rFonts w:eastAsiaTheme="minorHAnsi"/>
          <w:lang w:val="en-US"/>
        </w:rPr>
        <w:t>s</w:t>
      </w:r>
      <w:r w:rsidRPr="00A748B2">
        <w:rPr>
          <w:rFonts w:eastAsiaTheme="minorHAnsi"/>
          <w:lang w:val="en-US"/>
        </w:rPr>
        <w:t xml:space="preserve"> of each tooth section for subadults are presented in Table 5.</w:t>
      </w:r>
      <w:r>
        <w:rPr>
          <w:rFonts w:eastAsiaTheme="minorHAnsi"/>
          <w:lang w:val="en-US"/>
        </w:rPr>
        <w:t>1</w:t>
      </w:r>
      <w:r w:rsidRPr="00A748B2">
        <w:rPr>
          <w:rFonts w:eastAsiaTheme="minorHAnsi"/>
          <w:lang w:val="en-US"/>
        </w:rPr>
        <w:t xml:space="preserve">, for adults </w:t>
      </w:r>
      <w:r w:rsidRPr="0001535D">
        <w:rPr>
          <w:rFonts w:eastAsiaTheme="minorHAnsi"/>
          <w:color w:val="000000" w:themeColor="text1"/>
          <w:lang w:val="en-US"/>
        </w:rPr>
        <w:t>in Table 5.2, and for subadult bone samples in Table 5.</w:t>
      </w:r>
      <w:r w:rsidR="00FE38DB">
        <w:rPr>
          <w:rFonts w:eastAsiaTheme="minorHAnsi"/>
          <w:color w:val="000000" w:themeColor="text1"/>
          <w:lang w:val="en-US"/>
        </w:rPr>
        <w:t>3</w:t>
      </w:r>
      <w:r w:rsidRPr="0001535D">
        <w:rPr>
          <w:rFonts w:eastAsiaTheme="minorHAnsi"/>
          <w:color w:val="000000" w:themeColor="text1"/>
          <w:lang w:val="en-US"/>
        </w:rPr>
        <w:t>.</w:t>
      </w:r>
      <w:r w:rsidRPr="00902605">
        <w:rPr>
          <w:rFonts w:eastAsiaTheme="minorHAnsi"/>
          <w:color w:val="FF0000"/>
          <w:lang w:val="en-US"/>
        </w:rPr>
        <w:t xml:space="preserve"> </w:t>
      </w:r>
      <w:r w:rsidRPr="00A748B2">
        <w:rPr>
          <w:rFonts w:eastAsiaTheme="minorHAnsi"/>
          <w:lang w:val="en-US"/>
        </w:rPr>
        <w:t xml:space="preserve">The range of C:N ratios for all dentine sections is 3.1 - 3.8, with a mean value of 3.2. The range for C:N ratios for the bone collagen samples is 3.2 – 3.7, with a mean value of 3.3. All samples except T17.01 and F4 fall within the accepted range of C:N ratios between 2.9 – 3.6 suggested by DeNiro (1985), indicating that there is likely minimal to no diagenetic </w:t>
      </w:r>
      <w:r w:rsidRPr="00A748B2">
        <w:rPr>
          <w:rFonts w:eastAsiaTheme="minorHAnsi"/>
          <w:lang w:val="en-US"/>
        </w:rPr>
        <w:lastRenderedPageBreak/>
        <w:t xml:space="preserve">impact on isotope values. As T17.01 and F4 have C:N ratios outside of this range (3.8 and 3.7, respectively) they are omitted from further analysis. </w:t>
      </w:r>
    </w:p>
    <w:p w14:paraId="0DB41C55" w14:textId="77777777" w:rsidR="00194751" w:rsidRPr="00F96A4E" w:rsidRDefault="00194751" w:rsidP="00BF38A8">
      <w:pPr>
        <w:rPr>
          <w:rFonts w:eastAsiaTheme="minorHAnsi"/>
          <w:lang w:val="en-US"/>
        </w:rPr>
      </w:pPr>
    </w:p>
    <w:p w14:paraId="0C9B5909" w14:textId="6E256FAF" w:rsidR="00F96A4E" w:rsidRDefault="00F96A4E" w:rsidP="00F96A4E">
      <w:pPr>
        <w:spacing w:line="480" w:lineRule="auto"/>
        <w:ind w:firstLine="720"/>
        <w:rPr>
          <w:rFonts w:eastAsiaTheme="minorHAnsi"/>
          <w:lang w:val="en-US"/>
        </w:rPr>
      </w:pPr>
      <w:r w:rsidRPr="00A748B2">
        <w:rPr>
          <w:rFonts w:eastAsiaTheme="minorHAnsi"/>
          <w:lang w:val="en-US"/>
        </w:rPr>
        <w:t>The percent C and N values are presented in</w:t>
      </w:r>
      <w:r w:rsidR="004B290E">
        <w:rPr>
          <w:rFonts w:eastAsiaTheme="minorHAnsi"/>
          <w:lang w:val="en-US"/>
        </w:rPr>
        <w:t xml:space="preserve"> Table A</w:t>
      </w:r>
      <w:r w:rsidR="006F05C5">
        <w:rPr>
          <w:rFonts w:eastAsiaTheme="minorHAnsi"/>
          <w:lang w:val="en-US"/>
        </w:rPr>
        <w:t>1</w:t>
      </w:r>
      <w:r w:rsidR="00A24C61">
        <w:rPr>
          <w:rFonts w:eastAsiaTheme="minorHAnsi"/>
          <w:lang w:val="en-US"/>
        </w:rPr>
        <w:t xml:space="preserve"> a</w:t>
      </w:r>
      <w:r w:rsidR="004B290E">
        <w:rPr>
          <w:rFonts w:eastAsiaTheme="minorHAnsi"/>
          <w:lang w:val="en-US"/>
        </w:rPr>
        <w:t>nd Table A</w:t>
      </w:r>
      <w:r w:rsidR="006F05C5">
        <w:rPr>
          <w:rFonts w:eastAsiaTheme="minorHAnsi"/>
          <w:lang w:val="en-US"/>
        </w:rPr>
        <w:t>2</w:t>
      </w:r>
      <w:r w:rsidR="004B290E">
        <w:rPr>
          <w:rFonts w:eastAsiaTheme="minorHAnsi"/>
          <w:lang w:val="en-US"/>
        </w:rPr>
        <w:t>,</w:t>
      </w:r>
      <w:r w:rsidRPr="00A748B2">
        <w:rPr>
          <w:rFonts w:eastAsiaTheme="minorHAnsi"/>
          <w:lang w:val="en-US"/>
        </w:rPr>
        <w:t xml:space="preserve"> </w:t>
      </w:r>
      <w:r w:rsidR="00A24C61">
        <w:rPr>
          <w:rFonts w:eastAsiaTheme="minorHAnsi"/>
          <w:lang w:val="en-US"/>
        </w:rPr>
        <w:t xml:space="preserve">in </w:t>
      </w:r>
      <w:r w:rsidRPr="00A748B2">
        <w:rPr>
          <w:rFonts w:eastAsiaTheme="minorHAnsi"/>
          <w:lang w:val="en-US"/>
        </w:rPr>
        <w:t xml:space="preserve">Appendix </w:t>
      </w:r>
      <w:r w:rsidR="002659FE">
        <w:rPr>
          <w:rFonts w:eastAsiaTheme="minorHAnsi"/>
          <w:lang w:val="en-US"/>
        </w:rPr>
        <w:t>A</w:t>
      </w:r>
      <w:r w:rsidRPr="00A748B2">
        <w:rPr>
          <w:rFonts w:eastAsiaTheme="minorHAnsi"/>
          <w:lang w:val="en-US"/>
        </w:rPr>
        <w:t xml:space="preserve">. The range of %C for all dentine sections is 34.5 – 47.5%, indicating that all dentine samples are considered safe from diagenetic alterations as they surpass the minimum expected value of 3% (Ambrose 1993). The range of %C for the bone data is </w:t>
      </w:r>
      <w:r w:rsidRPr="00A748B2">
        <w:rPr>
          <w:rFonts w:eastAsiaTheme="minorHAnsi"/>
          <w:color w:val="000000" w:themeColor="text1"/>
          <w:lang w:val="en-US"/>
        </w:rPr>
        <w:t xml:space="preserve">31.0 – 41.8% </w:t>
      </w:r>
      <w:r w:rsidRPr="00A748B2">
        <w:rPr>
          <w:rFonts w:eastAsiaTheme="minorHAnsi"/>
          <w:lang w:val="en-US"/>
        </w:rPr>
        <w:t>fitting with the expected 35% range for carbon (van Klinken 1999). Similarly, the %N ranges for both dentine (12.4 – 16.3%) and bone collagen (</w:t>
      </w:r>
      <w:r w:rsidR="0011090D">
        <w:rPr>
          <w:rFonts w:eastAsiaTheme="minorHAnsi"/>
          <w:color w:val="000000" w:themeColor="text1"/>
          <w:lang w:val="en-US"/>
        </w:rPr>
        <w:t>8.7</w:t>
      </w:r>
      <w:r w:rsidRPr="00A748B2">
        <w:rPr>
          <w:rFonts w:eastAsiaTheme="minorHAnsi"/>
          <w:color w:val="000000" w:themeColor="text1"/>
          <w:lang w:val="en-US"/>
        </w:rPr>
        <w:t xml:space="preserve"> – 15.0%) </w:t>
      </w:r>
      <w:r w:rsidRPr="00A748B2">
        <w:rPr>
          <w:rFonts w:eastAsiaTheme="minorHAnsi"/>
          <w:lang w:val="en-US"/>
        </w:rPr>
        <w:t xml:space="preserve">data fall within the expected ranges of 11 - 16% for nitrogen (van Klinken 1999). Based on the individual carbon and nitrogen percentages, all teeth and bone samples are </w:t>
      </w:r>
      <w:r>
        <w:rPr>
          <w:rFonts w:eastAsiaTheme="minorHAnsi"/>
          <w:lang w:val="en-US"/>
        </w:rPr>
        <w:t>likely unaffected by</w:t>
      </w:r>
      <w:r w:rsidRPr="00A748B2">
        <w:rPr>
          <w:rFonts w:eastAsiaTheme="minorHAnsi"/>
          <w:lang w:val="en-US"/>
        </w:rPr>
        <w:t xml:space="preserve"> diagenetic alterations. </w:t>
      </w:r>
    </w:p>
    <w:p w14:paraId="3EB36784" w14:textId="77777777" w:rsidR="00F96A4E" w:rsidRPr="00A748B2" w:rsidRDefault="00F96A4E" w:rsidP="00F96A4E">
      <w:pPr>
        <w:ind w:firstLine="720"/>
        <w:rPr>
          <w:rFonts w:eastAsiaTheme="minorHAnsi"/>
          <w:lang w:val="en-US"/>
        </w:rPr>
      </w:pPr>
    </w:p>
    <w:p w14:paraId="0397041B" w14:textId="11AED2B7" w:rsidR="00F96A4E" w:rsidRDefault="00F96A4E" w:rsidP="00F96A4E">
      <w:pPr>
        <w:spacing w:line="480" w:lineRule="auto"/>
        <w:ind w:firstLine="720"/>
        <w:rPr>
          <w:rFonts w:eastAsiaTheme="minorHAnsi"/>
          <w:lang w:val="en-US"/>
        </w:rPr>
      </w:pPr>
      <w:r w:rsidRPr="00A748B2">
        <w:rPr>
          <w:rFonts w:eastAsiaTheme="minorHAnsi"/>
          <w:lang w:val="en-US"/>
        </w:rPr>
        <w:t>Lastly, the collagen yield within a given sample is another means of assessing the degree of potential diagenetic alteration. Following the steps</w:t>
      </w:r>
      <w:r>
        <w:rPr>
          <w:rFonts w:eastAsiaTheme="minorHAnsi"/>
          <w:lang w:val="en-US"/>
        </w:rPr>
        <w:t xml:space="preserve"> outlined</w:t>
      </w:r>
      <w:r w:rsidRPr="00A748B2">
        <w:rPr>
          <w:rFonts w:eastAsiaTheme="minorHAnsi"/>
          <w:lang w:val="en-US"/>
        </w:rPr>
        <w:t xml:space="preserve"> in Section 4.3, collagen yield</w:t>
      </w:r>
      <w:r>
        <w:rPr>
          <w:rFonts w:eastAsiaTheme="minorHAnsi"/>
          <w:lang w:val="en-US"/>
        </w:rPr>
        <w:t>s</w:t>
      </w:r>
      <w:r w:rsidRPr="00A748B2">
        <w:rPr>
          <w:rFonts w:eastAsiaTheme="minorHAnsi"/>
          <w:lang w:val="en-US"/>
        </w:rPr>
        <w:t xml:space="preserve"> were calculated for each tooth sampled (i.e. by adding the individual collagen amounts from each section and dividing that value by the original dry weight of the complete tooth</w:t>
      </w:r>
      <w:r>
        <w:rPr>
          <w:rFonts w:eastAsiaTheme="minorHAnsi"/>
          <w:lang w:val="en-US"/>
        </w:rPr>
        <w:t xml:space="preserve"> without enamel</w:t>
      </w:r>
      <w:r w:rsidRPr="00A748B2">
        <w:rPr>
          <w:rFonts w:eastAsiaTheme="minorHAnsi"/>
          <w:lang w:val="en-US"/>
        </w:rPr>
        <w:t xml:space="preserve">) and </w:t>
      </w:r>
      <w:r>
        <w:rPr>
          <w:rFonts w:eastAsiaTheme="minorHAnsi"/>
          <w:lang w:val="en-US"/>
        </w:rPr>
        <w:t>are</w:t>
      </w:r>
      <w:r w:rsidRPr="00A748B2">
        <w:rPr>
          <w:rFonts w:eastAsiaTheme="minorHAnsi"/>
          <w:lang w:val="en-US"/>
        </w:rPr>
        <w:t xml:space="preserve"> listed </w:t>
      </w:r>
      <w:r>
        <w:rPr>
          <w:rFonts w:eastAsiaTheme="minorHAnsi"/>
          <w:lang w:val="en-US"/>
        </w:rPr>
        <w:t xml:space="preserve">in </w:t>
      </w:r>
      <w:r w:rsidR="004B290E">
        <w:rPr>
          <w:rFonts w:eastAsiaTheme="minorHAnsi"/>
          <w:lang w:val="en-US"/>
        </w:rPr>
        <w:t>Table A</w:t>
      </w:r>
      <w:r w:rsidR="006F05C5">
        <w:rPr>
          <w:rFonts w:eastAsiaTheme="minorHAnsi"/>
          <w:lang w:val="en-US"/>
        </w:rPr>
        <w:t>3</w:t>
      </w:r>
      <w:r w:rsidR="004B290E">
        <w:rPr>
          <w:rFonts w:eastAsiaTheme="minorHAnsi"/>
          <w:lang w:val="en-US"/>
        </w:rPr>
        <w:t xml:space="preserve">, </w:t>
      </w:r>
      <w:r>
        <w:rPr>
          <w:rFonts w:eastAsiaTheme="minorHAnsi"/>
          <w:lang w:val="en-US"/>
        </w:rPr>
        <w:t xml:space="preserve">Appendix </w:t>
      </w:r>
      <w:r w:rsidR="002659FE">
        <w:rPr>
          <w:rFonts w:eastAsiaTheme="minorHAnsi"/>
          <w:lang w:val="en-US"/>
        </w:rPr>
        <w:t>A</w:t>
      </w:r>
      <w:r w:rsidRPr="00A748B2">
        <w:rPr>
          <w:rFonts w:eastAsiaTheme="minorHAnsi"/>
          <w:lang w:val="en-US"/>
        </w:rPr>
        <w:t xml:space="preserve">. Likewise, collagen yields for bone samples are </w:t>
      </w:r>
      <w:r>
        <w:rPr>
          <w:rFonts w:eastAsiaTheme="minorHAnsi"/>
          <w:lang w:val="en-US"/>
        </w:rPr>
        <w:t xml:space="preserve">also </w:t>
      </w:r>
      <w:r w:rsidRPr="00A748B2">
        <w:rPr>
          <w:rFonts w:eastAsiaTheme="minorHAnsi"/>
          <w:lang w:val="en-US"/>
        </w:rPr>
        <w:t xml:space="preserve">listed in </w:t>
      </w:r>
      <w:r w:rsidR="004B290E">
        <w:rPr>
          <w:rFonts w:eastAsiaTheme="minorHAnsi"/>
          <w:lang w:val="en-US"/>
        </w:rPr>
        <w:t>Table A</w:t>
      </w:r>
      <w:r w:rsidR="006F05C5">
        <w:rPr>
          <w:rFonts w:eastAsiaTheme="minorHAnsi"/>
          <w:lang w:val="en-US"/>
        </w:rPr>
        <w:t>4</w:t>
      </w:r>
      <w:r w:rsidR="004B290E">
        <w:rPr>
          <w:rFonts w:eastAsiaTheme="minorHAnsi"/>
          <w:lang w:val="en-US"/>
        </w:rPr>
        <w:t xml:space="preserve">, </w:t>
      </w:r>
      <w:r>
        <w:rPr>
          <w:rFonts w:eastAsiaTheme="minorHAnsi"/>
          <w:lang w:val="en-US"/>
        </w:rPr>
        <w:t xml:space="preserve">Appendix </w:t>
      </w:r>
      <w:r w:rsidR="002659FE">
        <w:rPr>
          <w:rFonts w:eastAsiaTheme="minorHAnsi"/>
          <w:lang w:val="en-US"/>
        </w:rPr>
        <w:t>A</w:t>
      </w:r>
      <w:r w:rsidRPr="00A748B2">
        <w:rPr>
          <w:rFonts w:eastAsiaTheme="minorHAnsi"/>
          <w:lang w:val="en-US"/>
        </w:rPr>
        <w:t xml:space="preserve">. Collagen yields for tooth samples range from 3.8 – 14.4%, surpassing the minimum 1% requirement for good preservation (Schwarcz </w:t>
      </w:r>
      <w:r w:rsidR="00013B07">
        <w:rPr>
          <w:rFonts w:eastAsiaTheme="minorHAnsi"/>
          <w:lang w:val="en-US"/>
        </w:rPr>
        <w:t xml:space="preserve">&amp; </w:t>
      </w:r>
      <w:r w:rsidRPr="00A748B2">
        <w:rPr>
          <w:rFonts w:eastAsiaTheme="minorHAnsi"/>
          <w:lang w:val="en-US"/>
        </w:rPr>
        <w:t>Schoeninger 1991; van Klinken 1999</w:t>
      </w:r>
      <w:r>
        <w:rPr>
          <w:rFonts w:eastAsiaTheme="minorHAnsi"/>
          <w:lang w:val="en-US"/>
        </w:rPr>
        <w:t>; Dobberstein et al. 2009</w:t>
      </w:r>
      <w:r w:rsidRPr="00A748B2">
        <w:rPr>
          <w:rFonts w:eastAsiaTheme="minorHAnsi"/>
          <w:lang w:val="en-US"/>
        </w:rPr>
        <w:t xml:space="preserve">). Collagen yields for the bone samples range from 2.1 – 38.2%. </w:t>
      </w:r>
    </w:p>
    <w:p w14:paraId="5385286B" w14:textId="77777777" w:rsidR="00F96A4E" w:rsidRPr="00A748B2" w:rsidRDefault="00F96A4E" w:rsidP="00F96A4E">
      <w:pPr>
        <w:ind w:firstLine="720"/>
        <w:rPr>
          <w:rFonts w:eastAsiaTheme="minorHAnsi"/>
          <w:color w:val="FF0000"/>
          <w:lang w:val="en-US"/>
        </w:rPr>
      </w:pPr>
    </w:p>
    <w:p w14:paraId="1F0FEEB5" w14:textId="414549E7" w:rsidR="00E14AE9" w:rsidRDefault="00F96A4E" w:rsidP="00E14AE9">
      <w:pPr>
        <w:spacing w:line="480" w:lineRule="auto"/>
        <w:ind w:firstLine="720"/>
        <w:rPr>
          <w:rFonts w:eastAsiaTheme="minorHAnsi"/>
          <w:lang w:val="en-US"/>
        </w:rPr>
      </w:pPr>
      <w:r w:rsidRPr="00A748B2">
        <w:rPr>
          <w:rFonts w:eastAsiaTheme="minorHAnsi"/>
          <w:lang w:val="en-US"/>
        </w:rPr>
        <w:lastRenderedPageBreak/>
        <w:t xml:space="preserve">The combined analysis of C:N ratios, %C, %N, and collagen yields indicate that all but 2 samples </w:t>
      </w:r>
      <w:r>
        <w:rPr>
          <w:rFonts w:eastAsiaTheme="minorHAnsi"/>
          <w:lang w:val="en-US"/>
        </w:rPr>
        <w:t>had minimal</w:t>
      </w:r>
      <w:r w:rsidRPr="00A748B2">
        <w:rPr>
          <w:rFonts w:eastAsiaTheme="minorHAnsi"/>
          <w:lang w:val="en-US"/>
        </w:rPr>
        <w:t xml:space="preserve"> diagenetic alteration and can be included in further analyses. </w:t>
      </w:r>
    </w:p>
    <w:p w14:paraId="6108882E" w14:textId="77777777" w:rsidR="00F96A4E" w:rsidRDefault="00F96A4E" w:rsidP="00F96A4E">
      <w:pPr>
        <w:ind w:firstLine="720"/>
        <w:rPr>
          <w:rFonts w:eastAsiaTheme="minorHAnsi"/>
          <w:lang w:val="en-US"/>
        </w:rPr>
      </w:pPr>
    </w:p>
    <w:p w14:paraId="7166294A" w14:textId="1F5D2FC5" w:rsidR="00F96A4E" w:rsidRDefault="00836512" w:rsidP="00F96A4E">
      <w:pPr>
        <w:spacing w:line="480" w:lineRule="auto"/>
        <w:rPr>
          <w:rFonts w:eastAsiaTheme="minorHAnsi"/>
          <w:b/>
          <w:lang w:val="en-US"/>
        </w:rPr>
      </w:pPr>
      <w:r>
        <w:rPr>
          <w:rFonts w:eastAsiaTheme="minorHAnsi"/>
          <w:b/>
          <w:lang w:val="en-US"/>
        </w:rPr>
        <w:t xml:space="preserve">5.3 Stable Isotope Results </w:t>
      </w:r>
    </w:p>
    <w:p w14:paraId="5EBF6C16" w14:textId="1A02F112" w:rsidR="00836512" w:rsidRDefault="00836512" w:rsidP="00836512">
      <w:pPr>
        <w:spacing w:line="480" w:lineRule="auto"/>
        <w:rPr>
          <w:rFonts w:eastAsiaTheme="minorHAnsi"/>
          <w:lang w:val="en-US"/>
        </w:rPr>
      </w:pPr>
      <w:r w:rsidRPr="00246437">
        <w:rPr>
          <w:rFonts w:eastAsiaTheme="minorHAnsi"/>
          <w:lang w:val="en-US"/>
        </w:rPr>
        <w:t>5.3.1 Subadult Serial Dentine Samples</w:t>
      </w:r>
    </w:p>
    <w:p w14:paraId="7DE6FFE6" w14:textId="77777777" w:rsidR="00246437" w:rsidRPr="00246437" w:rsidRDefault="00246437" w:rsidP="00246437">
      <w:pPr>
        <w:rPr>
          <w:rFonts w:eastAsiaTheme="minorHAnsi"/>
          <w:lang w:val="en-US"/>
        </w:rPr>
      </w:pPr>
    </w:p>
    <w:p w14:paraId="009DB475" w14:textId="1B251A5D" w:rsidR="00E31564" w:rsidRDefault="00836512" w:rsidP="00552E3E">
      <w:pPr>
        <w:spacing w:line="480" w:lineRule="auto"/>
        <w:ind w:firstLine="720"/>
        <w:rPr>
          <w:rFonts w:eastAsiaTheme="minorHAnsi"/>
          <w:lang w:val="en-US"/>
        </w:rPr>
      </w:pPr>
      <w:r>
        <w:rPr>
          <w:rFonts w:eastAsiaTheme="minorHAnsi"/>
          <w:lang w:val="en-US"/>
        </w:rPr>
        <w:t xml:space="preserve">The 62 dentine samples prepared from the 12 subadult Iron Age teeth all yielded sufficient collagen for analysis. Table 5.1 presents the </w:t>
      </w:r>
      <w:r>
        <w:rPr>
          <w:rFonts w:eastAsiaTheme="minorHAnsi"/>
          <w:lang w:val="en-US"/>
        </w:rPr>
        <w:sym w:font="Symbol" w:char="F064"/>
      </w:r>
      <w:r>
        <w:rPr>
          <w:rFonts w:eastAsiaTheme="minorHAnsi"/>
          <w:vertAlign w:val="superscript"/>
          <w:lang w:val="en-US"/>
        </w:rPr>
        <w:t>13</w:t>
      </w:r>
      <w:r>
        <w:rPr>
          <w:rFonts w:eastAsiaTheme="minorHAnsi"/>
          <w:lang w:val="en-US"/>
        </w:rPr>
        <w:t xml:space="preserve">C and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for all subadult dentine subsamples along with the corresponding estimated age ranges and mean ages. The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range from 9.2‰ to 16.1‰ with a mean value of 12.2‰. The </w:t>
      </w:r>
      <w:r>
        <w:rPr>
          <w:rFonts w:eastAsiaTheme="minorHAnsi"/>
          <w:lang w:val="en-US"/>
        </w:rPr>
        <w:sym w:font="Symbol" w:char="F064"/>
      </w:r>
      <w:r>
        <w:rPr>
          <w:rFonts w:eastAsiaTheme="minorHAnsi"/>
          <w:vertAlign w:val="superscript"/>
          <w:lang w:val="en-US"/>
        </w:rPr>
        <w:t>13</w:t>
      </w:r>
      <w:r>
        <w:rPr>
          <w:rFonts w:eastAsiaTheme="minorHAnsi"/>
          <w:lang w:val="en-US"/>
        </w:rPr>
        <w:t>C values range from -20.0‰ to -17.4‰ with a mean value of -19.0‰.</w:t>
      </w:r>
    </w:p>
    <w:p w14:paraId="7971151C" w14:textId="77777777" w:rsidR="00552E3E" w:rsidRDefault="00552E3E" w:rsidP="00552E3E">
      <w:pPr>
        <w:spacing w:line="480" w:lineRule="auto"/>
        <w:ind w:firstLine="720"/>
        <w:rPr>
          <w:rFonts w:eastAsiaTheme="minorHAnsi"/>
          <w:lang w:val="en-US"/>
        </w:rPr>
      </w:pPr>
    </w:p>
    <w:p w14:paraId="0D46F205" w14:textId="77777777" w:rsidR="00836512" w:rsidRDefault="00836512" w:rsidP="00246437">
      <w:pPr>
        <w:rPr>
          <w:rFonts w:eastAsiaTheme="minorHAnsi"/>
          <w:lang w:val="en-US"/>
        </w:rPr>
      </w:pPr>
    </w:p>
    <w:p w14:paraId="75BF6335" w14:textId="77777777" w:rsidR="00836512" w:rsidRDefault="00836512" w:rsidP="00836512">
      <w:pPr>
        <w:jc w:val="center"/>
        <w:rPr>
          <w:rFonts w:eastAsiaTheme="minorHAnsi"/>
          <w:lang w:val="en-US"/>
        </w:rPr>
      </w:pPr>
      <w:r>
        <w:rPr>
          <w:rFonts w:eastAsiaTheme="minorHAnsi"/>
          <w:b/>
          <w:lang w:val="en-US"/>
        </w:rPr>
        <w:t>Table 5.1</w:t>
      </w:r>
      <w:r>
        <w:rPr>
          <w:rFonts w:eastAsiaTheme="minorHAnsi"/>
          <w:lang w:val="en-US"/>
        </w:rPr>
        <w:t xml:space="preserve">: Stable carbon and nitrogen isotope data for subadult dentine serial samples (n=62). </w:t>
      </w:r>
    </w:p>
    <w:p w14:paraId="4A4DEDB3" w14:textId="77777777" w:rsidR="00836512" w:rsidRDefault="00836512" w:rsidP="00836512">
      <w:pPr>
        <w:spacing w:line="480" w:lineRule="auto"/>
        <w:rPr>
          <w:rFonts w:eastAsiaTheme="minorHAnsi"/>
          <w:lang w:val="en-US"/>
        </w:rPr>
      </w:pPr>
    </w:p>
    <w:tbl>
      <w:tblPr>
        <w:tblStyle w:val="TableGrid1"/>
        <w:tblW w:w="0" w:type="auto"/>
        <w:jc w:val="center"/>
        <w:tblLook w:val="04A0" w:firstRow="1" w:lastRow="0" w:firstColumn="1" w:lastColumn="0" w:noHBand="0" w:noVBand="1"/>
      </w:tblPr>
      <w:tblGrid>
        <w:gridCol w:w="1544"/>
        <w:gridCol w:w="1193"/>
        <w:gridCol w:w="1456"/>
        <w:gridCol w:w="1089"/>
        <w:gridCol w:w="1189"/>
        <w:gridCol w:w="1140"/>
        <w:gridCol w:w="1046"/>
      </w:tblGrid>
      <w:tr w:rsidR="00836512" w14:paraId="4EA29479" w14:textId="77777777" w:rsidTr="00836512">
        <w:trPr>
          <w:jc w:val="center"/>
        </w:trPr>
        <w:tc>
          <w:tcPr>
            <w:tcW w:w="1670" w:type="dxa"/>
            <w:tcBorders>
              <w:top w:val="single" w:sz="4" w:space="0" w:color="auto"/>
              <w:left w:val="single" w:sz="4" w:space="0" w:color="auto"/>
              <w:bottom w:val="single" w:sz="4" w:space="0" w:color="auto"/>
              <w:right w:val="single" w:sz="4" w:space="0" w:color="auto"/>
            </w:tcBorders>
            <w:hideMark/>
          </w:tcPr>
          <w:p w14:paraId="2AA4D933" w14:textId="77777777" w:rsidR="00836512" w:rsidRDefault="00836512">
            <w:pPr>
              <w:jc w:val="center"/>
              <w:rPr>
                <w:rFonts w:eastAsiaTheme="minorHAnsi"/>
                <w:b/>
                <w:sz w:val="20"/>
                <w:szCs w:val="20"/>
                <w:lang w:val="en-US"/>
              </w:rPr>
            </w:pPr>
            <w:r>
              <w:rPr>
                <w:rFonts w:eastAsiaTheme="minorHAnsi"/>
                <w:b/>
                <w:sz w:val="20"/>
                <w:szCs w:val="20"/>
                <w:lang w:val="en-US"/>
              </w:rPr>
              <w:t>Skeletal ID</w:t>
            </w:r>
          </w:p>
        </w:tc>
        <w:tc>
          <w:tcPr>
            <w:tcW w:w="1334" w:type="dxa"/>
            <w:tcBorders>
              <w:top w:val="single" w:sz="4" w:space="0" w:color="auto"/>
              <w:left w:val="single" w:sz="4" w:space="0" w:color="auto"/>
              <w:bottom w:val="single" w:sz="4" w:space="0" w:color="auto"/>
              <w:right w:val="single" w:sz="4" w:space="0" w:color="auto"/>
            </w:tcBorders>
            <w:hideMark/>
          </w:tcPr>
          <w:p w14:paraId="112D45F5" w14:textId="77777777" w:rsidR="00836512" w:rsidRDefault="00836512">
            <w:pPr>
              <w:jc w:val="center"/>
              <w:rPr>
                <w:rFonts w:eastAsiaTheme="minorHAnsi"/>
                <w:b/>
                <w:sz w:val="20"/>
                <w:szCs w:val="20"/>
                <w:lang w:val="en-US"/>
              </w:rPr>
            </w:pPr>
            <w:r>
              <w:rPr>
                <w:rFonts w:eastAsiaTheme="minorHAnsi"/>
                <w:b/>
                <w:sz w:val="20"/>
                <w:szCs w:val="20"/>
                <w:lang w:val="en-US"/>
              </w:rPr>
              <w:t>Sample ID</w:t>
            </w:r>
          </w:p>
        </w:tc>
        <w:tc>
          <w:tcPr>
            <w:tcW w:w="1651" w:type="dxa"/>
            <w:tcBorders>
              <w:top w:val="single" w:sz="4" w:space="0" w:color="auto"/>
              <w:left w:val="single" w:sz="4" w:space="0" w:color="auto"/>
              <w:bottom w:val="single" w:sz="4" w:space="0" w:color="auto"/>
              <w:right w:val="single" w:sz="4" w:space="0" w:color="auto"/>
            </w:tcBorders>
            <w:hideMark/>
          </w:tcPr>
          <w:p w14:paraId="10E185F9" w14:textId="77777777" w:rsidR="00836512" w:rsidRDefault="00836512">
            <w:pPr>
              <w:jc w:val="center"/>
              <w:rPr>
                <w:rFonts w:eastAsiaTheme="minorHAnsi"/>
                <w:b/>
                <w:sz w:val="20"/>
                <w:szCs w:val="20"/>
                <w:lang w:val="en-US"/>
              </w:rPr>
            </w:pPr>
            <w:r>
              <w:rPr>
                <w:rFonts w:eastAsiaTheme="minorHAnsi"/>
                <w:b/>
                <w:sz w:val="20"/>
                <w:szCs w:val="20"/>
                <w:lang w:val="en-US"/>
              </w:rPr>
              <w:t>Age Range (months)</w:t>
            </w:r>
          </w:p>
        </w:tc>
        <w:tc>
          <w:tcPr>
            <w:tcW w:w="1206" w:type="dxa"/>
            <w:tcBorders>
              <w:top w:val="single" w:sz="4" w:space="0" w:color="auto"/>
              <w:left w:val="single" w:sz="4" w:space="0" w:color="auto"/>
              <w:bottom w:val="single" w:sz="4" w:space="0" w:color="auto"/>
              <w:right w:val="single" w:sz="4" w:space="0" w:color="auto"/>
            </w:tcBorders>
            <w:hideMark/>
          </w:tcPr>
          <w:p w14:paraId="36DD5D40" w14:textId="77777777" w:rsidR="00836512" w:rsidRDefault="00836512">
            <w:pPr>
              <w:jc w:val="center"/>
              <w:rPr>
                <w:rFonts w:eastAsiaTheme="minorHAnsi"/>
                <w:b/>
                <w:sz w:val="20"/>
                <w:szCs w:val="20"/>
                <w:lang w:val="en-US"/>
              </w:rPr>
            </w:pPr>
            <w:r>
              <w:rPr>
                <w:rFonts w:eastAsiaTheme="minorHAnsi"/>
                <w:b/>
                <w:sz w:val="20"/>
                <w:szCs w:val="20"/>
                <w:lang w:val="en-US"/>
              </w:rPr>
              <w:t>Mean Age (years)</w:t>
            </w:r>
          </w:p>
        </w:tc>
        <w:tc>
          <w:tcPr>
            <w:tcW w:w="1337" w:type="dxa"/>
            <w:tcBorders>
              <w:top w:val="single" w:sz="4" w:space="0" w:color="auto"/>
              <w:left w:val="single" w:sz="4" w:space="0" w:color="auto"/>
              <w:bottom w:val="single" w:sz="4" w:space="0" w:color="auto"/>
              <w:right w:val="single" w:sz="4" w:space="0" w:color="auto"/>
            </w:tcBorders>
            <w:hideMark/>
          </w:tcPr>
          <w:p w14:paraId="654F3824" w14:textId="77777777" w:rsidR="00836512" w:rsidRDefault="00836512">
            <w:pPr>
              <w:jc w:val="center"/>
              <w:rPr>
                <w:rFonts w:eastAsiaTheme="minorHAnsi"/>
                <w:b/>
                <w:sz w:val="20"/>
                <w:szCs w:val="20"/>
                <w:lang w:val="en-US"/>
              </w:rPr>
            </w:pPr>
            <w:r>
              <w:rPr>
                <w:rFonts w:eastAsiaTheme="minorHAnsi"/>
                <w:b/>
                <w:sz w:val="20"/>
                <w:szCs w:val="20"/>
                <w:lang w:val="en-US"/>
              </w:rPr>
              <w:sym w:font="Symbol" w:char="F064"/>
            </w:r>
            <w:r>
              <w:rPr>
                <w:rFonts w:eastAsiaTheme="minorHAnsi"/>
                <w:b/>
                <w:sz w:val="20"/>
                <w:szCs w:val="20"/>
                <w:vertAlign w:val="superscript"/>
                <w:lang w:val="en-US"/>
              </w:rPr>
              <w:t>13</w:t>
            </w:r>
            <w:r>
              <w:rPr>
                <w:rFonts w:eastAsiaTheme="minorHAnsi"/>
                <w:b/>
                <w:sz w:val="20"/>
                <w:szCs w:val="20"/>
                <w:lang w:val="en-US"/>
              </w:rPr>
              <w:t xml:space="preserve">C </w:t>
            </w:r>
          </w:p>
          <w:p w14:paraId="2B299964" w14:textId="77777777" w:rsidR="00836512" w:rsidRDefault="00836512">
            <w:pPr>
              <w:jc w:val="center"/>
              <w:rPr>
                <w:rFonts w:eastAsiaTheme="minorHAnsi"/>
                <w:b/>
                <w:sz w:val="20"/>
                <w:szCs w:val="20"/>
                <w:lang w:val="en-US"/>
              </w:rPr>
            </w:pPr>
            <w:r>
              <w:rPr>
                <w:rFonts w:eastAsiaTheme="minorHAnsi"/>
                <w:b/>
                <w:sz w:val="20"/>
                <w:szCs w:val="20"/>
                <w:lang w:val="en-US"/>
              </w:rPr>
              <w:t>(‰, VPDB)</w:t>
            </w:r>
          </w:p>
        </w:tc>
        <w:tc>
          <w:tcPr>
            <w:tcW w:w="1342" w:type="dxa"/>
            <w:tcBorders>
              <w:top w:val="single" w:sz="4" w:space="0" w:color="auto"/>
              <w:left w:val="single" w:sz="4" w:space="0" w:color="auto"/>
              <w:bottom w:val="single" w:sz="4" w:space="0" w:color="auto"/>
              <w:right w:val="single" w:sz="4" w:space="0" w:color="auto"/>
            </w:tcBorders>
            <w:hideMark/>
          </w:tcPr>
          <w:p w14:paraId="75EE62C6" w14:textId="77777777" w:rsidR="00836512" w:rsidRDefault="00836512">
            <w:pPr>
              <w:jc w:val="center"/>
              <w:rPr>
                <w:rFonts w:eastAsiaTheme="minorHAnsi"/>
                <w:b/>
                <w:sz w:val="20"/>
                <w:szCs w:val="20"/>
                <w:lang w:val="en-US"/>
              </w:rPr>
            </w:pPr>
            <w:r>
              <w:rPr>
                <w:rFonts w:eastAsiaTheme="minorHAnsi"/>
                <w:b/>
                <w:sz w:val="20"/>
                <w:szCs w:val="20"/>
                <w:lang w:val="en-US"/>
              </w:rPr>
              <w:sym w:font="Symbol" w:char="F064"/>
            </w:r>
            <w:r>
              <w:rPr>
                <w:rFonts w:eastAsiaTheme="minorHAnsi"/>
                <w:b/>
                <w:sz w:val="20"/>
                <w:szCs w:val="20"/>
                <w:vertAlign w:val="superscript"/>
                <w:lang w:val="en-US"/>
              </w:rPr>
              <w:t>15</w:t>
            </w:r>
            <w:r>
              <w:rPr>
                <w:rFonts w:eastAsiaTheme="minorHAnsi"/>
                <w:b/>
                <w:sz w:val="20"/>
                <w:szCs w:val="20"/>
                <w:lang w:val="en-US"/>
              </w:rPr>
              <w:t xml:space="preserve">N </w:t>
            </w:r>
          </w:p>
          <w:p w14:paraId="555030C7" w14:textId="77777777" w:rsidR="00836512" w:rsidRDefault="00836512">
            <w:pPr>
              <w:jc w:val="center"/>
              <w:rPr>
                <w:rFonts w:eastAsiaTheme="minorHAnsi"/>
                <w:b/>
                <w:sz w:val="20"/>
                <w:szCs w:val="20"/>
                <w:lang w:val="en-US"/>
              </w:rPr>
            </w:pPr>
            <w:r>
              <w:rPr>
                <w:rFonts w:eastAsiaTheme="minorHAnsi"/>
                <w:b/>
                <w:sz w:val="20"/>
                <w:szCs w:val="20"/>
                <w:lang w:val="en-US"/>
              </w:rPr>
              <w:t>(‰, AIR)</w:t>
            </w:r>
          </w:p>
        </w:tc>
        <w:tc>
          <w:tcPr>
            <w:tcW w:w="1241" w:type="dxa"/>
            <w:tcBorders>
              <w:top w:val="single" w:sz="4" w:space="0" w:color="auto"/>
              <w:left w:val="single" w:sz="4" w:space="0" w:color="auto"/>
              <w:bottom w:val="single" w:sz="4" w:space="0" w:color="auto"/>
              <w:right w:val="single" w:sz="4" w:space="0" w:color="auto"/>
            </w:tcBorders>
            <w:hideMark/>
          </w:tcPr>
          <w:p w14:paraId="006C1D09" w14:textId="77777777" w:rsidR="00836512" w:rsidRDefault="00836512">
            <w:pPr>
              <w:jc w:val="center"/>
              <w:rPr>
                <w:rFonts w:eastAsiaTheme="minorHAnsi"/>
                <w:b/>
                <w:sz w:val="20"/>
                <w:szCs w:val="20"/>
                <w:lang w:val="en-US"/>
              </w:rPr>
            </w:pPr>
            <w:r>
              <w:rPr>
                <w:rFonts w:eastAsiaTheme="minorHAnsi"/>
                <w:b/>
                <w:sz w:val="20"/>
                <w:szCs w:val="20"/>
                <w:lang w:val="en-US"/>
              </w:rPr>
              <w:t>C:N</w:t>
            </w:r>
          </w:p>
        </w:tc>
      </w:tr>
      <w:tr w:rsidR="00836512" w14:paraId="5E5D6C4D"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4E26B442" w14:textId="77777777" w:rsidR="00836512" w:rsidRDefault="00836512">
            <w:pPr>
              <w:rPr>
                <w:rFonts w:eastAsiaTheme="minorHAnsi"/>
                <w:color w:val="000000"/>
                <w:sz w:val="20"/>
                <w:szCs w:val="20"/>
                <w:lang w:val="en-US"/>
              </w:rPr>
            </w:pPr>
            <w:r>
              <w:rPr>
                <w:rFonts w:eastAsiaTheme="minorHAnsi"/>
                <w:color w:val="000000"/>
                <w:sz w:val="20"/>
                <w:szCs w:val="20"/>
                <w:lang w:val="en-US"/>
              </w:rPr>
              <w:t>Botromagno</w:t>
            </w:r>
          </w:p>
          <w:p w14:paraId="3DDE2629" w14:textId="77777777" w:rsidR="00836512" w:rsidRDefault="00836512">
            <w:pPr>
              <w:rPr>
                <w:rFonts w:eastAsiaTheme="minorHAnsi"/>
                <w:color w:val="000000"/>
                <w:sz w:val="20"/>
                <w:szCs w:val="20"/>
                <w:lang w:val="en-US"/>
              </w:rPr>
            </w:pPr>
            <w:r>
              <w:rPr>
                <w:rFonts w:eastAsiaTheme="minorHAnsi"/>
                <w:color w:val="000000"/>
                <w:sz w:val="20"/>
                <w:szCs w:val="20"/>
                <w:lang w:val="en-US"/>
              </w:rPr>
              <w:t>G67/I p3 e2 S4 = Tomb 4</w:t>
            </w:r>
          </w:p>
        </w:tc>
        <w:tc>
          <w:tcPr>
            <w:tcW w:w="1334" w:type="dxa"/>
            <w:tcBorders>
              <w:top w:val="single" w:sz="4" w:space="0" w:color="auto"/>
              <w:left w:val="single" w:sz="4" w:space="0" w:color="auto"/>
              <w:bottom w:val="single" w:sz="4" w:space="0" w:color="auto"/>
              <w:right w:val="single" w:sz="4" w:space="0" w:color="auto"/>
            </w:tcBorders>
            <w:hideMark/>
          </w:tcPr>
          <w:p w14:paraId="0E6AD91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T1.01</w:t>
            </w:r>
          </w:p>
        </w:tc>
        <w:tc>
          <w:tcPr>
            <w:tcW w:w="1651" w:type="dxa"/>
            <w:tcBorders>
              <w:top w:val="single" w:sz="4" w:space="0" w:color="auto"/>
              <w:left w:val="single" w:sz="4" w:space="0" w:color="auto"/>
              <w:bottom w:val="single" w:sz="4" w:space="0" w:color="auto"/>
              <w:right w:val="single" w:sz="4" w:space="0" w:color="auto"/>
            </w:tcBorders>
            <w:hideMark/>
          </w:tcPr>
          <w:p w14:paraId="341764A2" w14:textId="77777777" w:rsidR="00836512" w:rsidRDefault="00836512">
            <w:pPr>
              <w:jc w:val="center"/>
              <w:rPr>
                <w:rFonts w:eastAsiaTheme="minorHAnsi"/>
                <w:sz w:val="20"/>
                <w:szCs w:val="20"/>
                <w:lang w:val="en-US"/>
              </w:rPr>
            </w:pPr>
            <w:r>
              <w:rPr>
                <w:rFonts w:eastAsiaTheme="minorHAnsi"/>
                <w:sz w:val="20"/>
                <w:szCs w:val="20"/>
                <w:lang w:val="en-US"/>
              </w:rPr>
              <w:t>2.25 – 11.60</w:t>
            </w:r>
          </w:p>
        </w:tc>
        <w:tc>
          <w:tcPr>
            <w:tcW w:w="1206" w:type="dxa"/>
            <w:tcBorders>
              <w:top w:val="single" w:sz="4" w:space="0" w:color="auto"/>
              <w:left w:val="single" w:sz="4" w:space="0" w:color="auto"/>
              <w:bottom w:val="single" w:sz="4" w:space="0" w:color="auto"/>
              <w:right w:val="single" w:sz="4" w:space="0" w:color="auto"/>
            </w:tcBorders>
            <w:hideMark/>
          </w:tcPr>
          <w:p w14:paraId="007C5872" w14:textId="77777777" w:rsidR="00836512" w:rsidRDefault="00836512">
            <w:pPr>
              <w:jc w:val="center"/>
              <w:rPr>
                <w:rFonts w:eastAsiaTheme="minorHAnsi"/>
                <w:sz w:val="20"/>
                <w:szCs w:val="20"/>
                <w:lang w:val="en-US"/>
              </w:rPr>
            </w:pPr>
            <w:r>
              <w:rPr>
                <w:rFonts w:eastAsiaTheme="minorHAnsi"/>
                <w:sz w:val="20"/>
                <w:szCs w:val="20"/>
                <w:lang w:val="en-US"/>
              </w:rPr>
              <w:t>0.58</w:t>
            </w:r>
          </w:p>
        </w:tc>
        <w:tc>
          <w:tcPr>
            <w:tcW w:w="1337" w:type="dxa"/>
            <w:tcBorders>
              <w:top w:val="single" w:sz="4" w:space="0" w:color="auto"/>
              <w:left w:val="nil"/>
              <w:bottom w:val="single" w:sz="4" w:space="0" w:color="auto"/>
              <w:right w:val="single" w:sz="4" w:space="0" w:color="auto"/>
            </w:tcBorders>
            <w:vAlign w:val="bottom"/>
            <w:hideMark/>
          </w:tcPr>
          <w:p w14:paraId="3D59CCB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-18.5</w:t>
            </w:r>
          </w:p>
        </w:tc>
        <w:tc>
          <w:tcPr>
            <w:tcW w:w="1342" w:type="dxa"/>
            <w:tcBorders>
              <w:top w:val="single" w:sz="4" w:space="0" w:color="auto"/>
              <w:left w:val="single" w:sz="4" w:space="0" w:color="auto"/>
              <w:bottom w:val="single" w:sz="4" w:space="0" w:color="auto"/>
              <w:right w:val="nil"/>
            </w:tcBorders>
            <w:vAlign w:val="bottom"/>
            <w:hideMark/>
          </w:tcPr>
          <w:p w14:paraId="390FE81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12.8</w:t>
            </w:r>
          </w:p>
        </w:tc>
        <w:tc>
          <w:tcPr>
            <w:tcW w:w="1241" w:type="dxa"/>
            <w:tcBorders>
              <w:top w:val="single" w:sz="4" w:space="0" w:color="auto"/>
              <w:left w:val="single" w:sz="4" w:space="0" w:color="auto"/>
              <w:bottom w:val="single" w:sz="4" w:space="0" w:color="auto"/>
              <w:right w:val="single" w:sz="4" w:space="0" w:color="auto"/>
            </w:tcBorders>
            <w:vAlign w:val="bottom"/>
            <w:hideMark/>
          </w:tcPr>
          <w:p w14:paraId="3246BA1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05B5C2D"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0BA69"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39CC325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T1.02</w:t>
            </w:r>
          </w:p>
        </w:tc>
        <w:tc>
          <w:tcPr>
            <w:tcW w:w="1651" w:type="dxa"/>
            <w:tcBorders>
              <w:top w:val="single" w:sz="4" w:space="0" w:color="auto"/>
              <w:left w:val="single" w:sz="4" w:space="0" w:color="auto"/>
              <w:bottom w:val="single" w:sz="4" w:space="0" w:color="auto"/>
              <w:right w:val="single" w:sz="4" w:space="0" w:color="auto"/>
            </w:tcBorders>
            <w:hideMark/>
          </w:tcPr>
          <w:p w14:paraId="69B36E5F" w14:textId="77777777" w:rsidR="00836512" w:rsidRDefault="00836512">
            <w:pPr>
              <w:jc w:val="center"/>
              <w:rPr>
                <w:rFonts w:eastAsiaTheme="minorHAnsi"/>
                <w:sz w:val="20"/>
                <w:szCs w:val="20"/>
                <w:lang w:val="en-US"/>
              </w:rPr>
            </w:pPr>
            <w:r>
              <w:rPr>
                <w:rFonts w:eastAsiaTheme="minorHAnsi"/>
                <w:sz w:val="20"/>
                <w:szCs w:val="20"/>
                <w:lang w:val="en-US"/>
              </w:rPr>
              <w:t>11.60 – 20.76</w:t>
            </w:r>
          </w:p>
        </w:tc>
        <w:tc>
          <w:tcPr>
            <w:tcW w:w="1206" w:type="dxa"/>
            <w:tcBorders>
              <w:top w:val="single" w:sz="4" w:space="0" w:color="auto"/>
              <w:left w:val="single" w:sz="4" w:space="0" w:color="auto"/>
              <w:bottom w:val="single" w:sz="4" w:space="0" w:color="auto"/>
              <w:right w:val="single" w:sz="4" w:space="0" w:color="auto"/>
            </w:tcBorders>
            <w:hideMark/>
          </w:tcPr>
          <w:p w14:paraId="239E12A6" w14:textId="77777777" w:rsidR="00836512" w:rsidRDefault="00836512">
            <w:pPr>
              <w:jc w:val="center"/>
              <w:rPr>
                <w:rFonts w:eastAsiaTheme="minorHAnsi"/>
                <w:sz w:val="20"/>
                <w:szCs w:val="20"/>
                <w:lang w:val="en-US"/>
              </w:rPr>
            </w:pPr>
            <w:r>
              <w:rPr>
                <w:rFonts w:eastAsiaTheme="minorHAnsi"/>
                <w:sz w:val="20"/>
                <w:szCs w:val="20"/>
                <w:lang w:val="en-US"/>
              </w:rPr>
              <w:t>1.35</w:t>
            </w:r>
          </w:p>
        </w:tc>
        <w:tc>
          <w:tcPr>
            <w:tcW w:w="1337" w:type="dxa"/>
            <w:tcBorders>
              <w:top w:val="single" w:sz="4" w:space="0" w:color="auto"/>
              <w:left w:val="nil"/>
              <w:bottom w:val="single" w:sz="4" w:space="0" w:color="auto"/>
              <w:right w:val="single" w:sz="4" w:space="0" w:color="auto"/>
            </w:tcBorders>
            <w:vAlign w:val="bottom"/>
            <w:hideMark/>
          </w:tcPr>
          <w:p w14:paraId="023E1F8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-18.4</w:t>
            </w:r>
          </w:p>
        </w:tc>
        <w:tc>
          <w:tcPr>
            <w:tcW w:w="1342" w:type="dxa"/>
            <w:tcBorders>
              <w:top w:val="single" w:sz="4" w:space="0" w:color="auto"/>
              <w:left w:val="single" w:sz="4" w:space="0" w:color="auto"/>
              <w:bottom w:val="single" w:sz="4" w:space="0" w:color="auto"/>
              <w:right w:val="nil"/>
            </w:tcBorders>
            <w:vAlign w:val="bottom"/>
            <w:hideMark/>
          </w:tcPr>
          <w:p w14:paraId="244B705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12.9</w:t>
            </w:r>
          </w:p>
        </w:tc>
        <w:tc>
          <w:tcPr>
            <w:tcW w:w="1241" w:type="dxa"/>
            <w:tcBorders>
              <w:top w:val="single" w:sz="4" w:space="0" w:color="auto"/>
              <w:left w:val="single" w:sz="4" w:space="0" w:color="auto"/>
              <w:bottom w:val="single" w:sz="4" w:space="0" w:color="auto"/>
              <w:right w:val="single" w:sz="4" w:space="0" w:color="auto"/>
            </w:tcBorders>
            <w:vAlign w:val="bottom"/>
            <w:hideMark/>
          </w:tcPr>
          <w:p w14:paraId="7D221A6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819FB26"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BE8E9"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5453262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T1.03</w:t>
            </w:r>
          </w:p>
        </w:tc>
        <w:tc>
          <w:tcPr>
            <w:tcW w:w="1651" w:type="dxa"/>
            <w:tcBorders>
              <w:top w:val="single" w:sz="4" w:space="0" w:color="auto"/>
              <w:left w:val="single" w:sz="4" w:space="0" w:color="auto"/>
              <w:bottom w:val="single" w:sz="4" w:space="0" w:color="auto"/>
              <w:right w:val="single" w:sz="4" w:space="0" w:color="auto"/>
            </w:tcBorders>
            <w:hideMark/>
          </w:tcPr>
          <w:p w14:paraId="14ECB683" w14:textId="77777777" w:rsidR="00836512" w:rsidRDefault="00836512">
            <w:pPr>
              <w:jc w:val="center"/>
              <w:rPr>
                <w:rFonts w:eastAsiaTheme="minorHAnsi"/>
                <w:sz w:val="20"/>
                <w:szCs w:val="20"/>
                <w:lang w:val="en-US"/>
              </w:rPr>
            </w:pPr>
            <w:r>
              <w:rPr>
                <w:rFonts w:eastAsiaTheme="minorHAnsi"/>
                <w:sz w:val="20"/>
                <w:szCs w:val="20"/>
                <w:lang w:val="en-US"/>
              </w:rPr>
              <w:t>20.80 – 26.80</w:t>
            </w:r>
          </w:p>
        </w:tc>
        <w:tc>
          <w:tcPr>
            <w:tcW w:w="1206" w:type="dxa"/>
            <w:tcBorders>
              <w:top w:val="single" w:sz="4" w:space="0" w:color="auto"/>
              <w:left w:val="single" w:sz="4" w:space="0" w:color="auto"/>
              <w:bottom w:val="single" w:sz="4" w:space="0" w:color="auto"/>
              <w:right w:val="single" w:sz="4" w:space="0" w:color="auto"/>
            </w:tcBorders>
            <w:hideMark/>
          </w:tcPr>
          <w:p w14:paraId="58228679" w14:textId="77777777" w:rsidR="00836512" w:rsidRDefault="00836512">
            <w:pPr>
              <w:jc w:val="center"/>
              <w:rPr>
                <w:rFonts w:eastAsiaTheme="minorHAnsi"/>
                <w:sz w:val="20"/>
                <w:szCs w:val="20"/>
                <w:lang w:val="en-US"/>
              </w:rPr>
            </w:pPr>
            <w:r>
              <w:rPr>
                <w:rFonts w:eastAsiaTheme="minorHAnsi"/>
                <w:sz w:val="20"/>
                <w:szCs w:val="20"/>
                <w:lang w:val="en-US"/>
              </w:rPr>
              <w:t>1.98</w:t>
            </w:r>
          </w:p>
        </w:tc>
        <w:tc>
          <w:tcPr>
            <w:tcW w:w="1337" w:type="dxa"/>
            <w:tcBorders>
              <w:top w:val="single" w:sz="4" w:space="0" w:color="auto"/>
              <w:left w:val="nil"/>
              <w:bottom w:val="single" w:sz="4" w:space="0" w:color="auto"/>
              <w:right w:val="single" w:sz="4" w:space="0" w:color="auto"/>
            </w:tcBorders>
            <w:vAlign w:val="bottom"/>
            <w:hideMark/>
          </w:tcPr>
          <w:p w14:paraId="3F8DA35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-18.7</w:t>
            </w:r>
          </w:p>
        </w:tc>
        <w:tc>
          <w:tcPr>
            <w:tcW w:w="1342" w:type="dxa"/>
            <w:tcBorders>
              <w:top w:val="single" w:sz="4" w:space="0" w:color="auto"/>
              <w:left w:val="single" w:sz="4" w:space="0" w:color="auto"/>
              <w:bottom w:val="single" w:sz="4" w:space="0" w:color="auto"/>
              <w:right w:val="nil"/>
            </w:tcBorders>
            <w:vAlign w:val="bottom"/>
            <w:hideMark/>
          </w:tcPr>
          <w:p w14:paraId="37C093E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71F6E77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37A4A66"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4A8AA"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1E873CA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T1.04</w:t>
            </w:r>
          </w:p>
        </w:tc>
        <w:tc>
          <w:tcPr>
            <w:tcW w:w="1651" w:type="dxa"/>
            <w:tcBorders>
              <w:top w:val="single" w:sz="4" w:space="0" w:color="auto"/>
              <w:left w:val="single" w:sz="4" w:space="0" w:color="auto"/>
              <w:bottom w:val="single" w:sz="4" w:space="0" w:color="auto"/>
              <w:right w:val="single" w:sz="4" w:space="0" w:color="auto"/>
            </w:tcBorders>
            <w:hideMark/>
          </w:tcPr>
          <w:p w14:paraId="452EA3AA" w14:textId="77777777" w:rsidR="00836512" w:rsidRDefault="00836512">
            <w:pPr>
              <w:jc w:val="center"/>
              <w:rPr>
                <w:rFonts w:eastAsiaTheme="minorHAnsi"/>
                <w:sz w:val="20"/>
                <w:szCs w:val="20"/>
                <w:lang w:val="en-US"/>
              </w:rPr>
            </w:pPr>
            <w:r>
              <w:rPr>
                <w:rFonts w:eastAsiaTheme="minorHAnsi"/>
                <w:sz w:val="20"/>
                <w:szCs w:val="20"/>
                <w:lang w:val="en-US"/>
              </w:rPr>
              <w:t>26.80 – 32.80</w:t>
            </w:r>
          </w:p>
        </w:tc>
        <w:tc>
          <w:tcPr>
            <w:tcW w:w="1206" w:type="dxa"/>
            <w:tcBorders>
              <w:top w:val="single" w:sz="4" w:space="0" w:color="auto"/>
              <w:left w:val="single" w:sz="4" w:space="0" w:color="auto"/>
              <w:bottom w:val="single" w:sz="4" w:space="0" w:color="auto"/>
              <w:right w:val="single" w:sz="4" w:space="0" w:color="auto"/>
            </w:tcBorders>
            <w:hideMark/>
          </w:tcPr>
          <w:p w14:paraId="29499829" w14:textId="77777777" w:rsidR="00836512" w:rsidRDefault="00836512">
            <w:pPr>
              <w:jc w:val="center"/>
              <w:rPr>
                <w:rFonts w:eastAsiaTheme="minorHAnsi"/>
                <w:sz w:val="20"/>
                <w:szCs w:val="20"/>
                <w:lang w:val="en-US"/>
              </w:rPr>
            </w:pPr>
            <w:r>
              <w:rPr>
                <w:rFonts w:eastAsiaTheme="minorHAnsi"/>
                <w:sz w:val="20"/>
                <w:szCs w:val="20"/>
                <w:lang w:val="en-US"/>
              </w:rPr>
              <w:t>2.48</w:t>
            </w:r>
          </w:p>
        </w:tc>
        <w:tc>
          <w:tcPr>
            <w:tcW w:w="1337" w:type="dxa"/>
            <w:tcBorders>
              <w:top w:val="single" w:sz="4" w:space="0" w:color="auto"/>
              <w:left w:val="nil"/>
              <w:bottom w:val="single" w:sz="4" w:space="0" w:color="auto"/>
              <w:right w:val="single" w:sz="4" w:space="0" w:color="auto"/>
            </w:tcBorders>
            <w:vAlign w:val="bottom"/>
            <w:hideMark/>
          </w:tcPr>
          <w:p w14:paraId="075F29D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-18.8</w:t>
            </w:r>
          </w:p>
        </w:tc>
        <w:tc>
          <w:tcPr>
            <w:tcW w:w="1342" w:type="dxa"/>
            <w:tcBorders>
              <w:top w:val="single" w:sz="4" w:space="0" w:color="auto"/>
              <w:left w:val="single" w:sz="4" w:space="0" w:color="auto"/>
              <w:bottom w:val="single" w:sz="4" w:space="0" w:color="auto"/>
              <w:right w:val="nil"/>
            </w:tcBorders>
            <w:vAlign w:val="bottom"/>
            <w:hideMark/>
          </w:tcPr>
          <w:p w14:paraId="68D5323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11.7</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5F42D4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3FBC4E07"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4EEB7"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67C6BD2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T1.05</w:t>
            </w:r>
          </w:p>
        </w:tc>
        <w:tc>
          <w:tcPr>
            <w:tcW w:w="1651" w:type="dxa"/>
            <w:tcBorders>
              <w:top w:val="single" w:sz="4" w:space="0" w:color="auto"/>
              <w:left w:val="single" w:sz="4" w:space="0" w:color="auto"/>
              <w:bottom w:val="single" w:sz="4" w:space="0" w:color="auto"/>
              <w:right w:val="single" w:sz="4" w:space="0" w:color="auto"/>
            </w:tcBorders>
            <w:hideMark/>
          </w:tcPr>
          <w:p w14:paraId="4E53060A" w14:textId="77777777" w:rsidR="00836512" w:rsidRDefault="00836512">
            <w:pPr>
              <w:jc w:val="center"/>
              <w:rPr>
                <w:rFonts w:eastAsiaTheme="minorHAnsi"/>
                <w:sz w:val="20"/>
                <w:szCs w:val="20"/>
                <w:lang w:val="en-US"/>
              </w:rPr>
            </w:pPr>
            <w:r>
              <w:rPr>
                <w:rFonts w:eastAsiaTheme="minorHAnsi"/>
                <w:sz w:val="20"/>
                <w:szCs w:val="20"/>
                <w:lang w:val="en-US"/>
              </w:rPr>
              <w:t>32.83 – 42.00</w:t>
            </w:r>
          </w:p>
        </w:tc>
        <w:tc>
          <w:tcPr>
            <w:tcW w:w="1206" w:type="dxa"/>
            <w:tcBorders>
              <w:top w:val="single" w:sz="4" w:space="0" w:color="auto"/>
              <w:left w:val="single" w:sz="4" w:space="0" w:color="auto"/>
              <w:bottom w:val="single" w:sz="4" w:space="0" w:color="auto"/>
              <w:right w:val="single" w:sz="4" w:space="0" w:color="auto"/>
            </w:tcBorders>
            <w:hideMark/>
          </w:tcPr>
          <w:p w14:paraId="621B800D" w14:textId="77777777" w:rsidR="00836512" w:rsidRDefault="00836512">
            <w:pPr>
              <w:jc w:val="center"/>
              <w:rPr>
                <w:rFonts w:eastAsiaTheme="minorHAnsi"/>
                <w:sz w:val="20"/>
                <w:szCs w:val="20"/>
                <w:lang w:val="en-US"/>
              </w:rPr>
            </w:pPr>
            <w:r>
              <w:rPr>
                <w:rFonts w:eastAsiaTheme="minorHAnsi"/>
                <w:sz w:val="20"/>
                <w:szCs w:val="20"/>
                <w:lang w:val="en-US"/>
              </w:rPr>
              <w:t>3.12</w:t>
            </w:r>
          </w:p>
        </w:tc>
        <w:tc>
          <w:tcPr>
            <w:tcW w:w="1337" w:type="dxa"/>
            <w:tcBorders>
              <w:top w:val="single" w:sz="4" w:space="0" w:color="auto"/>
              <w:left w:val="nil"/>
              <w:bottom w:val="single" w:sz="4" w:space="0" w:color="auto"/>
              <w:right w:val="single" w:sz="4" w:space="0" w:color="auto"/>
            </w:tcBorders>
            <w:vAlign w:val="bottom"/>
            <w:hideMark/>
          </w:tcPr>
          <w:p w14:paraId="540C6B6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-19.1</w:t>
            </w:r>
          </w:p>
        </w:tc>
        <w:tc>
          <w:tcPr>
            <w:tcW w:w="1342" w:type="dxa"/>
            <w:tcBorders>
              <w:top w:val="single" w:sz="4" w:space="0" w:color="auto"/>
              <w:left w:val="single" w:sz="4" w:space="0" w:color="auto"/>
              <w:bottom w:val="single" w:sz="4" w:space="0" w:color="auto"/>
              <w:right w:val="nil"/>
            </w:tcBorders>
            <w:vAlign w:val="bottom"/>
            <w:hideMark/>
          </w:tcPr>
          <w:p w14:paraId="7B824CB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10.6</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0C564E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270C73E8"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360A3C28" w14:textId="77777777" w:rsidR="00836512" w:rsidRDefault="00836512">
            <w:pPr>
              <w:rPr>
                <w:rFonts w:eastAsiaTheme="minorHAnsi"/>
                <w:color w:val="000000"/>
                <w:sz w:val="20"/>
                <w:szCs w:val="20"/>
                <w:lang w:val="en-US"/>
              </w:rPr>
            </w:pPr>
            <w:r>
              <w:rPr>
                <w:rFonts w:eastAsiaTheme="minorHAnsi"/>
                <w:color w:val="000000"/>
                <w:sz w:val="20"/>
                <w:szCs w:val="20"/>
                <w:lang w:val="en-US"/>
              </w:rPr>
              <w:t>Parco San Stefano</w:t>
            </w:r>
          </w:p>
          <w:p w14:paraId="41B2ADA9" w14:textId="77777777" w:rsidR="00836512" w:rsidRDefault="00836512">
            <w:pPr>
              <w:rPr>
                <w:rFonts w:eastAsiaTheme="minorHAnsi"/>
                <w:color w:val="000000"/>
                <w:sz w:val="20"/>
                <w:szCs w:val="20"/>
                <w:lang w:val="en-US"/>
              </w:rPr>
            </w:pPr>
            <w:r>
              <w:rPr>
                <w:rFonts w:eastAsiaTheme="minorHAnsi"/>
                <w:color w:val="000000"/>
                <w:sz w:val="20"/>
                <w:szCs w:val="20"/>
                <w:lang w:val="en-US"/>
              </w:rPr>
              <w:t>22/5/67 Tomba 30</w:t>
            </w:r>
          </w:p>
        </w:tc>
        <w:tc>
          <w:tcPr>
            <w:tcW w:w="1334" w:type="dxa"/>
            <w:tcBorders>
              <w:top w:val="single" w:sz="4" w:space="0" w:color="auto"/>
              <w:left w:val="single" w:sz="4" w:space="0" w:color="auto"/>
              <w:bottom w:val="single" w:sz="4" w:space="0" w:color="auto"/>
              <w:right w:val="single" w:sz="4" w:space="0" w:color="auto"/>
            </w:tcBorders>
            <w:hideMark/>
          </w:tcPr>
          <w:p w14:paraId="7EBD122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T2.01</w:t>
            </w:r>
          </w:p>
        </w:tc>
        <w:tc>
          <w:tcPr>
            <w:tcW w:w="1651" w:type="dxa"/>
            <w:tcBorders>
              <w:top w:val="single" w:sz="4" w:space="0" w:color="auto"/>
              <w:left w:val="single" w:sz="4" w:space="0" w:color="auto"/>
              <w:bottom w:val="single" w:sz="4" w:space="0" w:color="auto"/>
              <w:right w:val="single" w:sz="4" w:space="0" w:color="auto"/>
            </w:tcBorders>
            <w:hideMark/>
          </w:tcPr>
          <w:p w14:paraId="366E08E8" w14:textId="77777777" w:rsidR="00836512" w:rsidRDefault="00836512">
            <w:pPr>
              <w:jc w:val="center"/>
              <w:rPr>
                <w:rFonts w:eastAsiaTheme="minorHAnsi"/>
                <w:sz w:val="20"/>
                <w:szCs w:val="20"/>
                <w:lang w:val="en-US"/>
              </w:rPr>
            </w:pPr>
            <w:r>
              <w:rPr>
                <w:rFonts w:eastAsiaTheme="minorHAnsi"/>
                <w:sz w:val="20"/>
                <w:szCs w:val="20"/>
                <w:lang w:val="en-US"/>
              </w:rPr>
              <w:t>18.00 – 23.50</w:t>
            </w:r>
          </w:p>
        </w:tc>
        <w:tc>
          <w:tcPr>
            <w:tcW w:w="1206" w:type="dxa"/>
            <w:tcBorders>
              <w:top w:val="single" w:sz="4" w:space="0" w:color="auto"/>
              <w:left w:val="single" w:sz="4" w:space="0" w:color="auto"/>
              <w:bottom w:val="single" w:sz="4" w:space="0" w:color="auto"/>
              <w:right w:val="single" w:sz="4" w:space="0" w:color="auto"/>
            </w:tcBorders>
            <w:hideMark/>
          </w:tcPr>
          <w:p w14:paraId="365882AD" w14:textId="77777777" w:rsidR="00836512" w:rsidRDefault="00836512">
            <w:pPr>
              <w:jc w:val="center"/>
              <w:rPr>
                <w:rFonts w:eastAsiaTheme="minorHAnsi"/>
                <w:sz w:val="20"/>
                <w:szCs w:val="20"/>
                <w:lang w:val="en-US"/>
              </w:rPr>
            </w:pPr>
            <w:r>
              <w:rPr>
                <w:rFonts w:eastAsiaTheme="minorHAnsi"/>
                <w:sz w:val="20"/>
                <w:szCs w:val="20"/>
                <w:lang w:val="en-US"/>
              </w:rPr>
              <w:t>1.73</w:t>
            </w:r>
          </w:p>
        </w:tc>
        <w:tc>
          <w:tcPr>
            <w:tcW w:w="1337" w:type="dxa"/>
            <w:tcBorders>
              <w:top w:val="single" w:sz="4" w:space="0" w:color="auto"/>
              <w:left w:val="nil"/>
              <w:bottom w:val="single" w:sz="4" w:space="0" w:color="auto"/>
              <w:right w:val="single" w:sz="4" w:space="0" w:color="auto"/>
            </w:tcBorders>
            <w:vAlign w:val="bottom"/>
            <w:hideMark/>
          </w:tcPr>
          <w:p w14:paraId="7C99EAE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-18.8</w:t>
            </w:r>
          </w:p>
        </w:tc>
        <w:tc>
          <w:tcPr>
            <w:tcW w:w="1342" w:type="dxa"/>
            <w:tcBorders>
              <w:top w:val="single" w:sz="4" w:space="0" w:color="auto"/>
              <w:left w:val="single" w:sz="4" w:space="0" w:color="auto"/>
              <w:bottom w:val="single" w:sz="4" w:space="0" w:color="auto"/>
              <w:right w:val="nil"/>
            </w:tcBorders>
            <w:vAlign w:val="bottom"/>
            <w:hideMark/>
          </w:tcPr>
          <w:p w14:paraId="37D4B73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12.6</w:t>
            </w:r>
          </w:p>
        </w:tc>
        <w:tc>
          <w:tcPr>
            <w:tcW w:w="1241" w:type="dxa"/>
            <w:tcBorders>
              <w:top w:val="single" w:sz="4" w:space="0" w:color="auto"/>
              <w:left w:val="single" w:sz="4" w:space="0" w:color="auto"/>
              <w:bottom w:val="single" w:sz="4" w:space="0" w:color="auto"/>
              <w:right w:val="single" w:sz="4" w:space="0" w:color="auto"/>
            </w:tcBorders>
            <w:vAlign w:val="bottom"/>
            <w:hideMark/>
          </w:tcPr>
          <w:p w14:paraId="7686A8F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43DF3CA"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7480D"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F23DA1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T2.02</w:t>
            </w:r>
          </w:p>
        </w:tc>
        <w:tc>
          <w:tcPr>
            <w:tcW w:w="1651" w:type="dxa"/>
            <w:tcBorders>
              <w:top w:val="single" w:sz="4" w:space="0" w:color="auto"/>
              <w:left w:val="single" w:sz="4" w:space="0" w:color="auto"/>
              <w:bottom w:val="single" w:sz="4" w:space="0" w:color="auto"/>
              <w:right w:val="single" w:sz="4" w:space="0" w:color="auto"/>
            </w:tcBorders>
            <w:hideMark/>
          </w:tcPr>
          <w:p w14:paraId="0D7357A4" w14:textId="77777777" w:rsidR="00836512" w:rsidRDefault="00836512">
            <w:pPr>
              <w:jc w:val="center"/>
              <w:rPr>
                <w:rFonts w:eastAsiaTheme="minorHAnsi"/>
                <w:sz w:val="20"/>
                <w:szCs w:val="20"/>
                <w:lang w:val="en-US"/>
              </w:rPr>
            </w:pPr>
            <w:r>
              <w:rPr>
                <w:rFonts w:eastAsiaTheme="minorHAnsi"/>
                <w:sz w:val="20"/>
                <w:szCs w:val="20"/>
                <w:lang w:val="en-US"/>
              </w:rPr>
              <w:t>23.50 – 28.80</w:t>
            </w:r>
          </w:p>
        </w:tc>
        <w:tc>
          <w:tcPr>
            <w:tcW w:w="1206" w:type="dxa"/>
            <w:tcBorders>
              <w:top w:val="single" w:sz="4" w:space="0" w:color="auto"/>
              <w:left w:val="single" w:sz="4" w:space="0" w:color="auto"/>
              <w:bottom w:val="single" w:sz="4" w:space="0" w:color="auto"/>
              <w:right w:val="single" w:sz="4" w:space="0" w:color="auto"/>
            </w:tcBorders>
            <w:hideMark/>
          </w:tcPr>
          <w:p w14:paraId="1CF5DE89" w14:textId="77777777" w:rsidR="00836512" w:rsidRDefault="00836512">
            <w:pPr>
              <w:jc w:val="center"/>
              <w:rPr>
                <w:rFonts w:eastAsiaTheme="minorHAnsi"/>
                <w:sz w:val="20"/>
                <w:szCs w:val="20"/>
                <w:lang w:val="en-US"/>
              </w:rPr>
            </w:pPr>
            <w:r>
              <w:rPr>
                <w:rFonts w:eastAsiaTheme="minorHAnsi"/>
                <w:sz w:val="20"/>
                <w:szCs w:val="20"/>
                <w:lang w:val="en-US"/>
              </w:rPr>
              <w:t>2.18</w:t>
            </w:r>
          </w:p>
        </w:tc>
        <w:tc>
          <w:tcPr>
            <w:tcW w:w="1337" w:type="dxa"/>
            <w:tcBorders>
              <w:top w:val="single" w:sz="4" w:space="0" w:color="auto"/>
              <w:left w:val="nil"/>
              <w:bottom w:val="single" w:sz="4" w:space="0" w:color="auto"/>
              <w:right w:val="single" w:sz="4" w:space="0" w:color="auto"/>
            </w:tcBorders>
            <w:vAlign w:val="bottom"/>
            <w:hideMark/>
          </w:tcPr>
          <w:p w14:paraId="1F66EAD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1342" w:type="dxa"/>
            <w:tcBorders>
              <w:top w:val="single" w:sz="4" w:space="0" w:color="auto"/>
              <w:left w:val="single" w:sz="4" w:space="0" w:color="auto"/>
              <w:bottom w:val="single" w:sz="4" w:space="0" w:color="auto"/>
              <w:right w:val="nil"/>
            </w:tcBorders>
            <w:vAlign w:val="bottom"/>
            <w:hideMark/>
          </w:tcPr>
          <w:p w14:paraId="4A4BEF0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12.4</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E1CDC5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2DA30F5"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BE3B5D"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7F8345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T2.03</w:t>
            </w:r>
          </w:p>
        </w:tc>
        <w:tc>
          <w:tcPr>
            <w:tcW w:w="1651" w:type="dxa"/>
            <w:tcBorders>
              <w:top w:val="single" w:sz="4" w:space="0" w:color="auto"/>
              <w:left w:val="single" w:sz="4" w:space="0" w:color="auto"/>
              <w:bottom w:val="single" w:sz="4" w:space="0" w:color="auto"/>
              <w:right w:val="single" w:sz="4" w:space="0" w:color="auto"/>
            </w:tcBorders>
            <w:hideMark/>
          </w:tcPr>
          <w:p w14:paraId="17FD4B2C" w14:textId="77777777" w:rsidR="00836512" w:rsidRDefault="00836512">
            <w:pPr>
              <w:jc w:val="center"/>
              <w:rPr>
                <w:rFonts w:eastAsiaTheme="minorHAnsi"/>
                <w:sz w:val="20"/>
                <w:szCs w:val="20"/>
                <w:lang w:val="en-US"/>
              </w:rPr>
            </w:pPr>
            <w:r>
              <w:rPr>
                <w:rFonts w:eastAsiaTheme="minorHAnsi"/>
                <w:sz w:val="20"/>
                <w:szCs w:val="20"/>
                <w:lang w:val="en-US"/>
              </w:rPr>
              <w:t>28.80 – 35.40</w:t>
            </w:r>
          </w:p>
        </w:tc>
        <w:tc>
          <w:tcPr>
            <w:tcW w:w="1206" w:type="dxa"/>
            <w:tcBorders>
              <w:top w:val="single" w:sz="4" w:space="0" w:color="auto"/>
              <w:left w:val="single" w:sz="4" w:space="0" w:color="auto"/>
              <w:bottom w:val="single" w:sz="4" w:space="0" w:color="auto"/>
              <w:right w:val="single" w:sz="4" w:space="0" w:color="auto"/>
            </w:tcBorders>
            <w:hideMark/>
          </w:tcPr>
          <w:p w14:paraId="6B398EBB" w14:textId="77777777" w:rsidR="00836512" w:rsidRDefault="00836512">
            <w:pPr>
              <w:jc w:val="center"/>
              <w:rPr>
                <w:rFonts w:eastAsiaTheme="minorHAnsi"/>
                <w:sz w:val="20"/>
                <w:szCs w:val="20"/>
                <w:lang w:val="en-US"/>
              </w:rPr>
            </w:pPr>
            <w:r>
              <w:rPr>
                <w:rFonts w:eastAsiaTheme="minorHAnsi"/>
                <w:sz w:val="20"/>
                <w:szCs w:val="20"/>
                <w:lang w:val="en-US"/>
              </w:rPr>
              <w:t>2.68</w:t>
            </w:r>
          </w:p>
        </w:tc>
        <w:tc>
          <w:tcPr>
            <w:tcW w:w="1337" w:type="dxa"/>
            <w:tcBorders>
              <w:top w:val="single" w:sz="4" w:space="0" w:color="auto"/>
              <w:left w:val="nil"/>
              <w:bottom w:val="single" w:sz="4" w:space="0" w:color="auto"/>
              <w:right w:val="single" w:sz="4" w:space="0" w:color="auto"/>
            </w:tcBorders>
            <w:vAlign w:val="bottom"/>
            <w:hideMark/>
          </w:tcPr>
          <w:p w14:paraId="1A257B2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-19.5</w:t>
            </w:r>
          </w:p>
        </w:tc>
        <w:tc>
          <w:tcPr>
            <w:tcW w:w="1342" w:type="dxa"/>
            <w:tcBorders>
              <w:top w:val="single" w:sz="4" w:space="0" w:color="auto"/>
              <w:left w:val="single" w:sz="4" w:space="0" w:color="auto"/>
              <w:bottom w:val="single" w:sz="4" w:space="0" w:color="auto"/>
              <w:right w:val="nil"/>
            </w:tcBorders>
            <w:vAlign w:val="bottom"/>
            <w:hideMark/>
          </w:tcPr>
          <w:p w14:paraId="2AF2F55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12.5</w:t>
            </w:r>
          </w:p>
        </w:tc>
        <w:tc>
          <w:tcPr>
            <w:tcW w:w="1241" w:type="dxa"/>
            <w:tcBorders>
              <w:top w:val="single" w:sz="4" w:space="0" w:color="auto"/>
              <w:left w:val="single" w:sz="4" w:space="0" w:color="auto"/>
              <w:bottom w:val="single" w:sz="4" w:space="0" w:color="auto"/>
              <w:right w:val="single" w:sz="4" w:space="0" w:color="auto"/>
            </w:tcBorders>
            <w:vAlign w:val="bottom"/>
            <w:hideMark/>
          </w:tcPr>
          <w:p w14:paraId="45BBDB5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47662D1"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5021F"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A7F0DF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T2.04</w:t>
            </w:r>
          </w:p>
        </w:tc>
        <w:tc>
          <w:tcPr>
            <w:tcW w:w="1651" w:type="dxa"/>
            <w:tcBorders>
              <w:top w:val="single" w:sz="4" w:space="0" w:color="auto"/>
              <w:left w:val="single" w:sz="4" w:space="0" w:color="auto"/>
              <w:bottom w:val="single" w:sz="4" w:space="0" w:color="auto"/>
              <w:right w:val="single" w:sz="4" w:space="0" w:color="auto"/>
            </w:tcBorders>
            <w:hideMark/>
          </w:tcPr>
          <w:p w14:paraId="0746B69D" w14:textId="77777777" w:rsidR="00836512" w:rsidRDefault="00836512">
            <w:pPr>
              <w:jc w:val="center"/>
              <w:rPr>
                <w:rFonts w:eastAsiaTheme="minorHAnsi"/>
                <w:sz w:val="20"/>
                <w:szCs w:val="20"/>
                <w:lang w:val="en-US"/>
              </w:rPr>
            </w:pPr>
            <w:r>
              <w:rPr>
                <w:rFonts w:eastAsiaTheme="minorHAnsi"/>
                <w:sz w:val="20"/>
                <w:szCs w:val="20"/>
                <w:lang w:val="en-US"/>
              </w:rPr>
              <w:t>35.40 – 42.00</w:t>
            </w:r>
          </w:p>
        </w:tc>
        <w:tc>
          <w:tcPr>
            <w:tcW w:w="1206" w:type="dxa"/>
            <w:tcBorders>
              <w:top w:val="single" w:sz="4" w:space="0" w:color="auto"/>
              <w:left w:val="single" w:sz="4" w:space="0" w:color="auto"/>
              <w:bottom w:val="single" w:sz="4" w:space="0" w:color="auto"/>
              <w:right w:val="single" w:sz="4" w:space="0" w:color="auto"/>
            </w:tcBorders>
            <w:hideMark/>
          </w:tcPr>
          <w:p w14:paraId="3ED85344" w14:textId="77777777" w:rsidR="00836512" w:rsidRDefault="00836512">
            <w:pPr>
              <w:jc w:val="center"/>
              <w:rPr>
                <w:rFonts w:eastAsiaTheme="minorHAnsi"/>
                <w:sz w:val="20"/>
                <w:szCs w:val="20"/>
                <w:lang w:val="en-US"/>
              </w:rPr>
            </w:pPr>
            <w:r>
              <w:rPr>
                <w:rFonts w:eastAsiaTheme="minorHAnsi"/>
                <w:sz w:val="20"/>
                <w:szCs w:val="20"/>
                <w:lang w:val="en-US"/>
              </w:rPr>
              <w:t>3.23</w:t>
            </w:r>
          </w:p>
        </w:tc>
        <w:tc>
          <w:tcPr>
            <w:tcW w:w="1337" w:type="dxa"/>
            <w:tcBorders>
              <w:top w:val="single" w:sz="4" w:space="0" w:color="auto"/>
              <w:left w:val="nil"/>
              <w:bottom w:val="single" w:sz="4" w:space="0" w:color="auto"/>
              <w:right w:val="single" w:sz="4" w:space="0" w:color="auto"/>
            </w:tcBorders>
            <w:vAlign w:val="bottom"/>
            <w:hideMark/>
          </w:tcPr>
          <w:p w14:paraId="0BFF345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-19.5</w:t>
            </w:r>
          </w:p>
        </w:tc>
        <w:tc>
          <w:tcPr>
            <w:tcW w:w="1342" w:type="dxa"/>
            <w:tcBorders>
              <w:top w:val="single" w:sz="4" w:space="0" w:color="auto"/>
              <w:left w:val="single" w:sz="4" w:space="0" w:color="auto"/>
              <w:bottom w:val="single" w:sz="4" w:space="0" w:color="auto"/>
              <w:right w:val="nil"/>
            </w:tcBorders>
            <w:vAlign w:val="bottom"/>
            <w:hideMark/>
          </w:tcPr>
          <w:p w14:paraId="5886CE6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12.0</w:t>
            </w:r>
          </w:p>
        </w:tc>
        <w:tc>
          <w:tcPr>
            <w:tcW w:w="1241" w:type="dxa"/>
            <w:tcBorders>
              <w:top w:val="single" w:sz="4" w:space="0" w:color="auto"/>
              <w:left w:val="single" w:sz="4" w:space="0" w:color="auto"/>
              <w:bottom w:val="single" w:sz="4" w:space="0" w:color="auto"/>
              <w:right w:val="single" w:sz="4" w:space="0" w:color="auto"/>
            </w:tcBorders>
            <w:vAlign w:val="bottom"/>
            <w:hideMark/>
          </w:tcPr>
          <w:p w14:paraId="46A85FF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8B749CD"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0CB9CED6" w14:textId="77777777" w:rsidR="00836512" w:rsidRDefault="00836512">
            <w:pPr>
              <w:rPr>
                <w:rFonts w:eastAsiaTheme="minorHAnsi"/>
                <w:color w:val="000000"/>
                <w:sz w:val="20"/>
                <w:szCs w:val="20"/>
                <w:lang w:val="en-US"/>
              </w:rPr>
            </w:pPr>
            <w:r>
              <w:rPr>
                <w:rFonts w:eastAsiaTheme="minorHAnsi"/>
                <w:color w:val="000000"/>
                <w:sz w:val="20"/>
                <w:szCs w:val="20"/>
                <w:lang w:val="en-US"/>
              </w:rPr>
              <w:t>Botromagno</w:t>
            </w:r>
          </w:p>
          <w:p w14:paraId="4F40923A" w14:textId="77777777" w:rsidR="00836512" w:rsidRDefault="00836512">
            <w:pPr>
              <w:rPr>
                <w:rFonts w:eastAsiaTheme="minorHAnsi"/>
                <w:color w:val="000000"/>
                <w:sz w:val="20"/>
                <w:szCs w:val="20"/>
                <w:lang w:val="en-US"/>
              </w:rPr>
            </w:pPr>
            <w:r>
              <w:rPr>
                <w:rFonts w:eastAsiaTheme="minorHAnsi"/>
                <w:color w:val="000000"/>
                <w:sz w:val="20"/>
                <w:szCs w:val="20"/>
                <w:lang w:val="en-US"/>
              </w:rPr>
              <w:t>G67/II P4 S17 Infill 3</w:t>
            </w:r>
          </w:p>
        </w:tc>
        <w:tc>
          <w:tcPr>
            <w:tcW w:w="1334" w:type="dxa"/>
            <w:tcBorders>
              <w:top w:val="single" w:sz="4" w:space="0" w:color="auto"/>
              <w:left w:val="single" w:sz="4" w:space="0" w:color="auto"/>
              <w:bottom w:val="single" w:sz="4" w:space="0" w:color="auto"/>
              <w:right w:val="single" w:sz="4" w:space="0" w:color="auto"/>
            </w:tcBorders>
            <w:hideMark/>
          </w:tcPr>
          <w:p w14:paraId="7B36948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T3.01</w:t>
            </w:r>
          </w:p>
        </w:tc>
        <w:tc>
          <w:tcPr>
            <w:tcW w:w="1651" w:type="dxa"/>
            <w:tcBorders>
              <w:top w:val="single" w:sz="4" w:space="0" w:color="auto"/>
              <w:left w:val="single" w:sz="4" w:space="0" w:color="auto"/>
              <w:bottom w:val="single" w:sz="4" w:space="0" w:color="auto"/>
              <w:right w:val="single" w:sz="4" w:space="0" w:color="auto"/>
            </w:tcBorders>
            <w:hideMark/>
          </w:tcPr>
          <w:p w14:paraId="77ED20F6" w14:textId="77777777" w:rsidR="00836512" w:rsidRDefault="00836512">
            <w:pPr>
              <w:jc w:val="center"/>
              <w:rPr>
                <w:rFonts w:eastAsiaTheme="minorHAnsi"/>
                <w:sz w:val="20"/>
                <w:szCs w:val="20"/>
                <w:lang w:val="en-US"/>
              </w:rPr>
            </w:pPr>
            <w:r>
              <w:rPr>
                <w:rFonts w:eastAsiaTheme="minorHAnsi"/>
                <w:sz w:val="20"/>
                <w:szCs w:val="20"/>
                <w:lang w:val="en-US"/>
              </w:rPr>
              <w:t>18.00 – 49.50</w:t>
            </w:r>
          </w:p>
        </w:tc>
        <w:tc>
          <w:tcPr>
            <w:tcW w:w="1206" w:type="dxa"/>
            <w:tcBorders>
              <w:top w:val="single" w:sz="4" w:space="0" w:color="auto"/>
              <w:left w:val="single" w:sz="4" w:space="0" w:color="auto"/>
              <w:bottom w:val="single" w:sz="4" w:space="0" w:color="auto"/>
              <w:right w:val="single" w:sz="4" w:space="0" w:color="auto"/>
            </w:tcBorders>
            <w:hideMark/>
          </w:tcPr>
          <w:p w14:paraId="5F166B6F" w14:textId="77777777" w:rsidR="00836512" w:rsidRDefault="00836512">
            <w:pPr>
              <w:jc w:val="center"/>
              <w:rPr>
                <w:rFonts w:eastAsiaTheme="minorHAnsi"/>
                <w:sz w:val="20"/>
                <w:szCs w:val="20"/>
                <w:lang w:val="en-US"/>
              </w:rPr>
            </w:pPr>
            <w:r>
              <w:rPr>
                <w:rFonts w:eastAsiaTheme="minorHAnsi"/>
                <w:sz w:val="20"/>
                <w:szCs w:val="20"/>
                <w:lang w:val="en-US"/>
              </w:rPr>
              <w:t>2.81</w:t>
            </w:r>
          </w:p>
        </w:tc>
        <w:tc>
          <w:tcPr>
            <w:tcW w:w="1337" w:type="dxa"/>
            <w:tcBorders>
              <w:top w:val="single" w:sz="4" w:space="0" w:color="auto"/>
              <w:left w:val="nil"/>
              <w:bottom w:val="single" w:sz="4" w:space="0" w:color="auto"/>
              <w:right w:val="single" w:sz="4" w:space="0" w:color="auto"/>
            </w:tcBorders>
            <w:vAlign w:val="bottom"/>
            <w:hideMark/>
          </w:tcPr>
          <w:p w14:paraId="7A247B1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-19.8</w:t>
            </w:r>
          </w:p>
        </w:tc>
        <w:tc>
          <w:tcPr>
            <w:tcW w:w="1342" w:type="dxa"/>
            <w:tcBorders>
              <w:top w:val="single" w:sz="4" w:space="0" w:color="auto"/>
              <w:left w:val="single" w:sz="4" w:space="0" w:color="auto"/>
              <w:bottom w:val="single" w:sz="4" w:space="0" w:color="auto"/>
              <w:right w:val="nil"/>
            </w:tcBorders>
            <w:vAlign w:val="bottom"/>
            <w:hideMark/>
          </w:tcPr>
          <w:p w14:paraId="6492B4D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11.4</w:t>
            </w:r>
          </w:p>
        </w:tc>
        <w:tc>
          <w:tcPr>
            <w:tcW w:w="1241" w:type="dxa"/>
            <w:tcBorders>
              <w:top w:val="single" w:sz="4" w:space="0" w:color="auto"/>
              <w:left w:val="single" w:sz="4" w:space="0" w:color="auto"/>
              <w:bottom w:val="single" w:sz="4" w:space="0" w:color="auto"/>
              <w:right w:val="single" w:sz="4" w:space="0" w:color="auto"/>
            </w:tcBorders>
            <w:vAlign w:val="bottom"/>
            <w:hideMark/>
          </w:tcPr>
          <w:p w14:paraId="6B30584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1D4A96C"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70554"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3EB448C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T3.02</w:t>
            </w:r>
          </w:p>
        </w:tc>
        <w:tc>
          <w:tcPr>
            <w:tcW w:w="1651" w:type="dxa"/>
            <w:tcBorders>
              <w:top w:val="single" w:sz="4" w:space="0" w:color="auto"/>
              <w:left w:val="single" w:sz="4" w:space="0" w:color="auto"/>
              <w:bottom w:val="single" w:sz="4" w:space="0" w:color="auto"/>
              <w:right w:val="single" w:sz="4" w:space="0" w:color="auto"/>
            </w:tcBorders>
            <w:hideMark/>
          </w:tcPr>
          <w:p w14:paraId="2558A4EE" w14:textId="77777777" w:rsidR="00836512" w:rsidRDefault="00836512">
            <w:pPr>
              <w:jc w:val="center"/>
              <w:rPr>
                <w:rFonts w:eastAsiaTheme="minorHAnsi"/>
                <w:sz w:val="20"/>
                <w:szCs w:val="20"/>
                <w:lang w:val="en-US"/>
              </w:rPr>
            </w:pPr>
            <w:r>
              <w:rPr>
                <w:rFonts w:eastAsiaTheme="minorHAnsi"/>
                <w:sz w:val="20"/>
                <w:szCs w:val="20"/>
                <w:lang w:val="en-US"/>
              </w:rPr>
              <w:t>49.50 – 48.00</w:t>
            </w:r>
          </w:p>
        </w:tc>
        <w:tc>
          <w:tcPr>
            <w:tcW w:w="1206" w:type="dxa"/>
            <w:tcBorders>
              <w:top w:val="single" w:sz="4" w:space="0" w:color="auto"/>
              <w:left w:val="single" w:sz="4" w:space="0" w:color="auto"/>
              <w:bottom w:val="single" w:sz="4" w:space="0" w:color="auto"/>
              <w:right w:val="single" w:sz="4" w:space="0" w:color="auto"/>
            </w:tcBorders>
            <w:hideMark/>
          </w:tcPr>
          <w:p w14:paraId="54BBFF7F" w14:textId="77777777" w:rsidR="00836512" w:rsidRDefault="00836512">
            <w:pPr>
              <w:jc w:val="center"/>
              <w:rPr>
                <w:rFonts w:eastAsiaTheme="minorHAnsi"/>
                <w:sz w:val="20"/>
                <w:szCs w:val="20"/>
                <w:lang w:val="en-US"/>
              </w:rPr>
            </w:pPr>
            <w:r>
              <w:rPr>
                <w:rFonts w:eastAsiaTheme="minorHAnsi"/>
                <w:sz w:val="20"/>
                <w:szCs w:val="20"/>
                <w:lang w:val="en-US"/>
              </w:rPr>
              <w:t>4.06</w:t>
            </w:r>
          </w:p>
        </w:tc>
        <w:tc>
          <w:tcPr>
            <w:tcW w:w="1337" w:type="dxa"/>
            <w:tcBorders>
              <w:top w:val="single" w:sz="4" w:space="0" w:color="auto"/>
              <w:left w:val="nil"/>
              <w:bottom w:val="single" w:sz="4" w:space="0" w:color="auto"/>
              <w:right w:val="single" w:sz="4" w:space="0" w:color="auto"/>
            </w:tcBorders>
            <w:vAlign w:val="bottom"/>
            <w:hideMark/>
          </w:tcPr>
          <w:p w14:paraId="4B459E7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-19.8</w:t>
            </w:r>
          </w:p>
        </w:tc>
        <w:tc>
          <w:tcPr>
            <w:tcW w:w="1342" w:type="dxa"/>
            <w:tcBorders>
              <w:top w:val="single" w:sz="4" w:space="0" w:color="auto"/>
              <w:left w:val="single" w:sz="4" w:space="0" w:color="auto"/>
              <w:bottom w:val="single" w:sz="4" w:space="0" w:color="auto"/>
              <w:right w:val="nil"/>
            </w:tcBorders>
            <w:vAlign w:val="bottom"/>
            <w:hideMark/>
          </w:tcPr>
          <w:p w14:paraId="48DC908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10.6</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0A129F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92EF96F"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47E42"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1E1C84A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T3.03</w:t>
            </w:r>
          </w:p>
        </w:tc>
        <w:tc>
          <w:tcPr>
            <w:tcW w:w="1651" w:type="dxa"/>
            <w:tcBorders>
              <w:top w:val="single" w:sz="4" w:space="0" w:color="auto"/>
              <w:left w:val="single" w:sz="4" w:space="0" w:color="auto"/>
              <w:bottom w:val="single" w:sz="4" w:space="0" w:color="auto"/>
              <w:right w:val="single" w:sz="4" w:space="0" w:color="auto"/>
            </w:tcBorders>
            <w:hideMark/>
          </w:tcPr>
          <w:p w14:paraId="4719592D" w14:textId="77777777" w:rsidR="00836512" w:rsidRDefault="00836512">
            <w:pPr>
              <w:jc w:val="center"/>
              <w:rPr>
                <w:rFonts w:eastAsiaTheme="minorHAnsi"/>
                <w:sz w:val="20"/>
                <w:szCs w:val="20"/>
                <w:lang w:val="en-US"/>
              </w:rPr>
            </w:pPr>
            <w:r>
              <w:rPr>
                <w:rFonts w:eastAsiaTheme="minorHAnsi"/>
                <w:sz w:val="20"/>
                <w:szCs w:val="20"/>
                <w:lang w:val="en-US"/>
              </w:rPr>
              <w:t>48.00 – 63.00</w:t>
            </w:r>
          </w:p>
        </w:tc>
        <w:tc>
          <w:tcPr>
            <w:tcW w:w="1206" w:type="dxa"/>
            <w:tcBorders>
              <w:top w:val="single" w:sz="4" w:space="0" w:color="auto"/>
              <w:left w:val="single" w:sz="4" w:space="0" w:color="auto"/>
              <w:bottom w:val="single" w:sz="4" w:space="0" w:color="auto"/>
              <w:right w:val="single" w:sz="4" w:space="0" w:color="auto"/>
            </w:tcBorders>
            <w:hideMark/>
          </w:tcPr>
          <w:p w14:paraId="327EE5C5" w14:textId="77777777" w:rsidR="00836512" w:rsidRDefault="00836512">
            <w:pPr>
              <w:jc w:val="center"/>
              <w:rPr>
                <w:rFonts w:eastAsiaTheme="minorHAnsi"/>
                <w:sz w:val="20"/>
                <w:szCs w:val="20"/>
                <w:lang w:val="en-US"/>
              </w:rPr>
            </w:pPr>
            <w:r>
              <w:rPr>
                <w:rFonts w:eastAsiaTheme="minorHAnsi"/>
                <w:sz w:val="20"/>
                <w:szCs w:val="20"/>
                <w:lang w:val="en-US"/>
              </w:rPr>
              <w:t>4.63</w:t>
            </w:r>
          </w:p>
        </w:tc>
        <w:tc>
          <w:tcPr>
            <w:tcW w:w="1337" w:type="dxa"/>
            <w:tcBorders>
              <w:top w:val="single" w:sz="4" w:space="0" w:color="auto"/>
              <w:left w:val="nil"/>
              <w:bottom w:val="single" w:sz="4" w:space="0" w:color="auto"/>
              <w:right w:val="single" w:sz="4" w:space="0" w:color="auto"/>
            </w:tcBorders>
            <w:vAlign w:val="bottom"/>
            <w:hideMark/>
          </w:tcPr>
          <w:p w14:paraId="494188E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w:t>
            </w:r>
          </w:p>
        </w:tc>
        <w:tc>
          <w:tcPr>
            <w:tcW w:w="1342" w:type="dxa"/>
            <w:tcBorders>
              <w:top w:val="single" w:sz="4" w:space="0" w:color="auto"/>
              <w:left w:val="single" w:sz="4" w:space="0" w:color="auto"/>
              <w:bottom w:val="single" w:sz="4" w:space="0" w:color="auto"/>
              <w:right w:val="nil"/>
            </w:tcBorders>
            <w:vAlign w:val="bottom"/>
            <w:hideMark/>
          </w:tcPr>
          <w:p w14:paraId="722E446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10.4</w:t>
            </w:r>
          </w:p>
        </w:tc>
        <w:tc>
          <w:tcPr>
            <w:tcW w:w="1241" w:type="dxa"/>
            <w:tcBorders>
              <w:top w:val="single" w:sz="4" w:space="0" w:color="auto"/>
              <w:left w:val="single" w:sz="4" w:space="0" w:color="auto"/>
              <w:bottom w:val="single" w:sz="4" w:space="0" w:color="auto"/>
              <w:right w:val="single" w:sz="4" w:space="0" w:color="auto"/>
            </w:tcBorders>
            <w:vAlign w:val="bottom"/>
            <w:hideMark/>
          </w:tcPr>
          <w:p w14:paraId="7402597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FD5B960"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23CAA7"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0A222C6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T3.04</w:t>
            </w:r>
          </w:p>
        </w:tc>
        <w:tc>
          <w:tcPr>
            <w:tcW w:w="1651" w:type="dxa"/>
            <w:tcBorders>
              <w:top w:val="single" w:sz="4" w:space="0" w:color="auto"/>
              <w:left w:val="single" w:sz="4" w:space="0" w:color="auto"/>
              <w:bottom w:val="single" w:sz="4" w:space="0" w:color="auto"/>
              <w:right w:val="single" w:sz="4" w:space="0" w:color="auto"/>
            </w:tcBorders>
            <w:hideMark/>
          </w:tcPr>
          <w:p w14:paraId="5C0E4D0C" w14:textId="77777777" w:rsidR="00836512" w:rsidRDefault="00836512">
            <w:pPr>
              <w:jc w:val="center"/>
              <w:rPr>
                <w:rFonts w:eastAsiaTheme="minorHAnsi"/>
                <w:sz w:val="20"/>
                <w:szCs w:val="20"/>
                <w:lang w:val="en-US"/>
              </w:rPr>
            </w:pPr>
            <w:r>
              <w:rPr>
                <w:rFonts w:eastAsiaTheme="minorHAnsi"/>
                <w:sz w:val="20"/>
                <w:szCs w:val="20"/>
                <w:lang w:val="en-US"/>
              </w:rPr>
              <w:t>63.00 – 78.00</w:t>
            </w:r>
          </w:p>
        </w:tc>
        <w:tc>
          <w:tcPr>
            <w:tcW w:w="1206" w:type="dxa"/>
            <w:tcBorders>
              <w:top w:val="single" w:sz="4" w:space="0" w:color="auto"/>
              <w:left w:val="single" w:sz="4" w:space="0" w:color="auto"/>
              <w:bottom w:val="single" w:sz="4" w:space="0" w:color="auto"/>
              <w:right w:val="single" w:sz="4" w:space="0" w:color="auto"/>
            </w:tcBorders>
            <w:hideMark/>
          </w:tcPr>
          <w:p w14:paraId="2BAEB933" w14:textId="77777777" w:rsidR="00836512" w:rsidRDefault="00836512">
            <w:pPr>
              <w:jc w:val="center"/>
              <w:rPr>
                <w:rFonts w:eastAsiaTheme="minorHAnsi"/>
                <w:sz w:val="20"/>
                <w:szCs w:val="20"/>
                <w:lang w:val="en-US"/>
              </w:rPr>
            </w:pPr>
            <w:r>
              <w:rPr>
                <w:rFonts w:eastAsiaTheme="minorHAnsi"/>
                <w:sz w:val="20"/>
                <w:szCs w:val="20"/>
                <w:lang w:val="en-US"/>
              </w:rPr>
              <w:t>5.88</w:t>
            </w:r>
          </w:p>
        </w:tc>
        <w:tc>
          <w:tcPr>
            <w:tcW w:w="1337" w:type="dxa"/>
            <w:tcBorders>
              <w:top w:val="single" w:sz="4" w:space="0" w:color="auto"/>
              <w:left w:val="nil"/>
              <w:bottom w:val="single" w:sz="4" w:space="0" w:color="auto"/>
              <w:right w:val="single" w:sz="4" w:space="0" w:color="auto"/>
            </w:tcBorders>
            <w:vAlign w:val="bottom"/>
            <w:hideMark/>
          </w:tcPr>
          <w:p w14:paraId="6903AC5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-19.5</w:t>
            </w:r>
          </w:p>
        </w:tc>
        <w:tc>
          <w:tcPr>
            <w:tcW w:w="1342" w:type="dxa"/>
            <w:tcBorders>
              <w:top w:val="single" w:sz="4" w:space="0" w:color="auto"/>
              <w:left w:val="single" w:sz="4" w:space="0" w:color="auto"/>
              <w:bottom w:val="single" w:sz="4" w:space="0" w:color="auto"/>
              <w:right w:val="nil"/>
            </w:tcBorders>
            <w:vAlign w:val="bottom"/>
            <w:hideMark/>
          </w:tcPr>
          <w:p w14:paraId="4CF6BAF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10.3</w:t>
            </w:r>
          </w:p>
        </w:tc>
        <w:tc>
          <w:tcPr>
            <w:tcW w:w="1241" w:type="dxa"/>
            <w:tcBorders>
              <w:top w:val="single" w:sz="4" w:space="0" w:color="auto"/>
              <w:left w:val="single" w:sz="4" w:space="0" w:color="auto"/>
              <w:bottom w:val="single" w:sz="4" w:space="0" w:color="auto"/>
              <w:right w:val="single" w:sz="4" w:space="0" w:color="auto"/>
            </w:tcBorders>
            <w:vAlign w:val="bottom"/>
            <w:hideMark/>
          </w:tcPr>
          <w:p w14:paraId="306FE5F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FD25D7" w14:paraId="37E6263C" w14:textId="77777777" w:rsidTr="00836512">
        <w:trPr>
          <w:jc w:val="center"/>
        </w:trPr>
        <w:tc>
          <w:tcPr>
            <w:tcW w:w="1670" w:type="dxa"/>
            <w:tcBorders>
              <w:top w:val="single" w:sz="4" w:space="0" w:color="auto"/>
              <w:left w:val="single" w:sz="4" w:space="0" w:color="auto"/>
              <w:bottom w:val="single" w:sz="4" w:space="0" w:color="auto"/>
              <w:right w:val="single" w:sz="4" w:space="0" w:color="auto"/>
            </w:tcBorders>
          </w:tcPr>
          <w:p w14:paraId="5037E920" w14:textId="77777777" w:rsidR="00FD25D7" w:rsidRDefault="00FD25D7">
            <w:pPr>
              <w:rPr>
                <w:rFonts w:eastAsiaTheme="minorHAnsi"/>
                <w:color w:val="000000"/>
                <w:sz w:val="20"/>
                <w:szCs w:val="20"/>
                <w:lang w:val="es-ES"/>
              </w:rPr>
            </w:pPr>
          </w:p>
        </w:tc>
        <w:tc>
          <w:tcPr>
            <w:tcW w:w="1334" w:type="dxa"/>
            <w:tcBorders>
              <w:top w:val="single" w:sz="4" w:space="0" w:color="auto"/>
              <w:left w:val="single" w:sz="4" w:space="0" w:color="auto"/>
              <w:bottom w:val="single" w:sz="4" w:space="0" w:color="auto"/>
              <w:right w:val="single" w:sz="4" w:space="0" w:color="auto"/>
            </w:tcBorders>
          </w:tcPr>
          <w:p w14:paraId="0BF73F01" w14:textId="77777777" w:rsidR="00FD25D7" w:rsidRDefault="00FD25D7">
            <w:pPr>
              <w:jc w:val="center"/>
              <w:rPr>
                <w:rFonts w:eastAsiaTheme="minorHAnsi"/>
                <w:color w:val="000000"/>
                <w:sz w:val="20"/>
                <w:szCs w:val="20"/>
                <w:lang w:val="en-US"/>
              </w:rPr>
            </w:pPr>
          </w:p>
        </w:tc>
        <w:tc>
          <w:tcPr>
            <w:tcW w:w="1651" w:type="dxa"/>
            <w:tcBorders>
              <w:top w:val="single" w:sz="4" w:space="0" w:color="auto"/>
              <w:left w:val="single" w:sz="4" w:space="0" w:color="auto"/>
              <w:bottom w:val="single" w:sz="4" w:space="0" w:color="auto"/>
              <w:right w:val="single" w:sz="4" w:space="0" w:color="auto"/>
            </w:tcBorders>
          </w:tcPr>
          <w:p w14:paraId="2738BCB1" w14:textId="77777777" w:rsidR="00FD25D7" w:rsidRDefault="00FD25D7">
            <w:pPr>
              <w:jc w:val="center"/>
              <w:rPr>
                <w:rFonts w:eastAsiaTheme="minorHAnsi"/>
                <w:sz w:val="20"/>
                <w:szCs w:val="20"/>
                <w:lang w:val="en-US"/>
              </w:rPr>
            </w:pPr>
          </w:p>
        </w:tc>
        <w:tc>
          <w:tcPr>
            <w:tcW w:w="1206" w:type="dxa"/>
            <w:tcBorders>
              <w:top w:val="single" w:sz="4" w:space="0" w:color="auto"/>
              <w:left w:val="single" w:sz="4" w:space="0" w:color="auto"/>
              <w:bottom w:val="single" w:sz="4" w:space="0" w:color="auto"/>
              <w:right w:val="single" w:sz="4" w:space="0" w:color="auto"/>
            </w:tcBorders>
          </w:tcPr>
          <w:p w14:paraId="46AB9609" w14:textId="77777777" w:rsidR="00FD25D7" w:rsidRDefault="00FD25D7">
            <w:pPr>
              <w:jc w:val="center"/>
              <w:rPr>
                <w:rFonts w:eastAsiaTheme="minorHAnsi"/>
                <w:sz w:val="20"/>
                <w:szCs w:val="20"/>
                <w:lang w:val="en-US"/>
              </w:rPr>
            </w:pPr>
          </w:p>
        </w:tc>
        <w:tc>
          <w:tcPr>
            <w:tcW w:w="1337" w:type="dxa"/>
            <w:tcBorders>
              <w:top w:val="single" w:sz="4" w:space="0" w:color="auto"/>
              <w:left w:val="nil"/>
              <w:bottom w:val="single" w:sz="4" w:space="0" w:color="auto"/>
              <w:right w:val="single" w:sz="4" w:space="0" w:color="auto"/>
            </w:tcBorders>
            <w:vAlign w:val="bottom"/>
          </w:tcPr>
          <w:p w14:paraId="3FA7B8E7" w14:textId="77777777" w:rsidR="00FD25D7" w:rsidRDefault="00FD25D7">
            <w:pPr>
              <w:jc w:val="center"/>
              <w:rPr>
                <w:rFonts w:eastAsiaTheme="minorHAnsi"/>
                <w:color w:val="000000"/>
                <w:sz w:val="20"/>
                <w:szCs w:val="20"/>
                <w:lang w:val="en-US"/>
              </w:rPr>
            </w:pPr>
          </w:p>
        </w:tc>
        <w:tc>
          <w:tcPr>
            <w:tcW w:w="1342" w:type="dxa"/>
            <w:tcBorders>
              <w:top w:val="single" w:sz="4" w:space="0" w:color="auto"/>
              <w:left w:val="single" w:sz="4" w:space="0" w:color="auto"/>
              <w:bottom w:val="single" w:sz="4" w:space="0" w:color="auto"/>
              <w:right w:val="nil"/>
            </w:tcBorders>
            <w:vAlign w:val="bottom"/>
          </w:tcPr>
          <w:p w14:paraId="206D4365" w14:textId="77777777" w:rsidR="00FD25D7" w:rsidRDefault="00FD25D7">
            <w:pPr>
              <w:jc w:val="center"/>
              <w:rPr>
                <w:rFonts w:eastAsiaTheme="minorHAnsi"/>
                <w:color w:val="000000"/>
                <w:sz w:val="20"/>
                <w:szCs w:val="20"/>
                <w:lang w:val="en-US"/>
              </w:rPr>
            </w:pPr>
          </w:p>
        </w:tc>
        <w:tc>
          <w:tcPr>
            <w:tcW w:w="1241" w:type="dxa"/>
            <w:tcBorders>
              <w:top w:val="single" w:sz="4" w:space="0" w:color="auto"/>
              <w:left w:val="single" w:sz="4" w:space="0" w:color="auto"/>
              <w:bottom w:val="single" w:sz="4" w:space="0" w:color="auto"/>
              <w:right w:val="single" w:sz="4" w:space="0" w:color="auto"/>
            </w:tcBorders>
            <w:vAlign w:val="bottom"/>
          </w:tcPr>
          <w:p w14:paraId="1ABF4C7D" w14:textId="77777777" w:rsidR="00FD25D7" w:rsidRDefault="00FD25D7">
            <w:pPr>
              <w:jc w:val="center"/>
              <w:rPr>
                <w:rFonts w:eastAsiaTheme="minorHAnsi"/>
                <w:color w:val="000000"/>
                <w:sz w:val="20"/>
                <w:szCs w:val="20"/>
                <w:lang w:val="en-US"/>
              </w:rPr>
            </w:pPr>
          </w:p>
        </w:tc>
      </w:tr>
      <w:tr w:rsidR="00836512" w14:paraId="573F3C54"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55357BC1" w14:textId="77777777" w:rsidR="00836512" w:rsidRDefault="00836512">
            <w:pPr>
              <w:rPr>
                <w:rFonts w:eastAsiaTheme="minorHAnsi"/>
                <w:color w:val="000000"/>
                <w:sz w:val="20"/>
                <w:szCs w:val="20"/>
                <w:lang w:val="es-ES"/>
              </w:rPr>
            </w:pPr>
            <w:r>
              <w:rPr>
                <w:rFonts w:eastAsiaTheme="minorHAnsi"/>
                <w:color w:val="000000"/>
                <w:sz w:val="20"/>
                <w:szCs w:val="20"/>
                <w:lang w:val="es-ES"/>
              </w:rPr>
              <w:lastRenderedPageBreak/>
              <w:t>Botromagno</w:t>
            </w:r>
          </w:p>
          <w:p w14:paraId="7FD979D2" w14:textId="77777777" w:rsidR="00836512" w:rsidRDefault="00836512">
            <w:pPr>
              <w:rPr>
                <w:rFonts w:eastAsiaTheme="minorHAnsi"/>
                <w:color w:val="000000"/>
                <w:sz w:val="20"/>
                <w:szCs w:val="20"/>
                <w:lang w:val="es-ES"/>
              </w:rPr>
            </w:pPr>
            <w:r>
              <w:rPr>
                <w:rFonts w:eastAsiaTheme="minorHAnsi"/>
                <w:color w:val="000000"/>
                <w:sz w:val="20"/>
                <w:szCs w:val="20"/>
                <w:lang w:val="es-ES"/>
              </w:rPr>
              <w:t>21/12/71 Tomba di bambino Ind. 1</w:t>
            </w:r>
          </w:p>
        </w:tc>
        <w:tc>
          <w:tcPr>
            <w:tcW w:w="1334" w:type="dxa"/>
            <w:tcBorders>
              <w:top w:val="single" w:sz="4" w:space="0" w:color="auto"/>
              <w:left w:val="single" w:sz="4" w:space="0" w:color="auto"/>
              <w:bottom w:val="single" w:sz="4" w:space="0" w:color="auto"/>
              <w:right w:val="single" w:sz="4" w:space="0" w:color="auto"/>
            </w:tcBorders>
            <w:hideMark/>
          </w:tcPr>
          <w:p w14:paraId="55235DE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T4.01</w:t>
            </w:r>
          </w:p>
        </w:tc>
        <w:tc>
          <w:tcPr>
            <w:tcW w:w="1651" w:type="dxa"/>
            <w:tcBorders>
              <w:top w:val="single" w:sz="4" w:space="0" w:color="auto"/>
              <w:left w:val="single" w:sz="4" w:space="0" w:color="auto"/>
              <w:bottom w:val="single" w:sz="4" w:space="0" w:color="auto"/>
              <w:right w:val="single" w:sz="4" w:space="0" w:color="auto"/>
            </w:tcBorders>
            <w:hideMark/>
          </w:tcPr>
          <w:p w14:paraId="48D6676B" w14:textId="77777777" w:rsidR="00836512" w:rsidRDefault="00836512">
            <w:pPr>
              <w:jc w:val="center"/>
              <w:rPr>
                <w:rFonts w:eastAsiaTheme="minorHAnsi"/>
                <w:sz w:val="20"/>
                <w:szCs w:val="20"/>
                <w:lang w:val="en-US"/>
              </w:rPr>
            </w:pPr>
            <w:r>
              <w:rPr>
                <w:rFonts w:eastAsiaTheme="minorHAnsi"/>
                <w:sz w:val="20"/>
                <w:szCs w:val="20"/>
                <w:lang w:val="en-US"/>
              </w:rPr>
              <w:t>2.25 – 5.84</w:t>
            </w:r>
          </w:p>
        </w:tc>
        <w:tc>
          <w:tcPr>
            <w:tcW w:w="1206" w:type="dxa"/>
            <w:tcBorders>
              <w:top w:val="single" w:sz="4" w:space="0" w:color="auto"/>
              <w:left w:val="single" w:sz="4" w:space="0" w:color="auto"/>
              <w:bottom w:val="single" w:sz="4" w:space="0" w:color="auto"/>
              <w:right w:val="single" w:sz="4" w:space="0" w:color="auto"/>
            </w:tcBorders>
            <w:hideMark/>
          </w:tcPr>
          <w:p w14:paraId="644A616A" w14:textId="77777777" w:rsidR="00836512" w:rsidRDefault="00836512">
            <w:pPr>
              <w:jc w:val="center"/>
              <w:rPr>
                <w:rFonts w:eastAsiaTheme="minorHAnsi"/>
                <w:sz w:val="20"/>
                <w:szCs w:val="20"/>
                <w:lang w:val="en-US"/>
              </w:rPr>
            </w:pPr>
            <w:r>
              <w:rPr>
                <w:rFonts w:eastAsiaTheme="minorHAnsi"/>
                <w:sz w:val="20"/>
                <w:szCs w:val="20"/>
                <w:lang w:val="en-US"/>
              </w:rPr>
              <w:t>0.34</w:t>
            </w:r>
          </w:p>
        </w:tc>
        <w:tc>
          <w:tcPr>
            <w:tcW w:w="1337" w:type="dxa"/>
            <w:tcBorders>
              <w:top w:val="single" w:sz="4" w:space="0" w:color="auto"/>
              <w:left w:val="nil"/>
              <w:bottom w:val="single" w:sz="4" w:space="0" w:color="auto"/>
              <w:right w:val="single" w:sz="4" w:space="0" w:color="auto"/>
            </w:tcBorders>
            <w:vAlign w:val="bottom"/>
            <w:hideMark/>
          </w:tcPr>
          <w:p w14:paraId="14880EC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-18.2</w:t>
            </w:r>
          </w:p>
        </w:tc>
        <w:tc>
          <w:tcPr>
            <w:tcW w:w="1342" w:type="dxa"/>
            <w:tcBorders>
              <w:top w:val="single" w:sz="4" w:space="0" w:color="auto"/>
              <w:left w:val="single" w:sz="4" w:space="0" w:color="auto"/>
              <w:bottom w:val="single" w:sz="4" w:space="0" w:color="auto"/>
              <w:right w:val="nil"/>
            </w:tcBorders>
            <w:vAlign w:val="bottom"/>
            <w:hideMark/>
          </w:tcPr>
          <w:p w14:paraId="42ABB80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13.5</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0BF557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47840F4"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A4AE4" w14:textId="77777777" w:rsidR="00836512" w:rsidRDefault="00836512">
            <w:pPr>
              <w:rPr>
                <w:rFonts w:eastAsiaTheme="minorHAnsi"/>
                <w:color w:val="000000"/>
                <w:sz w:val="20"/>
                <w:szCs w:val="20"/>
                <w:lang w:val="es-ES"/>
              </w:rPr>
            </w:pPr>
          </w:p>
        </w:tc>
        <w:tc>
          <w:tcPr>
            <w:tcW w:w="1334" w:type="dxa"/>
            <w:tcBorders>
              <w:top w:val="single" w:sz="4" w:space="0" w:color="auto"/>
              <w:left w:val="single" w:sz="4" w:space="0" w:color="auto"/>
              <w:bottom w:val="single" w:sz="4" w:space="0" w:color="auto"/>
              <w:right w:val="single" w:sz="4" w:space="0" w:color="auto"/>
            </w:tcBorders>
            <w:hideMark/>
          </w:tcPr>
          <w:p w14:paraId="3017E7A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T4.02</w:t>
            </w:r>
          </w:p>
        </w:tc>
        <w:tc>
          <w:tcPr>
            <w:tcW w:w="1651" w:type="dxa"/>
            <w:tcBorders>
              <w:top w:val="single" w:sz="4" w:space="0" w:color="auto"/>
              <w:left w:val="single" w:sz="4" w:space="0" w:color="auto"/>
              <w:bottom w:val="single" w:sz="4" w:space="0" w:color="auto"/>
              <w:right w:val="single" w:sz="4" w:space="0" w:color="auto"/>
            </w:tcBorders>
            <w:hideMark/>
          </w:tcPr>
          <w:p w14:paraId="201E5E1D" w14:textId="77777777" w:rsidR="00836512" w:rsidRDefault="00836512">
            <w:pPr>
              <w:jc w:val="center"/>
              <w:rPr>
                <w:rFonts w:eastAsiaTheme="minorHAnsi"/>
                <w:sz w:val="20"/>
                <w:szCs w:val="20"/>
                <w:lang w:val="en-US"/>
              </w:rPr>
            </w:pPr>
            <w:r>
              <w:rPr>
                <w:rFonts w:eastAsiaTheme="minorHAnsi"/>
                <w:sz w:val="20"/>
                <w:szCs w:val="20"/>
                <w:lang w:val="en-US"/>
              </w:rPr>
              <w:t>5.84 – 9.42</w:t>
            </w:r>
          </w:p>
        </w:tc>
        <w:tc>
          <w:tcPr>
            <w:tcW w:w="1206" w:type="dxa"/>
            <w:tcBorders>
              <w:top w:val="single" w:sz="4" w:space="0" w:color="auto"/>
              <w:left w:val="single" w:sz="4" w:space="0" w:color="auto"/>
              <w:bottom w:val="single" w:sz="4" w:space="0" w:color="auto"/>
              <w:right w:val="single" w:sz="4" w:space="0" w:color="auto"/>
            </w:tcBorders>
            <w:hideMark/>
          </w:tcPr>
          <w:p w14:paraId="480D48B7" w14:textId="77777777" w:rsidR="00836512" w:rsidRDefault="00836512">
            <w:pPr>
              <w:jc w:val="center"/>
              <w:rPr>
                <w:rFonts w:eastAsiaTheme="minorHAnsi"/>
                <w:sz w:val="20"/>
                <w:szCs w:val="20"/>
                <w:lang w:val="en-US"/>
              </w:rPr>
            </w:pPr>
            <w:r>
              <w:rPr>
                <w:rFonts w:eastAsiaTheme="minorHAnsi"/>
                <w:sz w:val="20"/>
                <w:szCs w:val="20"/>
                <w:lang w:val="en-US"/>
              </w:rPr>
              <w:t>0.64</w:t>
            </w:r>
          </w:p>
        </w:tc>
        <w:tc>
          <w:tcPr>
            <w:tcW w:w="1337" w:type="dxa"/>
            <w:tcBorders>
              <w:top w:val="single" w:sz="4" w:space="0" w:color="auto"/>
              <w:left w:val="nil"/>
              <w:bottom w:val="single" w:sz="4" w:space="0" w:color="auto"/>
              <w:right w:val="single" w:sz="4" w:space="0" w:color="auto"/>
            </w:tcBorders>
            <w:vAlign w:val="bottom"/>
            <w:hideMark/>
          </w:tcPr>
          <w:p w14:paraId="40AB679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-18.2</w:t>
            </w:r>
          </w:p>
        </w:tc>
        <w:tc>
          <w:tcPr>
            <w:tcW w:w="1342" w:type="dxa"/>
            <w:tcBorders>
              <w:top w:val="single" w:sz="4" w:space="0" w:color="auto"/>
              <w:left w:val="single" w:sz="4" w:space="0" w:color="auto"/>
              <w:bottom w:val="single" w:sz="4" w:space="0" w:color="auto"/>
              <w:right w:val="nil"/>
            </w:tcBorders>
            <w:vAlign w:val="bottom"/>
            <w:hideMark/>
          </w:tcPr>
          <w:p w14:paraId="0AB15D1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13.4</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14D7B1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78DC2FAA"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0A66F" w14:textId="77777777" w:rsidR="00836512" w:rsidRDefault="00836512">
            <w:pPr>
              <w:rPr>
                <w:rFonts w:eastAsiaTheme="minorHAnsi"/>
                <w:color w:val="000000"/>
                <w:sz w:val="20"/>
                <w:szCs w:val="20"/>
                <w:lang w:val="es-ES"/>
              </w:rPr>
            </w:pPr>
          </w:p>
        </w:tc>
        <w:tc>
          <w:tcPr>
            <w:tcW w:w="1334" w:type="dxa"/>
            <w:tcBorders>
              <w:top w:val="single" w:sz="4" w:space="0" w:color="auto"/>
              <w:left w:val="single" w:sz="4" w:space="0" w:color="auto"/>
              <w:bottom w:val="single" w:sz="4" w:space="0" w:color="auto"/>
              <w:right w:val="single" w:sz="4" w:space="0" w:color="auto"/>
            </w:tcBorders>
            <w:hideMark/>
          </w:tcPr>
          <w:p w14:paraId="7ADDC95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T4.03</w:t>
            </w:r>
          </w:p>
        </w:tc>
        <w:tc>
          <w:tcPr>
            <w:tcW w:w="1651" w:type="dxa"/>
            <w:tcBorders>
              <w:top w:val="single" w:sz="4" w:space="0" w:color="auto"/>
              <w:left w:val="single" w:sz="4" w:space="0" w:color="auto"/>
              <w:bottom w:val="single" w:sz="4" w:space="0" w:color="auto"/>
              <w:right w:val="single" w:sz="4" w:space="0" w:color="auto"/>
            </w:tcBorders>
            <w:hideMark/>
          </w:tcPr>
          <w:p w14:paraId="2981E05B" w14:textId="77777777" w:rsidR="00836512" w:rsidRDefault="00836512">
            <w:pPr>
              <w:jc w:val="center"/>
              <w:rPr>
                <w:rFonts w:eastAsiaTheme="minorHAnsi"/>
                <w:sz w:val="20"/>
                <w:szCs w:val="20"/>
                <w:lang w:val="en-US"/>
              </w:rPr>
            </w:pPr>
            <w:r>
              <w:rPr>
                <w:rFonts w:eastAsiaTheme="minorHAnsi"/>
                <w:sz w:val="20"/>
                <w:szCs w:val="20"/>
                <w:lang w:val="en-US"/>
              </w:rPr>
              <w:t>9.42 – 12.28</w:t>
            </w:r>
          </w:p>
        </w:tc>
        <w:tc>
          <w:tcPr>
            <w:tcW w:w="1206" w:type="dxa"/>
            <w:tcBorders>
              <w:top w:val="single" w:sz="4" w:space="0" w:color="auto"/>
              <w:left w:val="single" w:sz="4" w:space="0" w:color="auto"/>
              <w:bottom w:val="single" w:sz="4" w:space="0" w:color="auto"/>
              <w:right w:val="single" w:sz="4" w:space="0" w:color="auto"/>
            </w:tcBorders>
            <w:hideMark/>
          </w:tcPr>
          <w:p w14:paraId="7688BD20" w14:textId="77777777" w:rsidR="00836512" w:rsidRDefault="00836512">
            <w:pPr>
              <w:jc w:val="center"/>
              <w:rPr>
                <w:rFonts w:eastAsiaTheme="minorHAnsi"/>
                <w:sz w:val="20"/>
                <w:szCs w:val="20"/>
                <w:lang w:val="en-US"/>
              </w:rPr>
            </w:pPr>
            <w:r>
              <w:rPr>
                <w:rFonts w:eastAsiaTheme="minorHAnsi"/>
                <w:sz w:val="20"/>
                <w:szCs w:val="20"/>
                <w:lang w:val="en-US"/>
              </w:rPr>
              <w:t>0.90</w:t>
            </w:r>
          </w:p>
        </w:tc>
        <w:tc>
          <w:tcPr>
            <w:tcW w:w="1337" w:type="dxa"/>
            <w:tcBorders>
              <w:top w:val="single" w:sz="4" w:space="0" w:color="auto"/>
              <w:left w:val="nil"/>
              <w:bottom w:val="single" w:sz="4" w:space="0" w:color="auto"/>
              <w:right w:val="single" w:sz="4" w:space="0" w:color="auto"/>
            </w:tcBorders>
            <w:vAlign w:val="bottom"/>
            <w:hideMark/>
          </w:tcPr>
          <w:p w14:paraId="76CC6C0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1342" w:type="dxa"/>
            <w:tcBorders>
              <w:top w:val="single" w:sz="4" w:space="0" w:color="auto"/>
              <w:left w:val="single" w:sz="4" w:space="0" w:color="auto"/>
              <w:bottom w:val="single" w:sz="4" w:space="0" w:color="auto"/>
              <w:right w:val="nil"/>
            </w:tcBorders>
            <w:vAlign w:val="bottom"/>
            <w:hideMark/>
          </w:tcPr>
          <w:p w14:paraId="1B5A69F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12.1</w:t>
            </w:r>
          </w:p>
        </w:tc>
        <w:tc>
          <w:tcPr>
            <w:tcW w:w="1241" w:type="dxa"/>
            <w:tcBorders>
              <w:top w:val="single" w:sz="4" w:space="0" w:color="auto"/>
              <w:left w:val="single" w:sz="4" w:space="0" w:color="auto"/>
              <w:bottom w:val="single" w:sz="4" w:space="0" w:color="auto"/>
              <w:right w:val="single" w:sz="4" w:space="0" w:color="auto"/>
            </w:tcBorders>
            <w:vAlign w:val="bottom"/>
            <w:hideMark/>
          </w:tcPr>
          <w:p w14:paraId="76A025E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5604403B"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D980D" w14:textId="77777777" w:rsidR="00836512" w:rsidRDefault="00836512">
            <w:pPr>
              <w:rPr>
                <w:rFonts w:eastAsiaTheme="minorHAnsi"/>
                <w:color w:val="000000"/>
                <w:sz w:val="20"/>
                <w:szCs w:val="20"/>
                <w:lang w:val="es-ES"/>
              </w:rPr>
            </w:pPr>
          </w:p>
        </w:tc>
        <w:tc>
          <w:tcPr>
            <w:tcW w:w="1334" w:type="dxa"/>
            <w:tcBorders>
              <w:top w:val="single" w:sz="4" w:space="0" w:color="auto"/>
              <w:left w:val="single" w:sz="4" w:space="0" w:color="auto"/>
              <w:bottom w:val="single" w:sz="4" w:space="0" w:color="auto"/>
              <w:right w:val="single" w:sz="4" w:space="0" w:color="auto"/>
            </w:tcBorders>
            <w:hideMark/>
          </w:tcPr>
          <w:p w14:paraId="345EF7F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T4.04</w:t>
            </w:r>
          </w:p>
        </w:tc>
        <w:tc>
          <w:tcPr>
            <w:tcW w:w="1651" w:type="dxa"/>
            <w:tcBorders>
              <w:top w:val="single" w:sz="4" w:space="0" w:color="auto"/>
              <w:left w:val="single" w:sz="4" w:space="0" w:color="auto"/>
              <w:bottom w:val="single" w:sz="4" w:space="0" w:color="auto"/>
              <w:right w:val="single" w:sz="4" w:space="0" w:color="auto"/>
            </w:tcBorders>
            <w:hideMark/>
          </w:tcPr>
          <w:p w14:paraId="3A5BEFB6" w14:textId="77777777" w:rsidR="00836512" w:rsidRDefault="00836512">
            <w:pPr>
              <w:jc w:val="center"/>
              <w:rPr>
                <w:rFonts w:eastAsiaTheme="minorHAnsi"/>
                <w:sz w:val="20"/>
                <w:szCs w:val="20"/>
                <w:lang w:val="en-US"/>
              </w:rPr>
            </w:pPr>
            <w:r>
              <w:rPr>
                <w:rFonts w:eastAsiaTheme="minorHAnsi"/>
                <w:sz w:val="20"/>
                <w:szCs w:val="20"/>
                <w:lang w:val="en-US"/>
              </w:rPr>
              <w:t>12.28 – 15.14</w:t>
            </w:r>
          </w:p>
        </w:tc>
        <w:tc>
          <w:tcPr>
            <w:tcW w:w="1206" w:type="dxa"/>
            <w:tcBorders>
              <w:top w:val="single" w:sz="4" w:space="0" w:color="auto"/>
              <w:left w:val="single" w:sz="4" w:space="0" w:color="auto"/>
              <w:bottom w:val="single" w:sz="4" w:space="0" w:color="auto"/>
              <w:right w:val="single" w:sz="4" w:space="0" w:color="auto"/>
            </w:tcBorders>
            <w:hideMark/>
          </w:tcPr>
          <w:p w14:paraId="7407F44D" w14:textId="77777777" w:rsidR="00836512" w:rsidRDefault="00836512">
            <w:pPr>
              <w:jc w:val="center"/>
              <w:rPr>
                <w:rFonts w:eastAsiaTheme="minorHAnsi"/>
                <w:sz w:val="20"/>
                <w:szCs w:val="20"/>
                <w:lang w:val="en-US"/>
              </w:rPr>
            </w:pPr>
            <w:r>
              <w:rPr>
                <w:rFonts w:eastAsiaTheme="minorHAnsi"/>
                <w:sz w:val="20"/>
                <w:szCs w:val="20"/>
                <w:lang w:val="en-US"/>
              </w:rPr>
              <w:t>1.14</w:t>
            </w:r>
          </w:p>
        </w:tc>
        <w:tc>
          <w:tcPr>
            <w:tcW w:w="1337" w:type="dxa"/>
            <w:tcBorders>
              <w:top w:val="single" w:sz="4" w:space="0" w:color="auto"/>
              <w:left w:val="nil"/>
              <w:bottom w:val="single" w:sz="4" w:space="0" w:color="auto"/>
              <w:right w:val="single" w:sz="4" w:space="0" w:color="auto"/>
            </w:tcBorders>
            <w:vAlign w:val="bottom"/>
            <w:hideMark/>
          </w:tcPr>
          <w:p w14:paraId="7034305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1342" w:type="dxa"/>
            <w:tcBorders>
              <w:top w:val="single" w:sz="4" w:space="0" w:color="auto"/>
              <w:left w:val="single" w:sz="4" w:space="0" w:color="auto"/>
              <w:bottom w:val="single" w:sz="4" w:space="0" w:color="auto"/>
              <w:right w:val="nil"/>
            </w:tcBorders>
            <w:vAlign w:val="bottom"/>
            <w:hideMark/>
          </w:tcPr>
          <w:p w14:paraId="1D2FA24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11.5</w:t>
            </w:r>
          </w:p>
        </w:tc>
        <w:tc>
          <w:tcPr>
            <w:tcW w:w="1241" w:type="dxa"/>
            <w:tcBorders>
              <w:top w:val="single" w:sz="4" w:space="0" w:color="auto"/>
              <w:left w:val="single" w:sz="4" w:space="0" w:color="auto"/>
              <w:bottom w:val="single" w:sz="4" w:space="0" w:color="auto"/>
              <w:right w:val="single" w:sz="4" w:space="0" w:color="auto"/>
            </w:tcBorders>
            <w:vAlign w:val="bottom"/>
            <w:hideMark/>
          </w:tcPr>
          <w:p w14:paraId="4771061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05CF499C"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0EC06" w14:textId="77777777" w:rsidR="00836512" w:rsidRDefault="00836512">
            <w:pPr>
              <w:rPr>
                <w:rFonts w:eastAsiaTheme="minorHAnsi"/>
                <w:color w:val="000000"/>
                <w:sz w:val="20"/>
                <w:szCs w:val="20"/>
                <w:lang w:val="es-ES"/>
              </w:rPr>
            </w:pPr>
          </w:p>
        </w:tc>
        <w:tc>
          <w:tcPr>
            <w:tcW w:w="1334" w:type="dxa"/>
            <w:tcBorders>
              <w:top w:val="single" w:sz="4" w:space="0" w:color="auto"/>
              <w:left w:val="single" w:sz="4" w:space="0" w:color="auto"/>
              <w:bottom w:val="single" w:sz="4" w:space="0" w:color="auto"/>
              <w:right w:val="single" w:sz="4" w:space="0" w:color="auto"/>
            </w:tcBorders>
            <w:hideMark/>
          </w:tcPr>
          <w:p w14:paraId="160BA52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T4.05</w:t>
            </w:r>
          </w:p>
        </w:tc>
        <w:tc>
          <w:tcPr>
            <w:tcW w:w="1651" w:type="dxa"/>
            <w:tcBorders>
              <w:top w:val="single" w:sz="4" w:space="0" w:color="auto"/>
              <w:left w:val="single" w:sz="4" w:space="0" w:color="auto"/>
              <w:bottom w:val="single" w:sz="4" w:space="0" w:color="auto"/>
              <w:right w:val="single" w:sz="4" w:space="0" w:color="auto"/>
            </w:tcBorders>
            <w:hideMark/>
          </w:tcPr>
          <w:p w14:paraId="57CBB67D" w14:textId="77777777" w:rsidR="00836512" w:rsidRDefault="00836512">
            <w:pPr>
              <w:jc w:val="center"/>
              <w:rPr>
                <w:rFonts w:eastAsiaTheme="minorHAnsi"/>
                <w:sz w:val="20"/>
                <w:szCs w:val="20"/>
                <w:lang w:val="en-US"/>
              </w:rPr>
            </w:pPr>
            <w:r>
              <w:rPr>
                <w:rFonts w:eastAsiaTheme="minorHAnsi"/>
                <w:sz w:val="20"/>
                <w:szCs w:val="20"/>
                <w:lang w:val="en-US"/>
              </w:rPr>
              <w:t>15.14 – 18.00</w:t>
            </w:r>
          </w:p>
        </w:tc>
        <w:tc>
          <w:tcPr>
            <w:tcW w:w="1206" w:type="dxa"/>
            <w:tcBorders>
              <w:top w:val="single" w:sz="4" w:space="0" w:color="auto"/>
              <w:left w:val="single" w:sz="4" w:space="0" w:color="auto"/>
              <w:bottom w:val="single" w:sz="4" w:space="0" w:color="auto"/>
              <w:right w:val="single" w:sz="4" w:space="0" w:color="auto"/>
            </w:tcBorders>
            <w:hideMark/>
          </w:tcPr>
          <w:p w14:paraId="3D24B3C6" w14:textId="77777777" w:rsidR="00836512" w:rsidRDefault="00836512">
            <w:pPr>
              <w:jc w:val="center"/>
              <w:rPr>
                <w:rFonts w:eastAsiaTheme="minorHAnsi"/>
                <w:sz w:val="20"/>
                <w:szCs w:val="20"/>
                <w:lang w:val="en-US"/>
              </w:rPr>
            </w:pPr>
            <w:r>
              <w:rPr>
                <w:rFonts w:eastAsiaTheme="minorHAnsi"/>
                <w:sz w:val="20"/>
                <w:szCs w:val="20"/>
                <w:lang w:val="en-US"/>
              </w:rPr>
              <w:t>1.38</w:t>
            </w:r>
          </w:p>
        </w:tc>
        <w:tc>
          <w:tcPr>
            <w:tcW w:w="1337" w:type="dxa"/>
            <w:tcBorders>
              <w:top w:val="single" w:sz="4" w:space="0" w:color="auto"/>
              <w:left w:val="nil"/>
              <w:bottom w:val="single" w:sz="4" w:space="0" w:color="auto"/>
              <w:right w:val="single" w:sz="4" w:space="0" w:color="auto"/>
            </w:tcBorders>
            <w:vAlign w:val="bottom"/>
            <w:hideMark/>
          </w:tcPr>
          <w:p w14:paraId="44118F0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-19.4</w:t>
            </w:r>
          </w:p>
        </w:tc>
        <w:tc>
          <w:tcPr>
            <w:tcW w:w="1342" w:type="dxa"/>
            <w:tcBorders>
              <w:top w:val="single" w:sz="4" w:space="0" w:color="auto"/>
              <w:left w:val="single" w:sz="4" w:space="0" w:color="auto"/>
              <w:bottom w:val="single" w:sz="4" w:space="0" w:color="auto"/>
              <w:right w:val="nil"/>
            </w:tcBorders>
            <w:vAlign w:val="bottom"/>
            <w:hideMark/>
          </w:tcPr>
          <w:p w14:paraId="70A86F5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10.9</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8C4ED4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46D4B936"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7C479B78" w14:textId="77777777" w:rsidR="00836512" w:rsidRDefault="00836512">
            <w:pPr>
              <w:rPr>
                <w:rFonts w:eastAsiaTheme="minorHAnsi"/>
                <w:color w:val="000000" w:themeColor="text1"/>
                <w:sz w:val="20"/>
                <w:szCs w:val="20"/>
                <w:lang w:val="en-US"/>
              </w:rPr>
            </w:pPr>
            <w:r>
              <w:rPr>
                <w:rFonts w:eastAsiaTheme="minorHAnsi"/>
                <w:color w:val="000000" w:themeColor="text1"/>
                <w:sz w:val="20"/>
                <w:szCs w:val="20"/>
                <w:lang w:val="en-US"/>
              </w:rPr>
              <w:t>Botromagno</w:t>
            </w:r>
          </w:p>
          <w:p w14:paraId="62243477" w14:textId="77777777" w:rsidR="00836512" w:rsidRDefault="00836512">
            <w:pPr>
              <w:rPr>
                <w:rFonts w:eastAsiaTheme="minorHAnsi"/>
                <w:color w:val="000000"/>
                <w:sz w:val="20"/>
                <w:szCs w:val="20"/>
                <w:lang w:val="en-US"/>
              </w:rPr>
            </w:pPr>
            <w:r>
              <w:rPr>
                <w:rFonts w:eastAsiaTheme="minorHAnsi"/>
                <w:color w:val="000000" w:themeColor="text1"/>
                <w:sz w:val="20"/>
                <w:szCs w:val="20"/>
                <w:lang w:val="en-US"/>
              </w:rPr>
              <w:t>GS70 F25</w:t>
            </w:r>
          </w:p>
        </w:tc>
        <w:tc>
          <w:tcPr>
            <w:tcW w:w="1334" w:type="dxa"/>
            <w:tcBorders>
              <w:top w:val="single" w:sz="4" w:space="0" w:color="auto"/>
              <w:left w:val="single" w:sz="4" w:space="0" w:color="auto"/>
              <w:bottom w:val="single" w:sz="4" w:space="0" w:color="auto"/>
              <w:right w:val="single" w:sz="4" w:space="0" w:color="auto"/>
            </w:tcBorders>
            <w:hideMark/>
          </w:tcPr>
          <w:p w14:paraId="21FDAC6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T5.01</w:t>
            </w:r>
          </w:p>
        </w:tc>
        <w:tc>
          <w:tcPr>
            <w:tcW w:w="1651" w:type="dxa"/>
            <w:tcBorders>
              <w:top w:val="single" w:sz="4" w:space="0" w:color="auto"/>
              <w:left w:val="single" w:sz="4" w:space="0" w:color="auto"/>
              <w:bottom w:val="single" w:sz="4" w:space="0" w:color="auto"/>
              <w:right w:val="single" w:sz="4" w:space="0" w:color="auto"/>
            </w:tcBorders>
            <w:hideMark/>
          </w:tcPr>
          <w:p w14:paraId="1BCB7F80" w14:textId="77777777" w:rsidR="00836512" w:rsidRDefault="00836512">
            <w:pPr>
              <w:jc w:val="center"/>
              <w:rPr>
                <w:rFonts w:eastAsiaTheme="minorHAnsi"/>
                <w:sz w:val="20"/>
                <w:szCs w:val="20"/>
                <w:lang w:val="en-US"/>
              </w:rPr>
            </w:pPr>
            <w:r>
              <w:rPr>
                <w:rFonts w:eastAsiaTheme="minorHAnsi"/>
                <w:sz w:val="20"/>
                <w:szCs w:val="20"/>
                <w:lang w:val="en-US"/>
              </w:rPr>
              <w:t>2.15 – 8.44</w:t>
            </w:r>
          </w:p>
        </w:tc>
        <w:tc>
          <w:tcPr>
            <w:tcW w:w="1206" w:type="dxa"/>
            <w:tcBorders>
              <w:top w:val="single" w:sz="4" w:space="0" w:color="auto"/>
              <w:left w:val="single" w:sz="4" w:space="0" w:color="auto"/>
              <w:bottom w:val="single" w:sz="4" w:space="0" w:color="auto"/>
              <w:right w:val="single" w:sz="4" w:space="0" w:color="auto"/>
            </w:tcBorders>
            <w:hideMark/>
          </w:tcPr>
          <w:p w14:paraId="68E71F0C" w14:textId="77777777" w:rsidR="00836512" w:rsidRDefault="00836512">
            <w:pPr>
              <w:jc w:val="center"/>
              <w:rPr>
                <w:rFonts w:eastAsiaTheme="minorHAnsi"/>
                <w:sz w:val="20"/>
                <w:szCs w:val="20"/>
                <w:lang w:val="en-US"/>
              </w:rPr>
            </w:pPr>
            <w:r>
              <w:rPr>
                <w:rFonts w:eastAsiaTheme="minorHAnsi"/>
                <w:sz w:val="20"/>
                <w:szCs w:val="20"/>
                <w:lang w:val="en-US"/>
              </w:rPr>
              <w:t>0.44</w:t>
            </w:r>
          </w:p>
        </w:tc>
        <w:tc>
          <w:tcPr>
            <w:tcW w:w="1337" w:type="dxa"/>
            <w:tcBorders>
              <w:top w:val="single" w:sz="4" w:space="0" w:color="auto"/>
              <w:left w:val="single" w:sz="4" w:space="0" w:color="auto"/>
              <w:bottom w:val="single" w:sz="4" w:space="0" w:color="auto"/>
              <w:right w:val="single" w:sz="4" w:space="0" w:color="auto"/>
            </w:tcBorders>
            <w:hideMark/>
          </w:tcPr>
          <w:p w14:paraId="059F0F7E" w14:textId="77777777" w:rsidR="00836512" w:rsidRDefault="00836512">
            <w:pPr>
              <w:jc w:val="center"/>
              <w:rPr>
                <w:rFonts w:eastAsiaTheme="minorHAnsi"/>
                <w:sz w:val="20"/>
                <w:szCs w:val="20"/>
                <w:lang w:val="en-US"/>
              </w:rPr>
            </w:pPr>
            <w:r>
              <w:rPr>
                <w:rFonts w:eastAsiaTheme="minorHAnsi"/>
                <w:sz w:val="20"/>
                <w:szCs w:val="20"/>
                <w:lang w:val="en-US"/>
              </w:rPr>
              <w:t>-18.4</w:t>
            </w:r>
          </w:p>
        </w:tc>
        <w:tc>
          <w:tcPr>
            <w:tcW w:w="1342" w:type="dxa"/>
            <w:tcBorders>
              <w:top w:val="single" w:sz="4" w:space="0" w:color="auto"/>
              <w:left w:val="single" w:sz="4" w:space="0" w:color="auto"/>
              <w:bottom w:val="single" w:sz="4" w:space="0" w:color="auto"/>
              <w:right w:val="single" w:sz="4" w:space="0" w:color="auto"/>
            </w:tcBorders>
            <w:hideMark/>
          </w:tcPr>
          <w:p w14:paraId="4221F91D" w14:textId="77777777" w:rsidR="00836512" w:rsidRDefault="00836512">
            <w:pPr>
              <w:jc w:val="center"/>
              <w:rPr>
                <w:rFonts w:eastAsiaTheme="minorHAnsi"/>
                <w:sz w:val="20"/>
                <w:szCs w:val="20"/>
                <w:lang w:val="en-US"/>
              </w:rPr>
            </w:pPr>
            <w:r>
              <w:rPr>
                <w:rFonts w:eastAsiaTheme="minorHAnsi"/>
                <w:sz w:val="20"/>
                <w:szCs w:val="20"/>
                <w:lang w:val="en-US"/>
              </w:rPr>
              <w:t>14.4</w:t>
            </w:r>
          </w:p>
        </w:tc>
        <w:tc>
          <w:tcPr>
            <w:tcW w:w="1241" w:type="dxa"/>
            <w:tcBorders>
              <w:top w:val="single" w:sz="4" w:space="0" w:color="auto"/>
              <w:left w:val="single" w:sz="4" w:space="0" w:color="auto"/>
              <w:bottom w:val="single" w:sz="4" w:space="0" w:color="auto"/>
              <w:right w:val="single" w:sz="4" w:space="0" w:color="auto"/>
            </w:tcBorders>
            <w:vAlign w:val="bottom"/>
            <w:hideMark/>
          </w:tcPr>
          <w:p w14:paraId="2C5EAB0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E78E57F"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21BE4"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3C84DA6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T5.02</w:t>
            </w:r>
          </w:p>
        </w:tc>
        <w:tc>
          <w:tcPr>
            <w:tcW w:w="1651" w:type="dxa"/>
            <w:tcBorders>
              <w:top w:val="single" w:sz="4" w:space="0" w:color="auto"/>
              <w:left w:val="single" w:sz="4" w:space="0" w:color="auto"/>
              <w:bottom w:val="single" w:sz="4" w:space="0" w:color="auto"/>
              <w:right w:val="single" w:sz="4" w:space="0" w:color="auto"/>
            </w:tcBorders>
            <w:hideMark/>
          </w:tcPr>
          <w:p w14:paraId="4FBBCD27" w14:textId="77777777" w:rsidR="00836512" w:rsidRDefault="00836512">
            <w:pPr>
              <w:jc w:val="center"/>
              <w:rPr>
                <w:rFonts w:eastAsiaTheme="minorHAnsi"/>
                <w:sz w:val="20"/>
                <w:szCs w:val="20"/>
                <w:lang w:val="en-US"/>
              </w:rPr>
            </w:pPr>
            <w:r>
              <w:rPr>
                <w:rFonts w:eastAsiaTheme="minorHAnsi"/>
                <w:sz w:val="20"/>
                <w:szCs w:val="20"/>
                <w:lang w:val="en-US"/>
              </w:rPr>
              <w:t>8.44 – 14.73</w:t>
            </w:r>
          </w:p>
        </w:tc>
        <w:tc>
          <w:tcPr>
            <w:tcW w:w="1206" w:type="dxa"/>
            <w:tcBorders>
              <w:top w:val="single" w:sz="4" w:space="0" w:color="auto"/>
              <w:left w:val="single" w:sz="4" w:space="0" w:color="auto"/>
              <w:bottom w:val="single" w:sz="4" w:space="0" w:color="auto"/>
              <w:right w:val="single" w:sz="4" w:space="0" w:color="auto"/>
            </w:tcBorders>
            <w:hideMark/>
          </w:tcPr>
          <w:p w14:paraId="72BA374B" w14:textId="77777777" w:rsidR="00836512" w:rsidRDefault="00836512">
            <w:pPr>
              <w:jc w:val="center"/>
              <w:rPr>
                <w:rFonts w:eastAsiaTheme="minorHAnsi"/>
                <w:sz w:val="20"/>
                <w:szCs w:val="20"/>
                <w:lang w:val="en-US"/>
              </w:rPr>
            </w:pPr>
            <w:r>
              <w:rPr>
                <w:rFonts w:eastAsiaTheme="minorHAnsi"/>
                <w:sz w:val="20"/>
                <w:szCs w:val="20"/>
                <w:lang w:val="en-US"/>
              </w:rPr>
              <w:t>0.97</w:t>
            </w:r>
          </w:p>
        </w:tc>
        <w:tc>
          <w:tcPr>
            <w:tcW w:w="1337" w:type="dxa"/>
            <w:tcBorders>
              <w:top w:val="single" w:sz="4" w:space="0" w:color="auto"/>
              <w:left w:val="single" w:sz="4" w:space="0" w:color="auto"/>
              <w:bottom w:val="single" w:sz="4" w:space="0" w:color="auto"/>
              <w:right w:val="single" w:sz="4" w:space="0" w:color="auto"/>
            </w:tcBorders>
            <w:hideMark/>
          </w:tcPr>
          <w:p w14:paraId="6CE82830" w14:textId="77777777" w:rsidR="00836512" w:rsidRDefault="00836512">
            <w:pPr>
              <w:jc w:val="center"/>
              <w:rPr>
                <w:rFonts w:eastAsiaTheme="minorHAnsi"/>
                <w:sz w:val="20"/>
                <w:szCs w:val="20"/>
                <w:lang w:val="en-US"/>
              </w:rPr>
            </w:pPr>
            <w:r>
              <w:rPr>
                <w:rFonts w:eastAsiaTheme="minorHAnsi"/>
                <w:sz w:val="20"/>
                <w:szCs w:val="20"/>
                <w:lang w:val="en-US"/>
              </w:rPr>
              <w:t>-18.7</w:t>
            </w:r>
          </w:p>
        </w:tc>
        <w:tc>
          <w:tcPr>
            <w:tcW w:w="1342" w:type="dxa"/>
            <w:tcBorders>
              <w:top w:val="single" w:sz="4" w:space="0" w:color="auto"/>
              <w:left w:val="single" w:sz="4" w:space="0" w:color="auto"/>
              <w:bottom w:val="single" w:sz="4" w:space="0" w:color="auto"/>
              <w:right w:val="single" w:sz="4" w:space="0" w:color="auto"/>
            </w:tcBorders>
            <w:hideMark/>
          </w:tcPr>
          <w:p w14:paraId="215AA1AA" w14:textId="77777777" w:rsidR="00836512" w:rsidRDefault="00836512">
            <w:pPr>
              <w:jc w:val="center"/>
              <w:rPr>
                <w:rFonts w:eastAsiaTheme="minorHAnsi"/>
                <w:sz w:val="20"/>
                <w:szCs w:val="20"/>
                <w:lang w:val="en-US"/>
              </w:rPr>
            </w:pPr>
            <w:r>
              <w:rPr>
                <w:rFonts w:eastAsiaTheme="minorHAnsi"/>
                <w:sz w:val="20"/>
                <w:szCs w:val="20"/>
                <w:lang w:val="en-US"/>
              </w:rPr>
              <w:t>13.1</w:t>
            </w:r>
          </w:p>
        </w:tc>
        <w:tc>
          <w:tcPr>
            <w:tcW w:w="1241" w:type="dxa"/>
            <w:tcBorders>
              <w:top w:val="single" w:sz="4" w:space="0" w:color="auto"/>
              <w:left w:val="single" w:sz="4" w:space="0" w:color="auto"/>
              <w:bottom w:val="single" w:sz="4" w:space="0" w:color="auto"/>
              <w:right w:val="single" w:sz="4" w:space="0" w:color="auto"/>
            </w:tcBorders>
            <w:vAlign w:val="bottom"/>
            <w:hideMark/>
          </w:tcPr>
          <w:p w14:paraId="2CF8C3B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8BD7CFB"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924CF"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7CD5F3B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T5.03</w:t>
            </w:r>
          </w:p>
        </w:tc>
        <w:tc>
          <w:tcPr>
            <w:tcW w:w="1651" w:type="dxa"/>
            <w:tcBorders>
              <w:top w:val="single" w:sz="4" w:space="0" w:color="auto"/>
              <w:left w:val="single" w:sz="4" w:space="0" w:color="auto"/>
              <w:bottom w:val="single" w:sz="4" w:space="0" w:color="auto"/>
              <w:right w:val="single" w:sz="4" w:space="0" w:color="auto"/>
            </w:tcBorders>
            <w:hideMark/>
          </w:tcPr>
          <w:p w14:paraId="36F37724" w14:textId="77777777" w:rsidR="00836512" w:rsidRDefault="00836512">
            <w:pPr>
              <w:jc w:val="center"/>
              <w:rPr>
                <w:rFonts w:eastAsiaTheme="minorHAnsi"/>
                <w:sz w:val="20"/>
                <w:szCs w:val="20"/>
                <w:lang w:val="en-US"/>
              </w:rPr>
            </w:pPr>
            <w:r>
              <w:rPr>
                <w:rFonts w:eastAsiaTheme="minorHAnsi"/>
                <w:sz w:val="20"/>
                <w:szCs w:val="20"/>
                <w:lang w:val="en-US"/>
              </w:rPr>
              <w:t>14.73 – 19.98</w:t>
            </w:r>
          </w:p>
        </w:tc>
        <w:tc>
          <w:tcPr>
            <w:tcW w:w="1206" w:type="dxa"/>
            <w:tcBorders>
              <w:top w:val="single" w:sz="4" w:space="0" w:color="auto"/>
              <w:left w:val="single" w:sz="4" w:space="0" w:color="auto"/>
              <w:bottom w:val="single" w:sz="4" w:space="0" w:color="auto"/>
              <w:right w:val="single" w:sz="4" w:space="0" w:color="auto"/>
            </w:tcBorders>
            <w:hideMark/>
          </w:tcPr>
          <w:p w14:paraId="352E7AD1" w14:textId="77777777" w:rsidR="00836512" w:rsidRDefault="00836512">
            <w:pPr>
              <w:jc w:val="center"/>
              <w:rPr>
                <w:rFonts w:eastAsiaTheme="minorHAnsi"/>
                <w:sz w:val="20"/>
                <w:szCs w:val="20"/>
                <w:lang w:val="en-US"/>
              </w:rPr>
            </w:pPr>
            <w:r>
              <w:rPr>
                <w:rFonts w:eastAsiaTheme="minorHAnsi"/>
                <w:sz w:val="20"/>
                <w:szCs w:val="20"/>
                <w:lang w:val="en-US"/>
              </w:rPr>
              <w:t>1.67</w:t>
            </w:r>
          </w:p>
        </w:tc>
        <w:tc>
          <w:tcPr>
            <w:tcW w:w="1337" w:type="dxa"/>
            <w:tcBorders>
              <w:top w:val="single" w:sz="4" w:space="0" w:color="auto"/>
              <w:left w:val="single" w:sz="4" w:space="0" w:color="auto"/>
              <w:bottom w:val="single" w:sz="4" w:space="0" w:color="auto"/>
              <w:right w:val="single" w:sz="4" w:space="0" w:color="auto"/>
            </w:tcBorders>
            <w:hideMark/>
          </w:tcPr>
          <w:p w14:paraId="532A7C7D" w14:textId="77777777" w:rsidR="00836512" w:rsidRDefault="00836512">
            <w:pPr>
              <w:jc w:val="center"/>
              <w:rPr>
                <w:rFonts w:eastAsiaTheme="minorHAnsi"/>
                <w:sz w:val="20"/>
                <w:szCs w:val="20"/>
                <w:lang w:val="en-US"/>
              </w:rPr>
            </w:pPr>
            <w:r>
              <w:rPr>
                <w:rFonts w:eastAsiaTheme="minorHAnsi"/>
                <w:sz w:val="20"/>
                <w:szCs w:val="20"/>
                <w:lang w:val="en-US"/>
              </w:rPr>
              <w:t>-19.0</w:t>
            </w:r>
          </w:p>
        </w:tc>
        <w:tc>
          <w:tcPr>
            <w:tcW w:w="1342" w:type="dxa"/>
            <w:tcBorders>
              <w:top w:val="single" w:sz="4" w:space="0" w:color="auto"/>
              <w:left w:val="single" w:sz="4" w:space="0" w:color="auto"/>
              <w:bottom w:val="single" w:sz="4" w:space="0" w:color="auto"/>
              <w:right w:val="single" w:sz="4" w:space="0" w:color="auto"/>
            </w:tcBorders>
            <w:hideMark/>
          </w:tcPr>
          <w:p w14:paraId="1FF6BC13" w14:textId="77777777" w:rsidR="00836512" w:rsidRDefault="00836512">
            <w:pPr>
              <w:jc w:val="center"/>
              <w:rPr>
                <w:rFonts w:eastAsiaTheme="minorHAnsi"/>
                <w:sz w:val="20"/>
                <w:szCs w:val="20"/>
                <w:lang w:val="en-US"/>
              </w:rPr>
            </w:pPr>
            <w:r>
              <w:rPr>
                <w:rFonts w:eastAsiaTheme="minorHAnsi"/>
                <w:sz w:val="20"/>
                <w:szCs w:val="20"/>
                <w:lang w:val="en-US"/>
              </w:rPr>
              <w:t>12.2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799F79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DF00D38"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08A71"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007BE20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T5.04</w:t>
            </w:r>
          </w:p>
        </w:tc>
        <w:tc>
          <w:tcPr>
            <w:tcW w:w="1651" w:type="dxa"/>
            <w:tcBorders>
              <w:top w:val="single" w:sz="4" w:space="0" w:color="auto"/>
              <w:left w:val="single" w:sz="4" w:space="0" w:color="auto"/>
              <w:bottom w:val="single" w:sz="4" w:space="0" w:color="auto"/>
              <w:right w:val="single" w:sz="4" w:space="0" w:color="auto"/>
            </w:tcBorders>
            <w:hideMark/>
          </w:tcPr>
          <w:p w14:paraId="2B9BCDC3" w14:textId="77777777" w:rsidR="00836512" w:rsidRDefault="00836512">
            <w:pPr>
              <w:jc w:val="center"/>
              <w:rPr>
                <w:rFonts w:eastAsiaTheme="minorHAnsi"/>
                <w:sz w:val="20"/>
                <w:szCs w:val="20"/>
                <w:lang w:val="en-US"/>
              </w:rPr>
            </w:pPr>
            <w:r>
              <w:rPr>
                <w:rFonts w:eastAsiaTheme="minorHAnsi"/>
                <w:sz w:val="20"/>
                <w:szCs w:val="20"/>
                <w:lang w:val="en-US"/>
              </w:rPr>
              <w:t>19.98 – 25.22</w:t>
            </w:r>
          </w:p>
        </w:tc>
        <w:tc>
          <w:tcPr>
            <w:tcW w:w="1206" w:type="dxa"/>
            <w:tcBorders>
              <w:top w:val="single" w:sz="4" w:space="0" w:color="auto"/>
              <w:left w:val="single" w:sz="4" w:space="0" w:color="auto"/>
              <w:bottom w:val="single" w:sz="4" w:space="0" w:color="auto"/>
              <w:right w:val="single" w:sz="4" w:space="0" w:color="auto"/>
            </w:tcBorders>
            <w:hideMark/>
          </w:tcPr>
          <w:p w14:paraId="13317ECC" w14:textId="77777777" w:rsidR="00836512" w:rsidRDefault="00836512">
            <w:pPr>
              <w:jc w:val="center"/>
              <w:rPr>
                <w:rFonts w:eastAsiaTheme="minorHAnsi"/>
                <w:sz w:val="20"/>
                <w:szCs w:val="20"/>
                <w:lang w:val="en-US"/>
              </w:rPr>
            </w:pPr>
            <w:r>
              <w:rPr>
                <w:rFonts w:eastAsiaTheme="minorHAnsi"/>
                <w:sz w:val="20"/>
                <w:szCs w:val="20"/>
                <w:lang w:val="en-US"/>
              </w:rPr>
              <w:t>1.88</w:t>
            </w:r>
          </w:p>
        </w:tc>
        <w:tc>
          <w:tcPr>
            <w:tcW w:w="1337" w:type="dxa"/>
            <w:tcBorders>
              <w:top w:val="single" w:sz="4" w:space="0" w:color="auto"/>
              <w:left w:val="single" w:sz="4" w:space="0" w:color="auto"/>
              <w:bottom w:val="single" w:sz="4" w:space="0" w:color="auto"/>
              <w:right w:val="single" w:sz="4" w:space="0" w:color="auto"/>
            </w:tcBorders>
            <w:hideMark/>
          </w:tcPr>
          <w:p w14:paraId="6CDA05A0" w14:textId="77777777" w:rsidR="00836512" w:rsidRDefault="00836512">
            <w:pPr>
              <w:jc w:val="center"/>
              <w:rPr>
                <w:rFonts w:eastAsiaTheme="minorHAnsi"/>
                <w:sz w:val="20"/>
                <w:szCs w:val="20"/>
                <w:lang w:val="en-US"/>
              </w:rPr>
            </w:pPr>
            <w:r>
              <w:rPr>
                <w:rFonts w:eastAsiaTheme="minorHAnsi"/>
                <w:sz w:val="20"/>
                <w:szCs w:val="20"/>
                <w:lang w:val="en-US"/>
              </w:rPr>
              <w:t>-19.0</w:t>
            </w:r>
          </w:p>
        </w:tc>
        <w:tc>
          <w:tcPr>
            <w:tcW w:w="1342" w:type="dxa"/>
            <w:tcBorders>
              <w:top w:val="single" w:sz="4" w:space="0" w:color="auto"/>
              <w:left w:val="single" w:sz="4" w:space="0" w:color="auto"/>
              <w:bottom w:val="single" w:sz="4" w:space="0" w:color="auto"/>
              <w:right w:val="single" w:sz="4" w:space="0" w:color="auto"/>
            </w:tcBorders>
            <w:hideMark/>
          </w:tcPr>
          <w:p w14:paraId="0316C573" w14:textId="77777777" w:rsidR="00836512" w:rsidRDefault="00836512">
            <w:pPr>
              <w:jc w:val="center"/>
              <w:rPr>
                <w:rFonts w:eastAsiaTheme="minorHAnsi"/>
                <w:sz w:val="20"/>
                <w:szCs w:val="20"/>
                <w:lang w:val="en-US"/>
              </w:rPr>
            </w:pPr>
            <w:r>
              <w:rPr>
                <w:rFonts w:eastAsiaTheme="minorHAnsi"/>
                <w:sz w:val="20"/>
                <w:szCs w:val="20"/>
                <w:lang w:val="en-US"/>
              </w:rPr>
              <w:t>12.0</w:t>
            </w:r>
          </w:p>
        </w:tc>
        <w:tc>
          <w:tcPr>
            <w:tcW w:w="1241" w:type="dxa"/>
            <w:tcBorders>
              <w:top w:val="single" w:sz="4" w:space="0" w:color="auto"/>
              <w:left w:val="single" w:sz="4" w:space="0" w:color="auto"/>
              <w:bottom w:val="single" w:sz="4" w:space="0" w:color="auto"/>
              <w:right w:val="single" w:sz="4" w:space="0" w:color="auto"/>
            </w:tcBorders>
            <w:vAlign w:val="bottom"/>
            <w:hideMark/>
          </w:tcPr>
          <w:p w14:paraId="1BA1817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3.1</w:t>
            </w:r>
          </w:p>
        </w:tc>
      </w:tr>
      <w:tr w:rsidR="00836512" w14:paraId="7E34B36A"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7F22A"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0652006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T5.05</w:t>
            </w:r>
          </w:p>
        </w:tc>
        <w:tc>
          <w:tcPr>
            <w:tcW w:w="1651" w:type="dxa"/>
            <w:tcBorders>
              <w:top w:val="single" w:sz="4" w:space="0" w:color="auto"/>
              <w:left w:val="single" w:sz="4" w:space="0" w:color="auto"/>
              <w:bottom w:val="single" w:sz="4" w:space="0" w:color="auto"/>
              <w:right w:val="single" w:sz="4" w:space="0" w:color="auto"/>
            </w:tcBorders>
            <w:hideMark/>
          </w:tcPr>
          <w:p w14:paraId="12E69D1B" w14:textId="77777777" w:rsidR="00836512" w:rsidRDefault="00836512">
            <w:pPr>
              <w:jc w:val="center"/>
              <w:rPr>
                <w:rFonts w:eastAsiaTheme="minorHAnsi"/>
                <w:sz w:val="20"/>
                <w:szCs w:val="20"/>
                <w:lang w:val="en-US"/>
              </w:rPr>
            </w:pPr>
            <w:r>
              <w:rPr>
                <w:rFonts w:eastAsiaTheme="minorHAnsi"/>
                <w:sz w:val="20"/>
                <w:szCs w:val="20"/>
                <w:lang w:val="en-US"/>
              </w:rPr>
              <w:t>25.22 – 30.47</w:t>
            </w:r>
          </w:p>
        </w:tc>
        <w:tc>
          <w:tcPr>
            <w:tcW w:w="1206" w:type="dxa"/>
            <w:tcBorders>
              <w:top w:val="single" w:sz="4" w:space="0" w:color="auto"/>
              <w:left w:val="single" w:sz="4" w:space="0" w:color="auto"/>
              <w:bottom w:val="single" w:sz="4" w:space="0" w:color="auto"/>
              <w:right w:val="single" w:sz="4" w:space="0" w:color="auto"/>
            </w:tcBorders>
            <w:hideMark/>
          </w:tcPr>
          <w:p w14:paraId="3425C9EF" w14:textId="77777777" w:rsidR="00836512" w:rsidRDefault="00836512">
            <w:pPr>
              <w:jc w:val="center"/>
              <w:rPr>
                <w:rFonts w:eastAsiaTheme="minorHAnsi"/>
                <w:sz w:val="20"/>
                <w:szCs w:val="20"/>
                <w:lang w:val="en-US"/>
              </w:rPr>
            </w:pPr>
            <w:r>
              <w:rPr>
                <w:rFonts w:eastAsiaTheme="minorHAnsi"/>
                <w:sz w:val="20"/>
                <w:szCs w:val="20"/>
                <w:lang w:val="en-US"/>
              </w:rPr>
              <w:t>2.32</w:t>
            </w:r>
          </w:p>
        </w:tc>
        <w:tc>
          <w:tcPr>
            <w:tcW w:w="1337" w:type="dxa"/>
            <w:tcBorders>
              <w:top w:val="single" w:sz="4" w:space="0" w:color="auto"/>
              <w:left w:val="single" w:sz="4" w:space="0" w:color="auto"/>
              <w:bottom w:val="single" w:sz="4" w:space="0" w:color="auto"/>
              <w:right w:val="single" w:sz="4" w:space="0" w:color="auto"/>
            </w:tcBorders>
            <w:hideMark/>
          </w:tcPr>
          <w:p w14:paraId="28C0A759" w14:textId="77777777" w:rsidR="00836512" w:rsidRDefault="00836512">
            <w:pPr>
              <w:jc w:val="center"/>
              <w:rPr>
                <w:rFonts w:eastAsiaTheme="minorHAnsi"/>
                <w:sz w:val="20"/>
                <w:szCs w:val="20"/>
                <w:lang w:val="en-US"/>
              </w:rPr>
            </w:pPr>
            <w:r>
              <w:rPr>
                <w:rFonts w:eastAsiaTheme="minorHAnsi"/>
                <w:sz w:val="20"/>
                <w:szCs w:val="20"/>
                <w:lang w:val="en-US"/>
              </w:rPr>
              <w:t>-18.9</w:t>
            </w:r>
          </w:p>
        </w:tc>
        <w:tc>
          <w:tcPr>
            <w:tcW w:w="1342" w:type="dxa"/>
            <w:tcBorders>
              <w:top w:val="single" w:sz="4" w:space="0" w:color="auto"/>
              <w:left w:val="single" w:sz="4" w:space="0" w:color="auto"/>
              <w:bottom w:val="single" w:sz="4" w:space="0" w:color="auto"/>
              <w:right w:val="single" w:sz="4" w:space="0" w:color="auto"/>
            </w:tcBorders>
            <w:hideMark/>
          </w:tcPr>
          <w:p w14:paraId="01E0CCCA" w14:textId="77777777" w:rsidR="00836512" w:rsidRDefault="00836512">
            <w:pPr>
              <w:jc w:val="center"/>
              <w:rPr>
                <w:rFonts w:eastAsiaTheme="minorHAnsi"/>
                <w:sz w:val="20"/>
                <w:szCs w:val="20"/>
                <w:lang w:val="en-US"/>
              </w:rPr>
            </w:pPr>
            <w:r>
              <w:rPr>
                <w:rFonts w:eastAsiaTheme="minorHAnsi"/>
                <w:sz w:val="20"/>
                <w:szCs w:val="20"/>
                <w:lang w:val="en-US"/>
              </w:rPr>
              <w:t>12.2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281D117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3.1</w:t>
            </w:r>
          </w:p>
        </w:tc>
      </w:tr>
      <w:tr w:rsidR="00836512" w14:paraId="40665267"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3D388"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766E32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T5.06</w:t>
            </w:r>
          </w:p>
        </w:tc>
        <w:tc>
          <w:tcPr>
            <w:tcW w:w="1651" w:type="dxa"/>
            <w:tcBorders>
              <w:top w:val="single" w:sz="4" w:space="0" w:color="auto"/>
              <w:left w:val="single" w:sz="4" w:space="0" w:color="auto"/>
              <w:bottom w:val="single" w:sz="4" w:space="0" w:color="auto"/>
              <w:right w:val="single" w:sz="4" w:space="0" w:color="auto"/>
            </w:tcBorders>
            <w:hideMark/>
          </w:tcPr>
          <w:p w14:paraId="5124DB02" w14:textId="77777777" w:rsidR="00836512" w:rsidRDefault="00836512">
            <w:pPr>
              <w:jc w:val="center"/>
              <w:rPr>
                <w:rFonts w:eastAsiaTheme="minorHAnsi"/>
                <w:sz w:val="20"/>
                <w:szCs w:val="20"/>
                <w:lang w:val="en-US"/>
              </w:rPr>
            </w:pPr>
            <w:r>
              <w:rPr>
                <w:rFonts w:eastAsiaTheme="minorHAnsi"/>
                <w:sz w:val="20"/>
                <w:szCs w:val="20"/>
                <w:lang w:val="en-US"/>
              </w:rPr>
              <w:t>30.47 – 35.71</w:t>
            </w:r>
          </w:p>
        </w:tc>
        <w:tc>
          <w:tcPr>
            <w:tcW w:w="1206" w:type="dxa"/>
            <w:tcBorders>
              <w:top w:val="single" w:sz="4" w:space="0" w:color="auto"/>
              <w:left w:val="single" w:sz="4" w:space="0" w:color="auto"/>
              <w:bottom w:val="single" w:sz="4" w:space="0" w:color="auto"/>
              <w:right w:val="single" w:sz="4" w:space="0" w:color="auto"/>
            </w:tcBorders>
            <w:hideMark/>
          </w:tcPr>
          <w:p w14:paraId="0DF2AA08" w14:textId="77777777" w:rsidR="00836512" w:rsidRDefault="00836512">
            <w:pPr>
              <w:jc w:val="center"/>
              <w:rPr>
                <w:rFonts w:eastAsiaTheme="minorHAnsi"/>
                <w:sz w:val="20"/>
                <w:szCs w:val="20"/>
                <w:lang w:val="en-US"/>
              </w:rPr>
            </w:pPr>
            <w:r>
              <w:rPr>
                <w:rFonts w:eastAsiaTheme="minorHAnsi"/>
                <w:sz w:val="20"/>
                <w:szCs w:val="20"/>
                <w:lang w:val="en-US"/>
              </w:rPr>
              <w:t>2.78</w:t>
            </w:r>
          </w:p>
        </w:tc>
        <w:tc>
          <w:tcPr>
            <w:tcW w:w="1337" w:type="dxa"/>
            <w:tcBorders>
              <w:top w:val="single" w:sz="4" w:space="0" w:color="auto"/>
              <w:left w:val="single" w:sz="4" w:space="0" w:color="auto"/>
              <w:bottom w:val="single" w:sz="4" w:space="0" w:color="auto"/>
              <w:right w:val="single" w:sz="4" w:space="0" w:color="auto"/>
            </w:tcBorders>
            <w:hideMark/>
          </w:tcPr>
          <w:p w14:paraId="3171A144" w14:textId="77777777" w:rsidR="00836512" w:rsidRDefault="00836512">
            <w:pPr>
              <w:jc w:val="center"/>
              <w:rPr>
                <w:rFonts w:eastAsiaTheme="minorHAnsi"/>
                <w:sz w:val="20"/>
                <w:szCs w:val="20"/>
                <w:lang w:val="en-US"/>
              </w:rPr>
            </w:pPr>
            <w:r>
              <w:rPr>
                <w:rFonts w:eastAsiaTheme="minorHAnsi"/>
                <w:sz w:val="20"/>
                <w:szCs w:val="20"/>
                <w:lang w:val="en-US"/>
              </w:rPr>
              <w:t>-19.2</w:t>
            </w:r>
          </w:p>
        </w:tc>
        <w:tc>
          <w:tcPr>
            <w:tcW w:w="1342" w:type="dxa"/>
            <w:tcBorders>
              <w:top w:val="single" w:sz="4" w:space="0" w:color="auto"/>
              <w:left w:val="single" w:sz="4" w:space="0" w:color="auto"/>
              <w:bottom w:val="single" w:sz="4" w:space="0" w:color="auto"/>
              <w:right w:val="single" w:sz="4" w:space="0" w:color="auto"/>
            </w:tcBorders>
            <w:hideMark/>
          </w:tcPr>
          <w:p w14:paraId="6F44758F" w14:textId="77777777" w:rsidR="00836512" w:rsidRDefault="00836512">
            <w:pPr>
              <w:jc w:val="center"/>
              <w:rPr>
                <w:rFonts w:eastAsiaTheme="minorHAnsi"/>
                <w:sz w:val="20"/>
                <w:szCs w:val="20"/>
                <w:lang w:val="en-US"/>
              </w:rPr>
            </w:pPr>
            <w:r>
              <w:rPr>
                <w:rFonts w:eastAsiaTheme="minorHAnsi"/>
                <w:sz w:val="20"/>
                <w:szCs w:val="20"/>
                <w:lang w:val="en-US"/>
              </w:rPr>
              <w:t>11.5</w:t>
            </w:r>
          </w:p>
        </w:tc>
        <w:tc>
          <w:tcPr>
            <w:tcW w:w="1241" w:type="dxa"/>
            <w:tcBorders>
              <w:top w:val="single" w:sz="4" w:space="0" w:color="auto"/>
              <w:left w:val="single" w:sz="4" w:space="0" w:color="auto"/>
              <w:bottom w:val="single" w:sz="4" w:space="0" w:color="auto"/>
              <w:right w:val="single" w:sz="4" w:space="0" w:color="auto"/>
            </w:tcBorders>
            <w:vAlign w:val="bottom"/>
            <w:hideMark/>
          </w:tcPr>
          <w:p w14:paraId="305ED03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3.1</w:t>
            </w:r>
          </w:p>
        </w:tc>
      </w:tr>
      <w:tr w:rsidR="00836512" w14:paraId="54862DF8"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40865"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6E72CF6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T5.07</w:t>
            </w:r>
          </w:p>
        </w:tc>
        <w:tc>
          <w:tcPr>
            <w:tcW w:w="1651" w:type="dxa"/>
            <w:tcBorders>
              <w:top w:val="single" w:sz="4" w:space="0" w:color="auto"/>
              <w:left w:val="single" w:sz="4" w:space="0" w:color="auto"/>
              <w:bottom w:val="single" w:sz="4" w:space="0" w:color="auto"/>
              <w:right w:val="single" w:sz="4" w:space="0" w:color="auto"/>
            </w:tcBorders>
            <w:hideMark/>
          </w:tcPr>
          <w:p w14:paraId="458B6B8C" w14:textId="77777777" w:rsidR="00836512" w:rsidRDefault="00836512">
            <w:pPr>
              <w:jc w:val="center"/>
              <w:rPr>
                <w:rFonts w:eastAsiaTheme="minorHAnsi"/>
                <w:sz w:val="20"/>
                <w:szCs w:val="20"/>
                <w:lang w:val="en-US"/>
              </w:rPr>
            </w:pPr>
            <w:r>
              <w:rPr>
                <w:rFonts w:eastAsiaTheme="minorHAnsi"/>
                <w:sz w:val="20"/>
                <w:szCs w:val="20"/>
                <w:lang w:val="en-US"/>
              </w:rPr>
              <w:t>35.71 – 42.00</w:t>
            </w:r>
          </w:p>
        </w:tc>
        <w:tc>
          <w:tcPr>
            <w:tcW w:w="1206" w:type="dxa"/>
            <w:tcBorders>
              <w:top w:val="single" w:sz="4" w:space="0" w:color="auto"/>
              <w:left w:val="single" w:sz="4" w:space="0" w:color="auto"/>
              <w:bottom w:val="single" w:sz="4" w:space="0" w:color="auto"/>
              <w:right w:val="single" w:sz="4" w:space="0" w:color="auto"/>
            </w:tcBorders>
            <w:hideMark/>
          </w:tcPr>
          <w:p w14:paraId="10A9BE7E" w14:textId="77777777" w:rsidR="00836512" w:rsidRDefault="00836512">
            <w:pPr>
              <w:jc w:val="center"/>
              <w:rPr>
                <w:rFonts w:eastAsiaTheme="minorHAnsi"/>
                <w:sz w:val="20"/>
                <w:szCs w:val="20"/>
                <w:lang w:val="en-US"/>
              </w:rPr>
            </w:pPr>
            <w:r>
              <w:rPr>
                <w:rFonts w:eastAsiaTheme="minorHAnsi"/>
                <w:sz w:val="20"/>
                <w:szCs w:val="20"/>
                <w:lang w:val="en-US"/>
              </w:rPr>
              <w:t>3.24</w:t>
            </w:r>
          </w:p>
        </w:tc>
        <w:tc>
          <w:tcPr>
            <w:tcW w:w="1337" w:type="dxa"/>
            <w:tcBorders>
              <w:top w:val="single" w:sz="4" w:space="0" w:color="auto"/>
              <w:left w:val="single" w:sz="4" w:space="0" w:color="auto"/>
              <w:bottom w:val="single" w:sz="4" w:space="0" w:color="auto"/>
              <w:right w:val="single" w:sz="4" w:space="0" w:color="auto"/>
            </w:tcBorders>
            <w:hideMark/>
          </w:tcPr>
          <w:p w14:paraId="5AFD9913" w14:textId="77777777" w:rsidR="00836512" w:rsidRDefault="00836512">
            <w:pPr>
              <w:jc w:val="center"/>
              <w:rPr>
                <w:rFonts w:eastAsiaTheme="minorHAnsi"/>
                <w:sz w:val="20"/>
                <w:szCs w:val="20"/>
                <w:lang w:val="en-US"/>
              </w:rPr>
            </w:pPr>
            <w:r>
              <w:rPr>
                <w:rFonts w:eastAsiaTheme="minorHAnsi"/>
                <w:sz w:val="20"/>
                <w:szCs w:val="20"/>
                <w:lang w:val="en-US"/>
              </w:rPr>
              <w:t>-19.3</w:t>
            </w:r>
          </w:p>
        </w:tc>
        <w:tc>
          <w:tcPr>
            <w:tcW w:w="1342" w:type="dxa"/>
            <w:tcBorders>
              <w:top w:val="single" w:sz="4" w:space="0" w:color="auto"/>
              <w:left w:val="single" w:sz="4" w:space="0" w:color="auto"/>
              <w:bottom w:val="single" w:sz="4" w:space="0" w:color="auto"/>
              <w:right w:val="single" w:sz="4" w:space="0" w:color="auto"/>
            </w:tcBorders>
            <w:hideMark/>
          </w:tcPr>
          <w:p w14:paraId="4DE65BAC" w14:textId="77777777" w:rsidR="00836512" w:rsidRDefault="00836512">
            <w:pPr>
              <w:jc w:val="center"/>
              <w:rPr>
                <w:rFonts w:eastAsiaTheme="minorHAnsi"/>
                <w:sz w:val="20"/>
                <w:szCs w:val="20"/>
                <w:lang w:val="en-US"/>
              </w:rPr>
            </w:pPr>
            <w:r>
              <w:rPr>
                <w:rFonts w:eastAsiaTheme="minorHAnsi"/>
                <w:sz w:val="20"/>
                <w:szCs w:val="20"/>
                <w:lang w:val="en-US"/>
              </w:rPr>
              <w:t>11.0</w:t>
            </w:r>
          </w:p>
        </w:tc>
        <w:tc>
          <w:tcPr>
            <w:tcW w:w="1241" w:type="dxa"/>
            <w:tcBorders>
              <w:top w:val="single" w:sz="4" w:space="0" w:color="auto"/>
              <w:left w:val="single" w:sz="4" w:space="0" w:color="auto"/>
              <w:bottom w:val="single" w:sz="4" w:space="0" w:color="auto"/>
              <w:right w:val="single" w:sz="4" w:space="0" w:color="auto"/>
            </w:tcBorders>
            <w:vAlign w:val="bottom"/>
            <w:hideMark/>
          </w:tcPr>
          <w:p w14:paraId="1957B34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F8DCA5B"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3A9E683F" w14:textId="77777777" w:rsidR="00836512" w:rsidRDefault="00836512">
            <w:pPr>
              <w:rPr>
                <w:rFonts w:eastAsiaTheme="minorHAnsi"/>
                <w:color w:val="000000"/>
                <w:sz w:val="20"/>
                <w:szCs w:val="20"/>
                <w:lang w:val="en-US"/>
              </w:rPr>
            </w:pPr>
            <w:r>
              <w:rPr>
                <w:rFonts w:eastAsiaTheme="minorHAnsi"/>
                <w:color w:val="000000"/>
                <w:sz w:val="20"/>
                <w:szCs w:val="20"/>
                <w:lang w:val="en-US"/>
              </w:rPr>
              <w:t>Botromagno</w:t>
            </w:r>
          </w:p>
          <w:p w14:paraId="6A121AF7" w14:textId="77777777" w:rsidR="00836512" w:rsidRDefault="00836512">
            <w:pPr>
              <w:rPr>
                <w:rFonts w:eastAsiaTheme="minorHAnsi"/>
                <w:color w:val="000000"/>
                <w:sz w:val="20"/>
                <w:szCs w:val="20"/>
                <w:lang w:val="en-US"/>
              </w:rPr>
            </w:pPr>
            <w:r>
              <w:rPr>
                <w:rFonts w:eastAsiaTheme="minorHAnsi"/>
                <w:color w:val="000000"/>
                <w:sz w:val="20"/>
                <w:szCs w:val="20"/>
                <w:lang w:val="en-US"/>
              </w:rPr>
              <w:t>1968 DB 1 Contents of Sarcophagus</w:t>
            </w:r>
          </w:p>
        </w:tc>
        <w:tc>
          <w:tcPr>
            <w:tcW w:w="1334" w:type="dxa"/>
            <w:tcBorders>
              <w:top w:val="single" w:sz="4" w:space="0" w:color="auto"/>
              <w:left w:val="single" w:sz="4" w:space="0" w:color="auto"/>
              <w:bottom w:val="single" w:sz="4" w:space="0" w:color="auto"/>
              <w:right w:val="single" w:sz="4" w:space="0" w:color="auto"/>
            </w:tcBorders>
            <w:hideMark/>
          </w:tcPr>
          <w:p w14:paraId="53A16D0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T6.01</w:t>
            </w:r>
          </w:p>
        </w:tc>
        <w:tc>
          <w:tcPr>
            <w:tcW w:w="1651" w:type="dxa"/>
            <w:tcBorders>
              <w:top w:val="single" w:sz="4" w:space="0" w:color="auto"/>
              <w:left w:val="single" w:sz="4" w:space="0" w:color="auto"/>
              <w:bottom w:val="single" w:sz="4" w:space="0" w:color="auto"/>
              <w:right w:val="single" w:sz="4" w:space="0" w:color="auto"/>
            </w:tcBorders>
            <w:hideMark/>
          </w:tcPr>
          <w:p w14:paraId="72E012E2" w14:textId="77777777" w:rsidR="00836512" w:rsidRDefault="00836512">
            <w:pPr>
              <w:jc w:val="center"/>
              <w:rPr>
                <w:rFonts w:eastAsiaTheme="minorHAnsi"/>
                <w:sz w:val="20"/>
                <w:szCs w:val="20"/>
                <w:lang w:val="en-US"/>
              </w:rPr>
            </w:pPr>
            <w:r>
              <w:rPr>
                <w:rFonts w:eastAsiaTheme="minorHAnsi"/>
                <w:sz w:val="20"/>
                <w:szCs w:val="20"/>
                <w:lang w:val="en-US"/>
              </w:rPr>
              <w:t>2.25 – 7.55</w:t>
            </w:r>
          </w:p>
        </w:tc>
        <w:tc>
          <w:tcPr>
            <w:tcW w:w="1206" w:type="dxa"/>
            <w:tcBorders>
              <w:top w:val="single" w:sz="4" w:space="0" w:color="auto"/>
              <w:left w:val="single" w:sz="4" w:space="0" w:color="auto"/>
              <w:bottom w:val="single" w:sz="4" w:space="0" w:color="auto"/>
              <w:right w:val="single" w:sz="4" w:space="0" w:color="auto"/>
            </w:tcBorders>
            <w:hideMark/>
          </w:tcPr>
          <w:p w14:paraId="19415F8A" w14:textId="77777777" w:rsidR="00836512" w:rsidRDefault="00836512">
            <w:pPr>
              <w:jc w:val="center"/>
              <w:rPr>
                <w:rFonts w:eastAsiaTheme="minorHAnsi"/>
                <w:sz w:val="20"/>
                <w:szCs w:val="20"/>
                <w:lang w:val="en-US"/>
              </w:rPr>
            </w:pPr>
            <w:r>
              <w:rPr>
                <w:rFonts w:eastAsiaTheme="minorHAnsi"/>
                <w:sz w:val="20"/>
                <w:szCs w:val="20"/>
                <w:lang w:val="en-US"/>
              </w:rPr>
              <w:t>0.41</w:t>
            </w:r>
          </w:p>
        </w:tc>
        <w:tc>
          <w:tcPr>
            <w:tcW w:w="1337" w:type="dxa"/>
            <w:tcBorders>
              <w:top w:val="single" w:sz="4" w:space="0" w:color="auto"/>
              <w:left w:val="nil"/>
              <w:bottom w:val="single" w:sz="4" w:space="0" w:color="auto"/>
              <w:right w:val="single" w:sz="4" w:space="0" w:color="auto"/>
            </w:tcBorders>
            <w:vAlign w:val="bottom"/>
            <w:hideMark/>
          </w:tcPr>
          <w:p w14:paraId="7BFAF94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-18.7</w:t>
            </w:r>
          </w:p>
        </w:tc>
        <w:tc>
          <w:tcPr>
            <w:tcW w:w="1342" w:type="dxa"/>
            <w:tcBorders>
              <w:top w:val="single" w:sz="4" w:space="0" w:color="auto"/>
              <w:left w:val="single" w:sz="4" w:space="0" w:color="auto"/>
              <w:bottom w:val="single" w:sz="4" w:space="0" w:color="auto"/>
              <w:right w:val="nil"/>
            </w:tcBorders>
            <w:vAlign w:val="bottom"/>
            <w:hideMark/>
          </w:tcPr>
          <w:p w14:paraId="663A62A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15.6</w:t>
            </w:r>
          </w:p>
        </w:tc>
        <w:tc>
          <w:tcPr>
            <w:tcW w:w="1241" w:type="dxa"/>
            <w:tcBorders>
              <w:top w:val="single" w:sz="4" w:space="0" w:color="auto"/>
              <w:left w:val="single" w:sz="4" w:space="0" w:color="auto"/>
              <w:bottom w:val="single" w:sz="4" w:space="0" w:color="auto"/>
              <w:right w:val="single" w:sz="4" w:space="0" w:color="auto"/>
            </w:tcBorders>
            <w:vAlign w:val="bottom"/>
            <w:hideMark/>
          </w:tcPr>
          <w:p w14:paraId="68E7615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68691DFC"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8BBAE"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7764EC0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T6.02</w:t>
            </w:r>
          </w:p>
        </w:tc>
        <w:tc>
          <w:tcPr>
            <w:tcW w:w="1651" w:type="dxa"/>
            <w:tcBorders>
              <w:top w:val="single" w:sz="4" w:space="0" w:color="auto"/>
              <w:left w:val="single" w:sz="4" w:space="0" w:color="auto"/>
              <w:bottom w:val="single" w:sz="4" w:space="0" w:color="auto"/>
              <w:right w:val="single" w:sz="4" w:space="0" w:color="auto"/>
            </w:tcBorders>
            <w:hideMark/>
          </w:tcPr>
          <w:p w14:paraId="75BEF4D8" w14:textId="77777777" w:rsidR="00836512" w:rsidRDefault="00836512">
            <w:pPr>
              <w:jc w:val="center"/>
              <w:rPr>
                <w:rFonts w:eastAsiaTheme="minorHAnsi"/>
                <w:sz w:val="20"/>
                <w:szCs w:val="20"/>
                <w:lang w:val="en-US"/>
              </w:rPr>
            </w:pPr>
            <w:r>
              <w:rPr>
                <w:rFonts w:eastAsiaTheme="minorHAnsi"/>
                <w:sz w:val="20"/>
                <w:szCs w:val="20"/>
                <w:lang w:val="en-US"/>
              </w:rPr>
              <w:t>7.55 – 12.85</w:t>
            </w:r>
          </w:p>
        </w:tc>
        <w:tc>
          <w:tcPr>
            <w:tcW w:w="1206" w:type="dxa"/>
            <w:tcBorders>
              <w:top w:val="single" w:sz="4" w:space="0" w:color="auto"/>
              <w:left w:val="single" w:sz="4" w:space="0" w:color="auto"/>
              <w:bottom w:val="single" w:sz="4" w:space="0" w:color="auto"/>
              <w:right w:val="single" w:sz="4" w:space="0" w:color="auto"/>
            </w:tcBorders>
            <w:hideMark/>
          </w:tcPr>
          <w:p w14:paraId="39C406DE" w14:textId="77777777" w:rsidR="00836512" w:rsidRDefault="00836512">
            <w:pPr>
              <w:jc w:val="center"/>
              <w:rPr>
                <w:rFonts w:eastAsiaTheme="minorHAnsi"/>
                <w:sz w:val="20"/>
                <w:szCs w:val="20"/>
                <w:lang w:val="en-US"/>
              </w:rPr>
            </w:pPr>
            <w:r>
              <w:rPr>
                <w:rFonts w:eastAsiaTheme="minorHAnsi"/>
                <w:sz w:val="20"/>
                <w:szCs w:val="20"/>
                <w:lang w:val="en-US"/>
              </w:rPr>
              <w:t>0.85</w:t>
            </w:r>
          </w:p>
        </w:tc>
        <w:tc>
          <w:tcPr>
            <w:tcW w:w="1337" w:type="dxa"/>
            <w:tcBorders>
              <w:top w:val="single" w:sz="4" w:space="0" w:color="auto"/>
              <w:left w:val="nil"/>
              <w:bottom w:val="single" w:sz="4" w:space="0" w:color="auto"/>
              <w:right w:val="single" w:sz="4" w:space="0" w:color="auto"/>
            </w:tcBorders>
            <w:vAlign w:val="bottom"/>
            <w:hideMark/>
          </w:tcPr>
          <w:p w14:paraId="30484AF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1342" w:type="dxa"/>
            <w:tcBorders>
              <w:top w:val="single" w:sz="4" w:space="0" w:color="auto"/>
              <w:left w:val="single" w:sz="4" w:space="0" w:color="auto"/>
              <w:bottom w:val="single" w:sz="4" w:space="0" w:color="auto"/>
              <w:right w:val="nil"/>
            </w:tcBorders>
            <w:vAlign w:val="bottom"/>
            <w:hideMark/>
          </w:tcPr>
          <w:p w14:paraId="6071ABA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15.0</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3D39E3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0E6DFE13"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0385F"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3A6F569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T6.03</w:t>
            </w:r>
          </w:p>
        </w:tc>
        <w:tc>
          <w:tcPr>
            <w:tcW w:w="1651" w:type="dxa"/>
            <w:tcBorders>
              <w:top w:val="single" w:sz="4" w:space="0" w:color="auto"/>
              <w:left w:val="single" w:sz="4" w:space="0" w:color="auto"/>
              <w:bottom w:val="single" w:sz="4" w:space="0" w:color="auto"/>
              <w:right w:val="single" w:sz="4" w:space="0" w:color="auto"/>
            </w:tcBorders>
            <w:hideMark/>
          </w:tcPr>
          <w:p w14:paraId="5C5A0D5D" w14:textId="77777777" w:rsidR="00836512" w:rsidRDefault="00836512">
            <w:pPr>
              <w:jc w:val="center"/>
              <w:rPr>
                <w:rFonts w:eastAsiaTheme="minorHAnsi"/>
                <w:sz w:val="20"/>
                <w:szCs w:val="20"/>
                <w:lang w:val="en-US"/>
              </w:rPr>
            </w:pPr>
            <w:r>
              <w:rPr>
                <w:rFonts w:eastAsiaTheme="minorHAnsi"/>
                <w:sz w:val="20"/>
                <w:szCs w:val="20"/>
                <w:lang w:val="en-US"/>
              </w:rPr>
              <w:t>12.85 – 18.15</w:t>
            </w:r>
          </w:p>
        </w:tc>
        <w:tc>
          <w:tcPr>
            <w:tcW w:w="1206" w:type="dxa"/>
            <w:tcBorders>
              <w:top w:val="single" w:sz="4" w:space="0" w:color="auto"/>
              <w:left w:val="single" w:sz="4" w:space="0" w:color="auto"/>
              <w:bottom w:val="single" w:sz="4" w:space="0" w:color="auto"/>
              <w:right w:val="single" w:sz="4" w:space="0" w:color="auto"/>
            </w:tcBorders>
            <w:hideMark/>
          </w:tcPr>
          <w:p w14:paraId="05BF8434" w14:textId="77777777" w:rsidR="00836512" w:rsidRDefault="00836512">
            <w:pPr>
              <w:jc w:val="center"/>
              <w:rPr>
                <w:rFonts w:eastAsiaTheme="minorHAnsi"/>
                <w:sz w:val="20"/>
                <w:szCs w:val="20"/>
                <w:lang w:val="en-US"/>
              </w:rPr>
            </w:pPr>
            <w:r>
              <w:rPr>
                <w:rFonts w:eastAsiaTheme="minorHAnsi"/>
                <w:sz w:val="20"/>
                <w:szCs w:val="20"/>
                <w:lang w:val="en-US"/>
              </w:rPr>
              <w:t>1.29</w:t>
            </w:r>
          </w:p>
        </w:tc>
        <w:tc>
          <w:tcPr>
            <w:tcW w:w="1337" w:type="dxa"/>
            <w:tcBorders>
              <w:top w:val="single" w:sz="4" w:space="0" w:color="auto"/>
              <w:left w:val="nil"/>
              <w:bottom w:val="single" w:sz="4" w:space="0" w:color="auto"/>
              <w:right w:val="single" w:sz="4" w:space="0" w:color="auto"/>
            </w:tcBorders>
            <w:vAlign w:val="bottom"/>
            <w:hideMark/>
          </w:tcPr>
          <w:p w14:paraId="1F3F631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1342" w:type="dxa"/>
            <w:tcBorders>
              <w:top w:val="single" w:sz="4" w:space="0" w:color="auto"/>
              <w:left w:val="single" w:sz="4" w:space="0" w:color="auto"/>
              <w:bottom w:val="single" w:sz="4" w:space="0" w:color="auto"/>
              <w:right w:val="nil"/>
            </w:tcBorders>
            <w:vAlign w:val="bottom"/>
            <w:hideMark/>
          </w:tcPr>
          <w:p w14:paraId="5DC8EC3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14.2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01A5CF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DAE26B5"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8E02B"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B7C9B7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T6.04</w:t>
            </w:r>
          </w:p>
        </w:tc>
        <w:tc>
          <w:tcPr>
            <w:tcW w:w="1651" w:type="dxa"/>
            <w:tcBorders>
              <w:top w:val="single" w:sz="4" w:space="0" w:color="auto"/>
              <w:left w:val="single" w:sz="4" w:space="0" w:color="auto"/>
              <w:bottom w:val="single" w:sz="4" w:space="0" w:color="auto"/>
              <w:right w:val="single" w:sz="4" w:space="0" w:color="auto"/>
            </w:tcBorders>
            <w:hideMark/>
          </w:tcPr>
          <w:p w14:paraId="0665A324" w14:textId="77777777" w:rsidR="00836512" w:rsidRDefault="00836512">
            <w:pPr>
              <w:jc w:val="center"/>
              <w:rPr>
                <w:rFonts w:eastAsiaTheme="minorHAnsi"/>
                <w:sz w:val="20"/>
                <w:szCs w:val="20"/>
                <w:lang w:val="en-US"/>
              </w:rPr>
            </w:pPr>
            <w:r>
              <w:rPr>
                <w:rFonts w:eastAsiaTheme="minorHAnsi"/>
                <w:sz w:val="20"/>
                <w:szCs w:val="20"/>
                <w:lang w:val="en-US"/>
              </w:rPr>
              <w:t>18.15 – 23.45</w:t>
            </w:r>
          </w:p>
        </w:tc>
        <w:tc>
          <w:tcPr>
            <w:tcW w:w="1206" w:type="dxa"/>
            <w:tcBorders>
              <w:top w:val="single" w:sz="4" w:space="0" w:color="auto"/>
              <w:left w:val="single" w:sz="4" w:space="0" w:color="auto"/>
              <w:bottom w:val="single" w:sz="4" w:space="0" w:color="auto"/>
              <w:right w:val="single" w:sz="4" w:space="0" w:color="auto"/>
            </w:tcBorders>
            <w:hideMark/>
          </w:tcPr>
          <w:p w14:paraId="04304D4F" w14:textId="77777777" w:rsidR="00836512" w:rsidRDefault="00836512">
            <w:pPr>
              <w:jc w:val="center"/>
              <w:rPr>
                <w:rFonts w:eastAsiaTheme="minorHAnsi"/>
                <w:sz w:val="20"/>
                <w:szCs w:val="20"/>
                <w:lang w:val="en-US"/>
              </w:rPr>
            </w:pPr>
            <w:r>
              <w:rPr>
                <w:rFonts w:eastAsiaTheme="minorHAnsi"/>
                <w:sz w:val="20"/>
                <w:szCs w:val="20"/>
                <w:lang w:val="en-US"/>
              </w:rPr>
              <w:t>1.73</w:t>
            </w:r>
          </w:p>
        </w:tc>
        <w:tc>
          <w:tcPr>
            <w:tcW w:w="1337" w:type="dxa"/>
            <w:tcBorders>
              <w:top w:val="single" w:sz="4" w:space="0" w:color="auto"/>
              <w:left w:val="nil"/>
              <w:bottom w:val="single" w:sz="4" w:space="0" w:color="auto"/>
              <w:right w:val="single" w:sz="4" w:space="0" w:color="auto"/>
            </w:tcBorders>
            <w:vAlign w:val="bottom"/>
            <w:hideMark/>
          </w:tcPr>
          <w:p w14:paraId="4C12902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-19.9</w:t>
            </w:r>
          </w:p>
        </w:tc>
        <w:tc>
          <w:tcPr>
            <w:tcW w:w="1342" w:type="dxa"/>
            <w:tcBorders>
              <w:top w:val="single" w:sz="4" w:space="0" w:color="auto"/>
              <w:left w:val="single" w:sz="4" w:space="0" w:color="auto"/>
              <w:bottom w:val="single" w:sz="4" w:space="0" w:color="auto"/>
              <w:right w:val="nil"/>
            </w:tcBorders>
            <w:vAlign w:val="bottom"/>
            <w:hideMark/>
          </w:tcPr>
          <w:p w14:paraId="7F3070A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13.8</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05E534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B034CDE"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FCC04"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2128AA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T6.05</w:t>
            </w:r>
          </w:p>
        </w:tc>
        <w:tc>
          <w:tcPr>
            <w:tcW w:w="1651" w:type="dxa"/>
            <w:tcBorders>
              <w:top w:val="single" w:sz="4" w:space="0" w:color="auto"/>
              <w:left w:val="single" w:sz="4" w:space="0" w:color="auto"/>
              <w:bottom w:val="single" w:sz="4" w:space="0" w:color="auto"/>
              <w:right w:val="single" w:sz="4" w:space="0" w:color="auto"/>
            </w:tcBorders>
            <w:hideMark/>
          </w:tcPr>
          <w:p w14:paraId="5C5DC9EF" w14:textId="77777777" w:rsidR="00836512" w:rsidRDefault="00836512">
            <w:pPr>
              <w:jc w:val="center"/>
              <w:rPr>
                <w:rFonts w:eastAsiaTheme="minorHAnsi"/>
                <w:sz w:val="20"/>
                <w:szCs w:val="20"/>
                <w:lang w:val="en-US"/>
              </w:rPr>
            </w:pPr>
            <w:r>
              <w:rPr>
                <w:rFonts w:eastAsiaTheme="minorHAnsi"/>
                <w:sz w:val="20"/>
                <w:szCs w:val="20"/>
                <w:lang w:val="en-US"/>
              </w:rPr>
              <w:t>23.45 – 28.75</w:t>
            </w:r>
          </w:p>
        </w:tc>
        <w:tc>
          <w:tcPr>
            <w:tcW w:w="1206" w:type="dxa"/>
            <w:tcBorders>
              <w:top w:val="single" w:sz="4" w:space="0" w:color="auto"/>
              <w:left w:val="single" w:sz="4" w:space="0" w:color="auto"/>
              <w:bottom w:val="single" w:sz="4" w:space="0" w:color="auto"/>
              <w:right w:val="single" w:sz="4" w:space="0" w:color="auto"/>
            </w:tcBorders>
            <w:hideMark/>
          </w:tcPr>
          <w:p w14:paraId="1518C88B" w14:textId="77777777" w:rsidR="00836512" w:rsidRDefault="00836512">
            <w:pPr>
              <w:jc w:val="center"/>
              <w:rPr>
                <w:rFonts w:eastAsiaTheme="minorHAnsi"/>
                <w:sz w:val="20"/>
                <w:szCs w:val="20"/>
                <w:lang w:val="en-US"/>
              </w:rPr>
            </w:pPr>
            <w:r>
              <w:rPr>
                <w:rFonts w:eastAsiaTheme="minorHAnsi"/>
                <w:sz w:val="20"/>
                <w:szCs w:val="20"/>
                <w:lang w:val="en-US"/>
              </w:rPr>
              <w:t>2.18</w:t>
            </w:r>
          </w:p>
        </w:tc>
        <w:tc>
          <w:tcPr>
            <w:tcW w:w="1337" w:type="dxa"/>
            <w:tcBorders>
              <w:top w:val="single" w:sz="4" w:space="0" w:color="auto"/>
              <w:left w:val="nil"/>
              <w:bottom w:val="single" w:sz="4" w:space="0" w:color="auto"/>
              <w:right w:val="single" w:sz="4" w:space="0" w:color="auto"/>
            </w:tcBorders>
            <w:vAlign w:val="bottom"/>
            <w:hideMark/>
          </w:tcPr>
          <w:p w14:paraId="72D2337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1342" w:type="dxa"/>
            <w:tcBorders>
              <w:top w:val="single" w:sz="4" w:space="0" w:color="auto"/>
              <w:left w:val="single" w:sz="4" w:space="0" w:color="auto"/>
              <w:bottom w:val="single" w:sz="4" w:space="0" w:color="auto"/>
              <w:right w:val="nil"/>
            </w:tcBorders>
            <w:vAlign w:val="bottom"/>
            <w:hideMark/>
          </w:tcPr>
          <w:p w14:paraId="050E4F0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10FB7D5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35BDEB8"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68A89C37" w14:textId="77777777" w:rsidR="00836512" w:rsidRDefault="00836512">
            <w:pPr>
              <w:rPr>
                <w:rFonts w:eastAsiaTheme="minorHAnsi"/>
                <w:color w:val="000000"/>
                <w:sz w:val="20"/>
                <w:szCs w:val="20"/>
                <w:lang w:val="en-US"/>
              </w:rPr>
            </w:pPr>
            <w:r>
              <w:rPr>
                <w:rFonts w:eastAsiaTheme="minorHAnsi"/>
                <w:color w:val="000000"/>
                <w:sz w:val="20"/>
                <w:szCs w:val="20"/>
                <w:lang w:val="en-US"/>
              </w:rPr>
              <w:t>Botromagno</w:t>
            </w:r>
          </w:p>
          <w:p w14:paraId="277DD355" w14:textId="77777777" w:rsidR="00836512" w:rsidRDefault="00836512">
            <w:pPr>
              <w:rPr>
                <w:rFonts w:eastAsiaTheme="minorHAnsi"/>
                <w:color w:val="000000"/>
                <w:sz w:val="20"/>
                <w:szCs w:val="20"/>
                <w:lang w:val="en-US"/>
              </w:rPr>
            </w:pPr>
            <w:r>
              <w:rPr>
                <w:rFonts w:eastAsiaTheme="minorHAnsi"/>
                <w:color w:val="000000"/>
                <w:sz w:val="20"/>
                <w:szCs w:val="20"/>
                <w:lang w:val="en-US"/>
              </w:rPr>
              <w:t>G67/I S5 small tomb</w:t>
            </w:r>
          </w:p>
        </w:tc>
        <w:tc>
          <w:tcPr>
            <w:tcW w:w="1334" w:type="dxa"/>
            <w:tcBorders>
              <w:top w:val="single" w:sz="4" w:space="0" w:color="auto"/>
              <w:left w:val="single" w:sz="4" w:space="0" w:color="auto"/>
              <w:bottom w:val="single" w:sz="4" w:space="0" w:color="auto"/>
              <w:right w:val="single" w:sz="4" w:space="0" w:color="auto"/>
            </w:tcBorders>
            <w:hideMark/>
          </w:tcPr>
          <w:p w14:paraId="2121263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T7.01</w:t>
            </w:r>
          </w:p>
        </w:tc>
        <w:tc>
          <w:tcPr>
            <w:tcW w:w="1651" w:type="dxa"/>
            <w:tcBorders>
              <w:top w:val="single" w:sz="4" w:space="0" w:color="auto"/>
              <w:left w:val="single" w:sz="4" w:space="0" w:color="auto"/>
              <w:bottom w:val="single" w:sz="4" w:space="0" w:color="auto"/>
              <w:right w:val="single" w:sz="4" w:space="0" w:color="auto"/>
            </w:tcBorders>
            <w:hideMark/>
          </w:tcPr>
          <w:p w14:paraId="0FC2F621" w14:textId="77777777" w:rsidR="00836512" w:rsidRDefault="00836512">
            <w:pPr>
              <w:jc w:val="center"/>
              <w:rPr>
                <w:rFonts w:eastAsiaTheme="minorHAnsi"/>
                <w:sz w:val="20"/>
                <w:szCs w:val="20"/>
                <w:lang w:val="en-US"/>
              </w:rPr>
            </w:pPr>
            <w:r>
              <w:rPr>
                <w:rFonts w:eastAsiaTheme="minorHAnsi"/>
                <w:sz w:val="20"/>
                <w:szCs w:val="20"/>
                <w:lang w:val="en-US"/>
              </w:rPr>
              <w:t>2.25 – 5.84</w:t>
            </w:r>
          </w:p>
        </w:tc>
        <w:tc>
          <w:tcPr>
            <w:tcW w:w="1206" w:type="dxa"/>
            <w:tcBorders>
              <w:top w:val="single" w:sz="4" w:space="0" w:color="auto"/>
              <w:left w:val="single" w:sz="4" w:space="0" w:color="auto"/>
              <w:bottom w:val="single" w:sz="4" w:space="0" w:color="auto"/>
              <w:right w:val="single" w:sz="4" w:space="0" w:color="auto"/>
            </w:tcBorders>
            <w:hideMark/>
          </w:tcPr>
          <w:p w14:paraId="4568F8AD" w14:textId="77777777" w:rsidR="00836512" w:rsidRDefault="00836512">
            <w:pPr>
              <w:jc w:val="center"/>
              <w:rPr>
                <w:rFonts w:eastAsiaTheme="minorHAnsi"/>
                <w:sz w:val="20"/>
                <w:szCs w:val="20"/>
                <w:lang w:val="en-US"/>
              </w:rPr>
            </w:pPr>
            <w:r>
              <w:rPr>
                <w:rFonts w:eastAsiaTheme="minorHAnsi"/>
                <w:sz w:val="20"/>
                <w:szCs w:val="20"/>
                <w:lang w:val="en-US"/>
              </w:rPr>
              <w:t>0.34</w:t>
            </w:r>
          </w:p>
        </w:tc>
        <w:tc>
          <w:tcPr>
            <w:tcW w:w="1337" w:type="dxa"/>
            <w:tcBorders>
              <w:top w:val="single" w:sz="4" w:space="0" w:color="auto"/>
              <w:left w:val="nil"/>
              <w:bottom w:val="single" w:sz="4" w:space="0" w:color="auto"/>
              <w:right w:val="single" w:sz="4" w:space="0" w:color="auto"/>
            </w:tcBorders>
            <w:vAlign w:val="bottom"/>
            <w:hideMark/>
          </w:tcPr>
          <w:p w14:paraId="6718D08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-18.4</w:t>
            </w:r>
          </w:p>
        </w:tc>
        <w:tc>
          <w:tcPr>
            <w:tcW w:w="1342" w:type="dxa"/>
            <w:tcBorders>
              <w:top w:val="single" w:sz="4" w:space="0" w:color="auto"/>
              <w:left w:val="single" w:sz="4" w:space="0" w:color="auto"/>
              <w:bottom w:val="single" w:sz="4" w:space="0" w:color="auto"/>
              <w:right w:val="nil"/>
            </w:tcBorders>
            <w:vAlign w:val="bottom"/>
            <w:hideMark/>
          </w:tcPr>
          <w:p w14:paraId="3E04900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14.2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01727B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3.1</w:t>
            </w:r>
          </w:p>
        </w:tc>
      </w:tr>
      <w:tr w:rsidR="00836512" w14:paraId="177DA9B3"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BEBA6"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B0BF8A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T7.02</w:t>
            </w:r>
          </w:p>
        </w:tc>
        <w:tc>
          <w:tcPr>
            <w:tcW w:w="1651" w:type="dxa"/>
            <w:tcBorders>
              <w:top w:val="single" w:sz="4" w:space="0" w:color="auto"/>
              <w:left w:val="single" w:sz="4" w:space="0" w:color="auto"/>
              <w:bottom w:val="single" w:sz="4" w:space="0" w:color="auto"/>
              <w:right w:val="single" w:sz="4" w:space="0" w:color="auto"/>
            </w:tcBorders>
            <w:hideMark/>
          </w:tcPr>
          <w:p w14:paraId="054DEA3F" w14:textId="77777777" w:rsidR="00836512" w:rsidRDefault="00836512">
            <w:pPr>
              <w:jc w:val="center"/>
              <w:rPr>
                <w:rFonts w:eastAsiaTheme="minorHAnsi"/>
                <w:sz w:val="20"/>
                <w:szCs w:val="20"/>
                <w:lang w:val="en-US"/>
              </w:rPr>
            </w:pPr>
            <w:r>
              <w:rPr>
                <w:rFonts w:eastAsiaTheme="minorHAnsi"/>
                <w:sz w:val="20"/>
                <w:szCs w:val="20"/>
                <w:lang w:val="en-US"/>
              </w:rPr>
              <w:t>5.84 – 9.42</w:t>
            </w:r>
          </w:p>
        </w:tc>
        <w:tc>
          <w:tcPr>
            <w:tcW w:w="1206" w:type="dxa"/>
            <w:tcBorders>
              <w:top w:val="single" w:sz="4" w:space="0" w:color="auto"/>
              <w:left w:val="single" w:sz="4" w:space="0" w:color="auto"/>
              <w:bottom w:val="single" w:sz="4" w:space="0" w:color="auto"/>
              <w:right w:val="single" w:sz="4" w:space="0" w:color="auto"/>
            </w:tcBorders>
            <w:hideMark/>
          </w:tcPr>
          <w:p w14:paraId="19201761" w14:textId="77777777" w:rsidR="00836512" w:rsidRDefault="00836512">
            <w:pPr>
              <w:jc w:val="center"/>
              <w:rPr>
                <w:rFonts w:eastAsiaTheme="minorHAnsi"/>
                <w:sz w:val="20"/>
                <w:szCs w:val="20"/>
                <w:lang w:val="en-US"/>
              </w:rPr>
            </w:pPr>
            <w:r>
              <w:rPr>
                <w:rFonts w:eastAsiaTheme="minorHAnsi"/>
                <w:sz w:val="20"/>
                <w:szCs w:val="20"/>
                <w:lang w:val="en-US"/>
              </w:rPr>
              <w:t>0.64</w:t>
            </w:r>
          </w:p>
        </w:tc>
        <w:tc>
          <w:tcPr>
            <w:tcW w:w="1337" w:type="dxa"/>
            <w:tcBorders>
              <w:top w:val="single" w:sz="4" w:space="0" w:color="auto"/>
              <w:left w:val="nil"/>
              <w:bottom w:val="single" w:sz="4" w:space="0" w:color="auto"/>
              <w:right w:val="single" w:sz="4" w:space="0" w:color="auto"/>
            </w:tcBorders>
            <w:vAlign w:val="bottom"/>
            <w:hideMark/>
          </w:tcPr>
          <w:p w14:paraId="7F2DA95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-18.5</w:t>
            </w:r>
          </w:p>
        </w:tc>
        <w:tc>
          <w:tcPr>
            <w:tcW w:w="1342" w:type="dxa"/>
            <w:tcBorders>
              <w:top w:val="single" w:sz="4" w:space="0" w:color="auto"/>
              <w:left w:val="single" w:sz="4" w:space="0" w:color="auto"/>
              <w:bottom w:val="single" w:sz="4" w:space="0" w:color="auto"/>
              <w:right w:val="nil"/>
            </w:tcBorders>
            <w:vAlign w:val="bottom"/>
            <w:hideMark/>
          </w:tcPr>
          <w:p w14:paraId="15C59AC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14.4</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8CEFAF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3.1</w:t>
            </w:r>
          </w:p>
        </w:tc>
      </w:tr>
      <w:tr w:rsidR="00836512" w14:paraId="345717D6"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E3E9B4"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48988A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T7.03</w:t>
            </w:r>
          </w:p>
        </w:tc>
        <w:tc>
          <w:tcPr>
            <w:tcW w:w="1651" w:type="dxa"/>
            <w:tcBorders>
              <w:top w:val="single" w:sz="4" w:space="0" w:color="auto"/>
              <w:left w:val="single" w:sz="4" w:space="0" w:color="auto"/>
              <w:bottom w:val="single" w:sz="4" w:space="0" w:color="auto"/>
              <w:right w:val="single" w:sz="4" w:space="0" w:color="auto"/>
            </w:tcBorders>
            <w:hideMark/>
          </w:tcPr>
          <w:p w14:paraId="4B4BC4C8" w14:textId="77777777" w:rsidR="00836512" w:rsidRDefault="00836512">
            <w:pPr>
              <w:jc w:val="center"/>
              <w:rPr>
                <w:rFonts w:eastAsiaTheme="minorHAnsi"/>
                <w:sz w:val="20"/>
                <w:szCs w:val="20"/>
                <w:lang w:val="en-US"/>
              </w:rPr>
            </w:pPr>
            <w:r>
              <w:rPr>
                <w:rFonts w:eastAsiaTheme="minorHAnsi"/>
                <w:sz w:val="20"/>
                <w:szCs w:val="20"/>
                <w:lang w:val="en-US"/>
              </w:rPr>
              <w:t>9.42 – 12.28</w:t>
            </w:r>
          </w:p>
        </w:tc>
        <w:tc>
          <w:tcPr>
            <w:tcW w:w="1206" w:type="dxa"/>
            <w:tcBorders>
              <w:top w:val="single" w:sz="4" w:space="0" w:color="auto"/>
              <w:left w:val="single" w:sz="4" w:space="0" w:color="auto"/>
              <w:bottom w:val="single" w:sz="4" w:space="0" w:color="auto"/>
              <w:right w:val="single" w:sz="4" w:space="0" w:color="auto"/>
            </w:tcBorders>
            <w:hideMark/>
          </w:tcPr>
          <w:p w14:paraId="34C91841" w14:textId="77777777" w:rsidR="00836512" w:rsidRDefault="00836512">
            <w:pPr>
              <w:jc w:val="center"/>
              <w:rPr>
                <w:rFonts w:eastAsiaTheme="minorHAnsi"/>
                <w:sz w:val="20"/>
                <w:szCs w:val="20"/>
                <w:lang w:val="en-US"/>
              </w:rPr>
            </w:pPr>
            <w:r>
              <w:rPr>
                <w:rFonts w:eastAsiaTheme="minorHAnsi"/>
                <w:sz w:val="20"/>
                <w:szCs w:val="20"/>
                <w:lang w:val="en-US"/>
              </w:rPr>
              <w:t>0.90</w:t>
            </w:r>
          </w:p>
        </w:tc>
        <w:tc>
          <w:tcPr>
            <w:tcW w:w="1337" w:type="dxa"/>
            <w:tcBorders>
              <w:top w:val="single" w:sz="4" w:space="0" w:color="auto"/>
              <w:left w:val="nil"/>
              <w:bottom w:val="single" w:sz="4" w:space="0" w:color="auto"/>
              <w:right w:val="single" w:sz="4" w:space="0" w:color="auto"/>
            </w:tcBorders>
            <w:vAlign w:val="bottom"/>
            <w:hideMark/>
          </w:tcPr>
          <w:p w14:paraId="21B4492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-18.8</w:t>
            </w:r>
          </w:p>
        </w:tc>
        <w:tc>
          <w:tcPr>
            <w:tcW w:w="1342" w:type="dxa"/>
            <w:tcBorders>
              <w:top w:val="single" w:sz="4" w:space="0" w:color="auto"/>
              <w:left w:val="single" w:sz="4" w:space="0" w:color="auto"/>
              <w:bottom w:val="single" w:sz="4" w:space="0" w:color="auto"/>
              <w:right w:val="nil"/>
            </w:tcBorders>
            <w:vAlign w:val="bottom"/>
            <w:hideMark/>
          </w:tcPr>
          <w:p w14:paraId="1C6771A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13.3</w:t>
            </w:r>
          </w:p>
        </w:tc>
        <w:tc>
          <w:tcPr>
            <w:tcW w:w="1241" w:type="dxa"/>
            <w:tcBorders>
              <w:top w:val="single" w:sz="4" w:space="0" w:color="auto"/>
              <w:left w:val="single" w:sz="4" w:space="0" w:color="auto"/>
              <w:bottom w:val="single" w:sz="4" w:space="0" w:color="auto"/>
              <w:right w:val="single" w:sz="4" w:space="0" w:color="auto"/>
            </w:tcBorders>
            <w:vAlign w:val="bottom"/>
            <w:hideMark/>
          </w:tcPr>
          <w:p w14:paraId="4780D42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67B6463A"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A2D69"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EECBF4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T7.04</w:t>
            </w:r>
          </w:p>
        </w:tc>
        <w:tc>
          <w:tcPr>
            <w:tcW w:w="1651" w:type="dxa"/>
            <w:tcBorders>
              <w:top w:val="single" w:sz="4" w:space="0" w:color="auto"/>
              <w:left w:val="single" w:sz="4" w:space="0" w:color="auto"/>
              <w:bottom w:val="single" w:sz="4" w:space="0" w:color="auto"/>
              <w:right w:val="single" w:sz="4" w:space="0" w:color="auto"/>
            </w:tcBorders>
            <w:hideMark/>
          </w:tcPr>
          <w:p w14:paraId="4B71FD99" w14:textId="77777777" w:rsidR="00836512" w:rsidRDefault="00836512">
            <w:pPr>
              <w:jc w:val="center"/>
              <w:rPr>
                <w:rFonts w:eastAsiaTheme="minorHAnsi"/>
                <w:sz w:val="20"/>
                <w:szCs w:val="20"/>
                <w:lang w:val="en-US"/>
              </w:rPr>
            </w:pPr>
            <w:r>
              <w:rPr>
                <w:rFonts w:eastAsiaTheme="minorHAnsi"/>
                <w:sz w:val="20"/>
                <w:szCs w:val="20"/>
                <w:lang w:val="en-US"/>
              </w:rPr>
              <w:t>12.28 – 15.14</w:t>
            </w:r>
          </w:p>
        </w:tc>
        <w:tc>
          <w:tcPr>
            <w:tcW w:w="1206" w:type="dxa"/>
            <w:tcBorders>
              <w:top w:val="single" w:sz="4" w:space="0" w:color="auto"/>
              <w:left w:val="single" w:sz="4" w:space="0" w:color="auto"/>
              <w:bottom w:val="single" w:sz="4" w:space="0" w:color="auto"/>
              <w:right w:val="single" w:sz="4" w:space="0" w:color="auto"/>
            </w:tcBorders>
            <w:hideMark/>
          </w:tcPr>
          <w:p w14:paraId="6F1AC061" w14:textId="77777777" w:rsidR="00836512" w:rsidRDefault="00836512">
            <w:pPr>
              <w:jc w:val="center"/>
              <w:rPr>
                <w:rFonts w:eastAsiaTheme="minorHAnsi"/>
                <w:sz w:val="20"/>
                <w:szCs w:val="20"/>
                <w:lang w:val="en-US"/>
              </w:rPr>
            </w:pPr>
            <w:r>
              <w:rPr>
                <w:rFonts w:eastAsiaTheme="minorHAnsi"/>
                <w:sz w:val="20"/>
                <w:szCs w:val="20"/>
                <w:lang w:val="en-US"/>
              </w:rPr>
              <w:t>1.14</w:t>
            </w:r>
          </w:p>
        </w:tc>
        <w:tc>
          <w:tcPr>
            <w:tcW w:w="1337" w:type="dxa"/>
            <w:tcBorders>
              <w:top w:val="single" w:sz="4" w:space="0" w:color="auto"/>
              <w:left w:val="nil"/>
              <w:bottom w:val="single" w:sz="4" w:space="0" w:color="auto"/>
              <w:right w:val="single" w:sz="4" w:space="0" w:color="auto"/>
            </w:tcBorders>
            <w:vAlign w:val="bottom"/>
            <w:hideMark/>
          </w:tcPr>
          <w:p w14:paraId="7053355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-19.1</w:t>
            </w:r>
          </w:p>
        </w:tc>
        <w:tc>
          <w:tcPr>
            <w:tcW w:w="1342" w:type="dxa"/>
            <w:tcBorders>
              <w:top w:val="single" w:sz="4" w:space="0" w:color="auto"/>
              <w:left w:val="single" w:sz="4" w:space="0" w:color="auto"/>
              <w:bottom w:val="single" w:sz="4" w:space="0" w:color="auto"/>
              <w:right w:val="nil"/>
            </w:tcBorders>
            <w:vAlign w:val="bottom"/>
            <w:hideMark/>
          </w:tcPr>
          <w:p w14:paraId="4332E87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12.7</w:t>
            </w:r>
          </w:p>
        </w:tc>
        <w:tc>
          <w:tcPr>
            <w:tcW w:w="1241" w:type="dxa"/>
            <w:tcBorders>
              <w:top w:val="single" w:sz="4" w:space="0" w:color="auto"/>
              <w:left w:val="single" w:sz="4" w:space="0" w:color="auto"/>
              <w:bottom w:val="single" w:sz="4" w:space="0" w:color="auto"/>
              <w:right w:val="single" w:sz="4" w:space="0" w:color="auto"/>
            </w:tcBorders>
            <w:vAlign w:val="bottom"/>
            <w:hideMark/>
          </w:tcPr>
          <w:p w14:paraId="130CA8D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65A6688A"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B0FE27"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5F130B4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T7.05</w:t>
            </w:r>
          </w:p>
        </w:tc>
        <w:tc>
          <w:tcPr>
            <w:tcW w:w="1651" w:type="dxa"/>
            <w:tcBorders>
              <w:top w:val="single" w:sz="4" w:space="0" w:color="auto"/>
              <w:left w:val="single" w:sz="4" w:space="0" w:color="auto"/>
              <w:bottom w:val="single" w:sz="4" w:space="0" w:color="auto"/>
              <w:right w:val="single" w:sz="4" w:space="0" w:color="auto"/>
            </w:tcBorders>
            <w:hideMark/>
          </w:tcPr>
          <w:p w14:paraId="78A3F529" w14:textId="77777777" w:rsidR="00836512" w:rsidRDefault="00836512">
            <w:pPr>
              <w:jc w:val="center"/>
              <w:rPr>
                <w:rFonts w:eastAsiaTheme="minorHAnsi"/>
                <w:sz w:val="20"/>
                <w:szCs w:val="20"/>
                <w:lang w:val="en-US"/>
              </w:rPr>
            </w:pPr>
            <w:r>
              <w:rPr>
                <w:rFonts w:eastAsiaTheme="minorHAnsi"/>
                <w:sz w:val="20"/>
                <w:szCs w:val="20"/>
                <w:lang w:val="en-US"/>
              </w:rPr>
              <w:t>15.14 – 18.00</w:t>
            </w:r>
          </w:p>
        </w:tc>
        <w:tc>
          <w:tcPr>
            <w:tcW w:w="1206" w:type="dxa"/>
            <w:tcBorders>
              <w:top w:val="single" w:sz="4" w:space="0" w:color="auto"/>
              <w:left w:val="single" w:sz="4" w:space="0" w:color="auto"/>
              <w:bottom w:val="single" w:sz="4" w:space="0" w:color="auto"/>
              <w:right w:val="single" w:sz="4" w:space="0" w:color="auto"/>
            </w:tcBorders>
            <w:hideMark/>
          </w:tcPr>
          <w:p w14:paraId="45010E58" w14:textId="77777777" w:rsidR="00836512" w:rsidRDefault="00836512">
            <w:pPr>
              <w:jc w:val="center"/>
              <w:rPr>
                <w:rFonts w:eastAsiaTheme="minorHAnsi"/>
                <w:sz w:val="20"/>
                <w:szCs w:val="20"/>
                <w:lang w:val="en-US"/>
              </w:rPr>
            </w:pPr>
            <w:r>
              <w:rPr>
                <w:rFonts w:eastAsiaTheme="minorHAnsi"/>
                <w:sz w:val="20"/>
                <w:szCs w:val="20"/>
                <w:lang w:val="en-US"/>
              </w:rPr>
              <w:t>1.38</w:t>
            </w:r>
          </w:p>
        </w:tc>
        <w:tc>
          <w:tcPr>
            <w:tcW w:w="1337" w:type="dxa"/>
            <w:tcBorders>
              <w:top w:val="single" w:sz="4" w:space="0" w:color="auto"/>
              <w:left w:val="nil"/>
              <w:bottom w:val="single" w:sz="4" w:space="0" w:color="auto"/>
              <w:right w:val="single" w:sz="4" w:space="0" w:color="auto"/>
            </w:tcBorders>
            <w:vAlign w:val="bottom"/>
            <w:hideMark/>
          </w:tcPr>
          <w:p w14:paraId="549027E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w:t>
            </w:r>
          </w:p>
        </w:tc>
        <w:tc>
          <w:tcPr>
            <w:tcW w:w="1342" w:type="dxa"/>
            <w:tcBorders>
              <w:top w:val="single" w:sz="4" w:space="0" w:color="auto"/>
              <w:left w:val="single" w:sz="4" w:space="0" w:color="auto"/>
              <w:bottom w:val="single" w:sz="4" w:space="0" w:color="auto"/>
              <w:right w:val="nil"/>
            </w:tcBorders>
            <w:vAlign w:val="bottom"/>
            <w:hideMark/>
          </w:tcPr>
          <w:p w14:paraId="39578BE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12.1</w:t>
            </w:r>
          </w:p>
        </w:tc>
        <w:tc>
          <w:tcPr>
            <w:tcW w:w="1241" w:type="dxa"/>
            <w:tcBorders>
              <w:top w:val="single" w:sz="4" w:space="0" w:color="auto"/>
              <w:left w:val="single" w:sz="4" w:space="0" w:color="auto"/>
              <w:bottom w:val="single" w:sz="4" w:space="0" w:color="auto"/>
              <w:right w:val="single" w:sz="4" w:space="0" w:color="auto"/>
            </w:tcBorders>
            <w:vAlign w:val="bottom"/>
            <w:hideMark/>
          </w:tcPr>
          <w:p w14:paraId="6E9F059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6498D92"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3C056B8C" w14:textId="77777777" w:rsidR="00836512" w:rsidRDefault="00836512">
            <w:pPr>
              <w:rPr>
                <w:rFonts w:eastAsiaTheme="minorHAnsi"/>
                <w:color w:val="000000"/>
                <w:sz w:val="20"/>
                <w:szCs w:val="20"/>
                <w:lang w:val="en-US"/>
              </w:rPr>
            </w:pPr>
            <w:r>
              <w:rPr>
                <w:rFonts w:eastAsiaTheme="minorHAnsi"/>
                <w:color w:val="000000"/>
                <w:sz w:val="20"/>
                <w:szCs w:val="20"/>
                <w:lang w:val="en-US"/>
              </w:rPr>
              <w:t>Botromagno</w:t>
            </w:r>
          </w:p>
          <w:p w14:paraId="36FBA58A" w14:textId="77777777" w:rsidR="00836512" w:rsidRDefault="00836512">
            <w:pPr>
              <w:rPr>
                <w:rFonts w:eastAsiaTheme="minorHAnsi"/>
                <w:color w:val="000000"/>
                <w:sz w:val="20"/>
                <w:szCs w:val="20"/>
                <w:lang w:val="en-US"/>
              </w:rPr>
            </w:pPr>
            <w:r>
              <w:rPr>
                <w:rFonts w:eastAsiaTheme="minorHAnsi"/>
                <w:color w:val="000000"/>
                <w:sz w:val="20"/>
                <w:szCs w:val="20"/>
                <w:lang w:val="en-US"/>
              </w:rPr>
              <w:t>1967 G67/I SG-Tomb 6(2) Infill 1</w:t>
            </w:r>
          </w:p>
        </w:tc>
        <w:tc>
          <w:tcPr>
            <w:tcW w:w="1334" w:type="dxa"/>
            <w:tcBorders>
              <w:top w:val="single" w:sz="4" w:space="0" w:color="auto"/>
              <w:left w:val="single" w:sz="4" w:space="0" w:color="auto"/>
              <w:bottom w:val="single" w:sz="4" w:space="0" w:color="auto"/>
              <w:right w:val="single" w:sz="4" w:space="0" w:color="auto"/>
            </w:tcBorders>
            <w:hideMark/>
          </w:tcPr>
          <w:p w14:paraId="6F0A642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T8.01</w:t>
            </w:r>
          </w:p>
        </w:tc>
        <w:tc>
          <w:tcPr>
            <w:tcW w:w="1651" w:type="dxa"/>
            <w:tcBorders>
              <w:top w:val="single" w:sz="4" w:space="0" w:color="auto"/>
              <w:left w:val="single" w:sz="4" w:space="0" w:color="auto"/>
              <w:bottom w:val="single" w:sz="4" w:space="0" w:color="auto"/>
              <w:right w:val="single" w:sz="4" w:space="0" w:color="auto"/>
            </w:tcBorders>
            <w:hideMark/>
          </w:tcPr>
          <w:p w14:paraId="7CB09E14" w14:textId="77777777" w:rsidR="00836512" w:rsidRDefault="00836512">
            <w:pPr>
              <w:jc w:val="center"/>
              <w:rPr>
                <w:rFonts w:eastAsiaTheme="minorHAnsi"/>
                <w:sz w:val="20"/>
                <w:szCs w:val="20"/>
                <w:lang w:val="en-US"/>
              </w:rPr>
            </w:pPr>
            <w:r>
              <w:rPr>
                <w:rFonts w:eastAsiaTheme="minorHAnsi"/>
                <w:sz w:val="20"/>
                <w:szCs w:val="20"/>
                <w:lang w:val="en-US"/>
              </w:rPr>
              <w:t>2.25 – 7.93</w:t>
            </w:r>
          </w:p>
        </w:tc>
        <w:tc>
          <w:tcPr>
            <w:tcW w:w="1206" w:type="dxa"/>
            <w:tcBorders>
              <w:top w:val="single" w:sz="4" w:space="0" w:color="auto"/>
              <w:left w:val="single" w:sz="4" w:space="0" w:color="auto"/>
              <w:bottom w:val="single" w:sz="4" w:space="0" w:color="auto"/>
              <w:right w:val="single" w:sz="4" w:space="0" w:color="auto"/>
            </w:tcBorders>
            <w:hideMark/>
          </w:tcPr>
          <w:p w14:paraId="1EAD5FC7" w14:textId="77777777" w:rsidR="00836512" w:rsidRDefault="00836512">
            <w:pPr>
              <w:jc w:val="center"/>
              <w:rPr>
                <w:rFonts w:eastAsiaTheme="minorHAnsi"/>
                <w:sz w:val="20"/>
                <w:szCs w:val="20"/>
                <w:lang w:val="en-US"/>
              </w:rPr>
            </w:pPr>
            <w:r>
              <w:rPr>
                <w:rFonts w:eastAsiaTheme="minorHAnsi"/>
                <w:sz w:val="20"/>
                <w:szCs w:val="20"/>
                <w:lang w:val="en-US"/>
              </w:rPr>
              <w:t>0.42</w:t>
            </w:r>
          </w:p>
        </w:tc>
        <w:tc>
          <w:tcPr>
            <w:tcW w:w="1337" w:type="dxa"/>
            <w:tcBorders>
              <w:top w:val="single" w:sz="4" w:space="0" w:color="auto"/>
              <w:left w:val="nil"/>
              <w:bottom w:val="single" w:sz="4" w:space="0" w:color="auto"/>
              <w:right w:val="single" w:sz="4" w:space="0" w:color="auto"/>
            </w:tcBorders>
            <w:vAlign w:val="bottom"/>
            <w:hideMark/>
          </w:tcPr>
          <w:p w14:paraId="7C40082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-18.7</w:t>
            </w:r>
          </w:p>
        </w:tc>
        <w:tc>
          <w:tcPr>
            <w:tcW w:w="1342" w:type="dxa"/>
            <w:tcBorders>
              <w:top w:val="single" w:sz="4" w:space="0" w:color="auto"/>
              <w:left w:val="single" w:sz="4" w:space="0" w:color="auto"/>
              <w:bottom w:val="single" w:sz="4" w:space="0" w:color="auto"/>
              <w:right w:val="nil"/>
            </w:tcBorders>
            <w:vAlign w:val="bottom"/>
            <w:hideMark/>
          </w:tcPr>
          <w:p w14:paraId="3F86404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16.1</w:t>
            </w:r>
          </w:p>
        </w:tc>
        <w:tc>
          <w:tcPr>
            <w:tcW w:w="1241" w:type="dxa"/>
            <w:tcBorders>
              <w:top w:val="single" w:sz="4" w:space="0" w:color="auto"/>
              <w:left w:val="single" w:sz="4" w:space="0" w:color="auto"/>
              <w:bottom w:val="single" w:sz="4" w:space="0" w:color="auto"/>
              <w:right w:val="single" w:sz="4" w:space="0" w:color="auto"/>
            </w:tcBorders>
            <w:vAlign w:val="bottom"/>
            <w:hideMark/>
          </w:tcPr>
          <w:p w14:paraId="1C5C919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AE1DF21"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8D35B"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961488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T8.02</w:t>
            </w:r>
          </w:p>
        </w:tc>
        <w:tc>
          <w:tcPr>
            <w:tcW w:w="1651" w:type="dxa"/>
            <w:tcBorders>
              <w:top w:val="single" w:sz="4" w:space="0" w:color="auto"/>
              <w:left w:val="single" w:sz="4" w:space="0" w:color="auto"/>
              <w:bottom w:val="single" w:sz="4" w:space="0" w:color="auto"/>
              <w:right w:val="single" w:sz="4" w:space="0" w:color="auto"/>
            </w:tcBorders>
            <w:hideMark/>
          </w:tcPr>
          <w:p w14:paraId="1428A0FD" w14:textId="77777777" w:rsidR="00836512" w:rsidRDefault="00836512">
            <w:pPr>
              <w:jc w:val="center"/>
              <w:rPr>
                <w:rFonts w:eastAsiaTheme="minorHAnsi"/>
                <w:sz w:val="20"/>
                <w:szCs w:val="20"/>
                <w:lang w:val="en-US"/>
              </w:rPr>
            </w:pPr>
            <w:r>
              <w:rPr>
                <w:rFonts w:eastAsiaTheme="minorHAnsi"/>
                <w:sz w:val="20"/>
                <w:szCs w:val="20"/>
                <w:lang w:val="en-US"/>
              </w:rPr>
              <w:t>7.93 – 13.61</w:t>
            </w:r>
          </w:p>
        </w:tc>
        <w:tc>
          <w:tcPr>
            <w:tcW w:w="1206" w:type="dxa"/>
            <w:tcBorders>
              <w:top w:val="single" w:sz="4" w:space="0" w:color="auto"/>
              <w:left w:val="single" w:sz="4" w:space="0" w:color="auto"/>
              <w:bottom w:val="single" w:sz="4" w:space="0" w:color="auto"/>
              <w:right w:val="single" w:sz="4" w:space="0" w:color="auto"/>
            </w:tcBorders>
            <w:hideMark/>
          </w:tcPr>
          <w:p w14:paraId="75B4CEFE" w14:textId="77777777" w:rsidR="00836512" w:rsidRDefault="00836512">
            <w:pPr>
              <w:jc w:val="center"/>
              <w:rPr>
                <w:rFonts w:eastAsiaTheme="minorHAnsi"/>
                <w:sz w:val="20"/>
                <w:szCs w:val="20"/>
                <w:lang w:val="en-US"/>
              </w:rPr>
            </w:pPr>
            <w:r>
              <w:rPr>
                <w:rFonts w:eastAsiaTheme="minorHAnsi"/>
                <w:sz w:val="20"/>
                <w:szCs w:val="20"/>
                <w:lang w:val="en-US"/>
              </w:rPr>
              <w:t>0.90</w:t>
            </w:r>
          </w:p>
        </w:tc>
        <w:tc>
          <w:tcPr>
            <w:tcW w:w="1337" w:type="dxa"/>
            <w:tcBorders>
              <w:top w:val="single" w:sz="4" w:space="0" w:color="auto"/>
              <w:left w:val="nil"/>
              <w:bottom w:val="single" w:sz="4" w:space="0" w:color="auto"/>
              <w:right w:val="single" w:sz="4" w:space="0" w:color="auto"/>
            </w:tcBorders>
            <w:vAlign w:val="bottom"/>
            <w:hideMark/>
          </w:tcPr>
          <w:p w14:paraId="3475D23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-18.8</w:t>
            </w:r>
          </w:p>
        </w:tc>
        <w:tc>
          <w:tcPr>
            <w:tcW w:w="1342" w:type="dxa"/>
            <w:tcBorders>
              <w:top w:val="single" w:sz="4" w:space="0" w:color="auto"/>
              <w:left w:val="single" w:sz="4" w:space="0" w:color="auto"/>
              <w:bottom w:val="single" w:sz="4" w:space="0" w:color="auto"/>
              <w:right w:val="nil"/>
            </w:tcBorders>
            <w:vAlign w:val="bottom"/>
            <w:hideMark/>
          </w:tcPr>
          <w:p w14:paraId="270F8AF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15.3</w:t>
            </w:r>
          </w:p>
        </w:tc>
        <w:tc>
          <w:tcPr>
            <w:tcW w:w="1241" w:type="dxa"/>
            <w:tcBorders>
              <w:top w:val="single" w:sz="4" w:space="0" w:color="auto"/>
              <w:left w:val="single" w:sz="4" w:space="0" w:color="auto"/>
              <w:bottom w:val="single" w:sz="4" w:space="0" w:color="auto"/>
              <w:right w:val="single" w:sz="4" w:space="0" w:color="auto"/>
            </w:tcBorders>
            <w:vAlign w:val="bottom"/>
            <w:hideMark/>
          </w:tcPr>
          <w:p w14:paraId="1A53C60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890A655"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9B8DF"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F76329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T8.03</w:t>
            </w:r>
          </w:p>
        </w:tc>
        <w:tc>
          <w:tcPr>
            <w:tcW w:w="1651" w:type="dxa"/>
            <w:tcBorders>
              <w:top w:val="single" w:sz="4" w:space="0" w:color="auto"/>
              <w:left w:val="single" w:sz="4" w:space="0" w:color="auto"/>
              <w:bottom w:val="single" w:sz="4" w:space="0" w:color="auto"/>
              <w:right w:val="single" w:sz="4" w:space="0" w:color="auto"/>
            </w:tcBorders>
            <w:hideMark/>
          </w:tcPr>
          <w:p w14:paraId="047F435E" w14:textId="77777777" w:rsidR="00836512" w:rsidRDefault="00836512">
            <w:pPr>
              <w:jc w:val="center"/>
              <w:rPr>
                <w:rFonts w:eastAsiaTheme="minorHAnsi"/>
                <w:sz w:val="20"/>
                <w:szCs w:val="20"/>
                <w:lang w:val="en-US"/>
              </w:rPr>
            </w:pPr>
            <w:r>
              <w:rPr>
                <w:rFonts w:eastAsiaTheme="minorHAnsi"/>
                <w:sz w:val="20"/>
                <w:szCs w:val="20"/>
                <w:lang w:val="en-US"/>
              </w:rPr>
              <w:t>13.61 – 19.29</w:t>
            </w:r>
          </w:p>
        </w:tc>
        <w:tc>
          <w:tcPr>
            <w:tcW w:w="1206" w:type="dxa"/>
            <w:tcBorders>
              <w:top w:val="single" w:sz="4" w:space="0" w:color="auto"/>
              <w:left w:val="single" w:sz="4" w:space="0" w:color="auto"/>
              <w:bottom w:val="single" w:sz="4" w:space="0" w:color="auto"/>
              <w:right w:val="single" w:sz="4" w:space="0" w:color="auto"/>
            </w:tcBorders>
            <w:hideMark/>
          </w:tcPr>
          <w:p w14:paraId="21481A55" w14:textId="77777777" w:rsidR="00836512" w:rsidRDefault="00836512">
            <w:pPr>
              <w:jc w:val="center"/>
              <w:rPr>
                <w:rFonts w:eastAsiaTheme="minorHAnsi"/>
                <w:sz w:val="20"/>
                <w:szCs w:val="20"/>
                <w:lang w:val="en-US"/>
              </w:rPr>
            </w:pPr>
            <w:r>
              <w:rPr>
                <w:rFonts w:eastAsiaTheme="minorHAnsi"/>
                <w:sz w:val="20"/>
                <w:szCs w:val="20"/>
                <w:lang w:val="en-US"/>
              </w:rPr>
              <w:t>1.37</w:t>
            </w:r>
          </w:p>
        </w:tc>
        <w:tc>
          <w:tcPr>
            <w:tcW w:w="1337" w:type="dxa"/>
            <w:tcBorders>
              <w:top w:val="single" w:sz="4" w:space="0" w:color="auto"/>
              <w:left w:val="nil"/>
              <w:bottom w:val="single" w:sz="4" w:space="0" w:color="auto"/>
              <w:right w:val="single" w:sz="4" w:space="0" w:color="auto"/>
            </w:tcBorders>
            <w:vAlign w:val="bottom"/>
            <w:hideMark/>
          </w:tcPr>
          <w:p w14:paraId="6626F6A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-19.1</w:t>
            </w:r>
          </w:p>
        </w:tc>
        <w:tc>
          <w:tcPr>
            <w:tcW w:w="1342" w:type="dxa"/>
            <w:tcBorders>
              <w:top w:val="single" w:sz="4" w:space="0" w:color="auto"/>
              <w:left w:val="single" w:sz="4" w:space="0" w:color="auto"/>
              <w:bottom w:val="single" w:sz="4" w:space="0" w:color="auto"/>
              <w:right w:val="nil"/>
            </w:tcBorders>
            <w:vAlign w:val="bottom"/>
            <w:hideMark/>
          </w:tcPr>
          <w:p w14:paraId="7FD18BA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13.9</w:t>
            </w:r>
          </w:p>
        </w:tc>
        <w:tc>
          <w:tcPr>
            <w:tcW w:w="1241" w:type="dxa"/>
            <w:tcBorders>
              <w:top w:val="single" w:sz="4" w:space="0" w:color="auto"/>
              <w:left w:val="single" w:sz="4" w:space="0" w:color="auto"/>
              <w:bottom w:val="single" w:sz="4" w:space="0" w:color="auto"/>
              <w:right w:val="single" w:sz="4" w:space="0" w:color="auto"/>
            </w:tcBorders>
            <w:vAlign w:val="bottom"/>
            <w:hideMark/>
          </w:tcPr>
          <w:p w14:paraId="24E88DB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8232423"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49B4FD"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16B12AE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T8.04</w:t>
            </w:r>
          </w:p>
        </w:tc>
        <w:tc>
          <w:tcPr>
            <w:tcW w:w="1651" w:type="dxa"/>
            <w:tcBorders>
              <w:top w:val="single" w:sz="4" w:space="0" w:color="auto"/>
              <w:left w:val="single" w:sz="4" w:space="0" w:color="auto"/>
              <w:bottom w:val="single" w:sz="4" w:space="0" w:color="auto"/>
              <w:right w:val="single" w:sz="4" w:space="0" w:color="auto"/>
            </w:tcBorders>
            <w:hideMark/>
          </w:tcPr>
          <w:p w14:paraId="25C77CFE" w14:textId="77777777" w:rsidR="00836512" w:rsidRDefault="00836512">
            <w:pPr>
              <w:jc w:val="center"/>
              <w:rPr>
                <w:rFonts w:eastAsiaTheme="minorHAnsi"/>
                <w:sz w:val="20"/>
                <w:szCs w:val="20"/>
                <w:lang w:val="en-US"/>
              </w:rPr>
            </w:pPr>
            <w:r>
              <w:rPr>
                <w:rFonts w:eastAsiaTheme="minorHAnsi"/>
                <w:sz w:val="20"/>
                <w:szCs w:val="20"/>
                <w:lang w:val="en-US"/>
              </w:rPr>
              <w:t>19.29 – 24.97</w:t>
            </w:r>
          </w:p>
        </w:tc>
        <w:tc>
          <w:tcPr>
            <w:tcW w:w="1206" w:type="dxa"/>
            <w:tcBorders>
              <w:top w:val="single" w:sz="4" w:space="0" w:color="auto"/>
              <w:left w:val="single" w:sz="4" w:space="0" w:color="auto"/>
              <w:bottom w:val="single" w:sz="4" w:space="0" w:color="auto"/>
              <w:right w:val="single" w:sz="4" w:space="0" w:color="auto"/>
            </w:tcBorders>
            <w:hideMark/>
          </w:tcPr>
          <w:p w14:paraId="7112E207" w14:textId="77777777" w:rsidR="00836512" w:rsidRDefault="00836512">
            <w:pPr>
              <w:jc w:val="center"/>
              <w:rPr>
                <w:rFonts w:eastAsiaTheme="minorHAnsi"/>
                <w:sz w:val="20"/>
                <w:szCs w:val="20"/>
                <w:lang w:val="en-US"/>
              </w:rPr>
            </w:pPr>
            <w:r>
              <w:rPr>
                <w:rFonts w:eastAsiaTheme="minorHAnsi"/>
                <w:sz w:val="20"/>
                <w:szCs w:val="20"/>
                <w:lang w:val="en-US"/>
              </w:rPr>
              <w:t>1.84</w:t>
            </w:r>
          </w:p>
        </w:tc>
        <w:tc>
          <w:tcPr>
            <w:tcW w:w="1337" w:type="dxa"/>
            <w:tcBorders>
              <w:top w:val="single" w:sz="4" w:space="0" w:color="auto"/>
              <w:left w:val="nil"/>
              <w:bottom w:val="single" w:sz="4" w:space="0" w:color="auto"/>
              <w:right w:val="single" w:sz="4" w:space="0" w:color="auto"/>
            </w:tcBorders>
            <w:vAlign w:val="bottom"/>
            <w:hideMark/>
          </w:tcPr>
          <w:p w14:paraId="7C762AD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-19.1</w:t>
            </w:r>
          </w:p>
        </w:tc>
        <w:tc>
          <w:tcPr>
            <w:tcW w:w="1342" w:type="dxa"/>
            <w:tcBorders>
              <w:top w:val="single" w:sz="4" w:space="0" w:color="auto"/>
              <w:left w:val="single" w:sz="4" w:space="0" w:color="auto"/>
              <w:bottom w:val="single" w:sz="4" w:space="0" w:color="auto"/>
              <w:right w:val="nil"/>
            </w:tcBorders>
            <w:vAlign w:val="bottom"/>
            <w:hideMark/>
          </w:tcPr>
          <w:p w14:paraId="5C57581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13.5</w:t>
            </w:r>
          </w:p>
        </w:tc>
        <w:tc>
          <w:tcPr>
            <w:tcW w:w="1241" w:type="dxa"/>
            <w:tcBorders>
              <w:top w:val="single" w:sz="4" w:space="0" w:color="auto"/>
              <w:left w:val="single" w:sz="4" w:space="0" w:color="auto"/>
              <w:bottom w:val="single" w:sz="4" w:space="0" w:color="auto"/>
              <w:right w:val="single" w:sz="4" w:space="0" w:color="auto"/>
            </w:tcBorders>
            <w:vAlign w:val="bottom"/>
            <w:hideMark/>
          </w:tcPr>
          <w:p w14:paraId="1DDB7BA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FAD60E5"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E1939"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E8A76A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T8.05</w:t>
            </w:r>
          </w:p>
        </w:tc>
        <w:tc>
          <w:tcPr>
            <w:tcW w:w="1651" w:type="dxa"/>
            <w:tcBorders>
              <w:top w:val="single" w:sz="4" w:space="0" w:color="auto"/>
              <w:left w:val="single" w:sz="4" w:space="0" w:color="auto"/>
              <w:bottom w:val="single" w:sz="4" w:space="0" w:color="auto"/>
              <w:right w:val="single" w:sz="4" w:space="0" w:color="auto"/>
            </w:tcBorders>
            <w:hideMark/>
          </w:tcPr>
          <w:p w14:paraId="30F5A693" w14:textId="77777777" w:rsidR="00836512" w:rsidRDefault="00836512">
            <w:pPr>
              <w:jc w:val="center"/>
              <w:rPr>
                <w:rFonts w:eastAsiaTheme="minorHAnsi"/>
                <w:sz w:val="20"/>
                <w:szCs w:val="20"/>
                <w:lang w:val="en-US"/>
              </w:rPr>
            </w:pPr>
            <w:r>
              <w:rPr>
                <w:rFonts w:eastAsiaTheme="minorHAnsi"/>
                <w:sz w:val="20"/>
                <w:szCs w:val="20"/>
                <w:lang w:val="en-US"/>
              </w:rPr>
              <w:t>24.97 – 30.65</w:t>
            </w:r>
          </w:p>
        </w:tc>
        <w:tc>
          <w:tcPr>
            <w:tcW w:w="1206" w:type="dxa"/>
            <w:tcBorders>
              <w:top w:val="single" w:sz="4" w:space="0" w:color="auto"/>
              <w:left w:val="single" w:sz="4" w:space="0" w:color="auto"/>
              <w:bottom w:val="single" w:sz="4" w:space="0" w:color="auto"/>
              <w:right w:val="single" w:sz="4" w:space="0" w:color="auto"/>
            </w:tcBorders>
            <w:hideMark/>
          </w:tcPr>
          <w:p w14:paraId="5B04360F" w14:textId="77777777" w:rsidR="00836512" w:rsidRDefault="00836512">
            <w:pPr>
              <w:jc w:val="center"/>
              <w:rPr>
                <w:rFonts w:eastAsiaTheme="minorHAnsi"/>
                <w:sz w:val="20"/>
                <w:szCs w:val="20"/>
                <w:lang w:val="en-US"/>
              </w:rPr>
            </w:pPr>
            <w:r>
              <w:rPr>
                <w:rFonts w:eastAsiaTheme="minorHAnsi"/>
                <w:sz w:val="20"/>
                <w:szCs w:val="20"/>
                <w:lang w:val="en-US"/>
              </w:rPr>
              <w:t>2.32</w:t>
            </w:r>
          </w:p>
        </w:tc>
        <w:tc>
          <w:tcPr>
            <w:tcW w:w="1337" w:type="dxa"/>
            <w:tcBorders>
              <w:top w:val="single" w:sz="4" w:space="0" w:color="auto"/>
              <w:left w:val="nil"/>
              <w:bottom w:val="single" w:sz="4" w:space="0" w:color="auto"/>
              <w:right w:val="single" w:sz="4" w:space="0" w:color="auto"/>
            </w:tcBorders>
            <w:vAlign w:val="bottom"/>
            <w:hideMark/>
          </w:tcPr>
          <w:p w14:paraId="4B9AC36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-20.0</w:t>
            </w:r>
          </w:p>
        </w:tc>
        <w:tc>
          <w:tcPr>
            <w:tcW w:w="1342" w:type="dxa"/>
            <w:tcBorders>
              <w:top w:val="single" w:sz="4" w:space="0" w:color="auto"/>
              <w:left w:val="single" w:sz="4" w:space="0" w:color="auto"/>
              <w:bottom w:val="single" w:sz="4" w:space="0" w:color="auto"/>
              <w:right w:val="nil"/>
            </w:tcBorders>
            <w:vAlign w:val="bottom"/>
            <w:hideMark/>
          </w:tcPr>
          <w:p w14:paraId="0B480E9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13.4</w:t>
            </w:r>
          </w:p>
        </w:tc>
        <w:tc>
          <w:tcPr>
            <w:tcW w:w="1241" w:type="dxa"/>
            <w:tcBorders>
              <w:top w:val="single" w:sz="4" w:space="0" w:color="auto"/>
              <w:left w:val="single" w:sz="4" w:space="0" w:color="auto"/>
              <w:bottom w:val="single" w:sz="4" w:space="0" w:color="auto"/>
              <w:right w:val="single" w:sz="4" w:space="0" w:color="auto"/>
            </w:tcBorders>
            <w:vAlign w:val="bottom"/>
            <w:hideMark/>
          </w:tcPr>
          <w:p w14:paraId="66651A4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6EA72484"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B01E4"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934535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T8.06</w:t>
            </w:r>
          </w:p>
        </w:tc>
        <w:tc>
          <w:tcPr>
            <w:tcW w:w="1651" w:type="dxa"/>
            <w:tcBorders>
              <w:top w:val="single" w:sz="4" w:space="0" w:color="auto"/>
              <w:left w:val="single" w:sz="4" w:space="0" w:color="auto"/>
              <w:bottom w:val="single" w:sz="4" w:space="0" w:color="auto"/>
              <w:right w:val="single" w:sz="4" w:space="0" w:color="auto"/>
            </w:tcBorders>
            <w:hideMark/>
          </w:tcPr>
          <w:p w14:paraId="576EA77E" w14:textId="77777777" w:rsidR="00836512" w:rsidRDefault="00836512">
            <w:pPr>
              <w:jc w:val="center"/>
              <w:rPr>
                <w:rFonts w:eastAsiaTheme="minorHAnsi"/>
                <w:sz w:val="20"/>
                <w:szCs w:val="20"/>
                <w:lang w:val="en-US"/>
              </w:rPr>
            </w:pPr>
            <w:r>
              <w:rPr>
                <w:rFonts w:eastAsiaTheme="minorHAnsi"/>
                <w:sz w:val="20"/>
                <w:szCs w:val="20"/>
                <w:lang w:val="en-US"/>
              </w:rPr>
              <w:t>30.65 – 42.00</w:t>
            </w:r>
          </w:p>
        </w:tc>
        <w:tc>
          <w:tcPr>
            <w:tcW w:w="1206" w:type="dxa"/>
            <w:tcBorders>
              <w:top w:val="single" w:sz="4" w:space="0" w:color="auto"/>
              <w:left w:val="single" w:sz="4" w:space="0" w:color="auto"/>
              <w:bottom w:val="single" w:sz="4" w:space="0" w:color="auto"/>
              <w:right w:val="single" w:sz="4" w:space="0" w:color="auto"/>
            </w:tcBorders>
            <w:hideMark/>
          </w:tcPr>
          <w:p w14:paraId="4B1C7A05" w14:textId="77777777" w:rsidR="00836512" w:rsidRDefault="00836512">
            <w:pPr>
              <w:jc w:val="center"/>
              <w:rPr>
                <w:rFonts w:eastAsiaTheme="minorHAnsi"/>
                <w:sz w:val="20"/>
                <w:szCs w:val="20"/>
                <w:lang w:val="en-US"/>
              </w:rPr>
            </w:pPr>
            <w:r>
              <w:rPr>
                <w:rFonts w:eastAsiaTheme="minorHAnsi"/>
                <w:sz w:val="20"/>
                <w:szCs w:val="20"/>
                <w:lang w:val="en-US"/>
              </w:rPr>
              <w:t>3.00</w:t>
            </w:r>
          </w:p>
        </w:tc>
        <w:tc>
          <w:tcPr>
            <w:tcW w:w="1337" w:type="dxa"/>
            <w:tcBorders>
              <w:top w:val="single" w:sz="4" w:space="0" w:color="auto"/>
              <w:left w:val="nil"/>
              <w:bottom w:val="single" w:sz="4" w:space="0" w:color="auto"/>
              <w:right w:val="single" w:sz="4" w:space="0" w:color="auto"/>
            </w:tcBorders>
            <w:vAlign w:val="bottom"/>
            <w:hideMark/>
          </w:tcPr>
          <w:p w14:paraId="1E81E53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w:t>
            </w:r>
          </w:p>
        </w:tc>
        <w:tc>
          <w:tcPr>
            <w:tcW w:w="1342" w:type="dxa"/>
            <w:tcBorders>
              <w:top w:val="single" w:sz="4" w:space="0" w:color="auto"/>
              <w:left w:val="single" w:sz="4" w:space="0" w:color="auto"/>
              <w:bottom w:val="single" w:sz="4" w:space="0" w:color="auto"/>
              <w:right w:val="nil"/>
            </w:tcBorders>
            <w:vAlign w:val="bottom"/>
            <w:hideMark/>
          </w:tcPr>
          <w:p w14:paraId="784328D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12.8</w:t>
            </w:r>
          </w:p>
        </w:tc>
        <w:tc>
          <w:tcPr>
            <w:tcW w:w="1241" w:type="dxa"/>
            <w:tcBorders>
              <w:top w:val="single" w:sz="4" w:space="0" w:color="auto"/>
              <w:left w:val="single" w:sz="4" w:space="0" w:color="auto"/>
              <w:bottom w:val="single" w:sz="4" w:space="0" w:color="auto"/>
              <w:right w:val="single" w:sz="4" w:space="0" w:color="auto"/>
            </w:tcBorders>
            <w:vAlign w:val="bottom"/>
            <w:hideMark/>
          </w:tcPr>
          <w:p w14:paraId="4382092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5E491970"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1D30D0FE" w14:textId="77777777" w:rsidR="00836512" w:rsidRPr="0079060E" w:rsidRDefault="00836512">
            <w:pPr>
              <w:rPr>
                <w:rFonts w:eastAsiaTheme="minorHAnsi"/>
                <w:color w:val="000000"/>
                <w:sz w:val="20"/>
                <w:szCs w:val="20"/>
                <w:lang w:val="it-IT"/>
              </w:rPr>
            </w:pPr>
            <w:r w:rsidRPr="0079060E">
              <w:rPr>
                <w:rFonts w:eastAsiaTheme="minorHAnsi"/>
                <w:color w:val="000000"/>
                <w:sz w:val="20"/>
                <w:szCs w:val="20"/>
                <w:lang w:val="it-IT"/>
              </w:rPr>
              <w:t>Parco San Stefano</w:t>
            </w:r>
          </w:p>
          <w:p w14:paraId="74CE6F9F" w14:textId="77777777" w:rsidR="00836512" w:rsidRPr="0079060E" w:rsidRDefault="00836512">
            <w:pPr>
              <w:rPr>
                <w:rFonts w:eastAsiaTheme="minorHAnsi"/>
                <w:color w:val="000000"/>
                <w:sz w:val="20"/>
                <w:szCs w:val="20"/>
                <w:lang w:val="it-IT"/>
              </w:rPr>
            </w:pPr>
            <w:r w:rsidRPr="0079060E">
              <w:rPr>
                <w:rFonts w:eastAsiaTheme="minorHAnsi"/>
                <w:color w:val="000000"/>
                <w:sz w:val="20"/>
                <w:szCs w:val="20"/>
                <w:lang w:val="it-IT"/>
              </w:rPr>
              <w:t>No Label #2</w:t>
            </w:r>
          </w:p>
        </w:tc>
        <w:tc>
          <w:tcPr>
            <w:tcW w:w="1334" w:type="dxa"/>
            <w:tcBorders>
              <w:top w:val="single" w:sz="4" w:space="0" w:color="auto"/>
              <w:left w:val="single" w:sz="4" w:space="0" w:color="auto"/>
              <w:bottom w:val="single" w:sz="4" w:space="0" w:color="auto"/>
              <w:right w:val="single" w:sz="4" w:space="0" w:color="auto"/>
            </w:tcBorders>
            <w:hideMark/>
          </w:tcPr>
          <w:p w14:paraId="2E9D0E5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T9.01</w:t>
            </w:r>
          </w:p>
        </w:tc>
        <w:tc>
          <w:tcPr>
            <w:tcW w:w="1651" w:type="dxa"/>
            <w:tcBorders>
              <w:top w:val="single" w:sz="4" w:space="0" w:color="auto"/>
              <w:left w:val="single" w:sz="4" w:space="0" w:color="auto"/>
              <w:bottom w:val="single" w:sz="4" w:space="0" w:color="auto"/>
              <w:right w:val="single" w:sz="4" w:space="0" w:color="auto"/>
            </w:tcBorders>
            <w:hideMark/>
          </w:tcPr>
          <w:p w14:paraId="5A3AEE19" w14:textId="77777777" w:rsidR="00836512" w:rsidRDefault="00836512">
            <w:pPr>
              <w:jc w:val="center"/>
              <w:rPr>
                <w:rFonts w:eastAsiaTheme="minorHAnsi"/>
                <w:sz w:val="20"/>
                <w:szCs w:val="20"/>
                <w:lang w:val="en-US"/>
              </w:rPr>
            </w:pPr>
            <w:r>
              <w:rPr>
                <w:rFonts w:eastAsiaTheme="minorHAnsi"/>
                <w:sz w:val="20"/>
                <w:szCs w:val="20"/>
                <w:lang w:val="en-US"/>
              </w:rPr>
              <w:t>4.50 – 7.10</w:t>
            </w:r>
          </w:p>
        </w:tc>
        <w:tc>
          <w:tcPr>
            <w:tcW w:w="1206" w:type="dxa"/>
            <w:tcBorders>
              <w:top w:val="single" w:sz="4" w:space="0" w:color="auto"/>
              <w:left w:val="single" w:sz="4" w:space="0" w:color="auto"/>
              <w:bottom w:val="single" w:sz="4" w:space="0" w:color="auto"/>
              <w:right w:val="single" w:sz="4" w:space="0" w:color="auto"/>
            </w:tcBorders>
            <w:hideMark/>
          </w:tcPr>
          <w:p w14:paraId="21CD2986" w14:textId="77777777" w:rsidR="00836512" w:rsidRDefault="00836512">
            <w:pPr>
              <w:jc w:val="center"/>
              <w:rPr>
                <w:rFonts w:eastAsiaTheme="minorHAnsi"/>
                <w:sz w:val="20"/>
                <w:szCs w:val="20"/>
                <w:lang w:val="en-US"/>
              </w:rPr>
            </w:pPr>
            <w:r>
              <w:rPr>
                <w:rFonts w:eastAsiaTheme="minorHAnsi"/>
                <w:sz w:val="20"/>
                <w:szCs w:val="20"/>
                <w:lang w:val="en-US"/>
              </w:rPr>
              <w:t>0.48</w:t>
            </w:r>
          </w:p>
        </w:tc>
        <w:tc>
          <w:tcPr>
            <w:tcW w:w="1337" w:type="dxa"/>
            <w:tcBorders>
              <w:top w:val="single" w:sz="4" w:space="0" w:color="auto"/>
              <w:left w:val="nil"/>
              <w:bottom w:val="single" w:sz="4" w:space="0" w:color="auto"/>
              <w:right w:val="single" w:sz="4" w:space="0" w:color="auto"/>
            </w:tcBorders>
            <w:vAlign w:val="bottom"/>
            <w:hideMark/>
          </w:tcPr>
          <w:p w14:paraId="56BEB77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-18.3</w:t>
            </w:r>
          </w:p>
        </w:tc>
        <w:tc>
          <w:tcPr>
            <w:tcW w:w="1342" w:type="dxa"/>
            <w:tcBorders>
              <w:top w:val="single" w:sz="4" w:space="0" w:color="auto"/>
              <w:left w:val="single" w:sz="4" w:space="0" w:color="auto"/>
              <w:bottom w:val="single" w:sz="4" w:space="0" w:color="auto"/>
              <w:right w:val="nil"/>
            </w:tcBorders>
            <w:vAlign w:val="bottom"/>
            <w:hideMark/>
          </w:tcPr>
          <w:p w14:paraId="6D92575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11.9</w:t>
            </w:r>
          </w:p>
        </w:tc>
        <w:tc>
          <w:tcPr>
            <w:tcW w:w="1241" w:type="dxa"/>
            <w:tcBorders>
              <w:top w:val="single" w:sz="4" w:space="0" w:color="auto"/>
              <w:left w:val="single" w:sz="4" w:space="0" w:color="auto"/>
              <w:bottom w:val="single" w:sz="4" w:space="0" w:color="auto"/>
              <w:right w:val="single" w:sz="4" w:space="0" w:color="auto"/>
            </w:tcBorders>
            <w:vAlign w:val="bottom"/>
            <w:hideMark/>
          </w:tcPr>
          <w:p w14:paraId="222E1E3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B4A7CBD"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1BD26"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01A21E0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T9.02</w:t>
            </w:r>
          </w:p>
        </w:tc>
        <w:tc>
          <w:tcPr>
            <w:tcW w:w="1651" w:type="dxa"/>
            <w:tcBorders>
              <w:top w:val="single" w:sz="4" w:space="0" w:color="auto"/>
              <w:left w:val="single" w:sz="4" w:space="0" w:color="auto"/>
              <w:bottom w:val="single" w:sz="4" w:space="0" w:color="auto"/>
              <w:right w:val="single" w:sz="4" w:space="0" w:color="auto"/>
            </w:tcBorders>
            <w:hideMark/>
          </w:tcPr>
          <w:p w14:paraId="436656AB" w14:textId="77777777" w:rsidR="00836512" w:rsidRDefault="00836512">
            <w:pPr>
              <w:jc w:val="center"/>
              <w:rPr>
                <w:rFonts w:eastAsiaTheme="minorHAnsi"/>
                <w:sz w:val="20"/>
                <w:szCs w:val="20"/>
                <w:lang w:val="en-US"/>
              </w:rPr>
            </w:pPr>
            <w:r>
              <w:rPr>
                <w:rFonts w:eastAsiaTheme="minorHAnsi"/>
                <w:sz w:val="20"/>
                <w:szCs w:val="20"/>
                <w:lang w:val="en-US"/>
              </w:rPr>
              <w:t>7.10 – 9.50</w:t>
            </w:r>
          </w:p>
        </w:tc>
        <w:tc>
          <w:tcPr>
            <w:tcW w:w="1206" w:type="dxa"/>
            <w:tcBorders>
              <w:top w:val="single" w:sz="4" w:space="0" w:color="auto"/>
              <w:left w:val="single" w:sz="4" w:space="0" w:color="auto"/>
              <w:bottom w:val="single" w:sz="4" w:space="0" w:color="auto"/>
              <w:right w:val="single" w:sz="4" w:space="0" w:color="auto"/>
            </w:tcBorders>
            <w:hideMark/>
          </w:tcPr>
          <w:p w14:paraId="4817C872" w14:textId="77777777" w:rsidR="00836512" w:rsidRDefault="00836512">
            <w:pPr>
              <w:jc w:val="center"/>
              <w:rPr>
                <w:rFonts w:eastAsiaTheme="minorHAnsi"/>
                <w:sz w:val="20"/>
                <w:szCs w:val="20"/>
                <w:lang w:val="en-US"/>
              </w:rPr>
            </w:pPr>
            <w:r>
              <w:rPr>
                <w:rFonts w:eastAsiaTheme="minorHAnsi"/>
                <w:sz w:val="20"/>
                <w:szCs w:val="20"/>
                <w:lang w:val="en-US"/>
              </w:rPr>
              <w:t>0.69</w:t>
            </w:r>
          </w:p>
        </w:tc>
        <w:tc>
          <w:tcPr>
            <w:tcW w:w="1337" w:type="dxa"/>
            <w:tcBorders>
              <w:top w:val="single" w:sz="4" w:space="0" w:color="auto"/>
              <w:left w:val="nil"/>
              <w:bottom w:val="single" w:sz="4" w:space="0" w:color="auto"/>
              <w:right w:val="single" w:sz="4" w:space="0" w:color="auto"/>
            </w:tcBorders>
            <w:vAlign w:val="bottom"/>
            <w:hideMark/>
          </w:tcPr>
          <w:p w14:paraId="5371990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-18.8</w:t>
            </w:r>
          </w:p>
        </w:tc>
        <w:tc>
          <w:tcPr>
            <w:tcW w:w="1342" w:type="dxa"/>
            <w:tcBorders>
              <w:top w:val="single" w:sz="4" w:space="0" w:color="auto"/>
              <w:left w:val="single" w:sz="4" w:space="0" w:color="auto"/>
              <w:bottom w:val="single" w:sz="4" w:space="0" w:color="auto"/>
              <w:right w:val="nil"/>
            </w:tcBorders>
            <w:vAlign w:val="bottom"/>
            <w:hideMark/>
          </w:tcPr>
          <w:p w14:paraId="4809672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10.5</w:t>
            </w:r>
          </w:p>
        </w:tc>
        <w:tc>
          <w:tcPr>
            <w:tcW w:w="1241" w:type="dxa"/>
            <w:tcBorders>
              <w:top w:val="single" w:sz="4" w:space="0" w:color="auto"/>
              <w:left w:val="single" w:sz="4" w:space="0" w:color="auto"/>
              <w:bottom w:val="single" w:sz="4" w:space="0" w:color="auto"/>
              <w:right w:val="single" w:sz="4" w:space="0" w:color="auto"/>
            </w:tcBorders>
            <w:vAlign w:val="bottom"/>
            <w:hideMark/>
          </w:tcPr>
          <w:p w14:paraId="2BC8394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9A8D21A"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A0229F"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15CFDF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T9.03</w:t>
            </w:r>
          </w:p>
        </w:tc>
        <w:tc>
          <w:tcPr>
            <w:tcW w:w="1651" w:type="dxa"/>
            <w:tcBorders>
              <w:top w:val="single" w:sz="4" w:space="0" w:color="auto"/>
              <w:left w:val="single" w:sz="4" w:space="0" w:color="auto"/>
              <w:bottom w:val="single" w:sz="4" w:space="0" w:color="auto"/>
              <w:right w:val="single" w:sz="4" w:space="0" w:color="auto"/>
            </w:tcBorders>
            <w:hideMark/>
          </w:tcPr>
          <w:p w14:paraId="0786A14E" w14:textId="77777777" w:rsidR="00836512" w:rsidRDefault="00836512">
            <w:pPr>
              <w:jc w:val="center"/>
              <w:rPr>
                <w:rFonts w:eastAsiaTheme="minorHAnsi"/>
                <w:sz w:val="20"/>
                <w:szCs w:val="20"/>
                <w:lang w:val="en-US"/>
              </w:rPr>
            </w:pPr>
            <w:r>
              <w:rPr>
                <w:rFonts w:eastAsiaTheme="minorHAnsi"/>
                <w:sz w:val="20"/>
                <w:szCs w:val="20"/>
                <w:lang w:val="en-US"/>
              </w:rPr>
              <w:t>9.50 – 11.90</w:t>
            </w:r>
          </w:p>
        </w:tc>
        <w:tc>
          <w:tcPr>
            <w:tcW w:w="1206" w:type="dxa"/>
            <w:tcBorders>
              <w:top w:val="single" w:sz="4" w:space="0" w:color="auto"/>
              <w:left w:val="single" w:sz="4" w:space="0" w:color="auto"/>
              <w:bottom w:val="single" w:sz="4" w:space="0" w:color="auto"/>
              <w:right w:val="single" w:sz="4" w:space="0" w:color="auto"/>
            </w:tcBorders>
            <w:hideMark/>
          </w:tcPr>
          <w:p w14:paraId="52E6DAE4" w14:textId="77777777" w:rsidR="00836512" w:rsidRDefault="00836512">
            <w:pPr>
              <w:jc w:val="center"/>
              <w:rPr>
                <w:rFonts w:eastAsiaTheme="minorHAnsi"/>
                <w:sz w:val="20"/>
                <w:szCs w:val="20"/>
                <w:lang w:val="en-US"/>
              </w:rPr>
            </w:pPr>
            <w:r>
              <w:rPr>
                <w:rFonts w:eastAsiaTheme="minorHAnsi"/>
                <w:sz w:val="20"/>
                <w:szCs w:val="20"/>
                <w:lang w:val="en-US"/>
              </w:rPr>
              <w:t>0.89</w:t>
            </w:r>
          </w:p>
        </w:tc>
        <w:tc>
          <w:tcPr>
            <w:tcW w:w="1337" w:type="dxa"/>
            <w:tcBorders>
              <w:top w:val="single" w:sz="4" w:space="0" w:color="auto"/>
              <w:left w:val="nil"/>
              <w:bottom w:val="single" w:sz="4" w:space="0" w:color="auto"/>
              <w:right w:val="single" w:sz="4" w:space="0" w:color="auto"/>
            </w:tcBorders>
            <w:vAlign w:val="bottom"/>
            <w:hideMark/>
          </w:tcPr>
          <w:p w14:paraId="7D68477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1342" w:type="dxa"/>
            <w:tcBorders>
              <w:top w:val="single" w:sz="4" w:space="0" w:color="auto"/>
              <w:left w:val="single" w:sz="4" w:space="0" w:color="auto"/>
              <w:bottom w:val="single" w:sz="4" w:space="0" w:color="auto"/>
              <w:right w:val="nil"/>
            </w:tcBorders>
            <w:vAlign w:val="bottom"/>
            <w:hideMark/>
          </w:tcPr>
          <w:p w14:paraId="2489F2D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9.5</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B355FC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3.1</w:t>
            </w:r>
          </w:p>
        </w:tc>
      </w:tr>
      <w:tr w:rsidR="00836512" w14:paraId="4BBD4EE3"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103BD"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724950C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T9.04</w:t>
            </w:r>
          </w:p>
        </w:tc>
        <w:tc>
          <w:tcPr>
            <w:tcW w:w="1651" w:type="dxa"/>
            <w:tcBorders>
              <w:top w:val="single" w:sz="4" w:space="0" w:color="auto"/>
              <w:left w:val="single" w:sz="4" w:space="0" w:color="auto"/>
              <w:bottom w:val="single" w:sz="4" w:space="0" w:color="auto"/>
              <w:right w:val="single" w:sz="4" w:space="0" w:color="auto"/>
            </w:tcBorders>
            <w:hideMark/>
          </w:tcPr>
          <w:p w14:paraId="01AC2049" w14:textId="77777777" w:rsidR="00836512" w:rsidRDefault="00836512">
            <w:pPr>
              <w:jc w:val="center"/>
              <w:rPr>
                <w:rFonts w:eastAsiaTheme="minorHAnsi"/>
                <w:sz w:val="20"/>
                <w:szCs w:val="20"/>
                <w:lang w:val="en-US"/>
              </w:rPr>
            </w:pPr>
            <w:r>
              <w:rPr>
                <w:rFonts w:eastAsiaTheme="minorHAnsi"/>
                <w:sz w:val="20"/>
                <w:szCs w:val="20"/>
                <w:lang w:val="en-US"/>
              </w:rPr>
              <w:t>11.90 – 14.30</w:t>
            </w:r>
          </w:p>
        </w:tc>
        <w:tc>
          <w:tcPr>
            <w:tcW w:w="1206" w:type="dxa"/>
            <w:tcBorders>
              <w:top w:val="single" w:sz="4" w:space="0" w:color="auto"/>
              <w:left w:val="single" w:sz="4" w:space="0" w:color="auto"/>
              <w:bottom w:val="single" w:sz="4" w:space="0" w:color="auto"/>
              <w:right w:val="single" w:sz="4" w:space="0" w:color="auto"/>
            </w:tcBorders>
            <w:hideMark/>
          </w:tcPr>
          <w:p w14:paraId="435F4319" w14:textId="77777777" w:rsidR="00836512" w:rsidRDefault="00836512">
            <w:pPr>
              <w:jc w:val="center"/>
              <w:rPr>
                <w:rFonts w:eastAsiaTheme="minorHAnsi"/>
                <w:sz w:val="20"/>
                <w:szCs w:val="20"/>
                <w:lang w:val="en-US"/>
              </w:rPr>
            </w:pPr>
            <w:r>
              <w:rPr>
                <w:rFonts w:eastAsiaTheme="minorHAnsi"/>
                <w:sz w:val="20"/>
                <w:szCs w:val="20"/>
                <w:lang w:val="en-US"/>
              </w:rPr>
              <w:t>1.09</w:t>
            </w:r>
          </w:p>
        </w:tc>
        <w:tc>
          <w:tcPr>
            <w:tcW w:w="1337" w:type="dxa"/>
            <w:tcBorders>
              <w:top w:val="single" w:sz="4" w:space="0" w:color="auto"/>
              <w:left w:val="nil"/>
              <w:bottom w:val="single" w:sz="4" w:space="0" w:color="auto"/>
              <w:right w:val="single" w:sz="4" w:space="0" w:color="auto"/>
            </w:tcBorders>
            <w:vAlign w:val="bottom"/>
            <w:hideMark/>
          </w:tcPr>
          <w:p w14:paraId="389DE0D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1342" w:type="dxa"/>
            <w:tcBorders>
              <w:top w:val="single" w:sz="4" w:space="0" w:color="auto"/>
              <w:left w:val="single" w:sz="4" w:space="0" w:color="auto"/>
              <w:bottom w:val="single" w:sz="4" w:space="0" w:color="auto"/>
              <w:right w:val="nil"/>
            </w:tcBorders>
            <w:vAlign w:val="bottom"/>
            <w:hideMark/>
          </w:tcPr>
          <w:p w14:paraId="1BC8536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6F347D7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0F2426D"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379A"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5CC9E05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T9.05</w:t>
            </w:r>
          </w:p>
        </w:tc>
        <w:tc>
          <w:tcPr>
            <w:tcW w:w="1651" w:type="dxa"/>
            <w:tcBorders>
              <w:top w:val="single" w:sz="4" w:space="0" w:color="auto"/>
              <w:left w:val="single" w:sz="4" w:space="0" w:color="auto"/>
              <w:bottom w:val="single" w:sz="4" w:space="0" w:color="auto"/>
              <w:right w:val="single" w:sz="4" w:space="0" w:color="auto"/>
            </w:tcBorders>
            <w:hideMark/>
          </w:tcPr>
          <w:p w14:paraId="47AF674E" w14:textId="77777777" w:rsidR="00836512" w:rsidRDefault="00836512">
            <w:pPr>
              <w:jc w:val="center"/>
              <w:rPr>
                <w:rFonts w:eastAsiaTheme="minorHAnsi"/>
                <w:sz w:val="20"/>
                <w:szCs w:val="20"/>
                <w:lang w:val="en-US"/>
              </w:rPr>
            </w:pPr>
            <w:r>
              <w:rPr>
                <w:rFonts w:eastAsiaTheme="minorHAnsi"/>
                <w:sz w:val="20"/>
                <w:szCs w:val="20"/>
                <w:lang w:val="en-US"/>
              </w:rPr>
              <w:t>14.30 – 18.00</w:t>
            </w:r>
          </w:p>
        </w:tc>
        <w:tc>
          <w:tcPr>
            <w:tcW w:w="1206" w:type="dxa"/>
            <w:tcBorders>
              <w:top w:val="single" w:sz="4" w:space="0" w:color="auto"/>
              <w:left w:val="single" w:sz="4" w:space="0" w:color="auto"/>
              <w:bottom w:val="single" w:sz="4" w:space="0" w:color="auto"/>
              <w:right w:val="single" w:sz="4" w:space="0" w:color="auto"/>
            </w:tcBorders>
            <w:hideMark/>
          </w:tcPr>
          <w:p w14:paraId="2F1AFA0C" w14:textId="77777777" w:rsidR="00836512" w:rsidRDefault="00836512">
            <w:pPr>
              <w:jc w:val="center"/>
              <w:rPr>
                <w:rFonts w:eastAsiaTheme="minorHAnsi"/>
                <w:sz w:val="20"/>
                <w:szCs w:val="20"/>
                <w:lang w:val="en-US"/>
              </w:rPr>
            </w:pPr>
            <w:r>
              <w:rPr>
                <w:rFonts w:eastAsiaTheme="minorHAnsi"/>
                <w:sz w:val="20"/>
                <w:szCs w:val="20"/>
                <w:lang w:val="en-US"/>
              </w:rPr>
              <w:t>1.35</w:t>
            </w:r>
          </w:p>
        </w:tc>
        <w:tc>
          <w:tcPr>
            <w:tcW w:w="1337" w:type="dxa"/>
            <w:tcBorders>
              <w:top w:val="single" w:sz="4" w:space="0" w:color="auto"/>
              <w:left w:val="nil"/>
              <w:bottom w:val="single" w:sz="4" w:space="0" w:color="auto"/>
              <w:right w:val="single" w:sz="4" w:space="0" w:color="auto"/>
            </w:tcBorders>
            <w:vAlign w:val="bottom"/>
            <w:hideMark/>
          </w:tcPr>
          <w:p w14:paraId="38F7689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-18.9</w:t>
            </w:r>
          </w:p>
        </w:tc>
        <w:tc>
          <w:tcPr>
            <w:tcW w:w="1342" w:type="dxa"/>
            <w:tcBorders>
              <w:top w:val="single" w:sz="4" w:space="0" w:color="auto"/>
              <w:left w:val="single" w:sz="4" w:space="0" w:color="auto"/>
              <w:bottom w:val="single" w:sz="4" w:space="0" w:color="auto"/>
              <w:right w:val="nil"/>
            </w:tcBorders>
            <w:vAlign w:val="bottom"/>
            <w:hideMark/>
          </w:tcPr>
          <w:p w14:paraId="0675291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10.1</w:t>
            </w:r>
          </w:p>
        </w:tc>
        <w:tc>
          <w:tcPr>
            <w:tcW w:w="1241" w:type="dxa"/>
            <w:tcBorders>
              <w:top w:val="single" w:sz="4" w:space="0" w:color="auto"/>
              <w:left w:val="single" w:sz="4" w:space="0" w:color="auto"/>
              <w:bottom w:val="single" w:sz="4" w:space="0" w:color="auto"/>
              <w:right w:val="single" w:sz="4" w:space="0" w:color="auto"/>
            </w:tcBorders>
            <w:vAlign w:val="bottom"/>
            <w:hideMark/>
          </w:tcPr>
          <w:p w14:paraId="57B68AA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03FEF8D"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38EAF896" w14:textId="77777777" w:rsidR="00836512" w:rsidRDefault="00836512">
            <w:pPr>
              <w:rPr>
                <w:rFonts w:eastAsiaTheme="minorHAnsi"/>
                <w:color w:val="000000"/>
                <w:sz w:val="20"/>
                <w:szCs w:val="20"/>
                <w:lang w:val="en-US"/>
              </w:rPr>
            </w:pPr>
            <w:r>
              <w:rPr>
                <w:rFonts w:eastAsiaTheme="minorHAnsi"/>
                <w:color w:val="000000"/>
                <w:sz w:val="20"/>
                <w:szCs w:val="20"/>
                <w:lang w:val="en-US"/>
              </w:rPr>
              <w:t>Botromagno</w:t>
            </w:r>
          </w:p>
          <w:p w14:paraId="294F53AE" w14:textId="77777777" w:rsidR="00836512" w:rsidRDefault="00836512">
            <w:pPr>
              <w:rPr>
                <w:rFonts w:eastAsiaTheme="minorHAnsi"/>
                <w:color w:val="000000"/>
                <w:sz w:val="20"/>
                <w:szCs w:val="20"/>
                <w:lang w:val="en-US"/>
              </w:rPr>
            </w:pPr>
            <w:r>
              <w:rPr>
                <w:rFonts w:eastAsiaTheme="minorHAnsi"/>
                <w:color w:val="000000"/>
                <w:sz w:val="20"/>
                <w:szCs w:val="20"/>
                <w:lang w:val="en-US"/>
              </w:rPr>
              <w:t>1972 Area NA Burial 1 of A-1</w:t>
            </w:r>
          </w:p>
        </w:tc>
        <w:tc>
          <w:tcPr>
            <w:tcW w:w="1334" w:type="dxa"/>
            <w:tcBorders>
              <w:top w:val="single" w:sz="4" w:space="0" w:color="auto"/>
              <w:left w:val="single" w:sz="4" w:space="0" w:color="auto"/>
              <w:bottom w:val="single" w:sz="4" w:space="0" w:color="auto"/>
              <w:right w:val="single" w:sz="4" w:space="0" w:color="auto"/>
            </w:tcBorders>
            <w:hideMark/>
          </w:tcPr>
          <w:p w14:paraId="634A151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T10.01</w:t>
            </w:r>
          </w:p>
        </w:tc>
        <w:tc>
          <w:tcPr>
            <w:tcW w:w="1651" w:type="dxa"/>
            <w:tcBorders>
              <w:top w:val="single" w:sz="4" w:space="0" w:color="auto"/>
              <w:left w:val="single" w:sz="4" w:space="0" w:color="auto"/>
              <w:bottom w:val="single" w:sz="4" w:space="0" w:color="auto"/>
              <w:right w:val="single" w:sz="4" w:space="0" w:color="auto"/>
            </w:tcBorders>
            <w:hideMark/>
          </w:tcPr>
          <w:p w14:paraId="2C184696" w14:textId="77777777" w:rsidR="00836512" w:rsidRDefault="00836512">
            <w:pPr>
              <w:jc w:val="center"/>
              <w:rPr>
                <w:rFonts w:eastAsiaTheme="minorHAnsi"/>
                <w:sz w:val="20"/>
                <w:szCs w:val="20"/>
                <w:lang w:val="en-US"/>
              </w:rPr>
            </w:pPr>
            <w:r>
              <w:rPr>
                <w:rFonts w:eastAsiaTheme="minorHAnsi"/>
                <w:sz w:val="20"/>
                <w:szCs w:val="20"/>
                <w:lang w:val="en-US"/>
              </w:rPr>
              <w:t>4.50 – 11.60</w:t>
            </w:r>
          </w:p>
        </w:tc>
        <w:tc>
          <w:tcPr>
            <w:tcW w:w="1206" w:type="dxa"/>
            <w:tcBorders>
              <w:top w:val="single" w:sz="4" w:space="0" w:color="auto"/>
              <w:left w:val="single" w:sz="4" w:space="0" w:color="auto"/>
              <w:bottom w:val="single" w:sz="4" w:space="0" w:color="auto"/>
              <w:right w:val="single" w:sz="4" w:space="0" w:color="auto"/>
            </w:tcBorders>
            <w:hideMark/>
          </w:tcPr>
          <w:p w14:paraId="3A58AE8D" w14:textId="77777777" w:rsidR="00836512" w:rsidRDefault="00836512">
            <w:pPr>
              <w:jc w:val="center"/>
              <w:rPr>
                <w:rFonts w:eastAsiaTheme="minorHAnsi"/>
                <w:sz w:val="20"/>
                <w:szCs w:val="20"/>
                <w:lang w:val="en-US"/>
              </w:rPr>
            </w:pPr>
            <w:r>
              <w:rPr>
                <w:rFonts w:eastAsiaTheme="minorHAnsi"/>
                <w:sz w:val="20"/>
                <w:szCs w:val="20"/>
                <w:lang w:val="en-US"/>
              </w:rPr>
              <w:t>0.67</w:t>
            </w:r>
          </w:p>
        </w:tc>
        <w:tc>
          <w:tcPr>
            <w:tcW w:w="1337" w:type="dxa"/>
            <w:tcBorders>
              <w:top w:val="single" w:sz="4" w:space="0" w:color="auto"/>
              <w:left w:val="nil"/>
              <w:bottom w:val="single" w:sz="4" w:space="0" w:color="auto"/>
              <w:right w:val="single" w:sz="4" w:space="0" w:color="auto"/>
            </w:tcBorders>
            <w:vAlign w:val="bottom"/>
            <w:hideMark/>
          </w:tcPr>
          <w:p w14:paraId="772D2AB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-18.4</w:t>
            </w:r>
          </w:p>
        </w:tc>
        <w:tc>
          <w:tcPr>
            <w:tcW w:w="1342" w:type="dxa"/>
            <w:tcBorders>
              <w:top w:val="single" w:sz="4" w:space="0" w:color="auto"/>
              <w:left w:val="single" w:sz="4" w:space="0" w:color="auto"/>
              <w:bottom w:val="single" w:sz="4" w:space="0" w:color="auto"/>
              <w:right w:val="nil"/>
            </w:tcBorders>
            <w:vAlign w:val="bottom"/>
            <w:hideMark/>
          </w:tcPr>
          <w:p w14:paraId="1ACBAF7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13.7</w:t>
            </w:r>
          </w:p>
        </w:tc>
        <w:tc>
          <w:tcPr>
            <w:tcW w:w="1241" w:type="dxa"/>
            <w:tcBorders>
              <w:top w:val="single" w:sz="4" w:space="0" w:color="auto"/>
              <w:left w:val="single" w:sz="4" w:space="0" w:color="auto"/>
              <w:bottom w:val="single" w:sz="4" w:space="0" w:color="auto"/>
              <w:right w:val="single" w:sz="4" w:space="0" w:color="auto"/>
            </w:tcBorders>
            <w:vAlign w:val="bottom"/>
            <w:hideMark/>
          </w:tcPr>
          <w:p w14:paraId="1317B9C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365CD64"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5B448"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47239F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T10.02</w:t>
            </w:r>
          </w:p>
        </w:tc>
        <w:tc>
          <w:tcPr>
            <w:tcW w:w="1651" w:type="dxa"/>
            <w:tcBorders>
              <w:top w:val="single" w:sz="4" w:space="0" w:color="auto"/>
              <w:left w:val="single" w:sz="4" w:space="0" w:color="auto"/>
              <w:bottom w:val="single" w:sz="4" w:space="0" w:color="auto"/>
              <w:right w:val="single" w:sz="4" w:space="0" w:color="auto"/>
            </w:tcBorders>
            <w:hideMark/>
          </w:tcPr>
          <w:p w14:paraId="6D26DD32" w14:textId="77777777" w:rsidR="00836512" w:rsidRDefault="00836512">
            <w:pPr>
              <w:jc w:val="center"/>
              <w:rPr>
                <w:rFonts w:eastAsiaTheme="minorHAnsi"/>
                <w:sz w:val="20"/>
                <w:szCs w:val="20"/>
                <w:lang w:val="en-US"/>
              </w:rPr>
            </w:pPr>
            <w:r>
              <w:rPr>
                <w:rFonts w:eastAsiaTheme="minorHAnsi"/>
                <w:sz w:val="20"/>
                <w:szCs w:val="20"/>
                <w:lang w:val="en-US"/>
              </w:rPr>
              <w:t>11.60 – 18.40</w:t>
            </w:r>
          </w:p>
        </w:tc>
        <w:tc>
          <w:tcPr>
            <w:tcW w:w="1206" w:type="dxa"/>
            <w:tcBorders>
              <w:top w:val="single" w:sz="4" w:space="0" w:color="auto"/>
              <w:left w:val="single" w:sz="4" w:space="0" w:color="auto"/>
              <w:bottom w:val="single" w:sz="4" w:space="0" w:color="auto"/>
              <w:right w:val="single" w:sz="4" w:space="0" w:color="auto"/>
            </w:tcBorders>
            <w:hideMark/>
          </w:tcPr>
          <w:p w14:paraId="0700BBE8" w14:textId="77777777" w:rsidR="00836512" w:rsidRDefault="00836512">
            <w:pPr>
              <w:jc w:val="center"/>
              <w:rPr>
                <w:rFonts w:eastAsiaTheme="minorHAnsi"/>
                <w:sz w:val="20"/>
                <w:szCs w:val="20"/>
                <w:lang w:val="en-US"/>
              </w:rPr>
            </w:pPr>
            <w:r>
              <w:rPr>
                <w:rFonts w:eastAsiaTheme="minorHAnsi"/>
                <w:sz w:val="20"/>
                <w:szCs w:val="20"/>
                <w:lang w:val="en-US"/>
              </w:rPr>
              <w:t>1.25</w:t>
            </w:r>
          </w:p>
        </w:tc>
        <w:tc>
          <w:tcPr>
            <w:tcW w:w="1337" w:type="dxa"/>
            <w:tcBorders>
              <w:top w:val="single" w:sz="4" w:space="0" w:color="auto"/>
              <w:left w:val="nil"/>
              <w:bottom w:val="single" w:sz="4" w:space="0" w:color="auto"/>
              <w:right w:val="single" w:sz="4" w:space="0" w:color="auto"/>
            </w:tcBorders>
            <w:vAlign w:val="bottom"/>
            <w:hideMark/>
          </w:tcPr>
          <w:p w14:paraId="423566C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1342" w:type="dxa"/>
            <w:tcBorders>
              <w:top w:val="single" w:sz="4" w:space="0" w:color="auto"/>
              <w:left w:val="single" w:sz="4" w:space="0" w:color="auto"/>
              <w:bottom w:val="single" w:sz="4" w:space="0" w:color="auto"/>
              <w:right w:val="nil"/>
            </w:tcBorders>
            <w:vAlign w:val="bottom"/>
            <w:hideMark/>
          </w:tcPr>
          <w:p w14:paraId="15B3F22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11.1</w:t>
            </w:r>
          </w:p>
        </w:tc>
        <w:tc>
          <w:tcPr>
            <w:tcW w:w="1241" w:type="dxa"/>
            <w:tcBorders>
              <w:top w:val="single" w:sz="4" w:space="0" w:color="auto"/>
              <w:left w:val="single" w:sz="4" w:space="0" w:color="auto"/>
              <w:bottom w:val="single" w:sz="4" w:space="0" w:color="auto"/>
              <w:right w:val="single" w:sz="4" w:space="0" w:color="auto"/>
            </w:tcBorders>
            <w:vAlign w:val="bottom"/>
            <w:hideMark/>
          </w:tcPr>
          <w:p w14:paraId="335D753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F011407"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54115"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7A1E8E9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T10.03</w:t>
            </w:r>
          </w:p>
        </w:tc>
        <w:tc>
          <w:tcPr>
            <w:tcW w:w="1651" w:type="dxa"/>
            <w:tcBorders>
              <w:top w:val="single" w:sz="4" w:space="0" w:color="auto"/>
              <w:left w:val="single" w:sz="4" w:space="0" w:color="auto"/>
              <w:bottom w:val="single" w:sz="4" w:space="0" w:color="auto"/>
              <w:right w:val="single" w:sz="4" w:space="0" w:color="auto"/>
            </w:tcBorders>
            <w:hideMark/>
          </w:tcPr>
          <w:p w14:paraId="0151B132" w14:textId="77777777" w:rsidR="00836512" w:rsidRDefault="00836512">
            <w:pPr>
              <w:jc w:val="center"/>
              <w:rPr>
                <w:rFonts w:eastAsiaTheme="minorHAnsi"/>
                <w:sz w:val="20"/>
                <w:szCs w:val="20"/>
                <w:lang w:val="en-US"/>
              </w:rPr>
            </w:pPr>
            <w:r>
              <w:rPr>
                <w:rFonts w:eastAsiaTheme="minorHAnsi"/>
                <w:sz w:val="20"/>
                <w:szCs w:val="20"/>
                <w:lang w:val="en-US"/>
              </w:rPr>
              <w:t>18.40 – 25.20</w:t>
            </w:r>
          </w:p>
        </w:tc>
        <w:tc>
          <w:tcPr>
            <w:tcW w:w="1206" w:type="dxa"/>
            <w:tcBorders>
              <w:top w:val="single" w:sz="4" w:space="0" w:color="auto"/>
              <w:left w:val="single" w:sz="4" w:space="0" w:color="auto"/>
              <w:bottom w:val="single" w:sz="4" w:space="0" w:color="auto"/>
              <w:right w:val="single" w:sz="4" w:space="0" w:color="auto"/>
            </w:tcBorders>
            <w:hideMark/>
          </w:tcPr>
          <w:p w14:paraId="36077965" w14:textId="77777777" w:rsidR="00836512" w:rsidRDefault="00836512">
            <w:pPr>
              <w:jc w:val="center"/>
              <w:rPr>
                <w:rFonts w:eastAsiaTheme="minorHAnsi"/>
                <w:sz w:val="20"/>
                <w:szCs w:val="20"/>
                <w:lang w:val="en-US"/>
              </w:rPr>
            </w:pPr>
            <w:r>
              <w:rPr>
                <w:rFonts w:eastAsiaTheme="minorHAnsi"/>
                <w:sz w:val="20"/>
                <w:szCs w:val="20"/>
                <w:lang w:val="en-US"/>
              </w:rPr>
              <w:t>1.82</w:t>
            </w:r>
          </w:p>
        </w:tc>
        <w:tc>
          <w:tcPr>
            <w:tcW w:w="1337" w:type="dxa"/>
            <w:tcBorders>
              <w:top w:val="single" w:sz="4" w:space="0" w:color="auto"/>
              <w:left w:val="nil"/>
              <w:bottom w:val="single" w:sz="4" w:space="0" w:color="auto"/>
              <w:right w:val="single" w:sz="4" w:space="0" w:color="auto"/>
            </w:tcBorders>
            <w:vAlign w:val="bottom"/>
            <w:hideMark/>
          </w:tcPr>
          <w:p w14:paraId="57C8F44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1342" w:type="dxa"/>
            <w:tcBorders>
              <w:top w:val="single" w:sz="4" w:space="0" w:color="auto"/>
              <w:left w:val="single" w:sz="4" w:space="0" w:color="auto"/>
              <w:bottom w:val="single" w:sz="4" w:space="0" w:color="auto"/>
              <w:right w:val="nil"/>
            </w:tcBorders>
            <w:vAlign w:val="bottom"/>
            <w:hideMark/>
          </w:tcPr>
          <w:p w14:paraId="535126C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11.0</w:t>
            </w:r>
          </w:p>
        </w:tc>
        <w:tc>
          <w:tcPr>
            <w:tcW w:w="1241" w:type="dxa"/>
            <w:tcBorders>
              <w:top w:val="single" w:sz="4" w:space="0" w:color="auto"/>
              <w:left w:val="single" w:sz="4" w:space="0" w:color="auto"/>
              <w:bottom w:val="single" w:sz="4" w:space="0" w:color="auto"/>
              <w:right w:val="single" w:sz="4" w:space="0" w:color="auto"/>
            </w:tcBorders>
            <w:vAlign w:val="bottom"/>
            <w:hideMark/>
          </w:tcPr>
          <w:p w14:paraId="6B48B2D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ABFE09C"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6A468E"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532192A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T10.04</w:t>
            </w:r>
          </w:p>
        </w:tc>
        <w:tc>
          <w:tcPr>
            <w:tcW w:w="1651" w:type="dxa"/>
            <w:tcBorders>
              <w:top w:val="single" w:sz="4" w:space="0" w:color="auto"/>
              <w:left w:val="single" w:sz="4" w:space="0" w:color="auto"/>
              <w:bottom w:val="single" w:sz="4" w:space="0" w:color="auto"/>
              <w:right w:val="single" w:sz="4" w:space="0" w:color="auto"/>
            </w:tcBorders>
            <w:hideMark/>
          </w:tcPr>
          <w:p w14:paraId="4A03B4B5" w14:textId="77777777" w:rsidR="00836512" w:rsidRDefault="00836512">
            <w:pPr>
              <w:jc w:val="center"/>
              <w:rPr>
                <w:rFonts w:eastAsiaTheme="minorHAnsi"/>
                <w:sz w:val="20"/>
                <w:szCs w:val="20"/>
                <w:lang w:val="en-US"/>
              </w:rPr>
            </w:pPr>
            <w:r>
              <w:rPr>
                <w:rFonts w:eastAsiaTheme="minorHAnsi"/>
                <w:sz w:val="20"/>
                <w:szCs w:val="20"/>
                <w:lang w:val="en-US"/>
              </w:rPr>
              <w:t>25.20 – 42.00</w:t>
            </w:r>
          </w:p>
        </w:tc>
        <w:tc>
          <w:tcPr>
            <w:tcW w:w="1206" w:type="dxa"/>
            <w:tcBorders>
              <w:top w:val="single" w:sz="4" w:space="0" w:color="auto"/>
              <w:left w:val="single" w:sz="4" w:space="0" w:color="auto"/>
              <w:bottom w:val="single" w:sz="4" w:space="0" w:color="auto"/>
              <w:right w:val="single" w:sz="4" w:space="0" w:color="auto"/>
            </w:tcBorders>
            <w:hideMark/>
          </w:tcPr>
          <w:p w14:paraId="0B386BC2" w14:textId="77777777" w:rsidR="00836512" w:rsidRDefault="00836512">
            <w:pPr>
              <w:jc w:val="center"/>
              <w:rPr>
                <w:rFonts w:eastAsiaTheme="minorHAnsi"/>
                <w:sz w:val="20"/>
                <w:szCs w:val="20"/>
                <w:lang w:val="en-US"/>
              </w:rPr>
            </w:pPr>
            <w:r>
              <w:rPr>
                <w:rFonts w:eastAsiaTheme="minorHAnsi"/>
                <w:sz w:val="20"/>
                <w:szCs w:val="20"/>
                <w:lang w:val="en-US"/>
              </w:rPr>
              <w:t>2.80</w:t>
            </w:r>
          </w:p>
        </w:tc>
        <w:tc>
          <w:tcPr>
            <w:tcW w:w="1337" w:type="dxa"/>
            <w:tcBorders>
              <w:top w:val="single" w:sz="4" w:space="0" w:color="auto"/>
              <w:left w:val="nil"/>
              <w:bottom w:val="single" w:sz="4" w:space="0" w:color="auto"/>
              <w:right w:val="single" w:sz="4" w:space="0" w:color="auto"/>
            </w:tcBorders>
            <w:vAlign w:val="bottom"/>
            <w:hideMark/>
          </w:tcPr>
          <w:p w14:paraId="0E8AA97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w:t>
            </w:r>
          </w:p>
        </w:tc>
        <w:tc>
          <w:tcPr>
            <w:tcW w:w="1342" w:type="dxa"/>
            <w:tcBorders>
              <w:top w:val="single" w:sz="4" w:space="0" w:color="auto"/>
              <w:left w:val="single" w:sz="4" w:space="0" w:color="auto"/>
              <w:bottom w:val="single" w:sz="4" w:space="0" w:color="auto"/>
              <w:right w:val="nil"/>
            </w:tcBorders>
            <w:vAlign w:val="bottom"/>
            <w:hideMark/>
          </w:tcPr>
          <w:p w14:paraId="78936E8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10.0</w:t>
            </w:r>
          </w:p>
        </w:tc>
        <w:tc>
          <w:tcPr>
            <w:tcW w:w="1241" w:type="dxa"/>
            <w:tcBorders>
              <w:top w:val="single" w:sz="4" w:space="0" w:color="auto"/>
              <w:left w:val="single" w:sz="4" w:space="0" w:color="auto"/>
              <w:bottom w:val="single" w:sz="4" w:space="0" w:color="auto"/>
              <w:right w:val="single" w:sz="4" w:space="0" w:color="auto"/>
            </w:tcBorders>
            <w:vAlign w:val="bottom"/>
            <w:hideMark/>
          </w:tcPr>
          <w:p w14:paraId="4B0505E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3.4</w:t>
            </w:r>
          </w:p>
        </w:tc>
      </w:tr>
      <w:tr w:rsidR="00836512" w14:paraId="5E3CEBA2"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4E187FE9" w14:textId="77777777" w:rsidR="00836512" w:rsidRPr="0079060E" w:rsidRDefault="00836512">
            <w:pPr>
              <w:rPr>
                <w:rFonts w:eastAsiaTheme="minorHAnsi"/>
                <w:color w:val="000000"/>
                <w:sz w:val="20"/>
                <w:szCs w:val="20"/>
                <w:lang w:val="it-IT"/>
              </w:rPr>
            </w:pPr>
            <w:r w:rsidRPr="0079060E">
              <w:rPr>
                <w:rFonts w:eastAsiaTheme="minorHAnsi"/>
                <w:color w:val="000000"/>
                <w:sz w:val="20"/>
                <w:szCs w:val="20"/>
                <w:lang w:val="it-IT"/>
              </w:rPr>
              <w:t>Botromagno</w:t>
            </w:r>
          </w:p>
          <w:p w14:paraId="1CEFF32D" w14:textId="77777777" w:rsidR="00836512" w:rsidRPr="0079060E" w:rsidRDefault="00836512">
            <w:pPr>
              <w:rPr>
                <w:rFonts w:eastAsiaTheme="minorHAnsi"/>
                <w:color w:val="000000"/>
                <w:sz w:val="20"/>
                <w:szCs w:val="20"/>
                <w:lang w:val="it-IT"/>
              </w:rPr>
            </w:pPr>
            <w:r w:rsidRPr="0079060E">
              <w:rPr>
                <w:rFonts w:eastAsiaTheme="minorHAnsi"/>
                <w:color w:val="000000"/>
                <w:sz w:val="20"/>
                <w:szCs w:val="20"/>
                <w:lang w:val="it-IT"/>
              </w:rPr>
              <w:t>G67/I P15 S19</w:t>
            </w:r>
          </w:p>
        </w:tc>
        <w:tc>
          <w:tcPr>
            <w:tcW w:w="1334" w:type="dxa"/>
            <w:tcBorders>
              <w:top w:val="single" w:sz="4" w:space="0" w:color="auto"/>
              <w:left w:val="single" w:sz="4" w:space="0" w:color="auto"/>
              <w:bottom w:val="single" w:sz="4" w:space="0" w:color="auto"/>
              <w:right w:val="single" w:sz="4" w:space="0" w:color="auto"/>
            </w:tcBorders>
            <w:hideMark/>
          </w:tcPr>
          <w:p w14:paraId="3C50BD8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T11.01</w:t>
            </w:r>
          </w:p>
        </w:tc>
        <w:tc>
          <w:tcPr>
            <w:tcW w:w="1651" w:type="dxa"/>
            <w:tcBorders>
              <w:top w:val="single" w:sz="4" w:space="0" w:color="auto"/>
              <w:left w:val="single" w:sz="4" w:space="0" w:color="auto"/>
              <w:bottom w:val="single" w:sz="4" w:space="0" w:color="auto"/>
              <w:right w:val="single" w:sz="4" w:space="0" w:color="auto"/>
            </w:tcBorders>
            <w:hideMark/>
          </w:tcPr>
          <w:p w14:paraId="0084602E" w14:textId="77777777" w:rsidR="00836512" w:rsidRDefault="00836512">
            <w:pPr>
              <w:jc w:val="center"/>
              <w:rPr>
                <w:rFonts w:eastAsiaTheme="minorHAnsi"/>
                <w:sz w:val="20"/>
                <w:szCs w:val="20"/>
                <w:lang w:val="en-US"/>
              </w:rPr>
            </w:pPr>
            <w:r>
              <w:rPr>
                <w:rFonts w:eastAsiaTheme="minorHAnsi"/>
                <w:sz w:val="20"/>
                <w:szCs w:val="20"/>
                <w:lang w:val="en-US"/>
              </w:rPr>
              <w:t>2.25 – 10.32</w:t>
            </w:r>
          </w:p>
        </w:tc>
        <w:tc>
          <w:tcPr>
            <w:tcW w:w="1206" w:type="dxa"/>
            <w:tcBorders>
              <w:top w:val="single" w:sz="4" w:space="0" w:color="auto"/>
              <w:left w:val="single" w:sz="4" w:space="0" w:color="auto"/>
              <w:bottom w:val="single" w:sz="4" w:space="0" w:color="auto"/>
              <w:right w:val="single" w:sz="4" w:space="0" w:color="auto"/>
            </w:tcBorders>
            <w:hideMark/>
          </w:tcPr>
          <w:p w14:paraId="716A80A7" w14:textId="77777777" w:rsidR="00836512" w:rsidRDefault="00836512">
            <w:pPr>
              <w:jc w:val="center"/>
              <w:rPr>
                <w:rFonts w:eastAsiaTheme="minorHAnsi"/>
                <w:sz w:val="20"/>
                <w:szCs w:val="20"/>
                <w:lang w:val="en-US"/>
              </w:rPr>
            </w:pPr>
            <w:r>
              <w:rPr>
                <w:rFonts w:eastAsiaTheme="minorHAnsi"/>
                <w:sz w:val="20"/>
                <w:szCs w:val="20"/>
                <w:lang w:val="en-US"/>
              </w:rPr>
              <w:t>0.52</w:t>
            </w:r>
          </w:p>
        </w:tc>
        <w:tc>
          <w:tcPr>
            <w:tcW w:w="1337" w:type="dxa"/>
            <w:tcBorders>
              <w:top w:val="single" w:sz="4" w:space="0" w:color="auto"/>
              <w:left w:val="nil"/>
              <w:bottom w:val="single" w:sz="4" w:space="0" w:color="auto"/>
              <w:right w:val="single" w:sz="4" w:space="0" w:color="auto"/>
            </w:tcBorders>
            <w:vAlign w:val="bottom"/>
            <w:hideMark/>
          </w:tcPr>
          <w:p w14:paraId="1DD66C8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-17.5</w:t>
            </w:r>
          </w:p>
        </w:tc>
        <w:tc>
          <w:tcPr>
            <w:tcW w:w="1342" w:type="dxa"/>
            <w:tcBorders>
              <w:top w:val="single" w:sz="4" w:space="0" w:color="auto"/>
              <w:left w:val="single" w:sz="4" w:space="0" w:color="auto"/>
              <w:bottom w:val="single" w:sz="4" w:space="0" w:color="auto"/>
              <w:right w:val="nil"/>
            </w:tcBorders>
            <w:vAlign w:val="bottom"/>
            <w:hideMark/>
          </w:tcPr>
          <w:p w14:paraId="460D23D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12.7</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124076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EF4DA7D"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8914C"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95B080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T11.02</w:t>
            </w:r>
          </w:p>
        </w:tc>
        <w:tc>
          <w:tcPr>
            <w:tcW w:w="1651" w:type="dxa"/>
            <w:tcBorders>
              <w:top w:val="single" w:sz="4" w:space="0" w:color="auto"/>
              <w:left w:val="single" w:sz="4" w:space="0" w:color="auto"/>
              <w:bottom w:val="single" w:sz="4" w:space="0" w:color="auto"/>
              <w:right w:val="single" w:sz="4" w:space="0" w:color="auto"/>
            </w:tcBorders>
            <w:hideMark/>
          </w:tcPr>
          <w:p w14:paraId="44507C5E" w14:textId="77777777" w:rsidR="00836512" w:rsidRDefault="00836512">
            <w:pPr>
              <w:jc w:val="center"/>
              <w:rPr>
                <w:rFonts w:eastAsiaTheme="minorHAnsi"/>
                <w:sz w:val="20"/>
                <w:szCs w:val="20"/>
                <w:lang w:val="en-US"/>
              </w:rPr>
            </w:pPr>
            <w:r>
              <w:rPr>
                <w:rFonts w:eastAsiaTheme="minorHAnsi"/>
                <w:sz w:val="20"/>
                <w:szCs w:val="20"/>
                <w:lang w:val="en-US"/>
              </w:rPr>
              <w:t>10.32 – 18.60</w:t>
            </w:r>
          </w:p>
        </w:tc>
        <w:tc>
          <w:tcPr>
            <w:tcW w:w="1206" w:type="dxa"/>
            <w:tcBorders>
              <w:top w:val="single" w:sz="4" w:space="0" w:color="auto"/>
              <w:left w:val="single" w:sz="4" w:space="0" w:color="auto"/>
              <w:bottom w:val="single" w:sz="4" w:space="0" w:color="auto"/>
              <w:right w:val="single" w:sz="4" w:space="0" w:color="auto"/>
            </w:tcBorders>
            <w:hideMark/>
          </w:tcPr>
          <w:p w14:paraId="5EBFEAFA" w14:textId="77777777" w:rsidR="00836512" w:rsidRDefault="00836512">
            <w:pPr>
              <w:jc w:val="center"/>
              <w:rPr>
                <w:rFonts w:eastAsiaTheme="minorHAnsi"/>
                <w:sz w:val="20"/>
                <w:szCs w:val="20"/>
                <w:lang w:val="en-US"/>
              </w:rPr>
            </w:pPr>
            <w:r>
              <w:rPr>
                <w:rFonts w:eastAsiaTheme="minorHAnsi"/>
                <w:sz w:val="20"/>
                <w:szCs w:val="20"/>
                <w:lang w:val="en-US"/>
              </w:rPr>
              <w:t>1.20</w:t>
            </w:r>
          </w:p>
        </w:tc>
        <w:tc>
          <w:tcPr>
            <w:tcW w:w="1337" w:type="dxa"/>
            <w:tcBorders>
              <w:top w:val="single" w:sz="4" w:space="0" w:color="auto"/>
              <w:left w:val="nil"/>
              <w:bottom w:val="single" w:sz="4" w:space="0" w:color="auto"/>
              <w:right w:val="single" w:sz="4" w:space="0" w:color="auto"/>
            </w:tcBorders>
            <w:vAlign w:val="bottom"/>
            <w:hideMark/>
          </w:tcPr>
          <w:p w14:paraId="03A667F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-17.4</w:t>
            </w:r>
          </w:p>
        </w:tc>
        <w:tc>
          <w:tcPr>
            <w:tcW w:w="1342" w:type="dxa"/>
            <w:tcBorders>
              <w:top w:val="single" w:sz="4" w:space="0" w:color="auto"/>
              <w:left w:val="single" w:sz="4" w:space="0" w:color="auto"/>
              <w:bottom w:val="single" w:sz="4" w:space="0" w:color="auto"/>
              <w:right w:val="nil"/>
            </w:tcBorders>
            <w:vAlign w:val="bottom"/>
            <w:hideMark/>
          </w:tcPr>
          <w:p w14:paraId="21EE4A5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14.0</w:t>
            </w:r>
          </w:p>
        </w:tc>
        <w:tc>
          <w:tcPr>
            <w:tcW w:w="1241" w:type="dxa"/>
            <w:tcBorders>
              <w:top w:val="single" w:sz="4" w:space="0" w:color="auto"/>
              <w:left w:val="single" w:sz="4" w:space="0" w:color="auto"/>
              <w:bottom w:val="single" w:sz="4" w:space="0" w:color="auto"/>
              <w:right w:val="single" w:sz="4" w:space="0" w:color="auto"/>
            </w:tcBorders>
            <w:vAlign w:val="bottom"/>
            <w:hideMark/>
          </w:tcPr>
          <w:p w14:paraId="4DA6B18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ECBF6E1"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6EB677"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C5AD0E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T11.03</w:t>
            </w:r>
          </w:p>
        </w:tc>
        <w:tc>
          <w:tcPr>
            <w:tcW w:w="1651" w:type="dxa"/>
            <w:tcBorders>
              <w:top w:val="single" w:sz="4" w:space="0" w:color="auto"/>
              <w:left w:val="single" w:sz="4" w:space="0" w:color="auto"/>
              <w:bottom w:val="single" w:sz="4" w:space="0" w:color="auto"/>
              <w:right w:val="single" w:sz="4" w:space="0" w:color="auto"/>
            </w:tcBorders>
            <w:hideMark/>
          </w:tcPr>
          <w:p w14:paraId="530C969D" w14:textId="77777777" w:rsidR="00836512" w:rsidRDefault="00836512">
            <w:pPr>
              <w:jc w:val="center"/>
              <w:rPr>
                <w:rFonts w:eastAsiaTheme="minorHAnsi"/>
                <w:sz w:val="20"/>
                <w:szCs w:val="20"/>
                <w:lang w:val="en-US"/>
              </w:rPr>
            </w:pPr>
            <w:r>
              <w:rPr>
                <w:rFonts w:eastAsiaTheme="minorHAnsi"/>
                <w:sz w:val="20"/>
                <w:szCs w:val="20"/>
                <w:lang w:val="en-US"/>
              </w:rPr>
              <w:t>18.60 – 30.30</w:t>
            </w:r>
          </w:p>
        </w:tc>
        <w:tc>
          <w:tcPr>
            <w:tcW w:w="1206" w:type="dxa"/>
            <w:tcBorders>
              <w:top w:val="single" w:sz="4" w:space="0" w:color="auto"/>
              <w:left w:val="single" w:sz="4" w:space="0" w:color="auto"/>
              <w:bottom w:val="single" w:sz="4" w:space="0" w:color="auto"/>
              <w:right w:val="single" w:sz="4" w:space="0" w:color="auto"/>
            </w:tcBorders>
            <w:hideMark/>
          </w:tcPr>
          <w:p w14:paraId="24FAF26F" w14:textId="77777777" w:rsidR="00836512" w:rsidRDefault="00836512">
            <w:pPr>
              <w:jc w:val="center"/>
              <w:rPr>
                <w:rFonts w:eastAsiaTheme="minorHAnsi"/>
                <w:sz w:val="20"/>
                <w:szCs w:val="20"/>
                <w:lang w:val="en-US"/>
              </w:rPr>
            </w:pPr>
            <w:r>
              <w:rPr>
                <w:rFonts w:eastAsiaTheme="minorHAnsi"/>
                <w:sz w:val="20"/>
                <w:szCs w:val="20"/>
                <w:lang w:val="en-US"/>
              </w:rPr>
              <w:t>2.04</w:t>
            </w:r>
          </w:p>
        </w:tc>
        <w:tc>
          <w:tcPr>
            <w:tcW w:w="1337" w:type="dxa"/>
            <w:tcBorders>
              <w:top w:val="single" w:sz="4" w:space="0" w:color="auto"/>
              <w:left w:val="nil"/>
              <w:bottom w:val="single" w:sz="4" w:space="0" w:color="auto"/>
              <w:right w:val="single" w:sz="4" w:space="0" w:color="auto"/>
            </w:tcBorders>
            <w:vAlign w:val="bottom"/>
            <w:hideMark/>
          </w:tcPr>
          <w:p w14:paraId="4A33474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-18.0</w:t>
            </w:r>
          </w:p>
        </w:tc>
        <w:tc>
          <w:tcPr>
            <w:tcW w:w="1342" w:type="dxa"/>
            <w:tcBorders>
              <w:top w:val="single" w:sz="4" w:space="0" w:color="auto"/>
              <w:left w:val="single" w:sz="4" w:space="0" w:color="auto"/>
              <w:bottom w:val="single" w:sz="4" w:space="0" w:color="auto"/>
              <w:right w:val="nil"/>
            </w:tcBorders>
            <w:vAlign w:val="bottom"/>
            <w:hideMark/>
          </w:tcPr>
          <w:p w14:paraId="2C42E03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13.3</w:t>
            </w:r>
          </w:p>
        </w:tc>
        <w:tc>
          <w:tcPr>
            <w:tcW w:w="1241" w:type="dxa"/>
            <w:tcBorders>
              <w:top w:val="single" w:sz="4" w:space="0" w:color="auto"/>
              <w:left w:val="single" w:sz="4" w:space="0" w:color="auto"/>
              <w:bottom w:val="single" w:sz="4" w:space="0" w:color="auto"/>
              <w:right w:val="single" w:sz="4" w:space="0" w:color="auto"/>
            </w:tcBorders>
            <w:vAlign w:val="bottom"/>
            <w:hideMark/>
          </w:tcPr>
          <w:p w14:paraId="1CA05AE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69B7CFE"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B00F7"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63F0B46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T11.04</w:t>
            </w:r>
          </w:p>
        </w:tc>
        <w:tc>
          <w:tcPr>
            <w:tcW w:w="1651" w:type="dxa"/>
            <w:tcBorders>
              <w:top w:val="single" w:sz="4" w:space="0" w:color="auto"/>
              <w:left w:val="single" w:sz="4" w:space="0" w:color="auto"/>
              <w:bottom w:val="single" w:sz="4" w:space="0" w:color="auto"/>
              <w:right w:val="single" w:sz="4" w:space="0" w:color="auto"/>
            </w:tcBorders>
            <w:hideMark/>
          </w:tcPr>
          <w:p w14:paraId="2446E2B7" w14:textId="77777777" w:rsidR="00836512" w:rsidRDefault="00836512">
            <w:pPr>
              <w:jc w:val="center"/>
              <w:rPr>
                <w:rFonts w:eastAsiaTheme="minorHAnsi"/>
                <w:sz w:val="20"/>
                <w:szCs w:val="20"/>
                <w:lang w:val="en-US"/>
              </w:rPr>
            </w:pPr>
            <w:r>
              <w:rPr>
                <w:rFonts w:eastAsiaTheme="minorHAnsi"/>
                <w:sz w:val="20"/>
                <w:szCs w:val="20"/>
                <w:lang w:val="en-US"/>
              </w:rPr>
              <w:t>30.30 – 42.00</w:t>
            </w:r>
          </w:p>
        </w:tc>
        <w:tc>
          <w:tcPr>
            <w:tcW w:w="1206" w:type="dxa"/>
            <w:tcBorders>
              <w:top w:val="single" w:sz="4" w:space="0" w:color="auto"/>
              <w:left w:val="single" w:sz="4" w:space="0" w:color="auto"/>
              <w:bottom w:val="single" w:sz="4" w:space="0" w:color="auto"/>
              <w:right w:val="single" w:sz="4" w:space="0" w:color="auto"/>
            </w:tcBorders>
            <w:hideMark/>
          </w:tcPr>
          <w:p w14:paraId="4E744F89" w14:textId="77777777" w:rsidR="00836512" w:rsidRDefault="00836512">
            <w:pPr>
              <w:jc w:val="center"/>
              <w:rPr>
                <w:rFonts w:eastAsiaTheme="minorHAnsi"/>
                <w:sz w:val="20"/>
                <w:szCs w:val="20"/>
                <w:lang w:val="en-US"/>
              </w:rPr>
            </w:pPr>
            <w:r>
              <w:rPr>
                <w:rFonts w:eastAsiaTheme="minorHAnsi"/>
                <w:sz w:val="20"/>
                <w:szCs w:val="20"/>
                <w:lang w:val="en-US"/>
              </w:rPr>
              <w:t>3.01</w:t>
            </w:r>
          </w:p>
        </w:tc>
        <w:tc>
          <w:tcPr>
            <w:tcW w:w="1337" w:type="dxa"/>
            <w:tcBorders>
              <w:top w:val="single" w:sz="4" w:space="0" w:color="auto"/>
              <w:left w:val="nil"/>
              <w:bottom w:val="single" w:sz="4" w:space="0" w:color="auto"/>
              <w:right w:val="single" w:sz="4" w:space="0" w:color="auto"/>
            </w:tcBorders>
            <w:vAlign w:val="bottom"/>
            <w:hideMark/>
          </w:tcPr>
          <w:p w14:paraId="5F1C186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-19.4</w:t>
            </w:r>
          </w:p>
        </w:tc>
        <w:tc>
          <w:tcPr>
            <w:tcW w:w="1342" w:type="dxa"/>
            <w:tcBorders>
              <w:top w:val="single" w:sz="4" w:space="0" w:color="auto"/>
              <w:left w:val="single" w:sz="4" w:space="0" w:color="auto"/>
              <w:bottom w:val="single" w:sz="4" w:space="0" w:color="auto"/>
              <w:right w:val="nil"/>
            </w:tcBorders>
            <w:vAlign w:val="bottom"/>
            <w:hideMark/>
          </w:tcPr>
          <w:p w14:paraId="53E20FB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12.3</w:t>
            </w:r>
          </w:p>
        </w:tc>
        <w:tc>
          <w:tcPr>
            <w:tcW w:w="1241" w:type="dxa"/>
            <w:tcBorders>
              <w:top w:val="single" w:sz="4" w:space="0" w:color="auto"/>
              <w:left w:val="single" w:sz="4" w:space="0" w:color="auto"/>
              <w:bottom w:val="single" w:sz="4" w:space="0" w:color="auto"/>
              <w:right w:val="single" w:sz="4" w:space="0" w:color="auto"/>
            </w:tcBorders>
            <w:vAlign w:val="bottom"/>
            <w:hideMark/>
          </w:tcPr>
          <w:p w14:paraId="2282FFC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7A5AFB3A" w14:textId="77777777" w:rsidTr="00836512">
        <w:trPr>
          <w:jc w:val="center"/>
        </w:trPr>
        <w:tc>
          <w:tcPr>
            <w:tcW w:w="1670" w:type="dxa"/>
            <w:vMerge w:val="restart"/>
            <w:tcBorders>
              <w:top w:val="single" w:sz="4" w:space="0" w:color="auto"/>
              <w:left w:val="single" w:sz="4" w:space="0" w:color="auto"/>
              <w:bottom w:val="single" w:sz="4" w:space="0" w:color="auto"/>
              <w:right w:val="single" w:sz="4" w:space="0" w:color="auto"/>
            </w:tcBorders>
            <w:hideMark/>
          </w:tcPr>
          <w:p w14:paraId="6616CDE0" w14:textId="77777777" w:rsidR="00836512" w:rsidRDefault="00836512">
            <w:pPr>
              <w:rPr>
                <w:rFonts w:eastAsiaTheme="minorHAnsi"/>
                <w:color w:val="000000"/>
                <w:sz w:val="20"/>
                <w:szCs w:val="20"/>
                <w:lang w:val="en-US"/>
              </w:rPr>
            </w:pPr>
            <w:r>
              <w:rPr>
                <w:rFonts w:eastAsiaTheme="minorHAnsi"/>
                <w:color w:val="000000"/>
                <w:sz w:val="20"/>
                <w:szCs w:val="20"/>
                <w:lang w:val="en-US"/>
              </w:rPr>
              <w:t>Botromagno</w:t>
            </w:r>
          </w:p>
          <w:p w14:paraId="13E4EDA8" w14:textId="77777777" w:rsidR="00836512" w:rsidRDefault="00836512">
            <w:pPr>
              <w:rPr>
                <w:rFonts w:eastAsiaTheme="minorHAnsi"/>
                <w:color w:val="000000"/>
                <w:sz w:val="20"/>
                <w:szCs w:val="20"/>
                <w:lang w:val="en-US"/>
              </w:rPr>
            </w:pPr>
            <w:r>
              <w:rPr>
                <w:rFonts w:eastAsiaTheme="minorHAnsi"/>
                <w:color w:val="000000"/>
                <w:sz w:val="20"/>
                <w:szCs w:val="20"/>
                <w:lang w:val="en-US"/>
              </w:rPr>
              <w:t>G67 Site C RZ3 Pit 3 tomb infill</w:t>
            </w:r>
          </w:p>
        </w:tc>
        <w:tc>
          <w:tcPr>
            <w:tcW w:w="1334" w:type="dxa"/>
            <w:tcBorders>
              <w:top w:val="single" w:sz="4" w:space="0" w:color="auto"/>
              <w:left w:val="single" w:sz="4" w:space="0" w:color="auto"/>
              <w:bottom w:val="single" w:sz="4" w:space="0" w:color="auto"/>
              <w:right w:val="single" w:sz="4" w:space="0" w:color="auto"/>
            </w:tcBorders>
            <w:hideMark/>
          </w:tcPr>
          <w:p w14:paraId="507E135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T12.01</w:t>
            </w:r>
          </w:p>
        </w:tc>
        <w:tc>
          <w:tcPr>
            <w:tcW w:w="1651" w:type="dxa"/>
            <w:tcBorders>
              <w:top w:val="single" w:sz="4" w:space="0" w:color="auto"/>
              <w:left w:val="single" w:sz="4" w:space="0" w:color="auto"/>
              <w:bottom w:val="single" w:sz="4" w:space="0" w:color="auto"/>
              <w:right w:val="single" w:sz="4" w:space="0" w:color="auto"/>
            </w:tcBorders>
            <w:hideMark/>
          </w:tcPr>
          <w:p w14:paraId="0FB97549" w14:textId="77777777" w:rsidR="00836512" w:rsidRDefault="00836512">
            <w:pPr>
              <w:jc w:val="center"/>
              <w:rPr>
                <w:rFonts w:eastAsiaTheme="minorHAnsi"/>
                <w:sz w:val="20"/>
                <w:szCs w:val="20"/>
                <w:lang w:val="en-US"/>
              </w:rPr>
            </w:pPr>
            <w:r>
              <w:rPr>
                <w:rFonts w:eastAsiaTheme="minorHAnsi"/>
                <w:sz w:val="20"/>
                <w:szCs w:val="20"/>
                <w:lang w:val="en-US"/>
              </w:rPr>
              <w:t>18.00 – 28.80</w:t>
            </w:r>
          </w:p>
        </w:tc>
        <w:tc>
          <w:tcPr>
            <w:tcW w:w="1206" w:type="dxa"/>
            <w:tcBorders>
              <w:top w:val="single" w:sz="4" w:space="0" w:color="auto"/>
              <w:left w:val="single" w:sz="4" w:space="0" w:color="auto"/>
              <w:bottom w:val="single" w:sz="4" w:space="0" w:color="auto"/>
              <w:right w:val="single" w:sz="4" w:space="0" w:color="auto"/>
            </w:tcBorders>
            <w:hideMark/>
          </w:tcPr>
          <w:p w14:paraId="58D52239" w14:textId="77777777" w:rsidR="00836512" w:rsidRDefault="00836512">
            <w:pPr>
              <w:jc w:val="center"/>
              <w:rPr>
                <w:rFonts w:eastAsiaTheme="minorHAnsi"/>
                <w:sz w:val="20"/>
                <w:szCs w:val="20"/>
                <w:lang w:val="en-US"/>
              </w:rPr>
            </w:pPr>
            <w:r>
              <w:rPr>
                <w:rFonts w:eastAsiaTheme="minorHAnsi"/>
                <w:sz w:val="20"/>
                <w:szCs w:val="20"/>
                <w:lang w:val="en-US"/>
              </w:rPr>
              <w:t>1.95</w:t>
            </w:r>
          </w:p>
        </w:tc>
        <w:tc>
          <w:tcPr>
            <w:tcW w:w="1337" w:type="dxa"/>
            <w:tcBorders>
              <w:top w:val="single" w:sz="4" w:space="0" w:color="auto"/>
              <w:left w:val="nil"/>
              <w:bottom w:val="single" w:sz="4" w:space="0" w:color="auto"/>
              <w:right w:val="single" w:sz="4" w:space="0" w:color="auto"/>
            </w:tcBorders>
            <w:vAlign w:val="bottom"/>
            <w:hideMark/>
          </w:tcPr>
          <w:p w14:paraId="038EC11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1342" w:type="dxa"/>
            <w:tcBorders>
              <w:top w:val="single" w:sz="4" w:space="0" w:color="auto"/>
              <w:left w:val="single" w:sz="4" w:space="0" w:color="auto"/>
              <w:bottom w:val="single" w:sz="4" w:space="0" w:color="auto"/>
              <w:right w:val="nil"/>
            </w:tcBorders>
            <w:vAlign w:val="bottom"/>
            <w:hideMark/>
          </w:tcPr>
          <w:p w14:paraId="16928E2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11.9</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F63951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5320E87"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4CD8B"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92E0F8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T12.02</w:t>
            </w:r>
          </w:p>
        </w:tc>
        <w:tc>
          <w:tcPr>
            <w:tcW w:w="1651" w:type="dxa"/>
            <w:tcBorders>
              <w:top w:val="single" w:sz="4" w:space="0" w:color="auto"/>
              <w:left w:val="single" w:sz="4" w:space="0" w:color="auto"/>
              <w:bottom w:val="single" w:sz="4" w:space="0" w:color="auto"/>
              <w:right w:val="single" w:sz="4" w:space="0" w:color="auto"/>
            </w:tcBorders>
            <w:hideMark/>
          </w:tcPr>
          <w:p w14:paraId="6715C90A" w14:textId="77777777" w:rsidR="00836512" w:rsidRDefault="00836512">
            <w:pPr>
              <w:jc w:val="center"/>
              <w:rPr>
                <w:rFonts w:eastAsiaTheme="minorHAnsi"/>
                <w:sz w:val="20"/>
                <w:szCs w:val="20"/>
                <w:lang w:val="en-US"/>
              </w:rPr>
            </w:pPr>
            <w:r>
              <w:rPr>
                <w:rFonts w:eastAsiaTheme="minorHAnsi"/>
                <w:sz w:val="20"/>
                <w:szCs w:val="20"/>
                <w:lang w:val="en-US"/>
              </w:rPr>
              <w:t>28.80 – 38.40</w:t>
            </w:r>
          </w:p>
        </w:tc>
        <w:tc>
          <w:tcPr>
            <w:tcW w:w="1206" w:type="dxa"/>
            <w:tcBorders>
              <w:top w:val="single" w:sz="4" w:space="0" w:color="auto"/>
              <w:left w:val="single" w:sz="4" w:space="0" w:color="auto"/>
              <w:bottom w:val="single" w:sz="4" w:space="0" w:color="auto"/>
              <w:right w:val="single" w:sz="4" w:space="0" w:color="auto"/>
            </w:tcBorders>
            <w:hideMark/>
          </w:tcPr>
          <w:p w14:paraId="49CE642B" w14:textId="77777777" w:rsidR="00836512" w:rsidRDefault="00836512">
            <w:pPr>
              <w:jc w:val="center"/>
              <w:rPr>
                <w:rFonts w:eastAsiaTheme="minorHAnsi"/>
                <w:sz w:val="20"/>
                <w:szCs w:val="20"/>
                <w:lang w:val="en-US"/>
              </w:rPr>
            </w:pPr>
            <w:r>
              <w:rPr>
                <w:rFonts w:eastAsiaTheme="minorHAnsi"/>
                <w:sz w:val="20"/>
                <w:szCs w:val="20"/>
                <w:lang w:val="en-US"/>
              </w:rPr>
              <w:t>2.80</w:t>
            </w:r>
          </w:p>
        </w:tc>
        <w:tc>
          <w:tcPr>
            <w:tcW w:w="1337" w:type="dxa"/>
            <w:tcBorders>
              <w:top w:val="single" w:sz="4" w:space="0" w:color="auto"/>
              <w:left w:val="nil"/>
              <w:bottom w:val="single" w:sz="4" w:space="0" w:color="auto"/>
              <w:right w:val="single" w:sz="4" w:space="0" w:color="auto"/>
            </w:tcBorders>
            <w:vAlign w:val="bottom"/>
            <w:hideMark/>
          </w:tcPr>
          <w:p w14:paraId="0DE58FC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-19.7</w:t>
            </w:r>
          </w:p>
        </w:tc>
        <w:tc>
          <w:tcPr>
            <w:tcW w:w="1342" w:type="dxa"/>
            <w:tcBorders>
              <w:top w:val="single" w:sz="4" w:space="0" w:color="auto"/>
              <w:left w:val="single" w:sz="4" w:space="0" w:color="auto"/>
              <w:bottom w:val="single" w:sz="4" w:space="0" w:color="auto"/>
              <w:right w:val="nil"/>
            </w:tcBorders>
            <w:vAlign w:val="bottom"/>
            <w:hideMark/>
          </w:tcPr>
          <w:p w14:paraId="3ACA7E9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10.0</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5666B6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48FDEE4D"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6423EA"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18C29DC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T12.03</w:t>
            </w:r>
          </w:p>
        </w:tc>
        <w:tc>
          <w:tcPr>
            <w:tcW w:w="1651" w:type="dxa"/>
            <w:tcBorders>
              <w:top w:val="single" w:sz="4" w:space="0" w:color="auto"/>
              <w:left w:val="single" w:sz="4" w:space="0" w:color="auto"/>
              <w:bottom w:val="single" w:sz="4" w:space="0" w:color="auto"/>
              <w:right w:val="single" w:sz="4" w:space="0" w:color="auto"/>
            </w:tcBorders>
            <w:hideMark/>
          </w:tcPr>
          <w:p w14:paraId="7D2C9A7C" w14:textId="77777777" w:rsidR="00836512" w:rsidRDefault="00836512">
            <w:pPr>
              <w:jc w:val="center"/>
              <w:rPr>
                <w:rFonts w:eastAsiaTheme="minorHAnsi"/>
                <w:sz w:val="20"/>
                <w:szCs w:val="20"/>
                <w:lang w:val="en-US"/>
              </w:rPr>
            </w:pPr>
            <w:r>
              <w:rPr>
                <w:rFonts w:eastAsiaTheme="minorHAnsi"/>
                <w:sz w:val="20"/>
                <w:szCs w:val="20"/>
                <w:lang w:val="en-US"/>
              </w:rPr>
              <w:t>38.40 – 48.00</w:t>
            </w:r>
          </w:p>
        </w:tc>
        <w:tc>
          <w:tcPr>
            <w:tcW w:w="1206" w:type="dxa"/>
            <w:tcBorders>
              <w:top w:val="single" w:sz="4" w:space="0" w:color="auto"/>
              <w:left w:val="single" w:sz="4" w:space="0" w:color="auto"/>
              <w:bottom w:val="single" w:sz="4" w:space="0" w:color="auto"/>
              <w:right w:val="single" w:sz="4" w:space="0" w:color="auto"/>
            </w:tcBorders>
            <w:hideMark/>
          </w:tcPr>
          <w:p w14:paraId="332F7F28" w14:textId="77777777" w:rsidR="00836512" w:rsidRDefault="00836512">
            <w:pPr>
              <w:jc w:val="center"/>
              <w:rPr>
                <w:rFonts w:eastAsiaTheme="minorHAnsi"/>
                <w:sz w:val="20"/>
                <w:szCs w:val="20"/>
                <w:lang w:val="en-US"/>
              </w:rPr>
            </w:pPr>
            <w:r>
              <w:rPr>
                <w:rFonts w:eastAsiaTheme="minorHAnsi"/>
                <w:sz w:val="20"/>
                <w:szCs w:val="20"/>
                <w:lang w:val="en-US"/>
              </w:rPr>
              <w:t>3.60</w:t>
            </w:r>
          </w:p>
        </w:tc>
        <w:tc>
          <w:tcPr>
            <w:tcW w:w="1337" w:type="dxa"/>
            <w:tcBorders>
              <w:top w:val="single" w:sz="4" w:space="0" w:color="auto"/>
              <w:left w:val="nil"/>
              <w:bottom w:val="single" w:sz="4" w:space="0" w:color="auto"/>
              <w:right w:val="single" w:sz="4" w:space="0" w:color="auto"/>
            </w:tcBorders>
            <w:vAlign w:val="bottom"/>
            <w:hideMark/>
          </w:tcPr>
          <w:p w14:paraId="402E01F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-19.7</w:t>
            </w:r>
          </w:p>
        </w:tc>
        <w:tc>
          <w:tcPr>
            <w:tcW w:w="1342" w:type="dxa"/>
            <w:tcBorders>
              <w:top w:val="single" w:sz="4" w:space="0" w:color="auto"/>
              <w:left w:val="single" w:sz="4" w:space="0" w:color="auto"/>
              <w:bottom w:val="single" w:sz="4" w:space="0" w:color="auto"/>
              <w:right w:val="nil"/>
            </w:tcBorders>
            <w:vAlign w:val="bottom"/>
            <w:hideMark/>
          </w:tcPr>
          <w:p w14:paraId="400E31C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9.8</w:t>
            </w:r>
          </w:p>
        </w:tc>
        <w:tc>
          <w:tcPr>
            <w:tcW w:w="1241" w:type="dxa"/>
            <w:tcBorders>
              <w:top w:val="single" w:sz="4" w:space="0" w:color="auto"/>
              <w:left w:val="single" w:sz="4" w:space="0" w:color="auto"/>
              <w:bottom w:val="single" w:sz="4" w:space="0" w:color="auto"/>
              <w:right w:val="single" w:sz="4" w:space="0" w:color="auto"/>
            </w:tcBorders>
            <w:vAlign w:val="bottom"/>
            <w:hideMark/>
          </w:tcPr>
          <w:p w14:paraId="7B9973D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61BCB14C"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ABC8BA"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69406FB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T12.04</w:t>
            </w:r>
          </w:p>
        </w:tc>
        <w:tc>
          <w:tcPr>
            <w:tcW w:w="1651" w:type="dxa"/>
            <w:tcBorders>
              <w:top w:val="single" w:sz="4" w:space="0" w:color="auto"/>
              <w:left w:val="single" w:sz="4" w:space="0" w:color="auto"/>
              <w:bottom w:val="single" w:sz="4" w:space="0" w:color="auto"/>
              <w:right w:val="single" w:sz="4" w:space="0" w:color="auto"/>
            </w:tcBorders>
            <w:hideMark/>
          </w:tcPr>
          <w:p w14:paraId="680AD21D" w14:textId="77777777" w:rsidR="00836512" w:rsidRDefault="00836512">
            <w:pPr>
              <w:jc w:val="center"/>
              <w:rPr>
                <w:rFonts w:eastAsiaTheme="minorHAnsi"/>
                <w:sz w:val="20"/>
                <w:szCs w:val="20"/>
                <w:lang w:val="en-US"/>
              </w:rPr>
            </w:pPr>
            <w:r>
              <w:rPr>
                <w:rFonts w:eastAsiaTheme="minorHAnsi"/>
                <w:sz w:val="20"/>
                <w:szCs w:val="20"/>
                <w:lang w:val="en-US"/>
              </w:rPr>
              <w:t>48.00 – 63.00</w:t>
            </w:r>
          </w:p>
        </w:tc>
        <w:tc>
          <w:tcPr>
            <w:tcW w:w="1206" w:type="dxa"/>
            <w:tcBorders>
              <w:top w:val="single" w:sz="4" w:space="0" w:color="auto"/>
              <w:left w:val="single" w:sz="4" w:space="0" w:color="auto"/>
              <w:bottom w:val="single" w:sz="4" w:space="0" w:color="auto"/>
              <w:right w:val="single" w:sz="4" w:space="0" w:color="auto"/>
            </w:tcBorders>
            <w:hideMark/>
          </w:tcPr>
          <w:p w14:paraId="022B8E70" w14:textId="77777777" w:rsidR="00836512" w:rsidRDefault="00836512">
            <w:pPr>
              <w:jc w:val="center"/>
              <w:rPr>
                <w:rFonts w:eastAsiaTheme="minorHAnsi"/>
                <w:sz w:val="20"/>
                <w:szCs w:val="20"/>
                <w:lang w:val="en-US"/>
              </w:rPr>
            </w:pPr>
            <w:r>
              <w:rPr>
                <w:rFonts w:eastAsiaTheme="minorHAnsi"/>
                <w:sz w:val="20"/>
                <w:szCs w:val="20"/>
                <w:lang w:val="en-US"/>
              </w:rPr>
              <w:t>4.63</w:t>
            </w:r>
          </w:p>
        </w:tc>
        <w:tc>
          <w:tcPr>
            <w:tcW w:w="1337" w:type="dxa"/>
            <w:tcBorders>
              <w:top w:val="single" w:sz="4" w:space="0" w:color="auto"/>
              <w:left w:val="nil"/>
              <w:bottom w:val="single" w:sz="4" w:space="0" w:color="auto"/>
              <w:right w:val="single" w:sz="4" w:space="0" w:color="auto"/>
            </w:tcBorders>
            <w:vAlign w:val="bottom"/>
            <w:hideMark/>
          </w:tcPr>
          <w:p w14:paraId="5C04016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w:t>
            </w:r>
          </w:p>
        </w:tc>
        <w:tc>
          <w:tcPr>
            <w:tcW w:w="1342" w:type="dxa"/>
            <w:tcBorders>
              <w:top w:val="single" w:sz="4" w:space="0" w:color="auto"/>
              <w:left w:val="single" w:sz="4" w:space="0" w:color="auto"/>
              <w:bottom w:val="single" w:sz="4" w:space="0" w:color="auto"/>
              <w:right w:val="nil"/>
            </w:tcBorders>
            <w:vAlign w:val="bottom"/>
            <w:hideMark/>
          </w:tcPr>
          <w:p w14:paraId="20B5C3E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9.6</w:t>
            </w:r>
          </w:p>
        </w:tc>
        <w:tc>
          <w:tcPr>
            <w:tcW w:w="1241" w:type="dxa"/>
            <w:tcBorders>
              <w:top w:val="single" w:sz="4" w:space="0" w:color="auto"/>
              <w:left w:val="single" w:sz="4" w:space="0" w:color="auto"/>
              <w:bottom w:val="single" w:sz="4" w:space="0" w:color="auto"/>
              <w:right w:val="single" w:sz="4" w:space="0" w:color="auto"/>
            </w:tcBorders>
            <w:vAlign w:val="bottom"/>
            <w:hideMark/>
          </w:tcPr>
          <w:p w14:paraId="7829415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3F486CF8"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A92D8"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81020F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T12.05</w:t>
            </w:r>
          </w:p>
        </w:tc>
        <w:tc>
          <w:tcPr>
            <w:tcW w:w="1651" w:type="dxa"/>
            <w:tcBorders>
              <w:top w:val="single" w:sz="4" w:space="0" w:color="auto"/>
              <w:left w:val="single" w:sz="4" w:space="0" w:color="auto"/>
              <w:bottom w:val="single" w:sz="4" w:space="0" w:color="auto"/>
              <w:right w:val="single" w:sz="4" w:space="0" w:color="auto"/>
            </w:tcBorders>
            <w:hideMark/>
          </w:tcPr>
          <w:p w14:paraId="0DCD7BED" w14:textId="77777777" w:rsidR="00836512" w:rsidRDefault="00836512">
            <w:pPr>
              <w:jc w:val="center"/>
              <w:rPr>
                <w:rFonts w:eastAsiaTheme="minorHAnsi"/>
                <w:sz w:val="20"/>
                <w:szCs w:val="20"/>
                <w:lang w:val="en-US"/>
              </w:rPr>
            </w:pPr>
            <w:r>
              <w:rPr>
                <w:rFonts w:eastAsiaTheme="minorHAnsi"/>
                <w:sz w:val="20"/>
                <w:szCs w:val="20"/>
                <w:lang w:val="en-US"/>
              </w:rPr>
              <w:t>63.00 – 78.00</w:t>
            </w:r>
          </w:p>
        </w:tc>
        <w:tc>
          <w:tcPr>
            <w:tcW w:w="1206" w:type="dxa"/>
            <w:tcBorders>
              <w:top w:val="single" w:sz="4" w:space="0" w:color="auto"/>
              <w:left w:val="single" w:sz="4" w:space="0" w:color="auto"/>
              <w:bottom w:val="single" w:sz="4" w:space="0" w:color="auto"/>
              <w:right w:val="single" w:sz="4" w:space="0" w:color="auto"/>
            </w:tcBorders>
            <w:hideMark/>
          </w:tcPr>
          <w:p w14:paraId="1F17DE8F" w14:textId="77777777" w:rsidR="00836512" w:rsidRDefault="00836512">
            <w:pPr>
              <w:jc w:val="center"/>
              <w:rPr>
                <w:rFonts w:eastAsiaTheme="minorHAnsi"/>
                <w:sz w:val="20"/>
                <w:szCs w:val="20"/>
                <w:lang w:val="en-US"/>
              </w:rPr>
            </w:pPr>
            <w:r>
              <w:rPr>
                <w:rFonts w:eastAsiaTheme="minorHAnsi"/>
                <w:sz w:val="20"/>
                <w:szCs w:val="20"/>
                <w:lang w:val="en-US"/>
              </w:rPr>
              <w:t>5.88</w:t>
            </w:r>
          </w:p>
        </w:tc>
        <w:tc>
          <w:tcPr>
            <w:tcW w:w="1337" w:type="dxa"/>
            <w:tcBorders>
              <w:top w:val="single" w:sz="4" w:space="0" w:color="auto"/>
              <w:left w:val="nil"/>
              <w:bottom w:val="single" w:sz="4" w:space="0" w:color="auto"/>
              <w:right w:val="single" w:sz="4" w:space="0" w:color="auto"/>
            </w:tcBorders>
            <w:vAlign w:val="bottom"/>
            <w:hideMark/>
          </w:tcPr>
          <w:p w14:paraId="71C1D4E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w:t>
            </w:r>
          </w:p>
        </w:tc>
        <w:tc>
          <w:tcPr>
            <w:tcW w:w="1342" w:type="dxa"/>
            <w:tcBorders>
              <w:top w:val="single" w:sz="4" w:space="0" w:color="auto"/>
              <w:left w:val="single" w:sz="4" w:space="0" w:color="auto"/>
              <w:bottom w:val="single" w:sz="4" w:space="0" w:color="auto"/>
              <w:right w:val="nil"/>
            </w:tcBorders>
            <w:vAlign w:val="bottom"/>
            <w:hideMark/>
          </w:tcPr>
          <w:p w14:paraId="3411DAF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9.4</w:t>
            </w:r>
          </w:p>
        </w:tc>
        <w:tc>
          <w:tcPr>
            <w:tcW w:w="1241" w:type="dxa"/>
            <w:tcBorders>
              <w:top w:val="single" w:sz="4" w:space="0" w:color="auto"/>
              <w:left w:val="single" w:sz="4" w:space="0" w:color="auto"/>
              <w:bottom w:val="single" w:sz="4" w:space="0" w:color="auto"/>
              <w:right w:val="single" w:sz="4" w:space="0" w:color="auto"/>
            </w:tcBorders>
            <w:vAlign w:val="bottom"/>
            <w:hideMark/>
          </w:tcPr>
          <w:p w14:paraId="2C0B0EE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F651D0E"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93BE3"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23CB4C7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T12.06</w:t>
            </w:r>
          </w:p>
        </w:tc>
        <w:tc>
          <w:tcPr>
            <w:tcW w:w="1651" w:type="dxa"/>
            <w:tcBorders>
              <w:top w:val="single" w:sz="4" w:space="0" w:color="auto"/>
              <w:left w:val="single" w:sz="4" w:space="0" w:color="auto"/>
              <w:bottom w:val="single" w:sz="4" w:space="0" w:color="auto"/>
              <w:right w:val="single" w:sz="4" w:space="0" w:color="auto"/>
            </w:tcBorders>
            <w:hideMark/>
          </w:tcPr>
          <w:p w14:paraId="4941DC6E" w14:textId="77777777" w:rsidR="00836512" w:rsidRDefault="00836512">
            <w:pPr>
              <w:jc w:val="center"/>
              <w:rPr>
                <w:rFonts w:eastAsiaTheme="minorHAnsi"/>
                <w:sz w:val="20"/>
                <w:szCs w:val="20"/>
                <w:lang w:val="en-US"/>
              </w:rPr>
            </w:pPr>
            <w:r>
              <w:rPr>
                <w:rFonts w:eastAsiaTheme="minorHAnsi"/>
                <w:sz w:val="20"/>
                <w:szCs w:val="20"/>
                <w:lang w:val="en-US"/>
              </w:rPr>
              <w:t>78.00 – 93.00</w:t>
            </w:r>
          </w:p>
        </w:tc>
        <w:tc>
          <w:tcPr>
            <w:tcW w:w="1206" w:type="dxa"/>
            <w:tcBorders>
              <w:top w:val="single" w:sz="4" w:space="0" w:color="auto"/>
              <w:left w:val="single" w:sz="4" w:space="0" w:color="auto"/>
              <w:bottom w:val="single" w:sz="4" w:space="0" w:color="auto"/>
              <w:right w:val="single" w:sz="4" w:space="0" w:color="auto"/>
            </w:tcBorders>
            <w:hideMark/>
          </w:tcPr>
          <w:p w14:paraId="7EB24851" w14:textId="77777777" w:rsidR="00836512" w:rsidRDefault="00836512">
            <w:pPr>
              <w:jc w:val="center"/>
              <w:rPr>
                <w:rFonts w:eastAsiaTheme="minorHAnsi"/>
                <w:sz w:val="20"/>
                <w:szCs w:val="20"/>
                <w:lang w:val="en-US"/>
              </w:rPr>
            </w:pPr>
            <w:r>
              <w:rPr>
                <w:rFonts w:eastAsiaTheme="minorHAnsi"/>
                <w:sz w:val="20"/>
                <w:szCs w:val="20"/>
                <w:lang w:val="en-US"/>
              </w:rPr>
              <w:t>7.13</w:t>
            </w:r>
          </w:p>
        </w:tc>
        <w:tc>
          <w:tcPr>
            <w:tcW w:w="1337" w:type="dxa"/>
            <w:tcBorders>
              <w:top w:val="single" w:sz="4" w:space="0" w:color="auto"/>
              <w:left w:val="nil"/>
              <w:bottom w:val="single" w:sz="4" w:space="0" w:color="auto"/>
              <w:right w:val="single" w:sz="4" w:space="0" w:color="auto"/>
            </w:tcBorders>
            <w:vAlign w:val="bottom"/>
            <w:hideMark/>
          </w:tcPr>
          <w:p w14:paraId="188D3BE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-20.0</w:t>
            </w:r>
          </w:p>
        </w:tc>
        <w:tc>
          <w:tcPr>
            <w:tcW w:w="1342" w:type="dxa"/>
            <w:tcBorders>
              <w:top w:val="single" w:sz="4" w:space="0" w:color="auto"/>
              <w:left w:val="single" w:sz="4" w:space="0" w:color="auto"/>
              <w:bottom w:val="single" w:sz="4" w:space="0" w:color="auto"/>
              <w:right w:val="nil"/>
            </w:tcBorders>
            <w:vAlign w:val="bottom"/>
            <w:hideMark/>
          </w:tcPr>
          <w:p w14:paraId="7D3F8C6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9F9CE1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1FDA75CD" w14:textId="77777777" w:rsidTr="008365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878DA" w14:textId="77777777" w:rsidR="00836512" w:rsidRDefault="00836512">
            <w:pPr>
              <w:rPr>
                <w:rFonts w:eastAsiaTheme="minorHAnsi"/>
                <w:color w:val="000000"/>
                <w:sz w:val="20"/>
                <w:szCs w:val="20"/>
                <w:lang w:val="en-US"/>
              </w:rPr>
            </w:pPr>
          </w:p>
        </w:tc>
        <w:tc>
          <w:tcPr>
            <w:tcW w:w="1334" w:type="dxa"/>
            <w:tcBorders>
              <w:top w:val="single" w:sz="4" w:space="0" w:color="auto"/>
              <w:left w:val="single" w:sz="4" w:space="0" w:color="auto"/>
              <w:bottom w:val="single" w:sz="4" w:space="0" w:color="auto"/>
              <w:right w:val="single" w:sz="4" w:space="0" w:color="auto"/>
            </w:tcBorders>
            <w:hideMark/>
          </w:tcPr>
          <w:p w14:paraId="46E12A1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T12.07</w:t>
            </w:r>
          </w:p>
        </w:tc>
        <w:tc>
          <w:tcPr>
            <w:tcW w:w="1651" w:type="dxa"/>
            <w:tcBorders>
              <w:top w:val="single" w:sz="4" w:space="0" w:color="auto"/>
              <w:left w:val="single" w:sz="4" w:space="0" w:color="auto"/>
              <w:bottom w:val="single" w:sz="4" w:space="0" w:color="auto"/>
              <w:right w:val="single" w:sz="4" w:space="0" w:color="auto"/>
            </w:tcBorders>
            <w:hideMark/>
          </w:tcPr>
          <w:p w14:paraId="4717DD83" w14:textId="77777777" w:rsidR="00836512" w:rsidRDefault="00836512">
            <w:pPr>
              <w:jc w:val="center"/>
              <w:rPr>
                <w:rFonts w:eastAsiaTheme="minorHAnsi"/>
                <w:sz w:val="20"/>
                <w:szCs w:val="20"/>
                <w:lang w:val="en-US"/>
              </w:rPr>
            </w:pPr>
            <w:r>
              <w:rPr>
                <w:rFonts w:eastAsiaTheme="minorHAnsi"/>
                <w:sz w:val="20"/>
                <w:szCs w:val="20"/>
                <w:lang w:val="en-US"/>
              </w:rPr>
              <w:t>93.00 – 108.00</w:t>
            </w:r>
          </w:p>
        </w:tc>
        <w:tc>
          <w:tcPr>
            <w:tcW w:w="1206" w:type="dxa"/>
            <w:tcBorders>
              <w:top w:val="single" w:sz="4" w:space="0" w:color="auto"/>
              <w:left w:val="single" w:sz="4" w:space="0" w:color="auto"/>
              <w:bottom w:val="single" w:sz="4" w:space="0" w:color="auto"/>
              <w:right w:val="single" w:sz="4" w:space="0" w:color="auto"/>
            </w:tcBorders>
            <w:hideMark/>
          </w:tcPr>
          <w:p w14:paraId="7999D6C8" w14:textId="77777777" w:rsidR="00836512" w:rsidRDefault="00836512">
            <w:pPr>
              <w:jc w:val="center"/>
              <w:rPr>
                <w:rFonts w:eastAsiaTheme="minorHAnsi"/>
                <w:sz w:val="20"/>
                <w:szCs w:val="20"/>
                <w:lang w:val="en-US"/>
              </w:rPr>
            </w:pPr>
            <w:r>
              <w:rPr>
                <w:rFonts w:eastAsiaTheme="minorHAnsi"/>
                <w:sz w:val="20"/>
                <w:szCs w:val="20"/>
                <w:lang w:val="en-US"/>
              </w:rPr>
              <w:t>8.38</w:t>
            </w:r>
          </w:p>
        </w:tc>
        <w:tc>
          <w:tcPr>
            <w:tcW w:w="1337" w:type="dxa"/>
            <w:tcBorders>
              <w:top w:val="single" w:sz="4" w:space="0" w:color="auto"/>
              <w:left w:val="nil"/>
              <w:bottom w:val="single" w:sz="4" w:space="0" w:color="auto"/>
              <w:right w:val="single" w:sz="4" w:space="0" w:color="auto"/>
            </w:tcBorders>
            <w:vAlign w:val="bottom"/>
            <w:hideMark/>
          </w:tcPr>
          <w:p w14:paraId="1DD1C1F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-19.8</w:t>
            </w:r>
          </w:p>
        </w:tc>
        <w:tc>
          <w:tcPr>
            <w:tcW w:w="1342" w:type="dxa"/>
            <w:tcBorders>
              <w:top w:val="single" w:sz="4" w:space="0" w:color="auto"/>
              <w:left w:val="single" w:sz="4" w:space="0" w:color="auto"/>
              <w:bottom w:val="single" w:sz="4" w:space="0" w:color="auto"/>
              <w:right w:val="nil"/>
            </w:tcBorders>
            <w:vAlign w:val="bottom"/>
            <w:hideMark/>
          </w:tcPr>
          <w:p w14:paraId="130A548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10.2</w:t>
            </w:r>
          </w:p>
        </w:tc>
        <w:tc>
          <w:tcPr>
            <w:tcW w:w="1241" w:type="dxa"/>
            <w:tcBorders>
              <w:top w:val="single" w:sz="4" w:space="0" w:color="auto"/>
              <w:left w:val="single" w:sz="4" w:space="0" w:color="auto"/>
              <w:bottom w:val="single" w:sz="4" w:space="0" w:color="auto"/>
              <w:right w:val="single" w:sz="4" w:space="0" w:color="auto"/>
            </w:tcBorders>
            <w:vAlign w:val="bottom"/>
            <w:hideMark/>
          </w:tcPr>
          <w:p w14:paraId="0E59A34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bl>
    <w:p w14:paraId="1AE5EF20" w14:textId="77777777" w:rsidR="00836512" w:rsidRDefault="00836512" w:rsidP="00836512">
      <w:pPr>
        <w:rPr>
          <w:rFonts w:eastAsiaTheme="minorHAnsi"/>
          <w:lang w:val="en-US"/>
        </w:rPr>
      </w:pPr>
    </w:p>
    <w:p w14:paraId="02135434" w14:textId="77777777" w:rsidR="00836512" w:rsidRDefault="00836512" w:rsidP="00246437">
      <w:pPr>
        <w:rPr>
          <w:rFonts w:eastAsiaTheme="minorHAnsi"/>
          <w:lang w:val="en-US"/>
        </w:rPr>
      </w:pPr>
    </w:p>
    <w:p w14:paraId="0AD65CE4" w14:textId="1A310CF2" w:rsidR="00836512" w:rsidRDefault="00836512" w:rsidP="00E14AE9">
      <w:pPr>
        <w:spacing w:line="480" w:lineRule="auto"/>
        <w:ind w:firstLine="720"/>
        <w:rPr>
          <w:rFonts w:eastAsiaTheme="minorHAnsi"/>
          <w:lang w:val="en-US"/>
        </w:rPr>
      </w:pPr>
      <w:r>
        <w:rPr>
          <w:rFonts w:eastAsiaTheme="minorHAnsi"/>
          <w:lang w:val="en-US"/>
        </w:rPr>
        <w:lastRenderedPageBreak/>
        <w:t xml:space="preserve">Nitrogen and carbon isotope data for each subadult tooth are plotted against the estimated mean age for each section to create isotopic profiles. These charts are presented below in Figures </w:t>
      </w:r>
      <w:bookmarkStart w:id="5" w:name="OLE_LINK2"/>
      <w:bookmarkStart w:id="6" w:name="OLE_LINK1"/>
      <w:r>
        <w:rPr>
          <w:rFonts w:eastAsiaTheme="minorHAnsi"/>
          <w:lang w:val="en-US"/>
        </w:rPr>
        <w:t xml:space="preserve">5.1 – 5.12. </w:t>
      </w:r>
    </w:p>
    <w:p w14:paraId="5CB65F5B" w14:textId="5CD3AC56" w:rsidR="00836512" w:rsidRDefault="00836512" w:rsidP="00836512">
      <w:pPr>
        <w:jc w:val="center"/>
        <w:rPr>
          <w:rFonts w:eastAsiaTheme="minorHAnsi"/>
          <w:lang w:val="en-US"/>
        </w:rPr>
      </w:pPr>
      <w:r>
        <w:rPr>
          <w:noProof/>
          <w:lang w:eastAsia="en-CA"/>
        </w:rPr>
        <w:drawing>
          <wp:anchor distT="0" distB="0" distL="114300" distR="114300" simplePos="0" relativeHeight="251704320" behindDoc="0" locked="0" layoutInCell="1" allowOverlap="1" wp14:anchorId="6ADEEB1E" wp14:editId="446D05AD">
            <wp:simplePos x="0" y="0"/>
            <wp:positionH relativeFrom="column">
              <wp:posOffset>805070</wp:posOffset>
            </wp:positionH>
            <wp:positionV relativeFrom="paragraph">
              <wp:posOffset>13583</wp:posOffset>
            </wp:positionV>
            <wp:extent cx="4388400" cy="2862000"/>
            <wp:effectExtent l="0" t="0" r="0" b="0"/>
            <wp:wrapNone/>
            <wp:docPr id="149" name="Chart 149">
              <a:extLst xmlns:a="http://schemas.openxmlformats.org/drawingml/2006/main">
                <a:ext uri="{FF2B5EF4-FFF2-40B4-BE49-F238E27FC236}">
                  <a16:creationId xmlns:a16="http://schemas.microsoft.com/office/drawing/2014/main" id="{DC1C6220-27F1-054F-A2D5-86272D4B7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margin">
              <wp14:pctHeight>0</wp14:pctHeight>
            </wp14:sizeRelV>
          </wp:anchor>
        </w:drawing>
      </w:r>
    </w:p>
    <w:p w14:paraId="5B751FAA" w14:textId="77777777" w:rsidR="00836512" w:rsidRDefault="00836512" w:rsidP="00836512">
      <w:pPr>
        <w:jc w:val="center"/>
        <w:rPr>
          <w:rFonts w:eastAsiaTheme="minorHAnsi"/>
          <w:lang w:val="en-US"/>
        </w:rPr>
      </w:pPr>
    </w:p>
    <w:p w14:paraId="374CB565" w14:textId="77777777" w:rsidR="00836512" w:rsidRDefault="00836512" w:rsidP="00836512">
      <w:pPr>
        <w:jc w:val="center"/>
        <w:rPr>
          <w:rFonts w:eastAsiaTheme="minorHAnsi"/>
          <w:lang w:val="en-US"/>
        </w:rPr>
      </w:pPr>
    </w:p>
    <w:p w14:paraId="14D7A81B" w14:textId="77777777" w:rsidR="00836512" w:rsidRDefault="00836512" w:rsidP="00836512">
      <w:pPr>
        <w:jc w:val="center"/>
        <w:rPr>
          <w:rFonts w:eastAsiaTheme="minorHAnsi"/>
          <w:lang w:val="en-US"/>
        </w:rPr>
      </w:pPr>
    </w:p>
    <w:p w14:paraId="3058C111" w14:textId="77777777" w:rsidR="00836512" w:rsidRDefault="00836512" w:rsidP="00836512">
      <w:pPr>
        <w:jc w:val="center"/>
        <w:rPr>
          <w:rFonts w:eastAsiaTheme="minorHAnsi"/>
          <w:lang w:val="en-US"/>
        </w:rPr>
      </w:pPr>
    </w:p>
    <w:p w14:paraId="57F377ED" w14:textId="77777777" w:rsidR="00836512" w:rsidRDefault="00836512" w:rsidP="00836512">
      <w:pPr>
        <w:jc w:val="center"/>
        <w:rPr>
          <w:rFonts w:eastAsiaTheme="minorHAnsi"/>
          <w:lang w:val="en-US"/>
        </w:rPr>
      </w:pPr>
    </w:p>
    <w:p w14:paraId="324C9544" w14:textId="77777777" w:rsidR="00836512" w:rsidRDefault="00836512" w:rsidP="00836512">
      <w:pPr>
        <w:jc w:val="center"/>
        <w:rPr>
          <w:rFonts w:eastAsiaTheme="minorHAnsi"/>
          <w:lang w:val="en-US"/>
        </w:rPr>
      </w:pPr>
    </w:p>
    <w:p w14:paraId="3F072732" w14:textId="77777777" w:rsidR="00836512" w:rsidRDefault="00836512" w:rsidP="00836512">
      <w:pPr>
        <w:jc w:val="center"/>
        <w:rPr>
          <w:rFonts w:eastAsiaTheme="minorHAnsi"/>
          <w:lang w:val="en-US"/>
        </w:rPr>
      </w:pPr>
    </w:p>
    <w:p w14:paraId="10778CAC" w14:textId="77777777" w:rsidR="00836512" w:rsidRDefault="00836512" w:rsidP="00836512">
      <w:pPr>
        <w:jc w:val="center"/>
        <w:rPr>
          <w:rFonts w:eastAsiaTheme="minorHAnsi"/>
          <w:lang w:val="en-US"/>
        </w:rPr>
      </w:pPr>
    </w:p>
    <w:p w14:paraId="555C5E5A" w14:textId="77777777" w:rsidR="00836512" w:rsidRDefault="00836512" w:rsidP="00836512">
      <w:pPr>
        <w:jc w:val="center"/>
        <w:rPr>
          <w:rFonts w:eastAsiaTheme="minorHAnsi"/>
          <w:lang w:val="en-US"/>
        </w:rPr>
      </w:pPr>
    </w:p>
    <w:p w14:paraId="539C818E" w14:textId="77777777" w:rsidR="00836512" w:rsidRDefault="00836512" w:rsidP="00836512">
      <w:pPr>
        <w:jc w:val="center"/>
        <w:rPr>
          <w:rFonts w:eastAsiaTheme="minorHAnsi"/>
          <w:lang w:val="en-US"/>
        </w:rPr>
      </w:pPr>
    </w:p>
    <w:p w14:paraId="3622FCC7" w14:textId="77777777" w:rsidR="00836512" w:rsidRDefault="00836512" w:rsidP="00836512">
      <w:pPr>
        <w:jc w:val="center"/>
        <w:rPr>
          <w:rFonts w:eastAsiaTheme="minorHAnsi"/>
          <w:lang w:val="en-US"/>
        </w:rPr>
      </w:pPr>
    </w:p>
    <w:p w14:paraId="7748301D" w14:textId="77777777" w:rsidR="00836512" w:rsidRDefault="00836512" w:rsidP="00836512">
      <w:pPr>
        <w:jc w:val="center"/>
        <w:rPr>
          <w:rFonts w:eastAsiaTheme="minorHAnsi"/>
          <w:lang w:val="en-US"/>
        </w:rPr>
      </w:pPr>
    </w:p>
    <w:p w14:paraId="276AAFDD" w14:textId="77777777" w:rsidR="00836512" w:rsidRDefault="00836512" w:rsidP="00836512">
      <w:pPr>
        <w:jc w:val="center"/>
        <w:rPr>
          <w:rFonts w:asciiTheme="minorHAnsi" w:eastAsiaTheme="minorHAnsi" w:hAnsiTheme="minorHAnsi" w:cstheme="minorBidi"/>
          <w:lang w:val="en-US"/>
        </w:rPr>
      </w:pPr>
    </w:p>
    <w:p w14:paraId="668D69D5" w14:textId="77777777" w:rsidR="00246437" w:rsidRDefault="00246437" w:rsidP="00836512">
      <w:pPr>
        <w:jc w:val="center"/>
        <w:rPr>
          <w:rFonts w:eastAsiaTheme="minorHAnsi"/>
          <w:sz w:val="20"/>
          <w:szCs w:val="20"/>
          <w:lang w:val="en-US"/>
        </w:rPr>
      </w:pPr>
    </w:p>
    <w:p w14:paraId="635C89EB" w14:textId="257F972A" w:rsidR="00246437" w:rsidRDefault="00246437" w:rsidP="00836512">
      <w:pPr>
        <w:jc w:val="center"/>
        <w:rPr>
          <w:rFonts w:eastAsiaTheme="minorHAnsi"/>
          <w:lang w:val="en-US"/>
        </w:rPr>
      </w:pPr>
    </w:p>
    <w:p w14:paraId="2AD6ED84" w14:textId="77777777" w:rsidR="00A30AAD" w:rsidRPr="0018752B" w:rsidRDefault="00A30AAD" w:rsidP="00836512">
      <w:pPr>
        <w:jc w:val="center"/>
        <w:rPr>
          <w:rFonts w:eastAsiaTheme="minorHAnsi"/>
          <w:lang w:val="en-US"/>
        </w:rPr>
      </w:pPr>
    </w:p>
    <w:p w14:paraId="42E97758" w14:textId="24901F87" w:rsidR="00836512" w:rsidRPr="0018752B" w:rsidRDefault="00836512" w:rsidP="00836512">
      <w:pPr>
        <w:jc w:val="center"/>
        <w:rPr>
          <w:rFonts w:eastAsiaTheme="minorHAnsi"/>
          <w:lang w:val="en-US"/>
        </w:rPr>
      </w:pPr>
      <w:r w:rsidRPr="0018752B">
        <w:rPr>
          <w:rFonts w:eastAsiaTheme="minorHAnsi"/>
          <w:b/>
          <w:lang w:val="en-US"/>
        </w:rPr>
        <w:t>Figure 5.1</w:t>
      </w:r>
      <w:r w:rsidR="0018752B">
        <w:rPr>
          <w:rFonts w:eastAsiaTheme="minorHAnsi"/>
          <w:b/>
          <w:lang w:val="en-US"/>
        </w:rPr>
        <w:t>:</w:t>
      </w:r>
      <w:r w:rsidR="0018752B" w:rsidRPr="0018752B">
        <w:rPr>
          <w:rFonts w:eastAsiaTheme="minorHAnsi"/>
          <w:lang w:val="en-US"/>
        </w:rPr>
        <w:t xml:space="preserve"> </w:t>
      </w:r>
      <w:r w:rsidRPr="0018752B">
        <w:rPr>
          <w:rFonts w:eastAsiaTheme="minorHAnsi"/>
          <w:lang w:val="en-US"/>
        </w:rPr>
        <w:t xml:space="preserve">G67/I p3 e2 S4 = Tomb 4 (T1). Age at death: 4 years </w:t>
      </w:r>
      <w:r w:rsidRPr="0018752B">
        <w:rPr>
          <w:rFonts w:eastAsiaTheme="minorHAnsi"/>
          <w:lang w:val="en-US"/>
        </w:rPr>
        <w:sym w:font="Symbol" w:char="F0B1"/>
      </w:r>
      <w:r w:rsidRPr="0018752B">
        <w:rPr>
          <w:rFonts w:eastAsiaTheme="minorHAnsi"/>
          <w:lang w:val="en-US"/>
        </w:rPr>
        <w:t xml:space="preserve"> 12 months.</w:t>
      </w:r>
    </w:p>
    <w:p w14:paraId="11943E71" w14:textId="77777777" w:rsidR="00836512" w:rsidRDefault="00836512" w:rsidP="00836512">
      <w:pPr>
        <w:spacing w:line="480" w:lineRule="auto"/>
        <w:ind w:firstLine="720"/>
        <w:rPr>
          <w:lang w:val="en-US"/>
        </w:rPr>
      </w:pPr>
    </w:p>
    <w:p w14:paraId="7F2C35DC" w14:textId="203E8630" w:rsidR="00836512" w:rsidRDefault="00836512" w:rsidP="00836512">
      <w:pPr>
        <w:spacing w:line="480" w:lineRule="auto"/>
        <w:ind w:firstLine="720"/>
        <w:rPr>
          <w:lang w:val="en-US"/>
        </w:rPr>
      </w:pPr>
      <w:r>
        <w:rPr>
          <w:lang w:val="en-US"/>
        </w:rPr>
        <w:t xml:space="preserve">Based on the serial dentine </w:t>
      </w:r>
      <w:r>
        <w:t>δ</w:t>
      </w:r>
      <w:r>
        <w:rPr>
          <w:vertAlign w:val="superscript"/>
          <w:lang w:val="en-US"/>
        </w:rPr>
        <w:t>15</w:t>
      </w:r>
      <w:r>
        <w:rPr>
          <w:lang w:val="en-US"/>
        </w:rPr>
        <w:t xml:space="preserve">N </w:t>
      </w:r>
      <w:r w:rsidR="0011090D">
        <w:rPr>
          <w:lang w:val="en-US"/>
        </w:rPr>
        <w:t xml:space="preserve">and </w:t>
      </w:r>
      <w:r w:rsidR="0011090D">
        <w:t>δ</w:t>
      </w:r>
      <w:r w:rsidR="0011090D">
        <w:rPr>
          <w:vertAlign w:val="superscript"/>
        </w:rPr>
        <w:t>13</w:t>
      </w:r>
      <w:r w:rsidR="0011090D">
        <w:t xml:space="preserve">C </w:t>
      </w:r>
      <w:r>
        <w:rPr>
          <w:lang w:val="en-US"/>
        </w:rPr>
        <w:t xml:space="preserve">values from 7 months to 3.1 years, it is likely that this individual (T1) was exclusively breastfed beyond the first year of life (Fig. 5.1). The decline in </w:t>
      </w:r>
      <w:r>
        <w:t>δ</w:t>
      </w:r>
      <w:r>
        <w:rPr>
          <w:vertAlign w:val="superscript"/>
          <w:lang w:val="en-US"/>
        </w:rPr>
        <w:t>15</w:t>
      </w:r>
      <w:r>
        <w:rPr>
          <w:lang w:val="en-US"/>
        </w:rPr>
        <w:t xml:space="preserve">N </w:t>
      </w:r>
      <w:r w:rsidR="0011090D">
        <w:rPr>
          <w:lang w:val="en-US"/>
        </w:rPr>
        <w:t xml:space="preserve">and </w:t>
      </w:r>
      <w:r w:rsidR="0011090D">
        <w:t>δ</w:t>
      </w:r>
      <w:r w:rsidR="0011090D">
        <w:rPr>
          <w:vertAlign w:val="superscript"/>
        </w:rPr>
        <w:t>13</w:t>
      </w:r>
      <w:r w:rsidR="0011090D">
        <w:t>C</w:t>
      </w:r>
      <w:r w:rsidR="0011090D">
        <w:rPr>
          <w:lang w:val="en-US"/>
        </w:rPr>
        <w:t xml:space="preserve"> </w:t>
      </w:r>
      <w:r>
        <w:rPr>
          <w:lang w:val="en-US"/>
        </w:rPr>
        <w:t xml:space="preserve">starting after 1.3 years indicates that weaning began after this age (with a total decrease of 2.3‰). As dentine stable isotope data beyond 3.2 years are unavailable, it is difficult to determine weaning cessation with only deciduous dental tissues, although the overall drop by 2.3‰ is within the expected trophic level decline associated with weaning. </w:t>
      </w:r>
    </w:p>
    <w:p w14:paraId="1623F072" w14:textId="77777777" w:rsidR="00246437" w:rsidRDefault="00246437" w:rsidP="00836512">
      <w:pPr>
        <w:rPr>
          <w:rFonts w:asciiTheme="minorHAnsi" w:eastAsiaTheme="minorHAnsi" w:hAnsiTheme="minorHAnsi" w:cstheme="minorBidi"/>
          <w:lang w:val="en-US"/>
        </w:rPr>
      </w:pPr>
    </w:p>
    <w:p w14:paraId="5CFAFEC6" w14:textId="77777777" w:rsidR="00246437" w:rsidRDefault="00246437" w:rsidP="00836512">
      <w:pPr>
        <w:rPr>
          <w:rFonts w:asciiTheme="minorHAnsi" w:eastAsiaTheme="minorHAnsi" w:hAnsiTheme="minorHAnsi" w:cstheme="minorBidi"/>
          <w:lang w:val="en-US"/>
        </w:rPr>
      </w:pPr>
    </w:p>
    <w:p w14:paraId="140F4BDF" w14:textId="66CA5436" w:rsidR="00246437" w:rsidRDefault="00246437" w:rsidP="00836512">
      <w:pPr>
        <w:rPr>
          <w:rFonts w:asciiTheme="minorHAnsi" w:eastAsiaTheme="minorHAnsi" w:hAnsiTheme="minorHAnsi" w:cstheme="minorBidi"/>
          <w:lang w:val="en-US"/>
        </w:rPr>
      </w:pPr>
    </w:p>
    <w:p w14:paraId="7B0D9393" w14:textId="77777777" w:rsidR="00E14AE9" w:rsidRDefault="00E14AE9" w:rsidP="00836512">
      <w:pPr>
        <w:rPr>
          <w:rFonts w:asciiTheme="minorHAnsi" w:eastAsiaTheme="minorHAnsi" w:hAnsiTheme="minorHAnsi" w:cstheme="minorBidi"/>
          <w:lang w:val="en-US"/>
        </w:rPr>
      </w:pPr>
    </w:p>
    <w:p w14:paraId="5E1B3DB1" w14:textId="1B6BDBE8" w:rsidR="00836512" w:rsidRDefault="00246437" w:rsidP="00B13223">
      <w:pPr>
        <w:rPr>
          <w:rFonts w:asciiTheme="minorHAnsi" w:eastAsiaTheme="minorHAnsi" w:hAnsiTheme="minorHAnsi" w:cstheme="minorBidi"/>
          <w:lang w:val="en-US"/>
        </w:rPr>
      </w:pPr>
      <w:r>
        <w:rPr>
          <w:noProof/>
          <w:lang w:eastAsia="en-CA"/>
        </w:rPr>
        <w:lastRenderedPageBreak/>
        <w:drawing>
          <wp:anchor distT="0" distB="0" distL="114300" distR="114300" simplePos="0" relativeHeight="251705344" behindDoc="1" locked="0" layoutInCell="1" allowOverlap="1" wp14:anchorId="5730A6C8" wp14:editId="781AA5B2">
            <wp:simplePos x="0" y="0"/>
            <wp:positionH relativeFrom="column">
              <wp:posOffset>854075</wp:posOffset>
            </wp:positionH>
            <wp:positionV relativeFrom="paragraph">
              <wp:posOffset>106045</wp:posOffset>
            </wp:positionV>
            <wp:extent cx="4388400" cy="2862000"/>
            <wp:effectExtent l="0" t="0" r="0" b="0"/>
            <wp:wrapNone/>
            <wp:docPr id="147" name="Chart 147">
              <a:extLst xmlns:a="http://schemas.openxmlformats.org/drawingml/2006/main">
                <a:ext uri="{FF2B5EF4-FFF2-40B4-BE49-F238E27FC236}">
                  <a16:creationId xmlns:a16="http://schemas.microsoft.com/office/drawing/2014/main" id="{FCD1CA82-36C2-4348-86F5-0A21297C6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836512">
        <w:rPr>
          <w:noProof/>
          <w:lang w:eastAsia="en-CA"/>
        </w:rPr>
        <w:drawing>
          <wp:anchor distT="0" distB="0" distL="114300" distR="114300" simplePos="0" relativeHeight="251730944" behindDoc="0" locked="0" layoutInCell="1" allowOverlap="1" wp14:anchorId="04EEC60D" wp14:editId="7AE0C031">
            <wp:simplePos x="0" y="0"/>
            <wp:positionH relativeFrom="column">
              <wp:posOffset>2837180</wp:posOffset>
            </wp:positionH>
            <wp:positionV relativeFrom="paragraph">
              <wp:posOffset>408940</wp:posOffset>
            </wp:positionV>
            <wp:extent cx="1485900" cy="1778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p>
    <w:p w14:paraId="7317B951" w14:textId="77777777" w:rsidR="00246437" w:rsidRDefault="00246437" w:rsidP="00836512">
      <w:pPr>
        <w:rPr>
          <w:rFonts w:asciiTheme="minorHAnsi" w:eastAsiaTheme="minorHAnsi" w:hAnsiTheme="minorHAnsi" w:cstheme="minorBidi"/>
          <w:lang w:val="en-US"/>
        </w:rPr>
      </w:pPr>
    </w:p>
    <w:p w14:paraId="561AAA68" w14:textId="77777777" w:rsidR="00836512" w:rsidRDefault="00836512" w:rsidP="00836512">
      <w:pPr>
        <w:rPr>
          <w:rFonts w:asciiTheme="minorHAnsi" w:eastAsiaTheme="minorHAnsi" w:hAnsiTheme="minorHAnsi" w:cstheme="minorBidi"/>
          <w:lang w:val="en-US"/>
        </w:rPr>
      </w:pPr>
    </w:p>
    <w:p w14:paraId="58084254" w14:textId="77777777" w:rsidR="00836512" w:rsidRDefault="00836512" w:rsidP="00836512">
      <w:pPr>
        <w:rPr>
          <w:rFonts w:asciiTheme="minorHAnsi" w:eastAsiaTheme="minorHAnsi" w:hAnsiTheme="minorHAnsi" w:cstheme="minorBidi"/>
          <w:lang w:val="en-US"/>
        </w:rPr>
      </w:pPr>
    </w:p>
    <w:p w14:paraId="4FE57598" w14:textId="77777777" w:rsidR="00836512" w:rsidRDefault="00836512" w:rsidP="00836512">
      <w:pPr>
        <w:rPr>
          <w:rFonts w:asciiTheme="minorHAnsi" w:eastAsiaTheme="minorHAnsi" w:hAnsiTheme="minorHAnsi" w:cstheme="minorBidi"/>
          <w:lang w:val="en-US"/>
        </w:rPr>
      </w:pPr>
    </w:p>
    <w:p w14:paraId="30DD2355" w14:textId="77777777" w:rsidR="00836512" w:rsidRDefault="00836512" w:rsidP="00836512">
      <w:pPr>
        <w:rPr>
          <w:rFonts w:asciiTheme="minorHAnsi" w:eastAsiaTheme="minorHAnsi" w:hAnsiTheme="minorHAnsi" w:cstheme="minorBidi"/>
          <w:lang w:val="en-US"/>
        </w:rPr>
      </w:pPr>
    </w:p>
    <w:p w14:paraId="2EA148ED" w14:textId="77777777" w:rsidR="00836512" w:rsidRDefault="00836512" w:rsidP="00836512">
      <w:pPr>
        <w:rPr>
          <w:rFonts w:asciiTheme="minorHAnsi" w:eastAsiaTheme="minorHAnsi" w:hAnsiTheme="minorHAnsi" w:cstheme="minorBidi"/>
          <w:lang w:val="en-US"/>
        </w:rPr>
      </w:pPr>
    </w:p>
    <w:p w14:paraId="7C7765CA" w14:textId="77777777" w:rsidR="00836512" w:rsidRDefault="00836512" w:rsidP="00836512">
      <w:pPr>
        <w:rPr>
          <w:rFonts w:asciiTheme="minorHAnsi" w:eastAsiaTheme="minorHAnsi" w:hAnsiTheme="minorHAnsi" w:cstheme="minorBidi"/>
          <w:lang w:val="en-US"/>
        </w:rPr>
      </w:pPr>
    </w:p>
    <w:p w14:paraId="0B88F158" w14:textId="77777777" w:rsidR="00836512" w:rsidRDefault="00836512" w:rsidP="00836512">
      <w:pPr>
        <w:rPr>
          <w:rFonts w:asciiTheme="minorHAnsi" w:eastAsiaTheme="minorHAnsi" w:hAnsiTheme="minorHAnsi" w:cstheme="minorBidi"/>
          <w:lang w:val="en-US"/>
        </w:rPr>
      </w:pPr>
    </w:p>
    <w:p w14:paraId="1F9F734B" w14:textId="77777777" w:rsidR="00836512" w:rsidRDefault="00836512" w:rsidP="00836512">
      <w:pPr>
        <w:rPr>
          <w:rFonts w:asciiTheme="minorHAnsi" w:eastAsiaTheme="minorHAnsi" w:hAnsiTheme="minorHAnsi" w:cstheme="minorBidi"/>
          <w:lang w:val="en-US"/>
        </w:rPr>
      </w:pPr>
    </w:p>
    <w:p w14:paraId="4316D22C" w14:textId="77777777" w:rsidR="00836512" w:rsidRDefault="00836512" w:rsidP="00836512">
      <w:pPr>
        <w:rPr>
          <w:rFonts w:asciiTheme="minorHAnsi" w:eastAsiaTheme="minorHAnsi" w:hAnsiTheme="minorHAnsi" w:cstheme="minorBidi"/>
          <w:lang w:val="en-US"/>
        </w:rPr>
      </w:pPr>
    </w:p>
    <w:p w14:paraId="5D89B83A" w14:textId="77777777" w:rsidR="00836512" w:rsidRDefault="00836512" w:rsidP="00836512">
      <w:pPr>
        <w:rPr>
          <w:rFonts w:asciiTheme="minorHAnsi" w:eastAsiaTheme="minorHAnsi" w:hAnsiTheme="minorHAnsi" w:cstheme="minorBidi"/>
          <w:lang w:val="en-US"/>
        </w:rPr>
      </w:pPr>
    </w:p>
    <w:p w14:paraId="076D6589" w14:textId="77777777" w:rsidR="00836512" w:rsidRDefault="00836512" w:rsidP="00836512">
      <w:pPr>
        <w:rPr>
          <w:rFonts w:asciiTheme="minorHAnsi" w:eastAsiaTheme="minorHAnsi" w:hAnsiTheme="minorHAnsi" w:cstheme="minorBidi"/>
          <w:lang w:val="en-US"/>
        </w:rPr>
      </w:pPr>
    </w:p>
    <w:p w14:paraId="0ADCF1CB" w14:textId="77777777" w:rsidR="00836512" w:rsidRDefault="00836512" w:rsidP="00836512">
      <w:pPr>
        <w:rPr>
          <w:rFonts w:asciiTheme="minorHAnsi" w:eastAsiaTheme="minorHAnsi" w:hAnsiTheme="minorHAnsi" w:cstheme="minorBidi"/>
          <w:lang w:val="en-US"/>
        </w:rPr>
      </w:pPr>
    </w:p>
    <w:p w14:paraId="5934B4FD" w14:textId="77777777" w:rsidR="00836512" w:rsidRDefault="00836512" w:rsidP="00836512">
      <w:pPr>
        <w:jc w:val="center"/>
        <w:rPr>
          <w:rFonts w:asciiTheme="minorHAnsi" w:eastAsiaTheme="minorHAnsi" w:hAnsiTheme="minorHAnsi" w:cstheme="minorBidi"/>
          <w:lang w:val="en-US"/>
        </w:rPr>
      </w:pPr>
    </w:p>
    <w:p w14:paraId="23C79F46" w14:textId="77777777" w:rsidR="00246437" w:rsidRDefault="00246437" w:rsidP="00836512">
      <w:pPr>
        <w:jc w:val="center"/>
        <w:rPr>
          <w:rFonts w:eastAsiaTheme="minorHAnsi"/>
          <w:sz w:val="20"/>
          <w:szCs w:val="20"/>
          <w:lang w:val="en-US"/>
        </w:rPr>
      </w:pPr>
    </w:p>
    <w:p w14:paraId="5610293F" w14:textId="54772630" w:rsidR="00836512" w:rsidRPr="0018752B" w:rsidRDefault="00836512" w:rsidP="00836512">
      <w:pPr>
        <w:jc w:val="center"/>
        <w:rPr>
          <w:rFonts w:eastAsiaTheme="minorHAnsi"/>
          <w:szCs w:val="20"/>
          <w:lang w:val="en-US"/>
        </w:rPr>
      </w:pPr>
      <w:r w:rsidRPr="0018752B">
        <w:rPr>
          <w:rFonts w:eastAsiaTheme="minorHAnsi"/>
          <w:b/>
          <w:szCs w:val="20"/>
          <w:lang w:val="en-US"/>
        </w:rPr>
        <w:t>Figure 5.2</w:t>
      </w:r>
      <w:r w:rsidR="0018752B">
        <w:rPr>
          <w:rFonts w:eastAsiaTheme="minorHAnsi"/>
          <w:szCs w:val="20"/>
          <w:lang w:val="en-US"/>
        </w:rPr>
        <w:t xml:space="preserve">: </w:t>
      </w:r>
      <w:r w:rsidRPr="0018752B">
        <w:rPr>
          <w:rFonts w:eastAsiaTheme="minorHAnsi"/>
          <w:szCs w:val="20"/>
          <w:lang w:val="en-US"/>
        </w:rPr>
        <w:t xml:space="preserve">22/5/67 Tomba 30 (T2). Age at death: 8 years </w:t>
      </w:r>
      <w:r w:rsidRPr="0018752B">
        <w:rPr>
          <w:rFonts w:eastAsiaTheme="minorHAnsi"/>
          <w:szCs w:val="20"/>
          <w:lang w:val="en-US"/>
        </w:rPr>
        <w:sym w:font="Symbol" w:char="F0B1"/>
      </w:r>
      <w:r w:rsidRPr="0018752B">
        <w:rPr>
          <w:rFonts w:eastAsiaTheme="minorHAnsi"/>
          <w:szCs w:val="20"/>
          <w:lang w:val="en-US"/>
        </w:rPr>
        <w:t xml:space="preserve"> 24 months.</w:t>
      </w:r>
    </w:p>
    <w:p w14:paraId="450B3FD6" w14:textId="77777777" w:rsidR="00836512" w:rsidRDefault="00836512" w:rsidP="00836512">
      <w:pPr>
        <w:jc w:val="center"/>
        <w:rPr>
          <w:rFonts w:eastAsiaTheme="minorHAnsi"/>
          <w:sz w:val="20"/>
          <w:szCs w:val="20"/>
          <w:lang w:val="en-US"/>
        </w:rPr>
      </w:pPr>
    </w:p>
    <w:p w14:paraId="5B9CC870" w14:textId="77777777" w:rsidR="00836512" w:rsidRDefault="00836512" w:rsidP="00836512">
      <w:pPr>
        <w:jc w:val="center"/>
        <w:rPr>
          <w:rFonts w:eastAsiaTheme="minorHAnsi"/>
          <w:sz w:val="20"/>
          <w:szCs w:val="20"/>
          <w:lang w:val="en-US"/>
        </w:rPr>
      </w:pPr>
    </w:p>
    <w:p w14:paraId="41B5009F" w14:textId="69B75E54" w:rsidR="00912314" w:rsidRPr="00B13223" w:rsidRDefault="00836512" w:rsidP="00B13223">
      <w:pPr>
        <w:spacing w:line="480" w:lineRule="auto"/>
        <w:ind w:firstLine="720"/>
        <w:rPr>
          <w:i/>
          <w:lang w:val="en-US"/>
        </w:rPr>
      </w:pPr>
      <w:r>
        <w:rPr>
          <w:lang w:val="en-US"/>
        </w:rPr>
        <w:t>The permanent</w:t>
      </w:r>
      <w:r w:rsidR="00C9421E">
        <w:rPr>
          <w:lang w:val="en-US"/>
        </w:rPr>
        <w:t xml:space="preserve"> first</w:t>
      </w:r>
      <w:r>
        <w:rPr>
          <w:lang w:val="en-US"/>
        </w:rPr>
        <w:t xml:space="preserve"> molar, T2, represents an eight-year-old subadult (Tomba 30) buried at Parco San Stefano. Due to extensive occlusal dental wear, this tooth only represents stable isotope data from 1.7 to 3.2 years of life. The gradually declining </w:t>
      </w:r>
      <w:r>
        <w:t>δ</w:t>
      </w:r>
      <w:r>
        <w:rPr>
          <w:vertAlign w:val="superscript"/>
          <w:lang w:val="en-US"/>
        </w:rPr>
        <w:t>15</w:t>
      </w:r>
      <w:r>
        <w:rPr>
          <w:lang w:val="en-US"/>
        </w:rPr>
        <w:t xml:space="preserve">N and </w:t>
      </w:r>
      <w:r>
        <w:t>δ</w:t>
      </w:r>
      <w:r>
        <w:rPr>
          <w:vertAlign w:val="superscript"/>
          <w:lang w:val="en-US"/>
        </w:rPr>
        <w:t>13</w:t>
      </w:r>
      <w:r>
        <w:rPr>
          <w:lang w:val="en-US"/>
        </w:rPr>
        <w:t xml:space="preserve">C values during these ages indicate that this individual had already begun weaning by 1.7 years (Fig. 5.2). Since stable isotope data preceding 1.7 years are unavailable it is difficult to determine the age at which weaning began and similarly as isotopic data immediately after 3.2 years are unavailable, so it is challenging to identify when weaning ceased. However, because the </w:t>
      </w:r>
      <w:r>
        <w:t>δ</w:t>
      </w:r>
      <w:r>
        <w:rPr>
          <w:vertAlign w:val="superscript"/>
          <w:lang w:val="en-US"/>
        </w:rPr>
        <w:t>15</w:t>
      </w:r>
      <w:r>
        <w:rPr>
          <w:lang w:val="en-US"/>
        </w:rPr>
        <w:t xml:space="preserve">N values only declined by 0.6‰ over 1.5 years, a much lower decline than the expected 2‰ – 3‰ offset expected with weaning, it can be inferred that the ages captured by this tooth possibly represent the tail-end of weaning. Further, the fact that the last two </w:t>
      </w:r>
      <w:r>
        <w:t>δ</w:t>
      </w:r>
      <w:r>
        <w:rPr>
          <w:vertAlign w:val="superscript"/>
          <w:lang w:val="en-US"/>
        </w:rPr>
        <w:t>13</w:t>
      </w:r>
      <w:r>
        <w:rPr>
          <w:lang w:val="en-US"/>
        </w:rPr>
        <w:t>C values appear to be leveling off supports the hypothesis that weaning may be concluding</w:t>
      </w:r>
      <w:r w:rsidR="00E14AE9">
        <w:rPr>
          <w:lang w:val="en-US"/>
        </w:rPr>
        <w:t>.</w:t>
      </w:r>
    </w:p>
    <w:p w14:paraId="53FEFBE2" w14:textId="197B15B4" w:rsidR="00836512" w:rsidRDefault="00836512" w:rsidP="00836512">
      <w:pPr>
        <w:rPr>
          <w:rFonts w:asciiTheme="minorHAnsi" w:eastAsiaTheme="minorHAnsi" w:hAnsiTheme="minorHAnsi" w:cstheme="minorBidi"/>
          <w:lang w:val="en-US"/>
        </w:rPr>
      </w:pPr>
      <w:r>
        <w:rPr>
          <w:noProof/>
          <w:lang w:eastAsia="en-CA"/>
        </w:rPr>
        <w:lastRenderedPageBreak/>
        <w:drawing>
          <wp:anchor distT="0" distB="0" distL="114300" distR="114300" simplePos="0" relativeHeight="251726848" behindDoc="0" locked="0" layoutInCell="1" allowOverlap="1" wp14:anchorId="007B1A21" wp14:editId="1F0060CB">
            <wp:simplePos x="0" y="0"/>
            <wp:positionH relativeFrom="column">
              <wp:posOffset>798692</wp:posOffset>
            </wp:positionH>
            <wp:positionV relativeFrom="paragraph">
              <wp:posOffset>60960</wp:posOffset>
            </wp:positionV>
            <wp:extent cx="4388400" cy="2862000"/>
            <wp:effectExtent l="0" t="0" r="0" b="0"/>
            <wp:wrapNone/>
            <wp:docPr id="146" name="Chart 146">
              <a:extLst xmlns:a="http://schemas.openxmlformats.org/drawingml/2006/main">
                <a:ext uri="{FF2B5EF4-FFF2-40B4-BE49-F238E27FC236}">
                  <a16:creationId xmlns:a16="http://schemas.microsoft.com/office/drawing/2014/main" id="{71E2F047-C168-F946-B8CE-E33B65920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31968" behindDoc="0" locked="0" layoutInCell="1" allowOverlap="1" wp14:anchorId="0DA624CE" wp14:editId="2E7E8C19">
            <wp:simplePos x="0" y="0"/>
            <wp:positionH relativeFrom="column">
              <wp:posOffset>2922270</wp:posOffset>
            </wp:positionH>
            <wp:positionV relativeFrom="paragraph">
              <wp:posOffset>288290</wp:posOffset>
            </wp:positionV>
            <wp:extent cx="1485900" cy="22034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220345"/>
                    </a:xfrm>
                    <a:prstGeom prst="rect">
                      <a:avLst/>
                    </a:prstGeom>
                    <a:noFill/>
                  </pic:spPr>
                </pic:pic>
              </a:graphicData>
            </a:graphic>
            <wp14:sizeRelH relativeFrom="page">
              <wp14:pctWidth>0</wp14:pctWidth>
            </wp14:sizeRelH>
            <wp14:sizeRelV relativeFrom="page">
              <wp14:pctHeight>0</wp14:pctHeight>
            </wp14:sizeRelV>
          </wp:anchor>
        </w:drawing>
      </w:r>
    </w:p>
    <w:p w14:paraId="7811ED15" w14:textId="77777777" w:rsidR="00836512" w:rsidRDefault="00836512" w:rsidP="00836512">
      <w:pPr>
        <w:jc w:val="center"/>
        <w:rPr>
          <w:rFonts w:asciiTheme="minorHAnsi" w:eastAsiaTheme="minorHAnsi" w:hAnsiTheme="minorHAnsi" w:cstheme="minorBidi"/>
          <w:lang w:val="en-US"/>
        </w:rPr>
      </w:pPr>
    </w:p>
    <w:p w14:paraId="62C1329E" w14:textId="77777777" w:rsidR="00836512" w:rsidRDefault="00836512" w:rsidP="00836512">
      <w:pPr>
        <w:jc w:val="center"/>
        <w:rPr>
          <w:rFonts w:asciiTheme="minorHAnsi" w:eastAsiaTheme="minorHAnsi" w:hAnsiTheme="minorHAnsi" w:cstheme="minorBidi"/>
          <w:lang w:val="en-US"/>
        </w:rPr>
      </w:pPr>
    </w:p>
    <w:p w14:paraId="28BFB822" w14:textId="77777777" w:rsidR="00836512" w:rsidRDefault="00836512" w:rsidP="00836512">
      <w:pPr>
        <w:jc w:val="center"/>
        <w:rPr>
          <w:rFonts w:asciiTheme="minorHAnsi" w:eastAsiaTheme="minorHAnsi" w:hAnsiTheme="minorHAnsi" w:cstheme="minorBidi"/>
          <w:lang w:val="en-US"/>
        </w:rPr>
      </w:pPr>
    </w:p>
    <w:p w14:paraId="5E07B6EF" w14:textId="77777777" w:rsidR="00836512" w:rsidRDefault="00836512" w:rsidP="00836512">
      <w:pPr>
        <w:jc w:val="center"/>
        <w:rPr>
          <w:rFonts w:asciiTheme="minorHAnsi" w:eastAsiaTheme="minorHAnsi" w:hAnsiTheme="minorHAnsi" w:cstheme="minorBidi"/>
          <w:lang w:val="en-US"/>
        </w:rPr>
      </w:pPr>
    </w:p>
    <w:p w14:paraId="6901CCB5" w14:textId="77777777" w:rsidR="00836512" w:rsidRDefault="00836512" w:rsidP="00836512">
      <w:pPr>
        <w:jc w:val="center"/>
        <w:rPr>
          <w:rFonts w:asciiTheme="minorHAnsi" w:eastAsiaTheme="minorHAnsi" w:hAnsiTheme="minorHAnsi" w:cstheme="minorBidi"/>
          <w:lang w:val="en-US"/>
        </w:rPr>
      </w:pPr>
    </w:p>
    <w:p w14:paraId="05172C73" w14:textId="77777777" w:rsidR="00836512" w:rsidRDefault="00836512" w:rsidP="00836512">
      <w:pPr>
        <w:jc w:val="center"/>
        <w:rPr>
          <w:rFonts w:asciiTheme="minorHAnsi" w:eastAsiaTheme="minorHAnsi" w:hAnsiTheme="minorHAnsi" w:cstheme="minorBidi"/>
          <w:lang w:val="en-US"/>
        </w:rPr>
      </w:pPr>
    </w:p>
    <w:p w14:paraId="6510F272" w14:textId="77777777" w:rsidR="00836512" w:rsidRDefault="00836512" w:rsidP="00836512">
      <w:pPr>
        <w:jc w:val="center"/>
        <w:rPr>
          <w:rFonts w:asciiTheme="minorHAnsi" w:eastAsiaTheme="minorHAnsi" w:hAnsiTheme="minorHAnsi" w:cstheme="minorBidi"/>
          <w:lang w:val="en-US"/>
        </w:rPr>
      </w:pPr>
    </w:p>
    <w:p w14:paraId="5631E1DE" w14:textId="77777777" w:rsidR="00836512" w:rsidRDefault="00836512" w:rsidP="00836512">
      <w:pPr>
        <w:rPr>
          <w:rFonts w:eastAsiaTheme="minorHAnsi"/>
          <w:sz w:val="20"/>
          <w:szCs w:val="20"/>
          <w:lang w:val="en-US"/>
        </w:rPr>
      </w:pPr>
    </w:p>
    <w:p w14:paraId="52B2F569" w14:textId="77777777" w:rsidR="00836512" w:rsidRDefault="00836512" w:rsidP="00836512">
      <w:pPr>
        <w:jc w:val="center"/>
        <w:rPr>
          <w:rFonts w:eastAsiaTheme="minorHAnsi"/>
          <w:sz w:val="20"/>
          <w:szCs w:val="20"/>
          <w:lang w:val="en-US"/>
        </w:rPr>
      </w:pPr>
    </w:p>
    <w:p w14:paraId="367DAF56" w14:textId="77777777" w:rsidR="00836512" w:rsidRDefault="00836512" w:rsidP="00836512">
      <w:pPr>
        <w:jc w:val="center"/>
        <w:rPr>
          <w:rFonts w:eastAsiaTheme="minorHAnsi"/>
          <w:sz w:val="20"/>
          <w:szCs w:val="20"/>
          <w:lang w:val="en-US"/>
        </w:rPr>
      </w:pPr>
    </w:p>
    <w:p w14:paraId="0EBC4931" w14:textId="77777777" w:rsidR="00836512" w:rsidRDefault="00836512" w:rsidP="00836512">
      <w:pPr>
        <w:rPr>
          <w:rFonts w:eastAsiaTheme="minorHAnsi"/>
          <w:sz w:val="20"/>
          <w:szCs w:val="20"/>
          <w:lang w:val="en-US"/>
        </w:rPr>
      </w:pPr>
    </w:p>
    <w:p w14:paraId="68509332" w14:textId="77777777" w:rsidR="00836512" w:rsidRDefault="00836512" w:rsidP="00836512">
      <w:pPr>
        <w:jc w:val="center"/>
        <w:rPr>
          <w:rFonts w:eastAsiaTheme="minorHAnsi"/>
          <w:sz w:val="20"/>
          <w:szCs w:val="20"/>
          <w:lang w:val="en-US"/>
        </w:rPr>
      </w:pPr>
    </w:p>
    <w:p w14:paraId="762BE06B" w14:textId="77777777" w:rsidR="00836512" w:rsidRDefault="00836512" w:rsidP="00836512">
      <w:pPr>
        <w:jc w:val="center"/>
        <w:rPr>
          <w:rFonts w:eastAsiaTheme="minorHAnsi"/>
          <w:sz w:val="20"/>
          <w:szCs w:val="20"/>
          <w:lang w:val="en-US"/>
        </w:rPr>
      </w:pPr>
    </w:p>
    <w:p w14:paraId="0C4D615C" w14:textId="77777777" w:rsidR="00836512" w:rsidRDefault="00836512" w:rsidP="00836512">
      <w:pPr>
        <w:jc w:val="center"/>
        <w:rPr>
          <w:rFonts w:eastAsiaTheme="minorHAnsi"/>
          <w:sz w:val="20"/>
          <w:szCs w:val="20"/>
          <w:lang w:val="en-US"/>
        </w:rPr>
      </w:pPr>
    </w:p>
    <w:p w14:paraId="7F23E9AD" w14:textId="77777777" w:rsidR="00912314" w:rsidRDefault="00912314" w:rsidP="00836512">
      <w:pPr>
        <w:jc w:val="center"/>
        <w:rPr>
          <w:rFonts w:eastAsiaTheme="minorHAnsi"/>
          <w:sz w:val="20"/>
          <w:szCs w:val="20"/>
          <w:lang w:val="en-US"/>
        </w:rPr>
      </w:pPr>
    </w:p>
    <w:p w14:paraId="1379D1AF" w14:textId="18C88CE7" w:rsidR="00912314" w:rsidRDefault="00912314" w:rsidP="00836512">
      <w:pPr>
        <w:jc w:val="center"/>
        <w:rPr>
          <w:rFonts w:eastAsiaTheme="minorHAnsi"/>
          <w:sz w:val="20"/>
          <w:szCs w:val="20"/>
          <w:lang w:val="en-US"/>
        </w:rPr>
      </w:pPr>
    </w:p>
    <w:p w14:paraId="60D233C3" w14:textId="77777777" w:rsidR="00912314" w:rsidRDefault="00912314" w:rsidP="00836512">
      <w:pPr>
        <w:jc w:val="center"/>
        <w:rPr>
          <w:rFonts w:eastAsiaTheme="minorHAnsi"/>
          <w:sz w:val="20"/>
          <w:szCs w:val="20"/>
          <w:lang w:val="en-US"/>
        </w:rPr>
      </w:pPr>
    </w:p>
    <w:p w14:paraId="00448B60" w14:textId="7A00E76F" w:rsidR="00912314" w:rsidRPr="0018752B" w:rsidRDefault="00836512" w:rsidP="00912314">
      <w:pPr>
        <w:jc w:val="center"/>
        <w:rPr>
          <w:rFonts w:eastAsiaTheme="minorHAnsi"/>
          <w:szCs w:val="20"/>
          <w:lang w:val="en-US"/>
        </w:rPr>
      </w:pPr>
      <w:r w:rsidRPr="0018752B">
        <w:rPr>
          <w:rFonts w:eastAsiaTheme="minorHAnsi"/>
          <w:b/>
          <w:szCs w:val="20"/>
          <w:lang w:val="en-US"/>
        </w:rPr>
        <w:t>Figure 5.3</w:t>
      </w:r>
      <w:r w:rsidR="0018752B">
        <w:rPr>
          <w:rFonts w:eastAsiaTheme="minorHAnsi"/>
          <w:b/>
          <w:szCs w:val="20"/>
          <w:lang w:val="en-US"/>
        </w:rPr>
        <w:t>:</w:t>
      </w:r>
      <w:r w:rsidRPr="0018752B">
        <w:rPr>
          <w:rFonts w:eastAsiaTheme="minorHAnsi"/>
          <w:szCs w:val="20"/>
          <w:lang w:val="en-US"/>
        </w:rPr>
        <w:t xml:space="preserve"> G67/II P4 S17 Infill 3 (T3). Age at death: 7 – 8 years </w:t>
      </w:r>
      <w:r w:rsidRPr="0018752B">
        <w:rPr>
          <w:rFonts w:eastAsiaTheme="minorHAnsi"/>
          <w:szCs w:val="20"/>
          <w:lang w:val="en-US"/>
        </w:rPr>
        <w:sym w:font="Symbol" w:char="F0B1"/>
      </w:r>
      <w:r w:rsidRPr="0018752B">
        <w:rPr>
          <w:rFonts w:eastAsiaTheme="minorHAnsi"/>
          <w:szCs w:val="20"/>
          <w:lang w:val="en-US"/>
        </w:rPr>
        <w:t xml:space="preserve"> 24 months.</w:t>
      </w:r>
    </w:p>
    <w:p w14:paraId="7AACF846" w14:textId="77777777" w:rsidR="00912314" w:rsidRDefault="00912314" w:rsidP="00912314">
      <w:pPr>
        <w:jc w:val="center"/>
        <w:rPr>
          <w:rFonts w:eastAsiaTheme="minorHAnsi"/>
          <w:sz w:val="20"/>
          <w:szCs w:val="20"/>
          <w:lang w:val="en-US"/>
        </w:rPr>
      </w:pPr>
    </w:p>
    <w:p w14:paraId="38BBDC16" w14:textId="77777777" w:rsidR="00836512" w:rsidRDefault="00836512" w:rsidP="00836512">
      <w:pPr>
        <w:jc w:val="center"/>
        <w:rPr>
          <w:rFonts w:eastAsiaTheme="minorHAnsi"/>
          <w:sz w:val="20"/>
          <w:szCs w:val="20"/>
          <w:lang w:val="en-US"/>
        </w:rPr>
      </w:pPr>
    </w:p>
    <w:p w14:paraId="19F71535" w14:textId="2A69D4A9" w:rsidR="00836512" w:rsidRDefault="00836512" w:rsidP="00836512">
      <w:pPr>
        <w:spacing w:line="480" w:lineRule="auto"/>
        <w:ind w:firstLine="720"/>
        <w:rPr>
          <w:lang w:val="en-US"/>
        </w:rPr>
      </w:pPr>
      <w:r>
        <w:rPr>
          <w:lang w:val="en-US"/>
        </w:rPr>
        <w:t xml:space="preserve">This subadult is represented by T3, a permanent </w:t>
      </w:r>
      <w:r w:rsidR="00C9421E">
        <w:rPr>
          <w:lang w:val="en-US"/>
        </w:rPr>
        <w:t xml:space="preserve">first </w:t>
      </w:r>
      <w:r>
        <w:rPr>
          <w:lang w:val="en-US"/>
        </w:rPr>
        <w:t xml:space="preserve">molar, which provides stable isotope values from ages 2.8 to 5.9 years. Based on the decline in </w:t>
      </w:r>
      <w:r>
        <w:t>δ</w:t>
      </w:r>
      <w:r>
        <w:rPr>
          <w:vertAlign w:val="superscript"/>
          <w:lang w:val="en-US"/>
        </w:rPr>
        <w:t>15</w:t>
      </w:r>
      <w:r>
        <w:rPr>
          <w:lang w:val="en-US"/>
        </w:rPr>
        <w:t xml:space="preserve">N by 0.8‰ and relative consistency in </w:t>
      </w:r>
      <w:r>
        <w:t>δ</w:t>
      </w:r>
      <w:r>
        <w:rPr>
          <w:vertAlign w:val="superscript"/>
          <w:lang w:val="en-US"/>
        </w:rPr>
        <w:t>13</w:t>
      </w:r>
      <w:r>
        <w:rPr>
          <w:lang w:val="en-US"/>
        </w:rPr>
        <w:t xml:space="preserve">C values between 2.8 and 4 years, it is likely that this individual was weaned prior to 2.8 years (Fig 5.3). If weaning had occurred between 2.8 and 4.0 years then the decline in </w:t>
      </w:r>
      <w:r>
        <w:t>δ</w:t>
      </w:r>
      <w:r>
        <w:rPr>
          <w:vertAlign w:val="superscript"/>
          <w:lang w:val="en-US"/>
        </w:rPr>
        <w:t>15</w:t>
      </w:r>
      <w:r>
        <w:rPr>
          <w:lang w:val="en-US"/>
        </w:rPr>
        <w:t xml:space="preserve">N values would also be reflected by a similar, but smaller (i.e., 1‰) decrease in </w:t>
      </w:r>
      <w:r>
        <w:t>δ</w:t>
      </w:r>
      <w:r>
        <w:rPr>
          <w:vertAlign w:val="superscript"/>
          <w:lang w:val="en-US"/>
        </w:rPr>
        <w:t>13</w:t>
      </w:r>
      <w:r>
        <w:rPr>
          <w:lang w:val="en-US"/>
        </w:rPr>
        <w:t xml:space="preserve">C values due to the trophic level effect in carbon. This is not the case. Furthermore, from 4 to 5.9 years an inverse relationship between </w:t>
      </w:r>
      <w:r>
        <w:t>δ</w:t>
      </w:r>
      <w:r>
        <w:rPr>
          <w:vertAlign w:val="superscript"/>
          <w:lang w:val="en-US"/>
        </w:rPr>
        <w:t>15</w:t>
      </w:r>
      <w:r>
        <w:rPr>
          <w:lang w:val="en-US"/>
        </w:rPr>
        <w:t xml:space="preserve">N (decrease) and </w:t>
      </w:r>
      <w:r>
        <w:t>δ</w:t>
      </w:r>
      <w:r>
        <w:rPr>
          <w:vertAlign w:val="superscript"/>
          <w:lang w:val="en-US"/>
        </w:rPr>
        <w:t>13</w:t>
      </w:r>
      <w:r>
        <w:rPr>
          <w:lang w:val="en-US"/>
        </w:rPr>
        <w:t xml:space="preserve">C (increase) values is observed. It is possible that the decreasing </w:t>
      </w:r>
      <w:r>
        <w:t>δ</w:t>
      </w:r>
      <w:r>
        <w:rPr>
          <w:vertAlign w:val="superscript"/>
          <w:lang w:val="en-US"/>
        </w:rPr>
        <w:t>15</w:t>
      </w:r>
      <w:r>
        <w:rPr>
          <w:lang w:val="en-US"/>
        </w:rPr>
        <w:t xml:space="preserve">N values reflect the burden of depleting dietary protein and accelerated growth experienced during childhood. Simultaneously, stable carbon isotopes values could be revealing dietary change as this individual began to consume a post-weaning diet. </w:t>
      </w:r>
    </w:p>
    <w:p w14:paraId="36F5443B" w14:textId="77777777" w:rsidR="00836512" w:rsidRDefault="00836512" w:rsidP="00836512">
      <w:pPr>
        <w:jc w:val="center"/>
        <w:rPr>
          <w:rFonts w:eastAsiaTheme="minorHAnsi"/>
          <w:sz w:val="20"/>
          <w:szCs w:val="20"/>
          <w:lang w:val="en-US"/>
        </w:rPr>
      </w:pPr>
    </w:p>
    <w:p w14:paraId="7A476B30" w14:textId="77777777" w:rsidR="00836512" w:rsidRDefault="00836512" w:rsidP="00836512">
      <w:pPr>
        <w:jc w:val="center"/>
        <w:rPr>
          <w:rFonts w:eastAsiaTheme="minorHAnsi"/>
          <w:sz w:val="20"/>
          <w:szCs w:val="20"/>
          <w:lang w:val="en-US"/>
        </w:rPr>
      </w:pPr>
    </w:p>
    <w:p w14:paraId="029C6C47" w14:textId="49775E89" w:rsidR="00836512" w:rsidRDefault="00836512" w:rsidP="00912314">
      <w:pPr>
        <w:jc w:val="center"/>
        <w:rPr>
          <w:rFonts w:asciiTheme="minorHAnsi" w:eastAsiaTheme="minorHAnsi" w:hAnsiTheme="minorHAnsi" w:cstheme="minorBidi"/>
          <w:lang w:val="en-US"/>
        </w:rPr>
      </w:pPr>
      <w:r>
        <w:rPr>
          <w:rFonts w:asciiTheme="minorHAnsi" w:eastAsiaTheme="minorHAnsi" w:hAnsiTheme="minorHAnsi" w:cstheme="minorBidi"/>
          <w:noProof/>
          <w:lang w:eastAsia="en-CA"/>
        </w:rPr>
        <w:lastRenderedPageBreak/>
        <w:drawing>
          <wp:inline distT="0" distB="0" distL="0" distR="0" wp14:anchorId="567F83C9" wp14:editId="3F701235">
            <wp:extent cx="4388400" cy="2862000"/>
            <wp:effectExtent l="0" t="0" r="0" b="0"/>
            <wp:docPr id="73" name="Chart 73">
              <a:extLst xmlns:a="http://schemas.openxmlformats.org/drawingml/2006/main">
                <a:ext uri="{FF2B5EF4-FFF2-40B4-BE49-F238E27FC236}">
                  <a16:creationId xmlns:a16="http://schemas.microsoft.com/office/drawing/2014/main" id="{F984B36A-6746-5C41-963F-0744FA4AB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F285DB" w14:textId="0FBB9207" w:rsidR="00836512" w:rsidRPr="0018752B" w:rsidRDefault="00836512" w:rsidP="00836512">
      <w:pPr>
        <w:jc w:val="center"/>
        <w:rPr>
          <w:rFonts w:eastAsiaTheme="minorHAnsi"/>
          <w:lang w:val="en-US"/>
        </w:rPr>
      </w:pPr>
      <w:r w:rsidRPr="0018752B">
        <w:rPr>
          <w:rFonts w:eastAsiaTheme="minorHAnsi"/>
          <w:b/>
          <w:color w:val="000000" w:themeColor="text1"/>
          <w:lang w:val="it-IT"/>
        </w:rPr>
        <w:t>Figure 5.4</w:t>
      </w:r>
      <w:r w:rsidR="0018752B">
        <w:rPr>
          <w:rFonts w:eastAsiaTheme="minorHAnsi"/>
          <w:b/>
          <w:color w:val="000000" w:themeColor="text1"/>
          <w:lang w:val="it-IT"/>
        </w:rPr>
        <w:t>:</w:t>
      </w:r>
      <w:r w:rsidRPr="0018752B">
        <w:rPr>
          <w:rFonts w:eastAsiaTheme="minorHAnsi"/>
          <w:color w:val="000000" w:themeColor="text1"/>
          <w:lang w:val="it-IT"/>
        </w:rPr>
        <w:t xml:space="preserve"> </w:t>
      </w:r>
      <w:r w:rsidRPr="0018752B">
        <w:rPr>
          <w:rFonts w:eastAsiaTheme="minorHAnsi"/>
          <w:lang w:val="it-IT"/>
        </w:rPr>
        <w:t xml:space="preserve">21/12/71 Tomba di bambino Ind. 1 (T4). </w:t>
      </w:r>
      <w:r w:rsidRPr="0018752B">
        <w:rPr>
          <w:rFonts w:eastAsiaTheme="minorHAnsi"/>
          <w:lang w:val="en-US"/>
        </w:rPr>
        <w:t xml:space="preserve">Age at death: 2 years </w:t>
      </w:r>
      <w:r w:rsidRPr="0018752B">
        <w:rPr>
          <w:rFonts w:eastAsiaTheme="minorHAnsi"/>
          <w:lang w:val="en-US"/>
        </w:rPr>
        <w:sym w:font="Symbol" w:char="F0B1"/>
      </w:r>
      <w:r w:rsidRPr="0018752B">
        <w:rPr>
          <w:rFonts w:eastAsiaTheme="minorHAnsi"/>
          <w:lang w:val="en-US"/>
        </w:rPr>
        <w:t xml:space="preserve"> 8 months.</w:t>
      </w:r>
      <w:bookmarkEnd w:id="5"/>
      <w:bookmarkEnd w:id="6"/>
    </w:p>
    <w:p w14:paraId="040606E5" w14:textId="77777777" w:rsidR="00836512" w:rsidRDefault="00836512" w:rsidP="00836512">
      <w:pPr>
        <w:jc w:val="center"/>
        <w:rPr>
          <w:rFonts w:eastAsiaTheme="minorHAnsi"/>
          <w:sz w:val="20"/>
          <w:szCs w:val="20"/>
          <w:lang w:val="en-US"/>
        </w:rPr>
      </w:pPr>
    </w:p>
    <w:p w14:paraId="76432B9F" w14:textId="77777777" w:rsidR="00836512" w:rsidRDefault="00836512" w:rsidP="00836512">
      <w:pPr>
        <w:jc w:val="center"/>
        <w:rPr>
          <w:rFonts w:eastAsiaTheme="minorHAnsi"/>
          <w:sz w:val="20"/>
          <w:szCs w:val="20"/>
          <w:lang w:val="en-US"/>
        </w:rPr>
      </w:pPr>
    </w:p>
    <w:p w14:paraId="09ED67F4" w14:textId="54D38B6B" w:rsidR="00836512" w:rsidRDefault="00836512" w:rsidP="00836512">
      <w:pPr>
        <w:spacing w:line="480" w:lineRule="auto"/>
        <w:ind w:firstLine="720"/>
        <w:rPr>
          <w:lang w:val="en-US"/>
        </w:rPr>
      </w:pPr>
      <w:r>
        <w:rPr>
          <w:lang w:val="en-US"/>
        </w:rPr>
        <w:t xml:space="preserve">Deciduous </w:t>
      </w:r>
      <w:r w:rsidR="000C4FAD">
        <w:rPr>
          <w:lang w:val="en-US"/>
        </w:rPr>
        <w:t xml:space="preserve">first </w:t>
      </w:r>
      <w:r>
        <w:rPr>
          <w:lang w:val="en-US"/>
        </w:rPr>
        <w:t xml:space="preserve">molar, T4, represents individual ‘Tomba di bambino Ind. 1’, who was estimated to be two years old at the time of death. From the ages of 0.3 to 0.6 years (4.1 to 7 months of age) the comparatively high </w:t>
      </w:r>
      <w:r>
        <w:t>δ</w:t>
      </w:r>
      <w:r>
        <w:rPr>
          <w:vertAlign w:val="superscript"/>
          <w:lang w:val="en-US"/>
        </w:rPr>
        <w:t>15</w:t>
      </w:r>
      <w:r>
        <w:rPr>
          <w:lang w:val="en-US"/>
        </w:rPr>
        <w:t xml:space="preserve">N and </w:t>
      </w:r>
      <w:r>
        <w:t>δ</w:t>
      </w:r>
      <w:r>
        <w:rPr>
          <w:vertAlign w:val="superscript"/>
          <w:lang w:val="en-US"/>
        </w:rPr>
        <w:t>13</w:t>
      </w:r>
      <w:r>
        <w:rPr>
          <w:lang w:val="en-US"/>
        </w:rPr>
        <w:t xml:space="preserve">C values remain stable, indicating that this individual was breastfed during this period (Fig 5.4). Based on the decline in </w:t>
      </w:r>
      <w:r>
        <w:t>δ</w:t>
      </w:r>
      <w:r>
        <w:rPr>
          <w:vertAlign w:val="superscript"/>
          <w:lang w:val="en-US"/>
        </w:rPr>
        <w:t>15</w:t>
      </w:r>
      <w:r>
        <w:rPr>
          <w:lang w:val="en-US"/>
        </w:rPr>
        <w:t>N values by 2.6‰ between 7.7 months to 1.4 years, it can be inferred that the weaning process began after 7.7 months. As later stable isotope values are unavailable, it is not possible to estimate the age when weaning ceased from dental tissues.  But again, there is almost a full trophic level drop (~2.5‰) from the first to the last dentine point, so weaning may have been completed by 1.4 years of age. This drop is very similar to T1, which also seems to be indicative of weaning.</w:t>
      </w:r>
    </w:p>
    <w:p w14:paraId="59E932F1" w14:textId="62541E9E" w:rsidR="00912314" w:rsidRDefault="00912314" w:rsidP="00836512">
      <w:pPr>
        <w:spacing w:line="480" w:lineRule="auto"/>
        <w:ind w:firstLine="720"/>
        <w:rPr>
          <w:lang w:val="en-US"/>
        </w:rPr>
      </w:pPr>
    </w:p>
    <w:p w14:paraId="73B9B269" w14:textId="4A4578B4" w:rsidR="00836512" w:rsidRDefault="00836512" w:rsidP="00E14AE9">
      <w:pPr>
        <w:rPr>
          <w:lang w:val="en-US"/>
        </w:rPr>
      </w:pPr>
    </w:p>
    <w:p w14:paraId="66346E73" w14:textId="047E228C" w:rsidR="00E14AE9" w:rsidRDefault="00E14AE9" w:rsidP="00E14AE9">
      <w:pPr>
        <w:rPr>
          <w:rFonts w:eastAsiaTheme="minorHAnsi"/>
          <w:sz w:val="20"/>
          <w:szCs w:val="20"/>
          <w:lang w:val="en-US"/>
        </w:rPr>
      </w:pPr>
    </w:p>
    <w:p w14:paraId="7600167E" w14:textId="77777777" w:rsidR="00E14AE9" w:rsidRDefault="00E14AE9" w:rsidP="00E14AE9">
      <w:pPr>
        <w:rPr>
          <w:rFonts w:eastAsiaTheme="minorHAnsi"/>
          <w:sz w:val="20"/>
          <w:szCs w:val="20"/>
          <w:lang w:val="en-US"/>
        </w:rPr>
      </w:pPr>
    </w:p>
    <w:p w14:paraId="35FE5DE2" w14:textId="28AC7FFD" w:rsidR="00836512" w:rsidRDefault="00836512" w:rsidP="00836512">
      <w:pPr>
        <w:rPr>
          <w:rFonts w:asciiTheme="minorHAnsi" w:eastAsiaTheme="minorHAnsi" w:hAnsiTheme="minorHAnsi" w:cstheme="minorBidi"/>
          <w:lang w:val="en-US"/>
        </w:rPr>
      </w:pPr>
      <w:r>
        <w:rPr>
          <w:noProof/>
          <w:lang w:eastAsia="en-CA"/>
        </w:rPr>
        <w:lastRenderedPageBreak/>
        <w:drawing>
          <wp:anchor distT="0" distB="0" distL="114300" distR="114300" simplePos="0" relativeHeight="251707392" behindDoc="0" locked="0" layoutInCell="1" allowOverlap="1" wp14:anchorId="39DEAAE2" wp14:editId="1531A105">
            <wp:simplePos x="0" y="0"/>
            <wp:positionH relativeFrom="column">
              <wp:posOffset>800929</wp:posOffset>
            </wp:positionH>
            <wp:positionV relativeFrom="paragraph">
              <wp:posOffset>50192</wp:posOffset>
            </wp:positionV>
            <wp:extent cx="4388400" cy="2862000"/>
            <wp:effectExtent l="0" t="0" r="0" b="0"/>
            <wp:wrapNone/>
            <wp:docPr id="144" name="Chart 144">
              <a:extLst xmlns:a="http://schemas.openxmlformats.org/drawingml/2006/main">
                <a:ext uri="{FF2B5EF4-FFF2-40B4-BE49-F238E27FC236}">
                  <a16:creationId xmlns:a16="http://schemas.microsoft.com/office/drawing/2014/main" id="{111073F9-8C95-0B4F-99F1-201D3AB15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32992" behindDoc="0" locked="0" layoutInCell="1" allowOverlap="1" wp14:anchorId="2E4E8059" wp14:editId="7B5A04CD">
            <wp:simplePos x="0" y="0"/>
            <wp:positionH relativeFrom="column">
              <wp:posOffset>2973705</wp:posOffset>
            </wp:positionH>
            <wp:positionV relativeFrom="paragraph">
              <wp:posOffset>298450</wp:posOffset>
            </wp:positionV>
            <wp:extent cx="1485900" cy="1778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p>
    <w:p w14:paraId="7A6464C4" w14:textId="77777777" w:rsidR="00836512" w:rsidRDefault="00836512" w:rsidP="00836512">
      <w:pPr>
        <w:jc w:val="center"/>
        <w:rPr>
          <w:rFonts w:asciiTheme="minorHAnsi" w:eastAsiaTheme="minorHAnsi" w:hAnsiTheme="minorHAnsi" w:cstheme="minorBidi"/>
          <w:lang w:val="en-US"/>
        </w:rPr>
      </w:pPr>
    </w:p>
    <w:p w14:paraId="787A9FD9" w14:textId="77777777" w:rsidR="00836512" w:rsidRDefault="00836512" w:rsidP="00836512">
      <w:pPr>
        <w:rPr>
          <w:rFonts w:asciiTheme="minorHAnsi" w:eastAsiaTheme="minorHAnsi" w:hAnsiTheme="minorHAnsi" w:cstheme="minorBidi"/>
          <w:lang w:val="en-US"/>
        </w:rPr>
      </w:pPr>
    </w:p>
    <w:p w14:paraId="1353305C" w14:textId="77777777" w:rsidR="00836512" w:rsidRDefault="00836512" w:rsidP="00836512">
      <w:pPr>
        <w:jc w:val="center"/>
        <w:rPr>
          <w:rFonts w:asciiTheme="minorHAnsi" w:eastAsiaTheme="minorHAnsi" w:hAnsiTheme="minorHAnsi" w:cstheme="minorBidi"/>
          <w:lang w:val="en-US"/>
        </w:rPr>
      </w:pPr>
    </w:p>
    <w:p w14:paraId="7972FBE1" w14:textId="77777777" w:rsidR="00836512" w:rsidRDefault="00836512" w:rsidP="00836512">
      <w:pPr>
        <w:jc w:val="center"/>
        <w:rPr>
          <w:rFonts w:asciiTheme="minorHAnsi" w:eastAsiaTheme="minorHAnsi" w:hAnsiTheme="minorHAnsi" w:cstheme="minorBidi"/>
          <w:lang w:val="en-US"/>
        </w:rPr>
      </w:pPr>
    </w:p>
    <w:p w14:paraId="4B35EB5C" w14:textId="77777777" w:rsidR="00836512" w:rsidRDefault="00836512" w:rsidP="00836512">
      <w:pPr>
        <w:jc w:val="center"/>
        <w:rPr>
          <w:rFonts w:asciiTheme="minorHAnsi" w:eastAsiaTheme="minorHAnsi" w:hAnsiTheme="minorHAnsi" w:cstheme="minorBidi"/>
          <w:lang w:val="en-US"/>
        </w:rPr>
      </w:pPr>
    </w:p>
    <w:p w14:paraId="6E9315BD" w14:textId="760D44F3" w:rsidR="00836512" w:rsidRDefault="00836512" w:rsidP="00836512">
      <w:pPr>
        <w:jc w:val="center"/>
        <w:rPr>
          <w:rFonts w:asciiTheme="minorHAnsi" w:eastAsiaTheme="minorHAnsi" w:hAnsiTheme="minorHAnsi" w:cstheme="minorBidi"/>
          <w:lang w:val="en-US"/>
        </w:rPr>
      </w:pPr>
    </w:p>
    <w:p w14:paraId="761B1470" w14:textId="07EBF7C4" w:rsidR="00912314" w:rsidRDefault="00912314" w:rsidP="00836512">
      <w:pPr>
        <w:jc w:val="center"/>
        <w:rPr>
          <w:rFonts w:asciiTheme="minorHAnsi" w:eastAsiaTheme="minorHAnsi" w:hAnsiTheme="minorHAnsi" w:cstheme="minorBidi"/>
          <w:lang w:val="en-US"/>
        </w:rPr>
      </w:pPr>
    </w:p>
    <w:p w14:paraId="028CBD0D" w14:textId="77777777" w:rsidR="00912314" w:rsidRDefault="00912314" w:rsidP="00836512">
      <w:pPr>
        <w:jc w:val="center"/>
        <w:rPr>
          <w:rFonts w:asciiTheme="minorHAnsi" w:eastAsiaTheme="minorHAnsi" w:hAnsiTheme="minorHAnsi" w:cstheme="minorBidi"/>
          <w:lang w:val="en-US"/>
        </w:rPr>
      </w:pPr>
    </w:p>
    <w:p w14:paraId="1BB5F464" w14:textId="77777777" w:rsidR="00836512" w:rsidRDefault="00836512" w:rsidP="00836512">
      <w:pPr>
        <w:jc w:val="center"/>
        <w:rPr>
          <w:rFonts w:asciiTheme="minorHAnsi" w:eastAsiaTheme="minorHAnsi" w:hAnsiTheme="minorHAnsi" w:cstheme="minorBidi"/>
          <w:lang w:val="en-US"/>
        </w:rPr>
      </w:pPr>
    </w:p>
    <w:p w14:paraId="2E6D5634" w14:textId="77777777" w:rsidR="00836512" w:rsidRDefault="00836512" w:rsidP="00836512">
      <w:pPr>
        <w:jc w:val="center"/>
        <w:rPr>
          <w:rFonts w:asciiTheme="minorHAnsi" w:eastAsiaTheme="minorHAnsi" w:hAnsiTheme="minorHAnsi" w:cstheme="minorBidi"/>
          <w:lang w:val="en-US"/>
        </w:rPr>
      </w:pPr>
    </w:p>
    <w:p w14:paraId="3390D35F" w14:textId="77777777" w:rsidR="00836512" w:rsidRDefault="00836512" w:rsidP="00836512">
      <w:pPr>
        <w:jc w:val="center"/>
        <w:rPr>
          <w:rFonts w:asciiTheme="minorHAnsi" w:eastAsiaTheme="minorHAnsi" w:hAnsiTheme="minorHAnsi" w:cstheme="minorBidi"/>
          <w:lang w:val="en-US"/>
        </w:rPr>
      </w:pPr>
    </w:p>
    <w:p w14:paraId="5609AC1E" w14:textId="77777777" w:rsidR="00836512" w:rsidRDefault="00836512" w:rsidP="00836512">
      <w:pPr>
        <w:jc w:val="center"/>
        <w:rPr>
          <w:rFonts w:asciiTheme="minorHAnsi" w:eastAsiaTheme="minorHAnsi" w:hAnsiTheme="minorHAnsi" w:cstheme="minorBidi"/>
          <w:lang w:val="en-US"/>
        </w:rPr>
      </w:pPr>
    </w:p>
    <w:p w14:paraId="4C1CD51D" w14:textId="77777777" w:rsidR="00836512" w:rsidRDefault="00836512" w:rsidP="00836512">
      <w:pPr>
        <w:jc w:val="center"/>
        <w:rPr>
          <w:rFonts w:asciiTheme="minorHAnsi" w:eastAsiaTheme="minorHAnsi" w:hAnsiTheme="minorHAnsi" w:cstheme="minorBidi"/>
          <w:lang w:val="en-US"/>
        </w:rPr>
      </w:pPr>
    </w:p>
    <w:p w14:paraId="092887B0" w14:textId="77777777" w:rsidR="00836512" w:rsidRDefault="00836512" w:rsidP="00836512">
      <w:pPr>
        <w:jc w:val="center"/>
        <w:rPr>
          <w:rFonts w:asciiTheme="minorHAnsi" w:eastAsiaTheme="minorHAnsi" w:hAnsiTheme="minorHAnsi" w:cstheme="minorBidi"/>
          <w:lang w:val="en-US"/>
        </w:rPr>
      </w:pPr>
    </w:p>
    <w:p w14:paraId="72EA2FB8" w14:textId="77777777" w:rsidR="00836512" w:rsidRDefault="00836512" w:rsidP="00836512">
      <w:pPr>
        <w:rPr>
          <w:rFonts w:asciiTheme="minorHAnsi" w:eastAsiaTheme="minorHAnsi" w:hAnsiTheme="minorHAnsi" w:cstheme="minorBidi"/>
          <w:lang w:val="en-US"/>
        </w:rPr>
      </w:pPr>
    </w:p>
    <w:p w14:paraId="1D359C4F" w14:textId="29DDBE08" w:rsidR="00836512" w:rsidRPr="0018752B" w:rsidRDefault="00836512" w:rsidP="00836512">
      <w:pPr>
        <w:jc w:val="center"/>
        <w:rPr>
          <w:rFonts w:eastAsiaTheme="minorHAnsi"/>
          <w:lang w:val="en-US"/>
        </w:rPr>
      </w:pPr>
      <w:r w:rsidRPr="0018752B">
        <w:rPr>
          <w:rFonts w:eastAsiaTheme="minorHAnsi"/>
          <w:b/>
        </w:rPr>
        <w:t>Figure 5.5</w:t>
      </w:r>
      <w:r w:rsidR="0018752B">
        <w:rPr>
          <w:rFonts w:eastAsiaTheme="minorHAnsi"/>
          <w:b/>
        </w:rPr>
        <w:t>:</w:t>
      </w:r>
      <w:r w:rsidRPr="0018752B">
        <w:rPr>
          <w:rFonts w:eastAsiaTheme="minorHAnsi"/>
        </w:rPr>
        <w:t xml:space="preserve"> GS70 F25 (T5). </w:t>
      </w:r>
      <w:r w:rsidRPr="0018752B">
        <w:rPr>
          <w:rFonts w:eastAsiaTheme="minorHAnsi"/>
          <w:lang w:val="en-US"/>
        </w:rPr>
        <w:t xml:space="preserve">Age at death: 4 years </w:t>
      </w:r>
      <w:r w:rsidRPr="0018752B">
        <w:rPr>
          <w:rFonts w:eastAsiaTheme="minorHAnsi"/>
          <w:lang w:val="en-US"/>
        </w:rPr>
        <w:sym w:font="Symbol" w:char="F0B1"/>
      </w:r>
      <w:r w:rsidRPr="0018752B">
        <w:rPr>
          <w:rFonts w:eastAsiaTheme="minorHAnsi"/>
          <w:lang w:val="en-US"/>
        </w:rPr>
        <w:t xml:space="preserve"> 12 months.</w:t>
      </w:r>
    </w:p>
    <w:p w14:paraId="2CBA3CEC" w14:textId="77777777" w:rsidR="00836512" w:rsidRDefault="00836512" w:rsidP="00836512">
      <w:pPr>
        <w:jc w:val="center"/>
        <w:rPr>
          <w:rFonts w:eastAsiaTheme="minorHAnsi"/>
          <w:sz w:val="20"/>
          <w:szCs w:val="20"/>
          <w:lang w:val="en-US"/>
        </w:rPr>
      </w:pPr>
    </w:p>
    <w:p w14:paraId="7FBFE260" w14:textId="77777777" w:rsidR="00836512" w:rsidRDefault="00836512" w:rsidP="00836512">
      <w:pPr>
        <w:jc w:val="center"/>
        <w:rPr>
          <w:rFonts w:eastAsiaTheme="minorHAnsi"/>
          <w:sz w:val="20"/>
          <w:szCs w:val="20"/>
          <w:lang w:val="en-US"/>
        </w:rPr>
      </w:pPr>
    </w:p>
    <w:p w14:paraId="34E4347E" w14:textId="01132B2B" w:rsidR="00836512" w:rsidRDefault="00836512" w:rsidP="00912314">
      <w:pPr>
        <w:spacing w:line="480" w:lineRule="auto"/>
        <w:ind w:firstLine="720"/>
        <w:rPr>
          <w:lang w:val="en-US"/>
        </w:rPr>
      </w:pPr>
      <w:r>
        <w:rPr>
          <w:lang w:val="en-US"/>
        </w:rPr>
        <w:t xml:space="preserve">T5, a deciduous </w:t>
      </w:r>
      <w:r w:rsidR="000C4FAD">
        <w:rPr>
          <w:lang w:val="en-US"/>
        </w:rPr>
        <w:t xml:space="preserve">first </w:t>
      </w:r>
      <w:r>
        <w:rPr>
          <w:lang w:val="en-US"/>
        </w:rPr>
        <w:t xml:space="preserve">molar, represents stable isotope data for the individual GS70 F25. The decrease in </w:t>
      </w:r>
      <w:r>
        <w:t>δ</w:t>
      </w:r>
      <w:r>
        <w:rPr>
          <w:vertAlign w:val="superscript"/>
          <w:lang w:val="en-US"/>
        </w:rPr>
        <w:t>15</w:t>
      </w:r>
      <w:r>
        <w:rPr>
          <w:lang w:val="en-US"/>
        </w:rPr>
        <w:t xml:space="preserve">N by 2.2‰ between 0.48 year (5.3 months) and 1.7 years suggests that weaning began early, before the end of the first year of life (Fig. 5.5). From 1.7 to 2.3 years, </w:t>
      </w:r>
      <w:r>
        <w:t>δ</w:t>
      </w:r>
      <w:r>
        <w:rPr>
          <w:vertAlign w:val="superscript"/>
          <w:lang w:val="en-US"/>
        </w:rPr>
        <w:t>15</w:t>
      </w:r>
      <w:r>
        <w:rPr>
          <w:lang w:val="en-US"/>
        </w:rPr>
        <w:t xml:space="preserve">N and </w:t>
      </w:r>
      <w:r>
        <w:t>δ</w:t>
      </w:r>
      <w:r>
        <w:rPr>
          <w:vertAlign w:val="superscript"/>
          <w:lang w:val="en-US"/>
        </w:rPr>
        <w:t>13</w:t>
      </w:r>
      <w:r>
        <w:rPr>
          <w:lang w:val="en-US"/>
        </w:rPr>
        <w:t xml:space="preserve">C values remained relatively unchanged, followed by another decline in both isotopic profiles. This steady phase in stable isotope values may reflect weaning cessation around </w:t>
      </w:r>
      <w:r w:rsidR="00C55A17">
        <w:rPr>
          <w:lang w:val="en-US"/>
        </w:rPr>
        <w:t>2.0</w:t>
      </w:r>
      <w:r>
        <w:rPr>
          <w:lang w:val="en-US"/>
        </w:rPr>
        <w:t xml:space="preserve"> years and the subsequent decline may be a result of a shift in post-weaning diet which is reflected in both nitrogen and carbon isotope values</w:t>
      </w:r>
      <w:r w:rsidR="00912314">
        <w:rPr>
          <w:lang w:val="en-US"/>
        </w:rPr>
        <w:t>.</w:t>
      </w:r>
    </w:p>
    <w:p w14:paraId="1342EFE8" w14:textId="09FA4DE8" w:rsidR="00912314" w:rsidRDefault="00912314" w:rsidP="00912314">
      <w:pPr>
        <w:spacing w:line="480" w:lineRule="auto"/>
        <w:ind w:firstLine="720"/>
        <w:rPr>
          <w:lang w:val="en-US"/>
        </w:rPr>
      </w:pPr>
    </w:p>
    <w:p w14:paraId="628B80B7" w14:textId="1CD5D89B" w:rsidR="00912314" w:rsidRDefault="00912314" w:rsidP="00912314">
      <w:pPr>
        <w:spacing w:line="480" w:lineRule="auto"/>
        <w:ind w:firstLine="720"/>
        <w:rPr>
          <w:lang w:val="en-US"/>
        </w:rPr>
      </w:pPr>
    </w:p>
    <w:p w14:paraId="52E369E8" w14:textId="7962BA93" w:rsidR="00912314" w:rsidRDefault="00912314" w:rsidP="00912314">
      <w:pPr>
        <w:spacing w:line="480" w:lineRule="auto"/>
        <w:ind w:firstLine="720"/>
        <w:rPr>
          <w:lang w:val="en-US"/>
        </w:rPr>
      </w:pPr>
    </w:p>
    <w:p w14:paraId="5B9C9CAD" w14:textId="22337BAE" w:rsidR="00912314" w:rsidRDefault="00912314" w:rsidP="00912314">
      <w:pPr>
        <w:spacing w:line="480" w:lineRule="auto"/>
        <w:ind w:firstLine="720"/>
        <w:rPr>
          <w:lang w:val="en-US"/>
        </w:rPr>
      </w:pPr>
    </w:p>
    <w:p w14:paraId="62C5BEB7" w14:textId="77777777" w:rsidR="00912314" w:rsidRDefault="00912314" w:rsidP="004533C9">
      <w:pPr>
        <w:spacing w:line="480" w:lineRule="auto"/>
        <w:rPr>
          <w:lang w:val="en-US"/>
        </w:rPr>
      </w:pPr>
    </w:p>
    <w:p w14:paraId="31BE8696" w14:textId="0C088D1C" w:rsidR="00836512" w:rsidRDefault="00836512" w:rsidP="00836512">
      <w:pPr>
        <w:rPr>
          <w:rFonts w:asciiTheme="minorHAnsi" w:eastAsiaTheme="minorHAnsi" w:hAnsiTheme="minorHAnsi" w:cstheme="minorBidi"/>
          <w:lang w:val="en-US"/>
        </w:rPr>
      </w:pPr>
      <w:r>
        <w:rPr>
          <w:noProof/>
          <w:lang w:eastAsia="en-CA"/>
        </w:rPr>
        <w:lastRenderedPageBreak/>
        <w:drawing>
          <wp:anchor distT="0" distB="0" distL="114300" distR="114300" simplePos="0" relativeHeight="251708416" behindDoc="0" locked="0" layoutInCell="1" allowOverlap="1" wp14:anchorId="149EA935" wp14:editId="56DD7E86">
            <wp:simplePos x="0" y="0"/>
            <wp:positionH relativeFrom="column">
              <wp:posOffset>773789</wp:posOffset>
            </wp:positionH>
            <wp:positionV relativeFrom="paragraph">
              <wp:posOffset>170815</wp:posOffset>
            </wp:positionV>
            <wp:extent cx="4388400" cy="2862000"/>
            <wp:effectExtent l="0" t="0" r="0" b="0"/>
            <wp:wrapNone/>
            <wp:docPr id="142" name="Chart 142">
              <a:extLst xmlns:a="http://schemas.openxmlformats.org/drawingml/2006/main">
                <a:ext uri="{FF2B5EF4-FFF2-40B4-BE49-F238E27FC236}">
                  <a16:creationId xmlns:a16="http://schemas.microsoft.com/office/drawing/2014/main" id="{712F865D-7CDA-6C47-96FD-6A8F535B2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34016" behindDoc="0" locked="0" layoutInCell="1" allowOverlap="1" wp14:anchorId="25CE05AF" wp14:editId="1EB5016B">
            <wp:simplePos x="0" y="0"/>
            <wp:positionH relativeFrom="column">
              <wp:posOffset>2999740</wp:posOffset>
            </wp:positionH>
            <wp:positionV relativeFrom="paragraph">
              <wp:posOffset>296545</wp:posOffset>
            </wp:positionV>
            <wp:extent cx="1485900" cy="1778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p>
    <w:p w14:paraId="753E06E6" w14:textId="77777777" w:rsidR="00836512" w:rsidRDefault="00836512" w:rsidP="00836512">
      <w:pPr>
        <w:rPr>
          <w:rFonts w:asciiTheme="minorHAnsi" w:eastAsiaTheme="minorHAnsi" w:hAnsiTheme="minorHAnsi" w:cstheme="minorBidi"/>
          <w:lang w:val="en-US"/>
        </w:rPr>
      </w:pPr>
    </w:p>
    <w:p w14:paraId="679BA0A9" w14:textId="77777777" w:rsidR="00836512" w:rsidRDefault="00836512" w:rsidP="00836512">
      <w:pPr>
        <w:jc w:val="center"/>
        <w:rPr>
          <w:rFonts w:asciiTheme="minorHAnsi" w:eastAsiaTheme="minorHAnsi" w:hAnsiTheme="minorHAnsi" w:cstheme="minorBidi"/>
          <w:lang w:val="en-US"/>
        </w:rPr>
      </w:pPr>
    </w:p>
    <w:p w14:paraId="586F5E04" w14:textId="77777777" w:rsidR="00836512" w:rsidRDefault="00836512" w:rsidP="00836512">
      <w:pPr>
        <w:rPr>
          <w:rFonts w:asciiTheme="minorHAnsi" w:eastAsiaTheme="minorHAnsi" w:hAnsiTheme="minorHAnsi" w:cstheme="minorBidi"/>
          <w:lang w:val="en-US"/>
        </w:rPr>
      </w:pPr>
    </w:p>
    <w:p w14:paraId="4376AB80" w14:textId="77777777" w:rsidR="00836512" w:rsidRDefault="00836512" w:rsidP="00836512">
      <w:pPr>
        <w:rPr>
          <w:rFonts w:asciiTheme="minorHAnsi" w:eastAsiaTheme="minorHAnsi" w:hAnsiTheme="minorHAnsi" w:cstheme="minorBidi"/>
          <w:lang w:val="en-US"/>
        </w:rPr>
      </w:pPr>
    </w:p>
    <w:p w14:paraId="3A9E247E" w14:textId="77777777" w:rsidR="00836512" w:rsidRDefault="00836512" w:rsidP="00836512">
      <w:pPr>
        <w:rPr>
          <w:rFonts w:asciiTheme="minorHAnsi" w:eastAsiaTheme="minorHAnsi" w:hAnsiTheme="minorHAnsi" w:cstheme="minorBidi"/>
          <w:lang w:val="en-US"/>
        </w:rPr>
      </w:pPr>
    </w:p>
    <w:p w14:paraId="5FEACB31" w14:textId="77777777" w:rsidR="00836512" w:rsidRDefault="00836512" w:rsidP="00836512">
      <w:pPr>
        <w:rPr>
          <w:rFonts w:asciiTheme="minorHAnsi" w:eastAsiaTheme="minorHAnsi" w:hAnsiTheme="minorHAnsi" w:cstheme="minorBidi"/>
          <w:lang w:val="en-US"/>
        </w:rPr>
      </w:pPr>
    </w:p>
    <w:p w14:paraId="4D81F356" w14:textId="77777777" w:rsidR="00836512" w:rsidRDefault="00836512" w:rsidP="00836512">
      <w:pPr>
        <w:rPr>
          <w:rFonts w:asciiTheme="minorHAnsi" w:eastAsiaTheme="minorHAnsi" w:hAnsiTheme="minorHAnsi" w:cstheme="minorBidi"/>
          <w:lang w:val="en-US"/>
        </w:rPr>
      </w:pPr>
    </w:p>
    <w:p w14:paraId="0D611099" w14:textId="73E3ACB0" w:rsidR="00836512" w:rsidRDefault="00836512" w:rsidP="00836512">
      <w:pPr>
        <w:rPr>
          <w:rFonts w:asciiTheme="minorHAnsi" w:eastAsiaTheme="minorHAnsi" w:hAnsiTheme="minorHAnsi" w:cstheme="minorBidi"/>
          <w:lang w:val="en-US"/>
        </w:rPr>
      </w:pPr>
    </w:p>
    <w:p w14:paraId="0064C870" w14:textId="356A24C3" w:rsidR="00246437" w:rsidRDefault="00246437" w:rsidP="00836512">
      <w:pPr>
        <w:rPr>
          <w:rFonts w:asciiTheme="minorHAnsi" w:eastAsiaTheme="minorHAnsi" w:hAnsiTheme="minorHAnsi" w:cstheme="minorBidi"/>
          <w:lang w:val="en-US"/>
        </w:rPr>
      </w:pPr>
    </w:p>
    <w:p w14:paraId="44112FE6" w14:textId="6267515C" w:rsidR="00246437" w:rsidRDefault="00246437" w:rsidP="00836512">
      <w:pPr>
        <w:rPr>
          <w:rFonts w:asciiTheme="minorHAnsi" w:eastAsiaTheme="minorHAnsi" w:hAnsiTheme="minorHAnsi" w:cstheme="minorBidi"/>
          <w:lang w:val="en-US"/>
        </w:rPr>
      </w:pPr>
    </w:p>
    <w:p w14:paraId="30A92937" w14:textId="649EE0F2" w:rsidR="00246437" w:rsidRDefault="00246437" w:rsidP="00836512">
      <w:pPr>
        <w:rPr>
          <w:rFonts w:asciiTheme="minorHAnsi" w:eastAsiaTheme="minorHAnsi" w:hAnsiTheme="minorHAnsi" w:cstheme="minorBidi"/>
          <w:lang w:val="en-US"/>
        </w:rPr>
      </w:pPr>
    </w:p>
    <w:p w14:paraId="3E288612" w14:textId="77777777" w:rsidR="00246437" w:rsidRDefault="00246437" w:rsidP="00836512">
      <w:pPr>
        <w:rPr>
          <w:rFonts w:asciiTheme="minorHAnsi" w:eastAsiaTheme="minorHAnsi" w:hAnsiTheme="minorHAnsi" w:cstheme="minorBidi"/>
          <w:lang w:val="en-US"/>
        </w:rPr>
      </w:pPr>
    </w:p>
    <w:p w14:paraId="5FC675B4" w14:textId="77777777" w:rsidR="00836512" w:rsidRDefault="00836512" w:rsidP="00836512">
      <w:pPr>
        <w:rPr>
          <w:rFonts w:asciiTheme="minorHAnsi" w:eastAsiaTheme="minorHAnsi" w:hAnsiTheme="minorHAnsi" w:cstheme="minorBidi"/>
          <w:lang w:val="en-US"/>
        </w:rPr>
      </w:pPr>
    </w:p>
    <w:p w14:paraId="5B9E561A" w14:textId="77777777" w:rsidR="00836512" w:rsidRDefault="00836512" w:rsidP="00836512">
      <w:pPr>
        <w:rPr>
          <w:rFonts w:asciiTheme="minorHAnsi" w:eastAsiaTheme="minorHAnsi" w:hAnsiTheme="minorHAnsi" w:cstheme="minorBidi"/>
          <w:lang w:val="en-US"/>
        </w:rPr>
      </w:pPr>
    </w:p>
    <w:p w14:paraId="645A09DF" w14:textId="77777777" w:rsidR="00836512" w:rsidRDefault="00836512" w:rsidP="00836512">
      <w:pPr>
        <w:rPr>
          <w:rFonts w:asciiTheme="minorHAnsi" w:eastAsiaTheme="minorHAnsi" w:hAnsiTheme="minorHAnsi" w:cstheme="minorBidi"/>
          <w:lang w:val="en-US"/>
        </w:rPr>
      </w:pPr>
    </w:p>
    <w:p w14:paraId="6D399576" w14:textId="77777777" w:rsidR="00836512" w:rsidRDefault="00836512" w:rsidP="00836512">
      <w:pPr>
        <w:rPr>
          <w:rFonts w:asciiTheme="minorHAnsi" w:eastAsiaTheme="minorHAnsi" w:hAnsiTheme="minorHAnsi" w:cstheme="minorBidi"/>
          <w:lang w:val="en-US"/>
        </w:rPr>
      </w:pPr>
    </w:p>
    <w:p w14:paraId="5527CDD2" w14:textId="77B45934" w:rsidR="00836512" w:rsidRPr="0018752B" w:rsidRDefault="00836512" w:rsidP="00836512">
      <w:pPr>
        <w:jc w:val="center"/>
        <w:rPr>
          <w:rFonts w:eastAsiaTheme="minorHAnsi"/>
          <w:lang w:val="en-US"/>
        </w:rPr>
      </w:pPr>
      <w:r w:rsidRPr="0018752B">
        <w:rPr>
          <w:rFonts w:eastAsiaTheme="minorHAnsi"/>
          <w:b/>
          <w:lang w:val="en-US"/>
        </w:rPr>
        <w:t>Figure 5.6</w:t>
      </w:r>
      <w:r w:rsidR="0018752B">
        <w:rPr>
          <w:rFonts w:eastAsiaTheme="minorHAnsi"/>
          <w:b/>
          <w:lang w:val="en-US"/>
        </w:rPr>
        <w:t>:</w:t>
      </w:r>
      <w:r w:rsidRPr="0018752B">
        <w:rPr>
          <w:rFonts w:eastAsiaTheme="minorHAnsi"/>
          <w:lang w:val="en-US"/>
        </w:rPr>
        <w:t xml:space="preserve"> 1968 DB 1 Contents of Sarcophagus (T6). Age at death: 4 – 5 years </w:t>
      </w:r>
      <w:r w:rsidRPr="0018752B">
        <w:rPr>
          <w:rFonts w:eastAsiaTheme="minorHAnsi"/>
          <w:lang w:val="en-US"/>
        </w:rPr>
        <w:sym w:font="Symbol" w:char="F0B1"/>
      </w:r>
      <w:r w:rsidRPr="0018752B">
        <w:rPr>
          <w:rFonts w:eastAsiaTheme="minorHAnsi"/>
          <w:lang w:val="en-US"/>
        </w:rPr>
        <w:t xml:space="preserve"> 12 </w:t>
      </w:r>
      <w:r w:rsidR="00A83A77" w:rsidRPr="0018752B">
        <w:rPr>
          <w:rFonts w:eastAsiaTheme="minorHAnsi"/>
          <w:lang w:val="en-US"/>
        </w:rPr>
        <w:t>months</w:t>
      </w:r>
      <w:r w:rsidRPr="0018752B">
        <w:rPr>
          <w:rFonts w:eastAsiaTheme="minorHAnsi"/>
          <w:lang w:val="en-US"/>
        </w:rPr>
        <w:t>.</w:t>
      </w:r>
    </w:p>
    <w:p w14:paraId="730FD82A" w14:textId="77777777" w:rsidR="00836512" w:rsidRDefault="00836512" w:rsidP="00836512">
      <w:pPr>
        <w:jc w:val="center"/>
        <w:rPr>
          <w:rFonts w:eastAsiaTheme="minorHAnsi"/>
          <w:sz w:val="20"/>
          <w:szCs w:val="20"/>
          <w:lang w:val="en-US"/>
        </w:rPr>
      </w:pPr>
    </w:p>
    <w:p w14:paraId="41E4AC28" w14:textId="77777777" w:rsidR="00836512" w:rsidRDefault="00836512" w:rsidP="00836512">
      <w:pPr>
        <w:jc w:val="center"/>
        <w:rPr>
          <w:sz w:val="20"/>
          <w:szCs w:val="20"/>
          <w:lang w:val="en-US"/>
        </w:rPr>
      </w:pPr>
    </w:p>
    <w:p w14:paraId="47C93462" w14:textId="2651B3DA" w:rsidR="00A30AAD" w:rsidRDefault="00836512" w:rsidP="00A30AAD">
      <w:pPr>
        <w:spacing w:line="480" w:lineRule="auto"/>
        <w:ind w:firstLine="720"/>
        <w:rPr>
          <w:lang w:val="en-US"/>
        </w:rPr>
      </w:pPr>
      <w:r>
        <w:rPr>
          <w:lang w:val="en-US"/>
        </w:rPr>
        <w:t xml:space="preserve">T6, a deciduous </w:t>
      </w:r>
      <w:r w:rsidR="000C4FAD">
        <w:rPr>
          <w:lang w:val="en-US"/>
        </w:rPr>
        <w:t xml:space="preserve">first </w:t>
      </w:r>
      <w:r>
        <w:rPr>
          <w:lang w:val="en-US"/>
        </w:rPr>
        <w:t xml:space="preserve">molar, presents stable isotope values for this subadult from 0.4 years (4.9 months) to 2.2 years. The steadily decreasing </w:t>
      </w:r>
      <w:r>
        <w:t>δ</w:t>
      </w:r>
      <w:r>
        <w:rPr>
          <w:vertAlign w:val="superscript"/>
          <w:lang w:val="en-US"/>
        </w:rPr>
        <w:t>15</w:t>
      </w:r>
      <w:r>
        <w:rPr>
          <w:lang w:val="en-US"/>
        </w:rPr>
        <w:t xml:space="preserve">N and </w:t>
      </w:r>
      <w:r>
        <w:t>δ</w:t>
      </w:r>
      <w:r>
        <w:rPr>
          <w:vertAlign w:val="superscript"/>
          <w:lang w:val="en-US"/>
        </w:rPr>
        <w:t>13</w:t>
      </w:r>
      <w:r>
        <w:rPr>
          <w:lang w:val="en-US"/>
        </w:rPr>
        <w:t>C values between these ages suggest that weaning began around 4.9 months of age (Fig. 5.6). Later phases of life are not recorded by this tooth, thus is it difficult to infer weaning cessation.</w:t>
      </w:r>
    </w:p>
    <w:p w14:paraId="290D22FC" w14:textId="77777777" w:rsidR="00A30AAD" w:rsidRDefault="00A30AAD" w:rsidP="00A30AAD">
      <w:pPr>
        <w:spacing w:line="480" w:lineRule="auto"/>
        <w:ind w:firstLine="720"/>
        <w:rPr>
          <w:lang w:val="en-US"/>
        </w:rPr>
      </w:pPr>
    </w:p>
    <w:p w14:paraId="223F7E87" w14:textId="77777777" w:rsidR="00836512" w:rsidRDefault="00836512" w:rsidP="00836512">
      <w:pPr>
        <w:jc w:val="center"/>
        <w:rPr>
          <w:rFonts w:eastAsiaTheme="minorHAnsi"/>
          <w:sz w:val="20"/>
          <w:szCs w:val="20"/>
          <w:lang w:val="en-US"/>
        </w:rPr>
      </w:pPr>
    </w:p>
    <w:p w14:paraId="78E5CDFE" w14:textId="6F5705C0" w:rsidR="00836512" w:rsidRDefault="00836512" w:rsidP="00836512">
      <w:pPr>
        <w:jc w:val="center"/>
        <w:rPr>
          <w:rFonts w:asciiTheme="minorHAnsi" w:eastAsiaTheme="minorHAnsi" w:hAnsiTheme="minorHAnsi" w:cstheme="minorBidi"/>
          <w:lang w:val="en-US"/>
        </w:rPr>
      </w:pPr>
      <w:r>
        <w:rPr>
          <w:noProof/>
          <w:lang w:eastAsia="en-CA"/>
        </w:rPr>
        <w:lastRenderedPageBreak/>
        <w:drawing>
          <wp:anchor distT="0" distB="0" distL="114300" distR="114300" simplePos="0" relativeHeight="251735040" behindDoc="0" locked="0" layoutInCell="1" allowOverlap="1" wp14:anchorId="6BBCE396" wp14:editId="40113625">
            <wp:simplePos x="0" y="0"/>
            <wp:positionH relativeFrom="column">
              <wp:posOffset>2999740</wp:posOffset>
            </wp:positionH>
            <wp:positionV relativeFrom="paragraph">
              <wp:posOffset>222250</wp:posOffset>
            </wp:positionV>
            <wp:extent cx="1485900" cy="17780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74EF8764" wp14:editId="0A8BE279">
            <wp:extent cx="4389120" cy="2865120"/>
            <wp:effectExtent l="0" t="0" r="5080" b="5080"/>
            <wp:docPr id="69" name="Chart 69">
              <a:extLst xmlns:a="http://schemas.openxmlformats.org/drawingml/2006/main">
                <a:ext uri="{FF2B5EF4-FFF2-40B4-BE49-F238E27FC236}">
                  <a16:creationId xmlns:a16="http://schemas.microsoft.com/office/drawing/2014/main" id="{B8B60C72-0A75-674D-81A7-C4B82365B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1C7805" w14:textId="77777777" w:rsidR="00836512" w:rsidRPr="00A30AAD" w:rsidRDefault="00836512" w:rsidP="00836512">
      <w:pPr>
        <w:jc w:val="center"/>
        <w:rPr>
          <w:rFonts w:eastAsiaTheme="minorHAnsi"/>
          <w:szCs w:val="20"/>
          <w:lang w:val="en-US"/>
        </w:rPr>
      </w:pPr>
      <w:r w:rsidRPr="00A30AAD">
        <w:rPr>
          <w:rFonts w:eastAsiaTheme="minorHAnsi"/>
          <w:b/>
          <w:szCs w:val="20"/>
          <w:lang w:val="en-US"/>
        </w:rPr>
        <w:t>Figure 5.7:</w:t>
      </w:r>
      <w:r w:rsidRPr="00A30AAD">
        <w:rPr>
          <w:rFonts w:eastAsiaTheme="minorHAnsi"/>
          <w:szCs w:val="20"/>
          <w:lang w:val="en-US"/>
        </w:rPr>
        <w:t xml:space="preserve"> G67/I S5 small tomb (T7). Age at death: 3 years </w:t>
      </w:r>
      <w:r w:rsidRPr="00A30AAD">
        <w:rPr>
          <w:rFonts w:eastAsiaTheme="minorHAnsi"/>
          <w:szCs w:val="20"/>
          <w:lang w:val="en-US"/>
        </w:rPr>
        <w:sym w:font="Symbol" w:char="F0B1"/>
      </w:r>
      <w:r w:rsidRPr="00A30AAD">
        <w:rPr>
          <w:rFonts w:eastAsiaTheme="minorHAnsi"/>
          <w:szCs w:val="20"/>
          <w:lang w:val="en-US"/>
        </w:rPr>
        <w:t xml:space="preserve"> 12 months. </w:t>
      </w:r>
    </w:p>
    <w:p w14:paraId="16351D47" w14:textId="77777777" w:rsidR="00836512" w:rsidRDefault="00836512" w:rsidP="00836512">
      <w:pPr>
        <w:jc w:val="center"/>
        <w:rPr>
          <w:rFonts w:eastAsiaTheme="minorHAnsi"/>
          <w:sz w:val="20"/>
          <w:szCs w:val="20"/>
          <w:lang w:val="en-US"/>
        </w:rPr>
      </w:pPr>
    </w:p>
    <w:p w14:paraId="0EB0EEE2" w14:textId="77777777" w:rsidR="00836512" w:rsidRDefault="00836512" w:rsidP="00836512">
      <w:pPr>
        <w:jc w:val="center"/>
        <w:rPr>
          <w:rFonts w:eastAsiaTheme="minorHAnsi"/>
          <w:sz w:val="20"/>
          <w:szCs w:val="20"/>
          <w:lang w:val="en-US"/>
        </w:rPr>
      </w:pPr>
    </w:p>
    <w:p w14:paraId="34C90F85" w14:textId="2D306B87" w:rsidR="00836512" w:rsidRDefault="00836512" w:rsidP="00836512">
      <w:pPr>
        <w:spacing w:line="480" w:lineRule="auto"/>
        <w:ind w:firstLine="720"/>
        <w:rPr>
          <w:lang w:val="en-US"/>
        </w:rPr>
      </w:pPr>
      <w:r>
        <w:rPr>
          <w:color w:val="000000" w:themeColor="text1"/>
          <w:lang w:val="en-US"/>
        </w:rPr>
        <w:t>T7, a deciduous</w:t>
      </w:r>
      <w:r w:rsidR="000C4FAD">
        <w:rPr>
          <w:color w:val="000000" w:themeColor="text1"/>
          <w:lang w:val="en-US"/>
        </w:rPr>
        <w:t xml:space="preserve"> first</w:t>
      </w:r>
      <w:r>
        <w:rPr>
          <w:color w:val="000000" w:themeColor="text1"/>
          <w:lang w:val="en-US"/>
        </w:rPr>
        <w:t xml:space="preserve"> molar represents a single individual who was estimated to be 3 years of age at the time of death. The</w:t>
      </w:r>
      <w:r w:rsidR="00C55A17">
        <w:rPr>
          <w:color w:val="000000" w:themeColor="text1"/>
          <w:lang w:val="en-US"/>
        </w:rPr>
        <w:t xml:space="preserve"> relatively</w:t>
      </w:r>
      <w:r>
        <w:rPr>
          <w:color w:val="000000" w:themeColor="text1"/>
          <w:lang w:val="en-US"/>
        </w:rPr>
        <w:t xml:space="preserve"> steady </w:t>
      </w:r>
      <w:r>
        <w:t>δ</w:t>
      </w:r>
      <w:r>
        <w:rPr>
          <w:vertAlign w:val="superscript"/>
          <w:lang w:val="en-US"/>
        </w:rPr>
        <w:t>15</w:t>
      </w:r>
      <w:r>
        <w:rPr>
          <w:lang w:val="en-US"/>
        </w:rPr>
        <w:t xml:space="preserve">N and </w:t>
      </w:r>
      <w:r>
        <w:t>δ</w:t>
      </w:r>
      <w:r>
        <w:rPr>
          <w:vertAlign w:val="superscript"/>
          <w:lang w:val="en-US"/>
        </w:rPr>
        <w:t>13</w:t>
      </w:r>
      <w:r>
        <w:rPr>
          <w:lang w:val="en-US"/>
        </w:rPr>
        <w:t xml:space="preserve">C values between 0.3 and 0.7 years (4.1 to 7.7 months), followed by a decline in stable isotope values show that this individual was exclusively breastfed up until 7.7 months, and weaning was initiated after this time (indicated by the declining isotope values after this point) (Fig. 5.7). Weaning cessation could not be inferred due to the fact that stable isotope values from deciduous dental tissues past 1.4 years were not available. However, as the total drop in </w:t>
      </w:r>
      <w:r>
        <w:t>δ</w:t>
      </w:r>
      <w:r>
        <w:rPr>
          <w:vertAlign w:val="superscript"/>
          <w:lang w:val="en-US"/>
        </w:rPr>
        <w:t>15</w:t>
      </w:r>
      <w:r>
        <w:rPr>
          <w:lang w:val="en-US"/>
        </w:rPr>
        <w:t xml:space="preserve">N and </w:t>
      </w:r>
      <w:r>
        <w:t>δ</w:t>
      </w:r>
      <w:r>
        <w:rPr>
          <w:vertAlign w:val="superscript"/>
          <w:lang w:val="en-US"/>
        </w:rPr>
        <w:t>13</w:t>
      </w:r>
      <w:r>
        <w:rPr>
          <w:lang w:val="en-US"/>
        </w:rPr>
        <w:t>C values is consistent with the expected decline (e.g. 3‰ and 1‰, respectively) this child may have been weaned by 1.4 years.</w:t>
      </w:r>
    </w:p>
    <w:p w14:paraId="20653CBB" w14:textId="77777777" w:rsidR="00836512" w:rsidRDefault="00836512" w:rsidP="00836512">
      <w:pPr>
        <w:jc w:val="center"/>
        <w:rPr>
          <w:rFonts w:eastAsiaTheme="minorHAnsi"/>
          <w:sz w:val="20"/>
          <w:szCs w:val="20"/>
          <w:lang w:val="en-US"/>
        </w:rPr>
      </w:pPr>
    </w:p>
    <w:p w14:paraId="66D79C7C" w14:textId="77777777" w:rsidR="00836512" w:rsidRDefault="00836512" w:rsidP="00836512">
      <w:pPr>
        <w:rPr>
          <w:rFonts w:asciiTheme="minorHAnsi" w:eastAsiaTheme="minorHAnsi" w:hAnsiTheme="minorHAnsi" w:cstheme="minorBidi"/>
          <w:lang w:val="en-US"/>
        </w:rPr>
      </w:pPr>
    </w:p>
    <w:p w14:paraId="789B36FB" w14:textId="0DDC4604" w:rsidR="00836512" w:rsidRDefault="00836512" w:rsidP="00836512">
      <w:pPr>
        <w:jc w:val="center"/>
        <w:rPr>
          <w:rFonts w:asciiTheme="minorHAnsi" w:eastAsiaTheme="minorHAnsi" w:hAnsiTheme="minorHAnsi" w:cstheme="minorBidi"/>
          <w:lang w:val="en-US"/>
        </w:rPr>
      </w:pPr>
      <w:r>
        <w:rPr>
          <w:rFonts w:asciiTheme="minorHAnsi" w:eastAsiaTheme="minorHAnsi" w:hAnsiTheme="minorHAnsi" w:cstheme="minorBidi"/>
          <w:noProof/>
          <w:lang w:eastAsia="en-CA"/>
        </w:rPr>
        <w:lastRenderedPageBreak/>
        <w:drawing>
          <wp:inline distT="0" distB="0" distL="0" distR="0" wp14:anchorId="2429EB36" wp14:editId="3568DA16">
            <wp:extent cx="4388400" cy="2862000"/>
            <wp:effectExtent l="0" t="0" r="0" b="0"/>
            <wp:docPr id="68" name="Chart 68">
              <a:extLst xmlns:a="http://schemas.openxmlformats.org/drawingml/2006/main">
                <a:ext uri="{FF2B5EF4-FFF2-40B4-BE49-F238E27FC236}">
                  <a16:creationId xmlns:a16="http://schemas.microsoft.com/office/drawing/2014/main" id="{2B6F8178-BCAE-5744-B452-08C245247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9937A3" w14:textId="77777777" w:rsidR="00836512" w:rsidRPr="0018752B" w:rsidRDefault="00836512" w:rsidP="00836512">
      <w:pPr>
        <w:jc w:val="center"/>
        <w:rPr>
          <w:rFonts w:eastAsiaTheme="minorHAnsi"/>
          <w:color w:val="000000" w:themeColor="text1"/>
          <w:lang w:val="en-US"/>
        </w:rPr>
      </w:pPr>
      <w:r w:rsidRPr="0018752B">
        <w:rPr>
          <w:rFonts w:eastAsiaTheme="minorHAnsi"/>
          <w:b/>
          <w:lang w:val="en-US"/>
        </w:rPr>
        <w:t>Figure 5.8:</w:t>
      </w:r>
      <w:r w:rsidRPr="0018752B">
        <w:rPr>
          <w:rFonts w:eastAsiaTheme="minorHAnsi"/>
          <w:lang w:val="en-US"/>
        </w:rPr>
        <w:t xml:space="preserve"> 1967 G67/I SG-Tomb 6(2) Infill 1 (T8). </w:t>
      </w:r>
      <w:r w:rsidRPr="0018752B">
        <w:rPr>
          <w:rFonts w:eastAsiaTheme="minorHAnsi"/>
          <w:color w:val="000000" w:themeColor="text1"/>
          <w:lang w:val="en-US"/>
        </w:rPr>
        <w:t xml:space="preserve">Age at death: 3 years </w:t>
      </w:r>
      <w:r w:rsidRPr="0018752B">
        <w:rPr>
          <w:rFonts w:eastAsiaTheme="minorHAnsi"/>
          <w:color w:val="000000" w:themeColor="text1"/>
          <w:lang w:val="en-US"/>
        </w:rPr>
        <w:sym w:font="Symbol" w:char="F0B1"/>
      </w:r>
      <w:r w:rsidRPr="0018752B">
        <w:rPr>
          <w:rFonts w:eastAsiaTheme="minorHAnsi"/>
          <w:color w:val="000000" w:themeColor="text1"/>
          <w:lang w:val="en-US"/>
        </w:rPr>
        <w:t xml:space="preserve"> 8 months. </w:t>
      </w:r>
    </w:p>
    <w:p w14:paraId="11F85D2E" w14:textId="77777777" w:rsidR="00836512" w:rsidRDefault="00836512" w:rsidP="00836512">
      <w:pPr>
        <w:jc w:val="center"/>
        <w:rPr>
          <w:rFonts w:eastAsiaTheme="minorHAnsi"/>
          <w:color w:val="000000" w:themeColor="text1"/>
          <w:sz w:val="20"/>
          <w:szCs w:val="20"/>
          <w:lang w:val="en-US"/>
        </w:rPr>
      </w:pPr>
    </w:p>
    <w:p w14:paraId="001B7605" w14:textId="77777777" w:rsidR="00836512" w:rsidRDefault="00836512" w:rsidP="00836512">
      <w:pPr>
        <w:jc w:val="center"/>
        <w:rPr>
          <w:rFonts w:eastAsiaTheme="minorHAnsi"/>
          <w:color w:val="000000" w:themeColor="text1"/>
          <w:sz w:val="20"/>
          <w:szCs w:val="20"/>
          <w:lang w:val="en-US"/>
        </w:rPr>
      </w:pPr>
    </w:p>
    <w:p w14:paraId="555B492B" w14:textId="3F4E9AA7" w:rsidR="00836512" w:rsidRDefault="00836512" w:rsidP="00912314">
      <w:pPr>
        <w:spacing w:line="480" w:lineRule="auto"/>
        <w:ind w:firstLine="720"/>
        <w:rPr>
          <w:lang w:val="en-US"/>
        </w:rPr>
      </w:pPr>
      <w:r>
        <w:rPr>
          <w:color w:val="000000" w:themeColor="text1"/>
          <w:lang w:val="en-US"/>
        </w:rPr>
        <w:t>This subadult was estimated to be 3 years of age at the time of death and is represented by the deciduous</w:t>
      </w:r>
      <w:r w:rsidR="000C4FAD">
        <w:rPr>
          <w:color w:val="000000" w:themeColor="text1"/>
          <w:lang w:val="en-US"/>
        </w:rPr>
        <w:t xml:space="preserve"> first</w:t>
      </w:r>
      <w:r>
        <w:rPr>
          <w:color w:val="000000" w:themeColor="text1"/>
          <w:lang w:val="en-US"/>
        </w:rPr>
        <w:t xml:space="preserve"> molar, T8. Dentine subsamples from this tooth present stable isotope data between 5 months (0.4 year) and 3 years of life. A gradual decline in </w:t>
      </w:r>
      <w:r>
        <w:t>δ</w:t>
      </w:r>
      <w:r>
        <w:rPr>
          <w:vertAlign w:val="superscript"/>
          <w:lang w:val="en-US"/>
        </w:rPr>
        <w:t>15</w:t>
      </w:r>
      <w:r>
        <w:rPr>
          <w:lang w:val="en-US"/>
        </w:rPr>
        <w:t xml:space="preserve">N </w:t>
      </w:r>
      <w:r>
        <w:rPr>
          <w:color w:val="000000" w:themeColor="text1"/>
          <w:lang w:val="en-US"/>
        </w:rPr>
        <w:t>by 3.3</w:t>
      </w:r>
      <w:r>
        <w:rPr>
          <w:lang w:val="en-US"/>
        </w:rPr>
        <w:t>‰ between these ages is most likely a response to weaning</w:t>
      </w:r>
      <w:r w:rsidR="00A7236D">
        <w:rPr>
          <w:lang w:val="en-US"/>
        </w:rPr>
        <w:t>,</w:t>
      </w:r>
      <w:r>
        <w:rPr>
          <w:lang w:val="en-US"/>
        </w:rPr>
        <w:t xml:space="preserve"> which began shortly after 5 months and was likely done by 2.5 years of age (Fig. 5.8). The slight drop in </w:t>
      </w:r>
      <w:r>
        <w:t>δ</w:t>
      </w:r>
      <w:r>
        <w:rPr>
          <w:vertAlign w:val="superscript"/>
          <w:lang w:val="en-US"/>
        </w:rPr>
        <w:t>15</w:t>
      </w:r>
      <w:r>
        <w:rPr>
          <w:lang w:val="en-US"/>
        </w:rPr>
        <w:t xml:space="preserve">N by 3 years, accompanied by a slight increase in </w:t>
      </w:r>
      <w:r>
        <w:t>δ</w:t>
      </w:r>
      <w:r>
        <w:rPr>
          <w:vertAlign w:val="superscript"/>
          <w:lang w:val="en-US"/>
        </w:rPr>
        <w:t>13</w:t>
      </w:r>
      <w:r>
        <w:rPr>
          <w:lang w:val="en-US"/>
        </w:rPr>
        <w:t xml:space="preserve">C is likely representative of an accelerated growth spurt and depleted </w:t>
      </w:r>
      <w:r>
        <w:rPr>
          <w:vertAlign w:val="superscript"/>
          <w:lang w:val="en-US"/>
        </w:rPr>
        <w:t>15</w:t>
      </w:r>
      <w:r>
        <w:rPr>
          <w:lang w:val="en-US"/>
        </w:rPr>
        <w:t xml:space="preserve">N-levels along with the consumption of a post-weaning diet. </w:t>
      </w:r>
    </w:p>
    <w:p w14:paraId="2A12C84B" w14:textId="77777777" w:rsidR="00836512" w:rsidRDefault="00836512" w:rsidP="00836512">
      <w:pPr>
        <w:jc w:val="center"/>
        <w:rPr>
          <w:rFonts w:eastAsiaTheme="minorHAnsi"/>
          <w:sz w:val="20"/>
          <w:szCs w:val="20"/>
          <w:lang w:val="en-US"/>
        </w:rPr>
      </w:pPr>
    </w:p>
    <w:p w14:paraId="2D9ABEA3" w14:textId="6627C863" w:rsidR="00836512" w:rsidRDefault="00836512" w:rsidP="00836512">
      <w:pPr>
        <w:jc w:val="center"/>
        <w:rPr>
          <w:rFonts w:asciiTheme="minorHAnsi" w:eastAsiaTheme="minorHAnsi" w:hAnsiTheme="minorHAnsi" w:cstheme="minorBidi"/>
          <w:lang w:val="en-US"/>
        </w:rPr>
      </w:pPr>
      <w:r>
        <w:rPr>
          <w:noProof/>
          <w:lang w:eastAsia="en-CA"/>
        </w:rPr>
        <w:lastRenderedPageBreak/>
        <w:drawing>
          <wp:anchor distT="0" distB="0" distL="114300" distR="114300" simplePos="0" relativeHeight="251736064" behindDoc="0" locked="0" layoutInCell="1" allowOverlap="1" wp14:anchorId="4873E99A" wp14:editId="642B2498">
            <wp:simplePos x="0" y="0"/>
            <wp:positionH relativeFrom="column">
              <wp:posOffset>3034030</wp:posOffset>
            </wp:positionH>
            <wp:positionV relativeFrom="paragraph">
              <wp:posOffset>177165</wp:posOffset>
            </wp:positionV>
            <wp:extent cx="1485900" cy="1778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77312F09" wp14:editId="022C1DEA">
            <wp:extent cx="4388400" cy="2862000"/>
            <wp:effectExtent l="0" t="0" r="0" b="0"/>
            <wp:docPr id="66" name="Chart 66">
              <a:extLst xmlns:a="http://schemas.openxmlformats.org/drawingml/2006/main">
                <a:ext uri="{FF2B5EF4-FFF2-40B4-BE49-F238E27FC236}">
                  <a16:creationId xmlns:a16="http://schemas.microsoft.com/office/drawing/2014/main" id="{57D943D4-5FC9-714D-9645-71B5CE1EC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904171" w14:textId="77777777" w:rsidR="00836512" w:rsidRDefault="00836512" w:rsidP="00836512">
      <w:pPr>
        <w:jc w:val="center"/>
        <w:rPr>
          <w:rFonts w:asciiTheme="minorHAnsi" w:eastAsiaTheme="minorHAnsi" w:hAnsiTheme="minorHAnsi" w:cstheme="minorBidi"/>
          <w:lang w:val="en-US"/>
        </w:rPr>
      </w:pPr>
    </w:p>
    <w:p w14:paraId="4D2B57CE" w14:textId="77777777" w:rsidR="00836512" w:rsidRPr="0018752B" w:rsidRDefault="00836512" w:rsidP="00836512">
      <w:pPr>
        <w:jc w:val="center"/>
        <w:rPr>
          <w:rFonts w:eastAsiaTheme="minorHAnsi"/>
          <w:lang w:val="en-US"/>
        </w:rPr>
      </w:pPr>
      <w:r w:rsidRPr="0018752B">
        <w:rPr>
          <w:rFonts w:eastAsiaTheme="minorHAnsi"/>
          <w:b/>
        </w:rPr>
        <w:t>Figure 5.9:</w:t>
      </w:r>
      <w:r w:rsidRPr="0018752B">
        <w:rPr>
          <w:rFonts w:eastAsiaTheme="minorHAnsi"/>
        </w:rPr>
        <w:t xml:space="preserve"> No Label #2 (T9). </w:t>
      </w:r>
      <w:r w:rsidRPr="0018752B">
        <w:rPr>
          <w:rFonts w:eastAsiaTheme="minorHAnsi"/>
          <w:lang w:val="en-US"/>
        </w:rPr>
        <w:t xml:space="preserve">Age at death: 5 – 6 years </w:t>
      </w:r>
      <w:r w:rsidRPr="0018752B">
        <w:rPr>
          <w:rFonts w:eastAsiaTheme="minorHAnsi"/>
          <w:lang w:val="en-US"/>
        </w:rPr>
        <w:sym w:font="Symbol" w:char="F0B1"/>
      </w:r>
      <w:r w:rsidRPr="0018752B">
        <w:rPr>
          <w:rFonts w:eastAsiaTheme="minorHAnsi"/>
          <w:lang w:val="en-US"/>
        </w:rPr>
        <w:t xml:space="preserve"> 12 months. </w:t>
      </w:r>
    </w:p>
    <w:p w14:paraId="12D445D1" w14:textId="77777777" w:rsidR="00836512" w:rsidRDefault="00836512" w:rsidP="00836512">
      <w:pPr>
        <w:jc w:val="center"/>
        <w:rPr>
          <w:rFonts w:eastAsiaTheme="minorHAnsi"/>
          <w:sz w:val="20"/>
          <w:szCs w:val="20"/>
          <w:lang w:val="en-US"/>
        </w:rPr>
      </w:pPr>
    </w:p>
    <w:p w14:paraId="74871D71" w14:textId="77777777" w:rsidR="00836512" w:rsidRDefault="00836512" w:rsidP="00836512">
      <w:pPr>
        <w:jc w:val="center"/>
        <w:rPr>
          <w:rFonts w:eastAsiaTheme="minorHAnsi"/>
          <w:sz w:val="20"/>
          <w:szCs w:val="20"/>
          <w:lang w:val="en-US"/>
        </w:rPr>
      </w:pPr>
    </w:p>
    <w:p w14:paraId="7E8172EE" w14:textId="721120ED" w:rsidR="00836512" w:rsidRDefault="00836512" w:rsidP="00836512">
      <w:pPr>
        <w:spacing w:line="480" w:lineRule="auto"/>
        <w:ind w:firstLine="720"/>
        <w:rPr>
          <w:lang w:val="en-US"/>
        </w:rPr>
      </w:pPr>
      <w:r>
        <w:rPr>
          <w:color w:val="000000"/>
          <w:lang w:val="en-US"/>
        </w:rPr>
        <w:t xml:space="preserve">T9, a deciduous second molar, presents stable isotope data for this individual who was estimated to be 5 – 6 years of age at the time of death. The sharp decline in </w:t>
      </w:r>
      <w:r>
        <w:t>δ</w:t>
      </w:r>
      <w:r>
        <w:rPr>
          <w:vertAlign w:val="superscript"/>
          <w:lang w:val="en-US"/>
        </w:rPr>
        <w:t>15</w:t>
      </w:r>
      <w:r>
        <w:rPr>
          <w:lang w:val="en-US"/>
        </w:rPr>
        <w:t xml:space="preserve">N values by 3‰ after 5.8 months (0.5 year) over the next seven months indicate that this subadult was weaned very </w:t>
      </w:r>
      <w:r w:rsidR="003D7DA4">
        <w:rPr>
          <w:lang w:val="en-US"/>
        </w:rPr>
        <w:t>rapidly</w:t>
      </w:r>
      <w:r>
        <w:rPr>
          <w:lang w:val="en-US"/>
        </w:rPr>
        <w:t xml:space="preserve"> </w:t>
      </w:r>
      <w:r w:rsidR="003D7DA4">
        <w:rPr>
          <w:lang w:val="en-US"/>
        </w:rPr>
        <w:t>soon</w:t>
      </w:r>
      <w:r>
        <w:rPr>
          <w:lang w:val="en-US"/>
        </w:rPr>
        <w:t xml:space="preserve"> after birth (Fig. 5.9).  Additionally, the low </w:t>
      </w:r>
      <w:r>
        <w:t>δ</w:t>
      </w:r>
      <w:r>
        <w:rPr>
          <w:vertAlign w:val="superscript"/>
          <w:lang w:val="en-US"/>
        </w:rPr>
        <w:t>15</w:t>
      </w:r>
      <w:r>
        <w:rPr>
          <w:lang w:val="en-US"/>
        </w:rPr>
        <w:t xml:space="preserve">N values (i.e. &lt; 12‰) displayed by this individual resemble values measured in adult samples at later ages, such as T20 (Botromagno 1968 GDA 68 R1 F1 L5), who at two years of age had a </w:t>
      </w:r>
      <w:r>
        <w:t>δ</w:t>
      </w:r>
      <w:r>
        <w:rPr>
          <w:vertAlign w:val="superscript"/>
          <w:lang w:val="en-US"/>
        </w:rPr>
        <w:t>15</w:t>
      </w:r>
      <w:r>
        <w:rPr>
          <w:lang w:val="en-US"/>
        </w:rPr>
        <w:t xml:space="preserve">N value of 12.3‰ (Table 5.2). These low </w:t>
      </w:r>
      <w:r>
        <w:t>δ</w:t>
      </w:r>
      <w:r>
        <w:rPr>
          <w:vertAlign w:val="superscript"/>
          <w:lang w:val="en-US"/>
        </w:rPr>
        <w:t>15</w:t>
      </w:r>
      <w:r>
        <w:rPr>
          <w:lang w:val="en-US"/>
        </w:rPr>
        <w:t xml:space="preserve">N values throughout the early feeding history of this child, could be a reflection of low </w:t>
      </w:r>
      <w:r>
        <w:t>δ</w:t>
      </w:r>
      <w:r>
        <w:rPr>
          <w:vertAlign w:val="superscript"/>
          <w:lang w:val="en-US"/>
        </w:rPr>
        <w:t>15</w:t>
      </w:r>
      <w:r>
        <w:rPr>
          <w:lang w:val="en-US"/>
        </w:rPr>
        <w:t xml:space="preserve">N maternal values that were incorporated in-utero during early tooth formation or an earlier onset of weaning that began prior to 5.8 months, accompanied </w:t>
      </w:r>
      <w:r w:rsidR="00A7236D">
        <w:rPr>
          <w:lang w:val="en-US"/>
        </w:rPr>
        <w:t>by</w:t>
      </w:r>
      <w:r>
        <w:rPr>
          <w:lang w:val="en-US"/>
        </w:rPr>
        <w:t xml:space="preserve"> a </w:t>
      </w:r>
      <w:r>
        <w:rPr>
          <w:vertAlign w:val="superscript"/>
          <w:lang w:val="en-US"/>
        </w:rPr>
        <w:t>15</w:t>
      </w:r>
      <w:r>
        <w:rPr>
          <w:lang w:val="en-US"/>
        </w:rPr>
        <w:t xml:space="preserve">N-depleted supplementary diet. </w:t>
      </w:r>
    </w:p>
    <w:p w14:paraId="47231078" w14:textId="77777777" w:rsidR="00836512" w:rsidRDefault="00836512" w:rsidP="00836512">
      <w:pPr>
        <w:jc w:val="center"/>
        <w:rPr>
          <w:rFonts w:asciiTheme="minorHAnsi" w:eastAsiaTheme="minorHAnsi" w:hAnsiTheme="minorHAnsi" w:cstheme="minorBidi"/>
          <w:lang w:val="en-US"/>
        </w:rPr>
      </w:pPr>
    </w:p>
    <w:p w14:paraId="3412FE58" w14:textId="4BC80BEB" w:rsidR="00836512" w:rsidRDefault="00836512" w:rsidP="00912314">
      <w:pPr>
        <w:jc w:val="center"/>
        <w:rPr>
          <w:rFonts w:asciiTheme="minorHAnsi" w:eastAsiaTheme="minorHAnsi" w:hAnsiTheme="minorHAnsi" w:cstheme="minorBidi"/>
          <w:lang w:val="en-US"/>
        </w:rPr>
      </w:pPr>
      <w:r>
        <w:rPr>
          <w:noProof/>
          <w:lang w:eastAsia="en-CA"/>
        </w:rPr>
        <w:lastRenderedPageBreak/>
        <w:drawing>
          <wp:anchor distT="0" distB="0" distL="114300" distR="114300" simplePos="0" relativeHeight="251737088" behindDoc="0" locked="0" layoutInCell="1" allowOverlap="1" wp14:anchorId="21D59961" wp14:editId="68FBCC5C">
            <wp:simplePos x="0" y="0"/>
            <wp:positionH relativeFrom="column">
              <wp:posOffset>2854325</wp:posOffset>
            </wp:positionH>
            <wp:positionV relativeFrom="paragraph">
              <wp:posOffset>185420</wp:posOffset>
            </wp:positionV>
            <wp:extent cx="1485900" cy="1778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34E663DB" wp14:editId="75013E83">
            <wp:extent cx="4388400" cy="2862000"/>
            <wp:effectExtent l="0" t="0" r="0" b="0"/>
            <wp:docPr id="65" name="Chart 65">
              <a:extLst xmlns:a="http://schemas.openxmlformats.org/drawingml/2006/main">
                <a:ext uri="{FF2B5EF4-FFF2-40B4-BE49-F238E27FC236}">
                  <a16:creationId xmlns:a16="http://schemas.microsoft.com/office/drawing/2014/main" id="{960CABC3-5EED-4D46-867F-47D389E99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B45174" w14:textId="77777777" w:rsidR="00836512" w:rsidRPr="0018752B" w:rsidRDefault="00836512" w:rsidP="00836512">
      <w:pPr>
        <w:jc w:val="center"/>
        <w:rPr>
          <w:rFonts w:eastAsiaTheme="minorHAnsi"/>
          <w:lang w:val="en-US"/>
        </w:rPr>
      </w:pPr>
      <w:r w:rsidRPr="0018752B">
        <w:rPr>
          <w:rFonts w:eastAsiaTheme="minorHAnsi"/>
          <w:b/>
          <w:lang w:val="en-US"/>
        </w:rPr>
        <w:t>Figure 5.10:</w:t>
      </w:r>
      <w:r w:rsidRPr="0018752B">
        <w:rPr>
          <w:rFonts w:eastAsiaTheme="minorHAnsi"/>
          <w:lang w:val="en-US"/>
        </w:rPr>
        <w:t xml:space="preserve"> 1972 Area NA Burial 1 of A-1 (T10). Age at death: 4 years </w:t>
      </w:r>
      <w:r w:rsidRPr="0018752B">
        <w:rPr>
          <w:rFonts w:eastAsiaTheme="minorHAnsi"/>
          <w:lang w:val="en-US"/>
        </w:rPr>
        <w:sym w:font="Symbol" w:char="F0B1"/>
      </w:r>
      <w:r w:rsidRPr="0018752B">
        <w:rPr>
          <w:rFonts w:eastAsiaTheme="minorHAnsi"/>
          <w:lang w:val="en-US"/>
        </w:rPr>
        <w:t xml:space="preserve"> 12 months. </w:t>
      </w:r>
    </w:p>
    <w:p w14:paraId="61D122FE" w14:textId="77777777" w:rsidR="00836512" w:rsidRDefault="00836512" w:rsidP="00912314">
      <w:pPr>
        <w:rPr>
          <w:rFonts w:eastAsiaTheme="minorHAnsi"/>
          <w:sz w:val="20"/>
          <w:szCs w:val="20"/>
          <w:lang w:val="en-US"/>
        </w:rPr>
      </w:pPr>
    </w:p>
    <w:p w14:paraId="2F38671B" w14:textId="77777777" w:rsidR="00836512" w:rsidRDefault="00836512" w:rsidP="00836512">
      <w:pPr>
        <w:jc w:val="center"/>
        <w:rPr>
          <w:rFonts w:eastAsiaTheme="minorHAnsi"/>
          <w:sz w:val="20"/>
          <w:szCs w:val="20"/>
          <w:lang w:val="en-US"/>
        </w:rPr>
      </w:pPr>
    </w:p>
    <w:p w14:paraId="21D841D0" w14:textId="0F868A92" w:rsidR="00836512" w:rsidRDefault="00836512" w:rsidP="00836512">
      <w:pPr>
        <w:spacing w:line="480" w:lineRule="auto"/>
        <w:ind w:firstLine="720"/>
        <w:rPr>
          <w:lang w:val="en-US"/>
        </w:rPr>
      </w:pPr>
      <w:r>
        <w:rPr>
          <w:lang w:val="en-US"/>
        </w:rPr>
        <w:t xml:space="preserve">The second deciduous molar, T10, represents this individual who was estimated to be four years of age at the time of death. The high </w:t>
      </w:r>
      <w:r>
        <w:t>δ</w:t>
      </w:r>
      <w:r>
        <w:rPr>
          <w:vertAlign w:val="superscript"/>
          <w:lang w:val="en-US"/>
        </w:rPr>
        <w:t>15</w:t>
      </w:r>
      <w:r>
        <w:rPr>
          <w:lang w:val="en-US"/>
        </w:rPr>
        <w:t xml:space="preserve">N value at 0.75 year (8 months) indicate that this individual was still breastfeeding at this point, so </w:t>
      </w:r>
      <w:r w:rsidR="001159C9">
        <w:rPr>
          <w:lang w:val="en-US"/>
        </w:rPr>
        <w:t>transitional feeding</w:t>
      </w:r>
      <w:r>
        <w:rPr>
          <w:lang w:val="en-US"/>
        </w:rPr>
        <w:t xml:space="preserve"> began after this age (Fig. 5.10). Between one to two years </w:t>
      </w:r>
      <w:r>
        <w:t>δ</w:t>
      </w:r>
      <w:r>
        <w:rPr>
          <w:vertAlign w:val="superscript"/>
          <w:lang w:val="en-US"/>
        </w:rPr>
        <w:t>15</w:t>
      </w:r>
      <w:r>
        <w:rPr>
          <w:lang w:val="en-US"/>
        </w:rPr>
        <w:t xml:space="preserve">N and </w:t>
      </w:r>
      <w:r>
        <w:t>δ</w:t>
      </w:r>
      <w:r>
        <w:rPr>
          <w:vertAlign w:val="superscript"/>
          <w:lang w:val="en-US"/>
        </w:rPr>
        <w:t>13</w:t>
      </w:r>
      <w:r>
        <w:rPr>
          <w:lang w:val="en-US"/>
        </w:rPr>
        <w:t>C values were both consistent; steady values could be indicative of cessation of weaning. However, as both nitrogen and carbon isotope values continue to decline at 2.8 years, this could instead be a result of weaning cessation or</w:t>
      </w:r>
      <w:r w:rsidR="00750C4F">
        <w:rPr>
          <w:lang w:val="en-US"/>
        </w:rPr>
        <w:t xml:space="preserve"> </w:t>
      </w:r>
      <w:r>
        <w:rPr>
          <w:lang w:val="en-US"/>
        </w:rPr>
        <w:t xml:space="preserve">alternatively could be an outcome of accelerated growth (resulting in the depletion of </w:t>
      </w:r>
      <w:r>
        <w:rPr>
          <w:vertAlign w:val="superscript"/>
          <w:lang w:val="en-US"/>
        </w:rPr>
        <w:t>15</w:t>
      </w:r>
      <w:r>
        <w:rPr>
          <w:lang w:val="en-US"/>
        </w:rPr>
        <w:t>N) along</w:t>
      </w:r>
      <w:r w:rsidR="00750C4F">
        <w:rPr>
          <w:lang w:val="en-US"/>
        </w:rPr>
        <w:t xml:space="preserve"> </w:t>
      </w:r>
      <w:r>
        <w:rPr>
          <w:lang w:val="en-US"/>
        </w:rPr>
        <w:t xml:space="preserve">with a shift to a post-weaning diet demonstrated by a slight decline in </w:t>
      </w:r>
      <w:r>
        <w:t>δ</w:t>
      </w:r>
      <w:r>
        <w:rPr>
          <w:vertAlign w:val="superscript"/>
          <w:lang w:val="en-US"/>
        </w:rPr>
        <w:t>13</w:t>
      </w:r>
      <w:r>
        <w:rPr>
          <w:lang w:val="en-US"/>
        </w:rPr>
        <w:t xml:space="preserve">C values.  </w:t>
      </w:r>
    </w:p>
    <w:p w14:paraId="3B9A86DC" w14:textId="1169E485" w:rsidR="00836512" w:rsidRPr="00912314" w:rsidRDefault="00836512" w:rsidP="00912314">
      <w:pPr>
        <w:jc w:val="center"/>
        <w:rPr>
          <w:rFonts w:asciiTheme="minorHAnsi" w:eastAsiaTheme="minorHAnsi" w:hAnsiTheme="minorHAnsi" w:cstheme="minorBidi"/>
          <w:lang w:val="en-US"/>
        </w:rPr>
      </w:pPr>
      <w:r>
        <w:rPr>
          <w:rFonts w:asciiTheme="minorHAnsi" w:eastAsiaTheme="minorHAnsi" w:hAnsiTheme="minorHAnsi" w:cstheme="minorBidi"/>
          <w:noProof/>
          <w:lang w:eastAsia="en-CA"/>
        </w:rPr>
        <w:lastRenderedPageBreak/>
        <w:drawing>
          <wp:inline distT="0" distB="0" distL="0" distR="0" wp14:anchorId="05919E81" wp14:editId="6BE37E1C">
            <wp:extent cx="4388400" cy="2862000"/>
            <wp:effectExtent l="0" t="0" r="0" b="0"/>
            <wp:docPr id="62" name="Chart 62">
              <a:extLst xmlns:a="http://schemas.openxmlformats.org/drawingml/2006/main">
                <a:ext uri="{FF2B5EF4-FFF2-40B4-BE49-F238E27FC236}">
                  <a16:creationId xmlns:a16="http://schemas.microsoft.com/office/drawing/2014/main" id="{0A7D7381-8D76-4640-978A-C633DC335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3476B2" w14:textId="77777777" w:rsidR="00836512" w:rsidRPr="0018752B" w:rsidRDefault="00836512" w:rsidP="00836512">
      <w:pPr>
        <w:jc w:val="center"/>
        <w:rPr>
          <w:rFonts w:eastAsiaTheme="minorHAnsi"/>
          <w:lang w:val="en-US"/>
        </w:rPr>
      </w:pPr>
      <w:r w:rsidRPr="0018752B">
        <w:rPr>
          <w:rFonts w:eastAsiaTheme="minorHAnsi"/>
          <w:b/>
          <w:lang w:val="en-US"/>
        </w:rPr>
        <w:t>Figure 5.11:</w:t>
      </w:r>
      <w:r w:rsidRPr="0018752B">
        <w:rPr>
          <w:rFonts w:eastAsiaTheme="minorHAnsi"/>
          <w:lang w:val="en-US"/>
        </w:rPr>
        <w:t xml:space="preserve"> G67/I P15 S19 (T11). Age at death: 7 – 8 years </w:t>
      </w:r>
      <w:r w:rsidRPr="0018752B">
        <w:rPr>
          <w:rFonts w:eastAsiaTheme="minorHAnsi"/>
          <w:lang w:val="en-US"/>
        </w:rPr>
        <w:sym w:font="Symbol" w:char="F0B1"/>
      </w:r>
      <w:r w:rsidRPr="0018752B">
        <w:rPr>
          <w:rFonts w:eastAsiaTheme="minorHAnsi"/>
          <w:lang w:val="en-US"/>
        </w:rPr>
        <w:t xml:space="preserve"> 24 months. </w:t>
      </w:r>
    </w:p>
    <w:p w14:paraId="21BA6B8C" w14:textId="77777777" w:rsidR="00836512" w:rsidRDefault="00836512" w:rsidP="00836512">
      <w:pPr>
        <w:jc w:val="center"/>
        <w:rPr>
          <w:rFonts w:eastAsiaTheme="minorHAnsi"/>
          <w:sz w:val="20"/>
          <w:szCs w:val="20"/>
          <w:lang w:val="en-US"/>
        </w:rPr>
      </w:pPr>
    </w:p>
    <w:p w14:paraId="07BCAE62" w14:textId="77777777" w:rsidR="00836512" w:rsidRDefault="00836512" w:rsidP="00836512">
      <w:pPr>
        <w:jc w:val="center"/>
        <w:rPr>
          <w:rFonts w:eastAsiaTheme="minorHAnsi"/>
          <w:sz w:val="20"/>
          <w:szCs w:val="20"/>
          <w:lang w:val="en-US"/>
        </w:rPr>
      </w:pPr>
    </w:p>
    <w:p w14:paraId="6C7A94E1" w14:textId="2277B9D5" w:rsidR="00836512" w:rsidRDefault="00836512" w:rsidP="00836512">
      <w:pPr>
        <w:spacing w:line="480" w:lineRule="auto"/>
        <w:ind w:firstLine="720"/>
        <w:rPr>
          <w:lang w:val="en-US"/>
        </w:rPr>
      </w:pPr>
      <w:r>
        <w:rPr>
          <w:lang w:val="en-US"/>
        </w:rPr>
        <w:t>T11, a deciduous</w:t>
      </w:r>
      <w:r w:rsidR="000C4FAD">
        <w:rPr>
          <w:lang w:val="en-US"/>
        </w:rPr>
        <w:t xml:space="preserve"> first</w:t>
      </w:r>
      <w:r>
        <w:rPr>
          <w:lang w:val="en-US"/>
        </w:rPr>
        <w:t xml:space="preserve"> molar, presents stable isotope data for the individual G67/I P15 S19, who was estimated to be 7 – 8 years of age at the time of death. Elevated </w:t>
      </w:r>
      <w:r>
        <w:t>δ</w:t>
      </w:r>
      <w:r>
        <w:rPr>
          <w:vertAlign w:val="superscript"/>
          <w:lang w:val="en-US"/>
        </w:rPr>
        <w:t>15</w:t>
      </w:r>
      <w:r>
        <w:rPr>
          <w:lang w:val="en-US"/>
        </w:rPr>
        <w:t xml:space="preserve">N values between 0.5 (6 months) to 1 year, demonstrate an expected </w:t>
      </w:r>
      <w:r>
        <w:rPr>
          <w:vertAlign w:val="superscript"/>
          <w:lang w:val="en-US"/>
        </w:rPr>
        <w:t>15</w:t>
      </w:r>
      <w:r>
        <w:rPr>
          <w:lang w:val="en-US"/>
        </w:rPr>
        <w:t xml:space="preserve">N-enrichment associated with breastfeeding (Fig 5.11). The decline </w:t>
      </w:r>
      <w:r>
        <w:t>δ</w:t>
      </w:r>
      <w:r>
        <w:rPr>
          <w:vertAlign w:val="superscript"/>
          <w:lang w:val="en-US"/>
        </w:rPr>
        <w:t>15</w:t>
      </w:r>
      <w:r>
        <w:rPr>
          <w:lang w:val="en-US"/>
        </w:rPr>
        <w:t xml:space="preserve">N values </w:t>
      </w:r>
      <w:r w:rsidR="00180D96">
        <w:rPr>
          <w:lang w:val="en-US"/>
        </w:rPr>
        <w:t xml:space="preserve">by 1.8‰ </w:t>
      </w:r>
      <w:r>
        <w:rPr>
          <w:lang w:val="en-US"/>
        </w:rPr>
        <w:t>between 1 and 3 years indicate that weaning began after the first year, and gradually continued up to the 3</w:t>
      </w:r>
      <w:r>
        <w:rPr>
          <w:vertAlign w:val="superscript"/>
          <w:lang w:val="en-US"/>
        </w:rPr>
        <w:t>rd</w:t>
      </w:r>
      <w:r>
        <w:rPr>
          <w:lang w:val="en-US"/>
        </w:rPr>
        <w:t xml:space="preserve"> year. Since a deciduous molar is completely formed by approximately 3 years, weaning cessation could not be identified as </w:t>
      </w:r>
      <w:r>
        <w:t>δ</w:t>
      </w:r>
      <w:r>
        <w:rPr>
          <w:vertAlign w:val="superscript"/>
          <w:lang w:val="en-US"/>
        </w:rPr>
        <w:t>15</w:t>
      </w:r>
      <w:r>
        <w:rPr>
          <w:lang w:val="en-US"/>
        </w:rPr>
        <w:t xml:space="preserve">N values continued to decrease up until this age (i.e. variability in isotope values continued until 3 years with an absence of plateauing associated with weaning cessation). </w:t>
      </w:r>
    </w:p>
    <w:p w14:paraId="7F9F57D9" w14:textId="77777777" w:rsidR="00836512" w:rsidRDefault="00836512" w:rsidP="00836512">
      <w:pPr>
        <w:jc w:val="center"/>
        <w:rPr>
          <w:rFonts w:asciiTheme="minorHAnsi" w:eastAsiaTheme="minorHAnsi" w:hAnsiTheme="minorHAnsi" w:cstheme="minorBidi"/>
          <w:lang w:val="en-US"/>
        </w:rPr>
      </w:pPr>
    </w:p>
    <w:p w14:paraId="1EFA0D61" w14:textId="77777777" w:rsidR="00836512" w:rsidRDefault="00836512" w:rsidP="00836512">
      <w:pPr>
        <w:rPr>
          <w:rFonts w:asciiTheme="minorHAnsi" w:eastAsiaTheme="minorHAnsi" w:hAnsiTheme="minorHAnsi" w:cstheme="minorBidi"/>
          <w:lang w:val="en-US"/>
        </w:rPr>
      </w:pPr>
    </w:p>
    <w:p w14:paraId="231E19E9" w14:textId="26708EF8" w:rsidR="00836512" w:rsidRDefault="00836512" w:rsidP="00912314">
      <w:pPr>
        <w:jc w:val="center"/>
        <w:rPr>
          <w:rFonts w:asciiTheme="minorHAnsi" w:eastAsiaTheme="minorHAnsi" w:hAnsiTheme="minorHAnsi" w:cstheme="minorBidi"/>
          <w:lang w:val="en-US"/>
        </w:rPr>
      </w:pPr>
      <w:r>
        <w:rPr>
          <w:noProof/>
          <w:lang w:eastAsia="en-CA"/>
        </w:rPr>
        <w:lastRenderedPageBreak/>
        <w:drawing>
          <wp:anchor distT="0" distB="0" distL="114300" distR="114300" simplePos="0" relativeHeight="251738112" behindDoc="0" locked="0" layoutInCell="1" allowOverlap="1" wp14:anchorId="1A69EF50" wp14:editId="4EC8D2DC">
            <wp:simplePos x="0" y="0"/>
            <wp:positionH relativeFrom="column">
              <wp:posOffset>2914015</wp:posOffset>
            </wp:positionH>
            <wp:positionV relativeFrom="paragraph">
              <wp:posOffset>93980</wp:posOffset>
            </wp:positionV>
            <wp:extent cx="1485900" cy="1778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3E7A7B74" wp14:editId="367B9A39">
            <wp:extent cx="4388400" cy="2862000"/>
            <wp:effectExtent l="0" t="0" r="0" b="0"/>
            <wp:docPr id="61" name="Chart 61">
              <a:extLst xmlns:a="http://schemas.openxmlformats.org/drawingml/2006/main">
                <a:ext uri="{FF2B5EF4-FFF2-40B4-BE49-F238E27FC236}">
                  <a16:creationId xmlns:a16="http://schemas.microsoft.com/office/drawing/2014/main" id="{C852FE07-C64E-F149-96E3-76209BACA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D4B538" w14:textId="77777777" w:rsidR="00836512" w:rsidRPr="0018752B" w:rsidRDefault="00836512" w:rsidP="00912314">
      <w:pPr>
        <w:spacing w:line="480" w:lineRule="auto"/>
        <w:jc w:val="center"/>
        <w:rPr>
          <w:rFonts w:asciiTheme="minorHAnsi" w:eastAsiaTheme="minorHAnsi" w:hAnsiTheme="minorHAnsi" w:cstheme="minorBidi"/>
          <w:lang w:val="en-US"/>
        </w:rPr>
      </w:pPr>
      <w:r w:rsidRPr="0018752B">
        <w:rPr>
          <w:rFonts w:eastAsiaTheme="minorHAnsi"/>
          <w:b/>
          <w:lang w:val="en-US"/>
        </w:rPr>
        <w:t>Figure 5.12:</w:t>
      </w:r>
      <w:r w:rsidRPr="0018752B">
        <w:rPr>
          <w:rFonts w:eastAsiaTheme="minorHAnsi"/>
          <w:lang w:val="en-US"/>
        </w:rPr>
        <w:t xml:space="preserve"> G67 Site C RZ3 Pit 3 tomb infill (T12). Age at death: 9 years </w:t>
      </w:r>
      <w:r w:rsidRPr="0018752B">
        <w:rPr>
          <w:rFonts w:eastAsiaTheme="minorHAnsi"/>
          <w:lang w:val="en-US"/>
        </w:rPr>
        <w:sym w:font="Symbol" w:char="F0B1"/>
      </w:r>
      <w:r w:rsidRPr="0018752B">
        <w:rPr>
          <w:rFonts w:eastAsiaTheme="minorHAnsi"/>
          <w:lang w:val="en-US"/>
        </w:rPr>
        <w:t xml:space="preserve"> 24 months. </w:t>
      </w:r>
    </w:p>
    <w:p w14:paraId="7F38FA4F" w14:textId="77777777" w:rsidR="00836512" w:rsidRDefault="00836512" w:rsidP="00836512">
      <w:pPr>
        <w:rPr>
          <w:rFonts w:eastAsiaTheme="minorHAnsi"/>
          <w:lang w:val="en-US"/>
        </w:rPr>
      </w:pPr>
    </w:p>
    <w:p w14:paraId="1C121C4C" w14:textId="77777777" w:rsidR="00180D96" w:rsidRDefault="00836512" w:rsidP="004533C9">
      <w:pPr>
        <w:spacing w:line="480" w:lineRule="auto"/>
        <w:ind w:firstLine="720"/>
        <w:rPr>
          <w:lang w:val="en-US"/>
        </w:rPr>
      </w:pPr>
      <w:r>
        <w:rPr>
          <w:lang w:val="en-US"/>
        </w:rPr>
        <w:t xml:space="preserve">T12, a permanent </w:t>
      </w:r>
      <w:r w:rsidR="00750C4F">
        <w:rPr>
          <w:lang w:val="en-US"/>
        </w:rPr>
        <w:t xml:space="preserve">first </w:t>
      </w:r>
      <w:r>
        <w:rPr>
          <w:lang w:val="en-US"/>
        </w:rPr>
        <w:t xml:space="preserve">molar, represents this subadult who was estimated to be 9 years of age at the time of death. Due to dental wear on the occlusal surface, isotopic data prior to 2 years could not be examined. From two years of age, there was a 1.9‰ drop in </w:t>
      </w:r>
      <w:r>
        <w:t>δ</w:t>
      </w:r>
      <w:r>
        <w:rPr>
          <w:vertAlign w:val="superscript"/>
          <w:lang w:val="en-US"/>
        </w:rPr>
        <w:t>15</w:t>
      </w:r>
      <w:r>
        <w:rPr>
          <w:lang w:val="en-US"/>
        </w:rPr>
        <w:t xml:space="preserve">N values, followed by a more gradual decline between 3.6 to 5.9 years (Fig. 5.12). Stable nitrogen isotope values then begin to rise from 5.9 to 7.1 years by 0.8‰ and remain consistent up until 8.4 years. These values indicate that weaning most likely began around two years of age due to the 2‰ – 3‰ offset in </w:t>
      </w:r>
      <w:r>
        <w:t>δ</w:t>
      </w:r>
      <w:r>
        <w:rPr>
          <w:vertAlign w:val="superscript"/>
          <w:lang w:val="en-US"/>
        </w:rPr>
        <w:t>15</w:t>
      </w:r>
      <w:r>
        <w:rPr>
          <w:lang w:val="en-US"/>
        </w:rPr>
        <w:t xml:space="preserve">N values expected with weaning. Furthermore, it is likely that weaning was complete around 3.6 years of age since </w:t>
      </w:r>
      <w:r>
        <w:t>δ</w:t>
      </w:r>
      <w:r>
        <w:rPr>
          <w:vertAlign w:val="superscript"/>
          <w:lang w:val="en-US"/>
        </w:rPr>
        <w:t>15</w:t>
      </w:r>
      <w:r>
        <w:rPr>
          <w:lang w:val="en-US"/>
        </w:rPr>
        <w:t xml:space="preserve">N values began to decline more gradually. The depleted </w:t>
      </w:r>
      <w:r>
        <w:rPr>
          <w:vertAlign w:val="superscript"/>
          <w:lang w:val="en-US"/>
        </w:rPr>
        <w:t>15</w:t>
      </w:r>
      <w:r>
        <w:rPr>
          <w:lang w:val="en-US"/>
        </w:rPr>
        <w:t xml:space="preserve">N-levels and accelerated growth, which was noted in other subadult individuals, could account for the continued decrease in </w:t>
      </w:r>
      <w:r>
        <w:t>δ</w:t>
      </w:r>
      <w:r>
        <w:rPr>
          <w:vertAlign w:val="superscript"/>
          <w:lang w:val="en-US"/>
        </w:rPr>
        <w:t>15</w:t>
      </w:r>
      <w:r>
        <w:rPr>
          <w:lang w:val="en-US"/>
        </w:rPr>
        <w:t xml:space="preserve">N values. As the </w:t>
      </w:r>
      <w:r>
        <w:t>δ</w:t>
      </w:r>
      <w:r>
        <w:rPr>
          <w:vertAlign w:val="superscript"/>
          <w:lang w:val="en-US"/>
        </w:rPr>
        <w:t>13</w:t>
      </w:r>
      <w:r>
        <w:rPr>
          <w:lang w:val="en-US"/>
        </w:rPr>
        <w:t xml:space="preserve">C values only increase by 0.2‰ during this </w:t>
      </w:r>
      <w:r>
        <w:rPr>
          <w:lang w:val="en-US"/>
        </w:rPr>
        <w:lastRenderedPageBreak/>
        <w:t>period</w:t>
      </w:r>
      <w:r w:rsidR="00180D96">
        <w:rPr>
          <w:lang w:val="en-US"/>
        </w:rPr>
        <w:t xml:space="preserve"> a</w:t>
      </w:r>
      <w:r>
        <w:rPr>
          <w:lang w:val="en-US"/>
        </w:rPr>
        <w:t xml:space="preserve"> plant-based diet possibly remained steady</w:t>
      </w:r>
      <w:r w:rsidR="004533C9">
        <w:rPr>
          <w:lang w:val="en-US"/>
        </w:rPr>
        <w:t>.</w:t>
      </w:r>
      <w:r w:rsidR="00180D96">
        <w:rPr>
          <w:lang w:val="en-US"/>
        </w:rPr>
        <w:t xml:space="preserve"> Increase in </w:t>
      </w:r>
      <w:r w:rsidR="00180D96">
        <w:t>δ</w:t>
      </w:r>
      <w:r w:rsidR="00180D96">
        <w:rPr>
          <w:vertAlign w:val="superscript"/>
          <w:lang w:val="en-US"/>
        </w:rPr>
        <w:t>15</w:t>
      </w:r>
      <w:r w:rsidR="00180D96">
        <w:rPr>
          <w:lang w:val="en-US"/>
        </w:rPr>
        <w:t xml:space="preserve">N values with steady </w:t>
      </w:r>
      <w:r w:rsidR="00180D96">
        <w:t>δ</w:t>
      </w:r>
      <w:r w:rsidR="00180D96">
        <w:rPr>
          <w:vertAlign w:val="superscript"/>
          <w:lang w:val="en-US"/>
        </w:rPr>
        <w:t>13</w:t>
      </w:r>
      <w:r w:rsidR="00180D96">
        <w:rPr>
          <w:lang w:val="en-US"/>
        </w:rPr>
        <w:t>C values from 6 years may be a result of physiological stress.</w:t>
      </w:r>
    </w:p>
    <w:p w14:paraId="02CE0ACE" w14:textId="2E23521E" w:rsidR="00836512" w:rsidRDefault="00180D96" w:rsidP="00180D96">
      <w:pPr>
        <w:ind w:firstLine="720"/>
        <w:rPr>
          <w:lang w:val="en-US"/>
        </w:rPr>
      </w:pPr>
      <w:r>
        <w:rPr>
          <w:lang w:val="en-US"/>
        </w:rPr>
        <w:t xml:space="preserve"> </w:t>
      </w:r>
    </w:p>
    <w:p w14:paraId="3847F82B" w14:textId="22967239" w:rsidR="00836512" w:rsidRDefault="00836512" w:rsidP="00836512">
      <w:pPr>
        <w:spacing w:line="480" w:lineRule="auto"/>
        <w:rPr>
          <w:rFonts w:eastAsiaTheme="minorHAnsi"/>
          <w:iCs/>
          <w:lang w:val="en-US"/>
        </w:rPr>
      </w:pPr>
      <w:r w:rsidRPr="00912314">
        <w:rPr>
          <w:rFonts w:eastAsiaTheme="minorHAnsi"/>
          <w:lang w:val="en-US"/>
        </w:rPr>
        <w:t xml:space="preserve">5.3.2 </w:t>
      </w:r>
      <w:r w:rsidRPr="00912314">
        <w:rPr>
          <w:rFonts w:eastAsiaTheme="minorHAnsi"/>
          <w:iCs/>
          <w:lang w:val="en-US"/>
        </w:rPr>
        <w:t>General Trends in Subadult Dentine Data</w:t>
      </w:r>
    </w:p>
    <w:p w14:paraId="00A8BD2B" w14:textId="77777777" w:rsidR="00912314" w:rsidRPr="00912314" w:rsidRDefault="00912314" w:rsidP="00912314">
      <w:pPr>
        <w:rPr>
          <w:rFonts w:eastAsiaTheme="minorHAnsi"/>
          <w:iCs/>
          <w:lang w:val="en-US"/>
        </w:rPr>
      </w:pPr>
    </w:p>
    <w:p w14:paraId="3A81573F" w14:textId="646DC088" w:rsidR="00836512" w:rsidRDefault="00836512" w:rsidP="00912314">
      <w:pPr>
        <w:spacing w:line="480" w:lineRule="auto"/>
        <w:ind w:firstLine="720"/>
        <w:rPr>
          <w:rFonts w:eastAsiaTheme="minorHAnsi"/>
          <w:lang w:val="en-US"/>
        </w:rPr>
      </w:pPr>
      <w:r>
        <w:rPr>
          <w:rFonts w:eastAsiaTheme="minorHAnsi"/>
          <w:lang w:val="en-US"/>
        </w:rPr>
        <w:t xml:space="preserve">From these graphs a general trend of decreasing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with increasing dentine section age can be discerned, with the exception of T9 (Figure 5.9). The general trend of decreasing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is consistent with the cessation of exclusive breastfeeding and the beginning of transitional feeding during the weaning process, resulting in lower </w:t>
      </w:r>
      <w:r>
        <w:rPr>
          <w:rFonts w:eastAsiaTheme="minorHAnsi"/>
          <w:vertAlign w:val="superscript"/>
          <w:lang w:val="en-US"/>
        </w:rPr>
        <w:t>15</w:t>
      </w:r>
      <w:r>
        <w:rPr>
          <w:rFonts w:eastAsiaTheme="minorHAnsi"/>
          <w:lang w:val="en-US"/>
        </w:rPr>
        <w:t xml:space="preserve">N-enrichment over time. The carbon values were also plotted against mean age in Figures 5.1 – 5.12. Generally, carbon isotope values exhibit a parallel relationship with nitrogen isotope values for all but two individuals (T3 and T12, Figures 5.3 and 5.12). However, the changes in </w:t>
      </w:r>
      <w:r>
        <w:rPr>
          <w:rFonts w:eastAsiaTheme="minorHAnsi"/>
          <w:lang w:val="en-US"/>
        </w:rPr>
        <w:sym w:font="Symbol" w:char="F064"/>
      </w:r>
      <w:r>
        <w:rPr>
          <w:rFonts w:eastAsiaTheme="minorHAnsi"/>
          <w:vertAlign w:val="superscript"/>
          <w:lang w:val="en-US"/>
        </w:rPr>
        <w:t>13</w:t>
      </w:r>
      <w:r>
        <w:rPr>
          <w:rFonts w:eastAsiaTheme="minorHAnsi"/>
          <w:lang w:val="en-US"/>
        </w:rPr>
        <w:t xml:space="preserve">C values for each individual are much smaller (occurring over ~1‰ instead of 0.5 – 2.5‰ as seen in the nitrogen isotope values). </w:t>
      </w:r>
    </w:p>
    <w:p w14:paraId="0EFCE3DB" w14:textId="1E563879" w:rsidR="00836512" w:rsidRDefault="00836512" w:rsidP="00836512">
      <w:pPr>
        <w:jc w:val="center"/>
        <w:rPr>
          <w:rFonts w:asciiTheme="minorHAnsi" w:eastAsiaTheme="minorHAnsi" w:hAnsiTheme="minorHAnsi" w:cstheme="minorBidi"/>
          <w:lang w:val="en-US"/>
        </w:rPr>
      </w:pPr>
      <w:r>
        <w:rPr>
          <w:rFonts w:asciiTheme="minorHAnsi" w:eastAsiaTheme="minorHAnsi" w:hAnsiTheme="minorHAnsi" w:cstheme="minorBidi"/>
          <w:noProof/>
          <w:lang w:eastAsia="en-CA"/>
        </w:rPr>
        <w:drawing>
          <wp:inline distT="0" distB="0" distL="0" distR="0" wp14:anchorId="7BDEDAA4" wp14:editId="52D6A17E">
            <wp:extent cx="4065778" cy="2759076"/>
            <wp:effectExtent l="0" t="0" r="0" b="0"/>
            <wp:docPr id="60" name="Chart 60">
              <a:extLst xmlns:a="http://schemas.openxmlformats.org/drawingml/2006/main">
                <a:ext uri="{FF2B5EF4-FFF2-40B4-BE49-F238E27FC236}">
                  <a16:creationId xmlns:a16="http://schemas.microsoft.com/office/drawing/2014/main" id="{3708CB9B-85F0-B54E-8E44-3C8B633EA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E4E6A6" w14:textId="0EFE3864" w:rsidR="00836512" w:rsidRDefault="00836512" w:rsidP="00BF38A8">
      <w:pPr>
        <w:jc w:val="center"/>
        <w:rPr>
          <w:rFonts w:eastAsiaTheme="minorHAnsi"/>
          <w:lang w:val="en-US"/>
        </w:rPr>
      </w:pPr>
      <w:r>
        <w:rPr>
          <w:rFonts w:eastAsiaTheme="minorHAnsi"/>
          <w:b/>
          <w:lang w:val="en-US"/>
        </w:rPr>
        <w:t>Figure 5.13:</w:t>
      </w:r>
      <w:r>
        <w:rPr>
          <w:rFonts w:eastAsiaTheme="minorHAnsi"/>
          <w:lang w:val="en-US"/>
        </w:rPr>
        <w:t xml:space="preserve"> Comparison of all subadult individual nitrogen histories. Nitrogen isotope values are plotted against the approximate mean ages (in years) for each tooth section.</w:t>
      </w:r>
    </w:p>
    <w:p w14:paraId="72713329" w14:textId="377EBE4F" w:rsidR="00836512" w:rsidRDefault="00836512" w:rsidP="00836512">
      <w:pPr>
        <w:spacing w:line="480" w:lineRule="auto"/>
        <w:ind w:firstLine="720"/>
        <w:rPr>
          <w:rFonts w:eastAsiaTheme="minorHAnsi"/>
          <w:lang w:val="en-US"/>
        </w:rPr>
      </w:pPr>
      <w:r>
        <w:rPr>
          <w:rFonts w:eastAsiaTheme="minorHAnsi"/>
          <w:lang w:val="en-US"/>
        </w:rPr>
        <w:lastRenderedPageBreak/>
        <w:t xml:space="preserve">Figure 5.13 shows the variability between the earliest/youngest nitrogen isotope values measured (ranging over 5‰) for all 12 subadults. This variability may be due to differences in the maternal isotopic signal, which is found in the most occlusal section of dentine (formed </w:t>
      </w:r>
      <w:r>
        <w:rPr>
          <w:rFonts w:eastAsiaTheme="minorHAnsi"/>
          <w:i/>
          <w:lang w:val="en-US"/>
        </w:rPr>
        <w:t>in utero</w:t>
      </w:r>
      <w:r>
        <w:rPr>
          <w:rFonts w:eastAsiaTheme="minorHAnsi"/>
          <w:lang w:val="en-US"/>
        </w:rPr>
        <w:t xml:space="preserve">), while it also may be due to the inclusion of worn teeth that represent later ages (i.e., T2, T3 and T12, with the earliest isotope values measured at 1.73, 2.81 and 1.95 years, respectively) and subsequently demonstrate breastfeeding and weaning periods.  Additionally, as mentioned before there is an overall decline in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over time, although after 3.5 years of age </w:t>
      </w:r>
      <w:r>
        <w:rPr>
          <w:rFonts w:eastAsiaTheme="minorHAnsi"/>
          <w:lang w:val="en-US"/>
        </w:rPr>
        <w:sym w:font="Symbol" w:char="F064"/>
      </w:r>
      <w:r>
        <w:rPr>
          <w:rFonts w:eastAsiaTheme="minorHAnsi"/>
          <w:vertAlign w:val="superscript"/>
          <w:lang w:val="en-US"/>
        </w:rPr>
        <w:t>15</w:t>
      </w:r>
      <w:r>
        <w:rPr>
          <w:rFonts w:eastAsiaTheme="minorHAnsi"/>
          <w:lang w:val="en-US"/>
        </w:rPr>
        <w:t>N values</w:t>
      </w:r>
      <w:r w:rsidR="00335CB9">
        <w:rPr>
          <w:rFonts w:eastAsiaTheme="minorHAnsi"/>
          <w:lang w:val="en-US"/>
        </w:rPr>
        <w:t xml:space="preserve"> available</w:t>
      </w:r>
      <w:r>
        <w:rPr>
          <w:rFonts w:eastAsiaTheme="minorHAnsi"/>
          <w:lang w:val="en-US"/>
        </w:rPr>
        <w:t xml:space="preserve"> for </w:t>
      </w:r>
      <w:r w:rsidR="00335CB9">
        <w:rPr>
          <w:rFonts w:eastAsiaTheme="minorHAnsi"/>
          <w:lang w:val="en-US"/>
        </w:rPr>
        <w:t xml:space="preserve">2 </w:t>
      </w:r>
      <w:r>
        <w:rPr>
          <w:rFonts w:eastAsiaTheme="minorHAnsi"/>
          <w:lang w:val="en-US"/>
        </w:rPr>
        <w:t>individual</w:t>
      </w:r>
      <w:r w:rsidR="00335CB9">
        <w:rPr>
          <w:rFonts w:eastAsiaTheme="minorHAnsi"/>
          <w:lang w:val="en-US"/>
        </w:rPr>
        <w:t>s</w:t>
      </w:r>
      <w:r>
        <w:rPr>
          <w:rFonts w:eastAsiaTheme="minorHAnsi"/>
          <w:lang w:val="en-US"/>
        </w:rPr>
        <w:t xml:space="preserve"> seem to become less variable. Figure 5.13 also reveals outliers such as T9 who has the lowest starting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 (11.9‰) than other teeth with the earliest nitrogen isotope values measured around ~ 0.4 years or 4.8 months, such as T5, T6, T8 and T11, demonstrating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of 14.4‰, 15.6‰, 16.1‰ and 12.7‰, respectively. T9 also displays a steep drop over a relatively short period of time, indicating that this person was most likely weaned soon after birth and had a mother with a lower nitrogen isotope signal. </w:t>
      </w:r>
    </w:p>
    <w:p w14:paraId="7BC4A952" w14:textId="77777777" w:rsidR="00836512" w:rsidRDefault="00836512" w:rsidP="00836512">
      <w:pPr>
        <w:rPr>
          <w:rFonts w:eastAsiaTheme="minorHAnsi"/>
          <w:i/>
          <w:lang w:val="en-US"/>
        </w:rPr>
      </w:pPr>
    </w:p>
    <w:p w14:paraId="42A0B1B0" w14:textId="77777777" w:rsidR="00836512" w:rsidRPr="00912314" w:rsidRDefault="00836512" w:rsidP="00836512">
      <w:pPr>
        <w:rPr>
          <w:rFonts w:eastAsiaTheme="minorHAnsi"/>
          <w:lang w:val="en-US"/>
        </w:rPr>
      </w:pPr>
      <w:r w:rsidRPr="00912314">
        <w:rPr>
          <w:rFonts w:eastAsiaTheme="minorHAnsi"/>
          <w:lang w:val="en-US"/>
        </w:rPr>
        <w:t xml:space="preserve">5.3.3 Adult Serial Dentine Samples </w:t>
      </w:r>
    </w:p>
    <w:p w14:paraId="29CD935E" w14:textId="77777777" w:rsidR="00836512" w:rsidRDefault="00836512" w:rsidP="00836512">
      <w:pPr>
        <w:rPr>
          <w:rFonts w:eastAsiaTheme="minorHAnsi"/>
          <w:i/>
          <w:lang w:val="en-US"/>
        </w:rPr>
      </w:pPr>
    </w:p>
    <w:p w14:paraId="4E9B3C3D" w14:textId="77777777" w:rsidR="00836512" w:rsidRDefault="00836512" w:rsidP="00836512">
      <w:pPr>
        <w:rPr>
          <w:rFonts w:eastAsiaTheme="minorHAnsi"/>
          <w:lang w:val="en-US"/>
        </w:rPr>
      </w:pPr>
    </w:p>
    <w:p w14:paraId="4C95F78D" w14:textId="7778D03B" w:rsidR="00836512" w:rsidRDefault="00836512" w:rsidP="004533C9">
      <w:pPr>
        <w:spacing w:line="480" w:lineRule="auto"/>
        <w:ind w:firstLine="720"/>
        <w:rPr>
          <w:rFonts w:eastAsiaTheme="minorHAnsi"/>
          <w:lang w:val="en-US"/>
        </w:rPr>
      </w:pPr>
      <w:r>
        <w:rPr>
          <w:rFonts w:eastAsiaTheme="minorHAnsi"/>
          <w:lang w:val="en-US"/>
        </w:rPr>
        <w:t>Of the 69 incremental samples of adult tooth dentine, only T17.01 had to be omitted due to potential diagenetic changes, indicated by a C:N ratio (3.8) outside the accepted range. Table 5.</w:t>
      </w:r>
      <w:r w:rsidR="00750C4F">
        <w:rPr>
          <w:rFonts w:eastAsiaTheme="minorHAnsi"/>
          <w:lang w:val="en-US"/>
        </w:rPr>
        <w:t>2</w:t>
      </w:r>
      <w:r>
        <w:rPr>
          <w:rFonts w:eastAsiaTheme="minorHAnsi"/>
          <w:lang w:val="en-US"/>
        </w:rPr>
        <w:t xml:space="preserve"> presents the carbon and nitrogen isotope data for all adult tooth samples along with the corresponding age ranges and mean ages. The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are </w:t>
      </w:r>
      <w:r>
        <w:rPr>
          <w:rFonts w:eastAsiaTheme="minorHAnsi"/>
          <w:lang w:val="en-US"/>
        </w:rPr>
        <w:lastRenderedPageBreak/>
        <w:t xml:space="preserve">variable ranging from 7.3‰ to 12.3‰, with a mean value of 9.5‰. The </w:t>
      </w:r>
      <w:r>
        <w:rPr>
          <w:rFonts w:eastAsiaTheme="minorHAnsi"/>
          <w:lang w:val="en-US"/>
        </w:rPr>
        <w:sym w:font="Symbol" w:char="F064"/>
      </w:r>
      <w:r>
        <w:rPr>
          <w:rFonts w:eastAsiaTheme="minorHAnsi"/>
          <w:vertAlign w:val="superscript"/>
          <w:lang w:val="en-US"/>
        </w:rPr>
        <w:t>13</w:t>
      </w:r>
      <w:r>
        <w:rPr>
          <w:rFonts w:eastAsiaTheme="minorHAnsi"/>
          <w:lang w:val="en-US"/>
        </w:rPr>
        <w:t xml:space="preserve">C values range from -21.1‰ to -18.6‰ with a mean value of -19.4‰. </w:t>
      </w:r>
    </w:p>
    <w:p w14:paraId="70D971D3" w14:textId="77777777" w:rsidR="004533C9" w:rsidRDefault="004533C9" w:rsidP="004533C9">
      <w:pPr>
        <w:ind w:firstLine="720"/>
        <w:rPr>
          <w:rFonts w:eastAsiaTheme="minorHAnsi"/>
          <w:lang w:val="en-US"/>
        </w:rPr>
      </w:pPr>
    </w:p>
    <w:p w14:paraId="3046BE28" w14:textId="77777777" w:rsidR="00836512" w:rsidRDefault="00836512" w:rsidP="00836512">
      <w:pPr>
        <w:jc w:val="center"/>
        <w:rPr>
          <w:rFonts w:eastAsiaTheme="minorHAnsi"/>
          <w:lang w:val="en-US"/>
        </w:rPr>
      </w:pPr>
      <w:r>
        <w:rPr>
          <w:rFonts w:eastAsiaTheme="minorHAnsi"/>
          <w:b/>
          <w:lang w:val="en-US"/>
        </w:rPr>
        <w:t>Table 5.2</w:t>
      </w:r>
      <w:r>
        <w:rPr>
          <w:rFonts w:eastAsiaTheme="minorHAnsi"/>
          <w:lang w:val="en-US"/>
        </w:rPr>
        <w:t xml:space="preserve">: Stable carbon and nitrogen isotope data for adult dentine subsamples (n=69). </w:t>
      </w:r>
    </w:p>
    <w:p w14:paraId="24F9C785" w14:textId="77777777" w:rsidR="00836512" w:rsidRDefault="00836512" w:rsidP="00836512">
      <w:pPr>
        <w:rPr>
          <w:rFonts w:asciiTheme="minorHAnsi" w:eastAsiaTheme="minorHAnsi" w:hAnsiTheme="minorHAnsi" w:cstheme="minorBidi"/>
          <w:lang w:val="en-US"/>
        </w:rPr>
      </w:pPr>
    </w:p>
    <w:tbl>
      <w:tblPr>
        <w:tblStyle w:val="TableGrid1"/>
        <w:tblW w:w="0" w:type="auto"/>
        <w:tblLook w:val="04A0" w:firstRow="1" w:lastRow="0" w:firstColumn="1" w:lastColumn="0" w:noHBand="0" w:noVBand="1"/>
      </w:tblPr>
      <w:tblGrid>
        <w:gridCol w:w="1216"/>
        <w:gridCol w:w="1150"/>
        <w:gridCol w:w="1333"/>
        <w:gridCol w:w="1399"/>
        <w:gridCol w:w="924"/>
        <w:gridCol w:w="955"/>
        <w:gridCol w:w="925"/>
        <w:gridCol w:w="755"/>
      </w:tblGrid>
      <w:tr w:rsidR="00836512" w14:paraId="727461AB" w14:textId="77777777" w:rsidTr="004533C9">
        <w:tc>
          <w:tcPr>
            <w:tcW w:w="1216" w:type="dxa"/>
            <w:tcBorders>
              <w:top w:val="single" w:sz="4" w:space="0" w:color="auto"/>
              <w:left w:val="single" w:sz="4" w:space="0" w:color="auto"/>
              <w:bottom w:val="single" w:sz="4" w:space="0" w:color="auto"/>
              <w:right w:val="single" w:sz="4" w:space="0" w:color="auto"/>
            </w:tcBorders>
            <w:hideMark/>
          </w:tcPr>
          <w:p w14:paraId="1D67FBA1" w14:textId="77777777" w:rsidR="00836512" w:rsidRDefault="00836512">
            <w:pPr>
              <w:jc w:val="center"/>
              <w:rPr>
                <w:rFonts w:eastAsiaTheme="minorHAnsi"/>
                <w:b/>
                <w:lang w:val="en-US"/>
              </w:rPr>
            </w:pPr>
            <w:r>
              <w:rPr>
                <w:rFonts w:eastAsiaTheme="minorHAnsi"/>
                <w:b/>
                <w:lang w:val="en-US"/>
              </w:rPr>
              <w:t>Site</w:t>
            </w:r>
          </w:p>
        </w:tc>
        <w:tc>
          <w:tcPr>
            <w:tcW w:w="1150" w:type="dxa"/>
            <w:tcBorders>
              <w:top w:val="single" w:sz="4" w:space="0" w:color="auto"/>
              <w:left w:val="single" w:sz="4" w:space="0" w:color="auto"/>
              <w:bottom w:val="single" w:sz="4" w:space="0" w:color="auto"/>
              <w:right w:val="single" w:sz="4" w:space="0" w:color="auto"/>
            </w:tcBorders>
            <w:hideMark/>
          </w:tcPr>
          <w:p w14:paraId="392D1FD0" w14:textId="77777777" w:rsidR="00836512" w:rsidRDefault="00836512">
            <w:pPr>
              <w:jc w:val="center"/>
              <w:rPr>
                <w:rFonts w:eastAsiaTheme="minorHAnsi"/>
                <w:b/>
                <w:lang w:val="en-US"/>
              </w:rPr>
            </w:pPr>
            <w:r>
              <w:rPr>
                <w:rFonts w:eastAsiaTheme="minorHAnsi"/>
                <w:b/>
                <w:lang w:val="en-US"/>
              </w:rPr>
              <w:t>Skeletal ID</w:t>
            </w:r>
          </w:p>
        </w:tc>
        <w:tc>
          <w:tcPr>
            <w:tcW w:w="1333" w:type="dxa"/>
            <w:tcBorders>
              <w:top w:val="single" w:sz="4" w:space="0" w:color="auto"/>
              <w:left w:val="single" w:sz="4" w:space="0" w:color="auto"/>
              <w:bottom w:val="single" w:sz="4" w:space="0" w:color="auto"/>
              <w:right w:val="single" w:sz="4" w:space="0" w:color="auto"/>
            </w:tcBorders>
            <w:hideMark/>
          </w:tcPr>
          <w:p w14:paraId="132A3D9D" w14:textId="77777777" w:rsidR="00836512" w:rsidRDefault="00836512">
            <w:pPr>
              <w:jc w:val="center"/>
              <w:rPr>
                <w:rFonts w:eastAsiaTheme="minorHAnsi"/>
                <w:b/>
                <w:lang w:val="en-US"/>
              </w:rPr>
            </w:pPr>
            <w:r>
              <w:rPr>
                <w:rFonts w:eastAsiaTheme="minorHAnsi"/>
                <w:b/>
                <w:lang w:val="en-US"/>
              </w:rPr>
              <w:t>Sample ID</w:t>
            </w:r>
          </w:p>
        </w:tc>
        <w:tc>
          <w:tcPr>
            <w:tcW w:w="1399" w:type="dxa"/>
            <w:tcBorders>
              <w:top w:val="single" w:sz="4" w:space="0" w:color="auto"/>
              <w:left w:val="single" w:sz="4" w:space="0" w:color="auto"/>
              <w:bottom w:val="single" w:sz="4" w:space="0" w:color="auto"/>
              <w:right w:val="single" w:sz="4" w:space="0" w:color="auto"/>
            </w:tcBorders>
            <w:hideMark/>
          </w:tcPr>
          <w:p w14:paraId="568A7BB6" w14:textId="77777777" w:rsidR="00836512" w:rsidRDefault="00836512" w:rsidP="004533C9">
            <w:pPr>
              <w:ind w:left="-116"/>
              <w:jc w:val="center"/>
              <w:rPr>
                <w:rFonts w:eastAsiaTheme="minorHAnsi"/>
                <w:b/>
                <w:lang w:val="en-US"/>
              </w:rPr>
            </w:pPr>
            <w:r>
              <w:rPr>
                <w:rFonts w:eastAsiaTheme="minorHAnsi"/>
                <w:b/>
                <w:lang w:val="en-US"/>
              </w:rPr>
              <w:t>Age Range (years)</w:t>
            </w:r>
          </w:p>
        </w:tc>
        <w:tc>
          <w:tcPr>
            <w:tcW w:w="924" w:type="dxa"/>
            <w:tcBorders>
              <w:top w:val="single" w:sz="4" w:space="0" w:color="auto"/>
              <w:left w:val="single" w:sz="4" w:space="0" w:color="auto"/>
              <w:bottom w:val="single" w:sz="4" w:space="0" w:color="auto"/>
              <w:right w:val="single" w:sz="4" w:space="0" w:color="auto"/>
            </w:tcBorders>
            <w:hideMark/>
          </w:tcPr>
          <w:p w14:paraId="19B8E07E" w14:textId="77777777" w:rsidR="00836512" w:rsidRDefault="00836512">
            <w:pPr>
              <w:jc w:val="center"/>
              <w:rPr>
                <w:rFonts w:eastAsiaTheme="minorHAnsi"/>
                <w:b/>
                <w:lang w:val="en-US"/>
              </w:rPr>
            </w:pPr>
            <w:r>
              <w:rPr>
                <w:rFonts w:eastAsiaTheme="minorHAnsi"/>
                <w:b/>
                <w:lang w:val="en-US"/>
              </w:rPr>
              <w:t>Mean Age</w:t>
            </w:r>
          </w:p>
          <w:p w14:paraId="64890069" w14:textId="77777777" w:rsidR="00836512" w:rsidRDefault="00836512">
            <w:pPr>
              <w:jc w:val="center"/>
              <w:rPr>
                <w:rFonts w:eastAsiaTheme="minorHAnsi"/>
                <w:b/>
                <w:lang w:val="en-US"/>
              </w:rPr>
            </w:pPr>
            <w:r>
              <w:rPr>
                <w:rFonts w:eastAsiaTheme="minorHAnsi"/>
                <w:b/>
                <w:lang w:val="en-US"/>
              </w:rPr>
              <w:t>(years)</w:t>
            </w:r>
          </w:p>
        </w:tc>
        <w:tc>
          <w:tcPr>
            <w:tcW w:w="955" w:type="dxa"/>
            <w:tcBorders>
              <w:top w:val="single" w:sz="4" w:space="0" w:color="auto"/>
              <w:left w:val="single" w:sz="4" w:space="0" w:color="auto"/>
              <w:bottom w:val="single" w:sz="4" w:space="0" w:color="auto"/>
              <w:right w:val="single" w:sz="4" w:space="0" w:color="auto"/>
            </w:tcBorders>
            <w:hideMark/>
          </w:tcPr>
          <w:p w14:paraId="76E1B6A6" w14:textId="77777777" w:rsidR="00836512" w:rsidRDefault="00836512">
            <w:pPr>
              <w:jc w:val="center"/>
              <w:rPr>
                <w:rFonts w:eastAsiaTheme="minorHAnsi"/>
                <w:b/>
                <w:lang w:val="en-US"/>
              </w:rPr>
            </w:pPr>
            <w:r>
              <w:rPr>
                <w:rFonts w:eastAsiaTheme="minorHAnsi"/>
                <w:b/>
                <w:lang w:val="en-US"/>
              </w:rPr>
              <w:sym w:font="Symbol" w:char="F064"/>
            </w:r>
            <w:r>
              <w:rPr>
                <w:rFonts w:eastAsiaTheme="minorHAnsi"/>
                <w:b/>
                <w:vertAlign w:val="superscript"/>
                <w:lang w:val="en-US"/>
              </w:rPr>
              <w:t>13</w:t>
            </w:r>
            <w:r>
              <w:rPr>
                <w:rFonts w:eastAsiaTheme="minorHAnsi"/>
                <w:b/>
                <w:lang w:val="en-US"/>
              </w:rPr>
              <w:t>C (</w:t>
            </w:r>
            <w:r>
              <w:rPr>
                <w:rFonts w:eastAsiaTheme="minorHAnsi"/>
                <w:lang w:val="en-US"/>
              </w:rPr>
              <w:t>‰) VPDB</w:t>
            </w:r>
          </w:p>
        </w:tc>
        <w:tc>
          <w:tcPr>
            <w:tcW w:w="925" w:type="dxa"/>
            <w:tcBorders>
              <w:top w:val="single" w:sz="4" w:space="0" w:color="auto"/>
              <w:left w:val="single" w:sz="4" w:space="0" w:color="auto"/>
              <w:bottom w:val="single" w:sz="4" w:space="0" w:color="auto"/>
              <w:right w:val="single" w:sz="4" w:space="0" w:color="auto"/>
            </w:tcBorders>
            <w:hideMark/>
          </w:tcPr>
          <w:p w14:paraId="4C28FDD5" w14:textId="77777777" w:rsidR="00836512" w:rsidRDefault="00836512">
            <w:pPr>
              <w:jc w:val="center"/>
              <w:rPr>
                <w:rFonts w:eastAsiaTheme="minorHAnsi"/>
                <w:b/>
                <w:lang w:val="en-US"/>
              </w:rPr>
            </w:pPr>
            <w:r>
              <w:rPr>
                <w:rFonts w:eastAsiaTheme="minorHAnsi"/>
                <w:b/>
                <w:lang w:val="en-US"/>
              </w:rPr>
              <w:sym w:font="Symbol" w:char="F064"/>
            </w:r>
            <w:r>
              <w:rPr>
                <w:rFonts w:eastAsiaTheme="minorHAnsi"/>
                <w:b/>
                <w:vertAlign w:val="superscript"/>
                <w:lang w:val="en-US"/>
              </w:rPr>
              <w:t>15</w:t>
            </w:r>
            <w:r>
              <w:rPr>
                <w:rFonts w:eastAsiaTheme="minorHAnsi"/>
                <w:b/>
                <w:lang w:val="en-US"/>
              </w:rPr>
              <w:t>N (</w:t>
            </w:r>
            <w:r>
              <w:rPr>
                <w:rFonts w:eastAsiaTheme="minorHAnsi"/>
                <w:lang w:val="en-US"/>
              </w:rPr>
              <w:t>‰) AIR</w:t>
            </w:r>
          </w:p>
        </w:tc>
        <w:tc>
          <w:tcPr>
            <w:tcW w:w="755" w:type="dxa"/>
            <w:tcBorders>
              <w:top w:val="single" w:sz="4" w:space="0" w:color="auto"/>
              <w:left w:val="single" w:sz="4" w:space="0" w:color="auto"/>
              <w:bottom w:val="single" w:sz="4" w:space="0" w:color="auto"/>
              <w:right w:val="single" w:sz="4" w:space="0" w:color="auto"/>
            </w:tcBorders>
            <w:hideMark/>
          </w:tcPr>
          <w:p w14:paraId="5B9EB436" w14:textId="77777777" w:rsidR="00836512" w:rsidRDefault="00836512">
            <w:pPr>
              <w:jc w:val="center"/>
              <w:rPr>
                <w:rFonts w:eastAsiaTheme="minorHAnsi"/>
                <w:b/>
                <w:lang w:val="en-US"/>
              </w:rPr>
            </w:pPr>
            <w:r>
              <w:rPr>
                <w:rFonts w:eastAsiaTheme="minorHAnsi"/>
                <w:b/>
                <w:lang w:val="en-US"/>
              </w:rPr>
              <w:t>C:N</w:t>
            </w:r>
          </w:p>
        </w:tc>
      </w:tr>
      <w:tr w:rsidR="00836512" w14:paraId="0F882561" w14:textId="77777777" w:rsidTr="004533C9">
        <w:tc>
          <w:tcPr>
            <w:tcW w:w="1216" w:type="dxa"/>
            <w:vMerge w:val="restart"/>
            <w:tcBorders>
              <w:top w:val="single" w:sz="4" w:space="0" w:color="auto"/>
              <w:left w:val="single" w:sz="4" w:space="0" w:color="auto"/>
              <w:bottom w:val="single" w:sz="4" w:space="0" w:color="auto"/>
              <w:right w:val="single" w:sz="4" w:space="0" w:color="auto"/>
            </w:tcBorders>
            <w:hideMark/>
          </w:tcPr>
          <w:p w14:paraId="75D3C618" w14:textId="77777777" w:rsidR="00836512" w:rsidRDefault="00836512">
            <w:pPr>
              <w:jc w:val="center"/>
              <w:rPr>
                <w:rFonts w:eastAsiaTheme="minorHAnsi"/>
                <w:sz w:val="20"/>
                <w:szCs w:val="20"/>
                <w:lang w:val="en-US"/>
              </w:rPr>
            </w:pPr>
            <w:r>
              <w:rPr>
                <w:rFonts w:eastAsiaTheme="minorHAnsi"/>
                <w:sz w:val="20"/>
                <w:szCs w:val="20"/>
                <w:lang w:val="en-US"/>
              </w:rPr>
              <w:t>Botromagno</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586372FD" w14:textId="77777777" w:rsidR="00836512" w:rsidRDefault="00836512">
            <w:pPr>
              <w:jc w:val="center"/>
              <w:rPr>
                <w:rFonts w:eastAsiaTheme="minorHAnsi"/>
                <w:sz w:val="20"/>
                <w:szCs w:val="20"/>
                <w:lang w:val="en-US"/>
              </w:rPr>
            </w:pPr>
            <w:r>
              <w:rPr>
                <w:rFonts w:eastAsiaTheme="minorHAnsi"/>
                <w:sz w:val="20"/>
                <w:szCs w:val="20"/>
                <w:lang w:val="en-US"/>
              </w:rPr>
              <w:t>BOTR1972 Grave 2 bottom burial</w:t>
            </w:r>
          </w:p>
        </w:tc>
        <w:tc>
          <w:tcPr>
            <w:tcW w:w="1333" w:type="dxa"/>
            <w:tcBorders>
              <w:top w:val="single" w:sz="4" w:space="0" w:color="auto"/>
              <w:left w:val="single" w:sz="4" w:space="0" w:color="auto"/>
              <w:bottom w:val="single" w:sz="4" w:space="0" w:color="auto"/>
              <w:right w:val="single" w:sz="4" w:space="0" w:color="auto"/>
            </w:tcBorders>
            <w:hideMark/>
          </w:tcPr>
          <w:p w14:paraId="7A3F3FE1" w14:textId="77777777" w:rsidR="00836512" w:rsidRDefault="00836512">
            <w:pPr>
              <w:jc w:val="center"/>
              <w:rPr>
                <w:rFonts w:eastAsiaTheme="minorHAnsi"/>
                <w:sz w:val="20"/>
                <w:szCs w:val="20"/>
                <w:lang w:val="en-US"/>
              </w:rPr>
            </w:pPr>
            <w:r>
              <w:rPr>
                <w:rFonts w:eastAsiaTheme="minorHAnsi"/>
                <w:sz w:val="20"/>
                <w:szCs w:val="20"/>
                <w:lang w:val="en-US"/>
              </w:rPr>
              <w:t>T13.01</w:t>
            </w:r>
          </w:p>
        </w:tc>
        <w:tc>
          <w:tcPr>
            <w:tcW w:w="1399" w:type="dxa"/>
            <w:tcBorders>
              <w:top w:val="single" w:sz="4" w:space="0" w:color="auto"/>
              <w:left w:val="single" w:sz="4" w:space="0" w:color="auto"/>
              <w:bottom w:val="single" w:sz="4" w:space="0" w:color="auto"/>
              <w:right w:val="single" w:sz="4" w:space="0" w:color="auto"/>
            </w:tcBorders>
            <w:hideMark/>
          </w:tcPr>
          <w:p w14:paraId="6782911F" w14:textId="77777777" w:rsidR="00836512" w:rsidRDefault="00836512">
            <w:pPr>
              <w:jc w:val="center"/>
              <w:rPr>
                <w:rFonts w:eastAsiaTheme="minorHAnsi"/>
                <w:sz w:val="20"/>
                <w:szCs w:val="20"/>
                <w:lang w:val="en-US"/>
              </w:rPr>
            </w:pPr>
            <w:r>
              <w:rPr>
                <w:rFonts w:eastAsiaTheme="minorHAnsi"/>
                <w:sz w:val="20"/>
                <w:szCs w:val="20"/>
                <w:lang w:val="en-US"/>
              </w:rPr>
              <w:t>2.00 – 3.40</w:t>
            </w:r>
          </w:p>
        </w:tc>
        <w:tc>
          <w:tcPr>
            <w:tcW w:w="924" w:type="dxa"/>
            <w:tcBorders>
              <w:top w:val="single" w:sz="4" w:space="0" w:color="auto"/>
              <w:left w:val="single" w:sz="4" w:space="0" w:color="auto"/>
              <w:bottom w:val="single" w:sz="4" w:space="0" w:color="auto"/>
              <w:right w:val="single" w:sz="4" w:space="0" w:color="auto"/>
            </w:tcBorders>
            <w:hideMark/>
          </w:tcPr>
          <w:p w14:paraId="1706522B" w14:textId="77777777" w:rsidR="00836512" w:rsidRDefault="00836512">
            <w:pPr>
              <w:jc w:val="center"/>
              <w:rPr>
                <w:rFonts w:eastAsiaTheme="minorHAnsi"/>
                <w:sz w:val="20"/>
                <w:szCs w:val="20"/>
                <w:lang w:val="en-US"/>
              </w:rPr>
            </w:pPr>
            <w:r>
              <w:rPr>
                <w:rFonts w:eastAsiaTheme="minorHAnsi"/>
                <w:sz w:val="20"/>
                <w:szCs w:val="20"/>
                <w:lang w:val="en-US"/>
              </w:rPr>
              <w:t>2.70</w:t>
            </w:r>
          </w:p>
        </w:tc>
        <w:tc>
          <w:tcPr>
            <w:tcW w:w="955" w:type="dxa"/>
            <w:tcBorders>
              <w:top w:val="single" w:sz="4" w:space="0" w:color="auto"/>
              <w:left w:val="nil"/>
              <w:bottom w:val="single" w:sz="4" w:space="0" w:color="auto"/>
              <w:right w:val="single" w:sz="4" w:space="0" w:color="auto"/>
            </w:tcBorders>
            <w:vAlign w:val="bottom"/>
            <w:hideMark/>
          </w:tcPr>
          <w:p w14:paraId="688AF16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-18.9</w:t>
            </w:r>
          </w:p>
        </w:tc>
        <w:tc>
          <w:tcPr>
            <w:tcW w:w="925" w:type="dxa"/>
            <w:tcBorders>
              <w:top w:val="single" w:sz="4" w:space="0" w:color="auto"/>
              <w:left w:val="single" w:sz="4" w:space="0" w:color="auto"/>
              <w:bottom w:val="single" w:sz="4" w:space="0" w:color="auto"/>
              <w:right w:val="nil"/>
            </w:tcBorders>
            <w:vAlign w:val="bottom"/>
            <w:hideMark/>
          </w:tcPr>
          <w:p w14:paraId="355C7FB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9.6</w:t>
            </w:r>
          </w:p>
        </w:tc>
        <w:tc>
          <w:tcPr>
            <w:tcW w:w="755" w:type="dxa"/>
            <w:tcBorders>
              <w:top w:val="single" w:sz="4" w:space="0" w:color="auto"/>
              <w:left w:val="single" w:sz="4" w:space="0" w:color="auto"/>
              <w:bottom w:val="single" w:sz="4" w:space="0" w:color="auto"/>
              <w:right w:val="single" w:sz="4" w:space="0" w:color="auto"/>
            </w:tcBorders>
            <w:vAlign w:val="bottom"/>
            <w:hideMark/>
          </w:tcPr>
          <w:p w14:paraId="389D8F1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9910ECD"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50EA58B"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4DF1C540"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4F28F68D" w14:textId="77777777" w:rsidR="00836512" w:rsidRDefault="00836512">
            <w:pPr>
              <w:jc w:val="center"/>
              <w:rPr>
                <w:rFonts w:eastAsiaTheme="minorHAnsi"/>
                <w:sz w:val="20"/>
                <w:szCs w:val="20"/>
                <w:lang w:val="en-US"/>
              </w:rPr>
            </w:pPr>
            <w:r>
              <w:rPr>
                <w:rFonts w:eastAsiaTheme="minorHAnsi"/>
                <w:sz w:val="20"/>
                <w:szCs w:val="20"/>
                <w:lang w:val="en-US"/>
              </w:rPr>
              <w:t>T13.02</w:t>
            </w:r>
          </w:p>
        </w:tc>
        <w:tc>
          <w:tcPr>
            <w:tcW w:w="1399" w:type="dxa"/>
            <w:tcBorders>
              <w:top w:val="single" w:sz="4" w:space="0" w:color="auto"/>
              <w:left w:val="single" w:sz="4" w:space="0" w:color="auto"/>
              <w:bottom w:val="single" w:sz="4" w:space="0" w:color="auto"/>
              <w:right w:val="single" w:sz="4" w:space="0" w:color="auto"/>
            </w:tcBorders>
            <w:hideMark/>
          </w:tcPr>
          <w:p w14:paraId="718751F1" w14:textId="77777777" w:rsidR="00836512" w:rsidRDefault="00836512">
            <w:pPr>
              <w:jc w:val="center"/>
              <w:rPr>
                <w:rFonts w:eastAsiaTheme="minorHAnsi"/>
                <w:sz w:val="20"/>
                <w:szCs w:val="20"/>
                <w:lang w:val="en-US"/>
              </w:rPr>
            </w:pPr>
            <w:r>
              <w:rPr>
                <w:rFonts w:eastAsiaTheme="minorHAnsi"/>
                <w:sz w:val="20"/>
                <w:szCs w:val="20"/>
                <w:lang w:val="en-US"/>
              </w:rPr>
              <w:t>3.40 – 4.70</w:t>
            </w:r>
          </w:p>
        </w:tc>
        <w:tc>
          <w:tcPr>
            <w:tcW w:w="924" w:type="dxa"/>
            <w:tcBorders>
              <w:top w:val="single" w:sz="4" w:space="0" w:color="auto"/>
              <w:left w:val="single" w:sz="4" w:space="0" w:color="auto"/>
              <w:bottom w:val="single" w:sz="4" w:space="0" w:color="auto"/>
              <w:right w:val="single" w:sz="4" w:space="0" w:color="auto"/>
            </w:tcBorders>
            <w:hideMark/>
          </w:tcPr>
          <w:p w14:paraId="6F5F78C5" w14:textId="77777777" w:rsidR="00836512" w:rsidRDefault="00836512">
            <w:pPr>
              <w:jc w:val="center"/>
              <w:rPr>
                <w:rFonts w:eastAsiaTheme="minorHAnsi"/>
                <w:sz w:val="20"/>
                <w:szCs w:val="20"/>
                <w:lang w:val="en-US"/>
              </w:rPr>
            </w:pPr>
            <w:r>
              <w:rPr>
                <w:rFonts w:eastAsiaTheme="minorHAnsi"/>
                <w:sz w:val="20"/>
                <w:szCs w:val="20"/>
                <w:lang w:val="en-US"/>
              </w:rPr>
              <w:t>4.05</w:t>
            </w:r>
          </w:p>
        </w:tc>
        <w:tc>
          <w:tcPr>
            <w:tcW w:w="955" w:type="dxa"/>
            <w:tcBorders>
              <w:top w:val="single" w:sz="4" w:space="0" w:color="auto"/>
              <w:left w:val="nil"/>
              <w:bottom w:val="single" w:sz="4" w:space="0" w:color="auto"/>
              <w:right w:val="single" w:sz="4" w:space="0" w:color="auto"/>
            </w:tcBorders>
            <w:vAlign w:val="bottom"/>
            <w:hideMark/>
          </w:tcPr>
          <w:p w14:paraId="3CA8FEE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3A47959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8.1</w:t>
            </w:r>
          </w:p>
        </w:tc>
        <w:tc>
          <w:tcPr>
            <w:tcW w:w="755" w:type="dxa"/>
            <w:tcBorders>
              <w:top w:val="single" w:sz="4" w:space="0" w:color="auto"/>
              <w:left w:val="single" w:sz="4" w:space="0" w:color="auto"/>
              <w:bottom w:val="single" w:sz="4" w:space="0" w:color="auto"/>
              <w:right w:val="single" w:sz="4" w:space="0" w:color="auto"/>
            </w:tcBorders>
            <w:vAlign w:val="bottom"/>
            <w:hideMark/>
          </w:tcPr>
          <w:p w14:paraId="6742D27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0DACA26"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1CF193B5"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ABC5A4C"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26E103C1" w14:textId="77777777" w:rsidR="00836512" w:rsidRDefault="00836512">
            <w:pPr>
              <w:jc w:val="center"/>
              <w:rPr>
                <w:rFonts w:eastAsiaTheme="minorHAnsi"/>
                <w:sz w:val="20"/>
                <w:szCs w:val="20"/>
                <w:lang w:val="en-US"/>
              </w:rPr>
            </w:pPr>
            <w:r>
              <w:rPr>
                <w:rFonts w:eastAsiaTheme="minorHAnsi"/>
                <w:sz w:val="20"/>
                <w:szCs w:val="20"/>
                <w:lang w:val="en-US"/>
              </w:rPr>
              <w:t>T13.03</w:t>
            </w:r>
          </w:p>
        </w:tc>
        <w:tc>
          <w:tcPr>
            <w:tcW w:w="1399" w:type="dxa"/>
            <w:tcBorders>
              <w:top w:val="single" w:sz="4" w:space="0" w:color="auto"/>
              <w:left w:val="single" w:sz="4" w:space="0" w:color="auto"/>
              <w:bottom w:val="single" w:sz="4" w:space="0" w:color="auto"/>
              <w:right w:val="single" w:sz="4" w:space="0" w:color="auto"/>
            </w:tcBorders>
            <w:hideMark/>
          </w:tcPr>
          <w:p w14:paraId="2159DD8E" w14:textId="77777777" w:rsidR="00836512" w:rsidRDefault="00836512">
            <w:pPr>
              <w:jc w:val="center"/>
              <w:rPr>
                <w:rFonts w:eastAsiaTheme="minorHAnsi"/>
                <w:sz w:val="20"/>
                <w:szCs w:val="20"/>
                <w:lang w:val="en-US"/>
              </w:rPr>
            </w:pPr>
            <w:r>
              <w:rPr>
                <w:rFonts w:eastAsiaTheme="minorHAnsi"/>
                <w:sz w:val="20"/>
                <w:szCs w:val="20"/>
                <w:lang w:val="en-US"/>
              </w:rPr>
              <w:t>4.70 – 6.00</w:t>
            </w:r>
          </w:p>
        </w:tc>
        <w:tc>
          <w:tcPr>
            <w:tcW w:w="924" w:type="dxa"/>
            <w:tcBorders>
              <w:top w:val="single" w:sz="4" w:space="0" w:color="auto"/>
              <w:left w:val="single" w:sz="4" w:space="0" w:color="auto"/>
              <w:bottom w:val="single" w:sz="4" w:space="0" w:color="auto"/>
              <w:right w:val="single" w:sz="4" w:space="0" w:color="auto"/>
            </w:tcBorders>
            <w:hideMark/>
          </w:tcPr>
          <w:p w14:paraId="0F954D48" w14:textId="77777777" w:rsidR="00836512" w:rsidRDefault="00836512">
            <w:pPr>
              <w:jc w:val="center"/>
              <w:rPr>
                <w:rFonts w:eastAsiaTheme="minorHAnsi"/>
                <w:sz w:val="20"/>
                <w:szCs w:val="20"/>
                <w:lang w:val="en-US"/>
              </w:rPr>
            </w:pPr>
            <w:r>
              <w:rPr>
                <w:rFonts w:eastAsiaTheme="minorHAnsi"/>
                <w:sz w:val="20"/>
                <w:szCs w:val="20"/>
                <w:lang w:val="en-US"/>
              </w:rPr>
              <w:t>5.35</w:t>
            </w:r>
          </w:p>
        </w:tc>
        <w:tc>
          <w:tcPr>
            <w:tcW w:w="955" w:type="dxa"/>
            <w:tcBorders>
              <w:top w:val="single" w:sz="4" w:space="0" w:color="auto"/>
              <w:left w:val="nil"/>
              <w:bottom w:val="single" w:sz="4" w:space="0" w:color="auto"/>
              <w:right w:val="single" w:sz="4" w:space="0" w:color="auto"/>
            </w:tcBorders>
            <w:vAlign w:val="bottom"/>
            <w:hideMark/>
          </w:tcPr>
          <w:p w14:paraId="6DC27B9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925" w:type="dxa"/>
            <w:tcBorders>
              <w:top w:val="single" w:sz="4" w:space="0" w:color="auto"/>
              <w:left w:val="single" w:sz="4" w:space="0" w:color="auto"/>
              <w:bottom w:val="single" w:sz="4" w:space="0" w:color="auto"/>
              <w:right w:val="nil"/>
            </w:tcBorders>
            <w:vAlign w:val="bottom"/>
            <w:hideMark/>
          </w:tcPr>
          <w:p w14:paraId="590BADF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7.6</w:t>
            </w:r>
          </w:p>
        </w:tc>
        <w:tc>
          <w:tcPr>
            <w:tcW w:w="755" w:type="dxa"/>
            <w:tcBorders>
              <w:top w:val="single" w:sz="4" w:space="0" w:color="auto"/>
              <w:left w:val="single" w:sz="4" w:space="0" w:color="auto"/>
              <w:bottom w:val="single" w:sz="4" w:space="0" w:color="auto"/>
              <w:right w:val="single" w:sz="4" w:space="0" w:color="auto"/>
            </w:tcBorders>
            <w:vAlign w:val="bottom"/>
            <w:hideMark/>
          </w:tcPr>
          <w:p w14:paraId="301E98D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6DA1179"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0489DD50"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37FC00CF"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59B7C842" w14:textId="77777777" w:rsidR="00836512" w:rsidRDefault="00836512">
            <w:pPr>
              <w:jc w:val="center"/>
              <w:rPr>
                <w:rFonts w:eastAsiaTheme="minorHAnsi"/>
                <w:sz w:val="20"/>
                <w:szCs w:val="20"/>
                <w:lang w:val="en-US"/>
              </w:rPr>
            </w:pPr>
            <w:r>
              <w:rPr>
                <w:rFonts w:eastAsiaTheme="minorHAnsi"/>
                <w:sz w:val="20"/>
                <w:szCs w:val="20"/>
                <w:lang w:val="en-US"/>
              </w:rPr>
              <w:t>T13.04</w:t>
            </w:r>
          </w:p>
        </w:tc>
        <w:tc>
          <w:tcPr>
            <w:tcW w:w="1399" w:type="dxa"/>
            <w:tcBorders>
              <w:top w:val="single" w:sz="4" w:space="0" w:color="auto"/>
              <w:left w:val="single" w:sz="4" w:space="0" w:color="auto"/>
              <w:bottom w:val="single" w:sz="4" w:space="0" w:color="auto"/>
              <w:right w:val="single" w:sz="4" w:space="0" w:color="auto"/>
            </w:tcBorders>
            <w:hideMark/>
          </w:tcPr>
          <w:p w14:paraId="7A8A7B9E" w14:textId="77777777" w:rsidR="00836512" w:rsidRDefault="00836512">
            <w:pPr>
              <w:jc w:val="center"/>
              <w:rPr>
                <w:rFonts w:eastAsiaTheme="minorHAnsi"/>
                <w:sz w:val="20"/>
                <w:szCs w:val="20"/>
                <w:lang w:val="en-US"/>
              </w:rPr>
            </w:pPr>
            <w:r>
              <w:rPr>
                <w:rFonts w:eastAsiaTheme="minorHAnsi"/>
                <w:sz w:val="20"/>
                <w:szCs w:val="20"/>
                <w:lang w:val="en-US"/>
              </w:rPr>
              <w:t>6.00 – 7.30</w:t>
            </w:r>
          </w:p>
        </w:tc>
        <w:tc>
          <w:tcPr>
            <w:tcW w:w="924" w:type="dxa"/>
            <w:tcBorders>
              <w:top w:val="single" w:sz="4" w:space="0" w:color="auto"/>
              <w:left w:val="single" w:sz="4" w:space="0" w:color="auto"/>
              <w:bottom w:val="single" w:sz="4" w:space="0" w:color="auto"/>
              <w:right w:val="single" w:sz="4" w:space="0" w:color="auto"/>
            </w:tcBorders>
            <w:hideMark/>
          </w:tcPr>
          <w:p w14:paraId="2DB54EF7" w14:textId="77777777" w:rsidR="00836512" w:rsidRDefault="00836512">
            <w:pPr>
              <w:jc w:val="center"/>
              <w:rPr>
                <w:rFonts w:eastAsiaTheme="minorHAnsi"/>
                <w:sz w:val="20"/>
                <w:szCs w:val="20"/>
                <w:lang w:val="en-US"/>
              </w:rPr>
            </w:pPr>
            <w:r>
              <w:rPr>
                <w:rFonts w:eastAsiaTheme="minorHAnsi"/>
                <w:sz w:val="20"/>
                <w:szCs w:val="20"/>
                <w:lang w:val="en-US"/>
              </w:rPr>
              <w:t>6.65</w:t>
            </w:r>
          </w:p>
        </w:tc>
        <w:tc>
          <w:tcPr>
            <w:tcW w:w="955" w:type="dxa"/>
            <w:tcBorders>
              <w:top w:val="single" w:sz="4" w:space="0" w:color="auto"/>
              <w:left w:val="nil"/>
              <w:bottom w:val="single" w:sz="4" w:space="0" w:color="auto"/>
              <w:right w:val="single" w:sz="4" w:space="0" w:color="auto"/>
            </w:tcBorders>
            <w:vAlign w:val="bottom"/>
            <w:hideMark/>
          </w:tcPr>
          <w:p w14:paraId="1FA3293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925" w:type="dxa"/>
            <w:tcBorders>
              <w:top w:val="single" w:sz="4" w:space="0" w:color="auto"/>
              <w:left w:val="single" w:sz="4" w:space="0" w:color="auto"/>
              <w:bottom w:val="single" w:sz="4" w:space="0" w:color="auto"/>
              <w:right w:val="nil"/>
            </w:tcBorders>
            <w:vAlign w:val="bottom"/>
            <w:hideMark/>
          </w:tcPr>
          <w:p w14:paraId="51718B8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7.4</w:t>
            </w:r>
          </w:p>
        </w:tc>
        <w:tc>
          <w:tcPr>
            <w:tcW w:w="755" w:type="dxa"/>
            <w:tcBorders>
              <w:top w:val="single" w:sz="4" w:space="0" w:color="auto"/>
              <w:left w:val="single" w:sz="4" w:space="0" w:color="auto"/>
              <w:bottom w:val="single" w:sz="4" w:space="0" w:color="auto"/>
              <w:right w:val="single" w:sz="4" w:space="0" w:color="auto"/>
            </w:tcBorders>
            <w:vAlign w:val="bottom"/>
            <w:hideMark/>
          </w:tcPr>
          <w:p w14:paraId="0C03BF9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C496D40"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6DD0DF8"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96DDA15"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26541C31" w14:textId="77777777" w:rsidR="00836512" w:rsidRDefault="00836512">
            <w:pPr>
              <w:jc w:val="center"/>
              <w:rPr>
                <w:rFonts w:eastAsiaTheme="minorHAnsi"/>
                <w:sz w:val="20"/>
                <w:szCs w:val="20"/>
                <w:lang w:val="en-US"/>
              </w:rPr>
            </w:pPr>
            <w:r>
              <w:rPr>
                <w:rFonts w:eastAsiaTheme="minorHAnsi"/>
                <w:sz w:val="20"/>
                <w:szCs w:val="20"/>
                <w:lang w:val="en-US"/>
              </w:rPr>
              <w:t>T13.05</w:t>
            </w:r>
          </w:p>
        </w:tc>
        <w:tc>
          <w:tcPr>
            <w:tcW w:w="1399" w:type="dxa"/>
            <w:tcBorders>
              <w:top w:val="single" w:sz="4" w:space="0" w:color="auto"/>
              <w:left w:val="single" w:sz="4" w:space="0" w:color="auto"/>
              <w:bottom w:val="single" w:sz="4" w:space="0" w:color="auto"/>
              <w:right w:val="single" w:sz="4" w:space="0" w:color="auto"/>
            </w:tcBorders>
            <w:hideMark/>
          </w:tcPr>
          <w:p w14:paraId="03CA3F00" w14:textId="77777777" w:rsidR="00836512" w:rsidRDefault="00836512">
            <w:pPr>
              <w:jc w:val="center"/>
              <w:rPr>
                <w:rFonts w:eastAsiaTheme="minorHAnsi"/>
                <w:sz w:val="20"/>
                <w:szCs w:val="20"/>
                <w:lang w:val="en-US"/>
              </w:rPr>
            </w:pPr>
            <w:r>
              <w:rPr>
                <w:rFonts w:eastAsiaTheme="minorHAnsi"/>
                <w:sz w:val="20"/>
                <w:szCs w:val="20"/>
                <w:lang w:val="en-US"/>
              </w:rPr>
              <w:t>7.30 – 8.60</w:t>
            </w:r>
          </w:p>
        </w:tc>
        <w:tc>
          <w:tcPr>
            <w:tcW w:w="924" w:type="dxa"/>
            <w:tcBorders>
              <w:top w:val="single" w:sz="4" w:space="0" w:color="auto"/>
              <w:left w:val="single" w:sz="4" w:space="0" w:color="auto"/>
              <w:bottom w:val="single" w:sz="4" w:space="0" w:color="auto"/>
              <w:right w:val="single" w:sz="4" w:space="0" w:color="auto"/>
            </w:tcBorders>
            <w:hideMark/>
          </w:tcPr>
          <w:p w14:paraId="00DF8326" w14:textId="77777777" w:rsidR="00836512" w:rsidRDefault="00836512">
            <w:pPr>
              <w:jc w:val="center"/>
              <w:rPr>
                <w:rFonts w:eastAsiaTheme="minorHAnsi"/>
                <w:sz w:val="20"/>
                <w:szCs w:val="20"/>
                <w:lang w:val="en-US"/>
              </w:rPr>
            </w:pPr>
            <w:r>
              <w:rPr>
                <w:rFonts w:eastAsiaTheme="minorHAnsi"/>
                <w:sz w:val="20"/>
                <w:szCs w:val="20"/>
                <w:lang w:val="en-US"/>
              </w:rPr>
              <w:t>7.95</w:t>
            </w:r>
          </w:p>
        </w:tc>
        <w:tc>
          <w:tcPr>
            <w:tcW w:w="955" w:type="dxa"/>
            <w:tcBorders>
              <w:top w:val="single" w:sz="4" w:space="0" w:color="auto"/>
              <w:left w:val="nil"/>
              <w:bottom w:val="single" w:sz="4" w:space="0" w:color="auto"/>
              <w:right w:val="single" w:sz="4" w:space="0" w:color="auto"/>
            </w:tcBorders>
            <w:vAlign w:val="bottom"/>
            <w:hideMark/>
          </w:tcPr>
          <w:p w14:paraId="19B6F95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1B890CE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7.5</w:t>
            </w:r>
          </w:p>
        </w:tc>
        <w:tc>
          <w:tcPr>
            <w:tcW w:w="755" w:type="dxa"/>
            <w:tcBorders>
              <w:top w:val="single" w:sz="4" w:space="0" w:color="auto"/>
              <w:left w:val="single" w:sz="4" w:space="0" w:color="auto"/>
              <w:bottom w:val="single" w:sz="4" w:space="0" w:color="auto"/>
              <w:right w:val="single" w:sz="4" w:space="0" w:color="auto"/>
            </w:tcBorders>
            <w:vAlign w:val="bottom"/>
            <w:hideMark/>
          </w:tcPr>
          <w:p w14:paraId="73BFB32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63885830"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47F0EC6B"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00AA993F"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2BC5A73B" w14:textId="77777777" w:rsidR="00836512" w:rsidRDefault="00836512">
            <w:pPr>
              <w:jc w:val="center"/>
              <w:rPr>
                <w:rFonts w:eastAsiaTheme="minorHAnsi"/>
                <w:sz w:val="20"/>
                <w:szCs w:val="20"/>
                <w:lang w:val="en-US"/>
              </w:rPr>
            </w:pPr>
            <w:r>
              <w:rPr>
                <w:rFonts w:eastAsiaTheme="minorHAnsi"/>
                <w:sz w:val="20"/>
                <w:szCs w:val="20"/>
                <w:lang w:val="en-US"/>
              </w:rPr>
              <w:t>T13.06</w:t>
            </w:r>
          </w:p>
        </w:tc>
        <w:tc>
          <w:tcPr>
            <w:tcW w:w="1399" w:type="dxa"/>
            <w:tcBorders>
              <w:top w:val="single" w:sz="4" w:space="0" w:color="auto"/>
              <w:left w:val="single" w:sz="4" w:space="0" w:color="auto"/>
              <w:bottom w:val="single" w:sz="4" w:space="0" w:color="auto"/>
              <w:right w:val="single" w:sz="4" w:space="0" w:color="auto"/>
            </w:tcBorders>
            <w:hideMark/>
          </w:tcPr>
          <w:p w14:paraId="58AD55C1" w14:textId="77777777" w:rsidR="00836512" w:rsidRDefault="00836512">
            <w:pPr>
              <w:jc w:val="center"/>
              <w:rPr>
                <w:rFonts w:eastAsiaTheme="minorHAnsi"/>
                <w:sz w:val="20"/>
                <w:szCs w:val="20"/>
                <w:lang w:val="en-US"/>
              </w:rPr>
            </w:pPr>
            <w:r>
              <w:rPr>
                <w:rFonts w:eastAsiaTheme="minorHAnsi"/>
                <w:sz w:val="20"/>
                <w:szCs w:val="20"/>
                <w:lang w:val="en-US"/>
              </w:rPr>
              <w:t>8.60 – 9.90</w:t>
            </w:r>
          </w:p>
        </w:tc>
        <w:tc>
          <w:tcPr>
            <w:tcW w:w="924" w:type="dxa"/>
            <w:tcBorders>
              <w:top w:val="single" w:sz="4" w:space="0" w:color="auto"/>
              <w:left w:val="single" w:sz="4" w:space="0" w:color="auto"/>
              <w:bottom w:val="single" w:sz="4" w:space="0" w:color="auto"/>
              <w:right w:val="single" w:sz="4" w:space="0" w:color="auto"/>
            </w:tcBorders>
            <w:hideMark/>
          </w:tcPr>
          <w:p w14:paraId="0CBFB1DC" w14:textId="77777777" w:rsidR="00836512" w:rsidRDefault="00836512">
            <w:pPr>
              <w:jc w:val="center"/>
              <w:rPr>
                <w:rFonts w:eastAsiaTheme="minorHAnsi"/>
                <w:sz w:val="20"/>
                <w:szCs w:val="20"/>
                <w:lang w:val="en-US"/>
              </w:rPr>
            </w:pPr>
            <w:r>
              <w:rPr>
                <w:rFonts w:eastAsiaTheme="minorHAnsi"/>
                <w:sz w:val="20"/>
                <w:szCs w:val="20"/>
                <w:lang w:val="en-US"/>
              </w:rPr>
              <w:t>9.25</w:t>
            </w:r>
          </w:p>
        </w:tc>
        <w:tc>
          <w:tcPr>
            <w:tcW w:w="955" w:type="dxa"/>
            <w:tcBorders>
              <w:top w:val="single" w:sz="4" w:space="0" w:color="auto"/>
              <w:left w:val="nil"/>
              <w:bottom w:val="single" w:sz="4" w:space="0" w:color="auto"/>
              <w:right w:val="single" w:sz="4" w:space="0" w:color="auto"/>
            </w:tcBorders>
            <w:vAlign w:val="bottom"/>
            <w:hideMark/>
          </w:tcPr>
          <w:p w14:paraId="3116ED8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-19.1</w:t>
            </w:r>
          </w:p>
        </w:tc>
        <w:tc>
          <w:tcPr>
            <w:tcW w:w="925" w:type="dxa"/>
            <w:tcBorders>
              <w:top w:val="single" w:sz="4" w:space="0" w:color="auto"/>
              <w:left w:val="single" w:sz="4" w:space="0" w:color="auto"/>
              <w:bottom w:val="single" w:sz="4" w:space="0" w:color="auto"/>
              <w:right w:val="nil"/>
            </w:tcBorders>
            <w:vAlign w:val="bottom"/>
            <w:hideMark/>
          </w:tcPr>
          <w:p w14:paraId="57A3657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8.5</w:t>
            </w:r>
          </w:p>
        </w:tc>
        <w:tc>
          <w:tcPr>
            <w:tcW w:w="755" w:type="dxa"/>
            <w:tcBorders>
              <w:top w:val="single" w:sz="4" w:space="0" w:color="auto"/>
              <w:left w:val="single" w:sz="4" w:space="0" w:color="auto"/>
              <w:bottom w:val="single" w:sz="4" w:space="0" w:color="auto"/>
              <w:right w:val="single" w:sz="4" w:space="0" w:color="auto"/>
            </w:tcBorders>
            <w:vAlign w:val="bottom"/>
            <w:hideMark/>
          </w:tcPr>
          <w:p w14:paraId="3278E8D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795B9963"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00AC2779"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6772EE00"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3F2153D0" w14:textId="77777777" w:rsidR="00836512" w:rsidRDefault="00836512">
            <w:pPr>
              <w:jc w:val="center"/>
              <w:rPr>
                <w:rFonts w:eastAsiaTheme="minorHAnsi"/>
                <w:sz w:val="20"/>
                <w:szCs w:val="20"/>
                <w:lang w:val="en-US"/>
              </w:rPr>
            </w:pPr>
            <w:r>
              <w:rPr>
                <w:rFonts w:eastAsiaTheme="minorHAnsi"/>
                <w:sz w:val="20"/>
                <w:szCs w:val="20"/>
                <w:lang w:val="en-US"/>
              </w:rPr>
              <w:t>T13.07</w:t>
            </w:r>
          </w:p>
        </w:tc>
        <w:tc>
          <w:tcPr>
            <w:tcW w:w="1399" w:type="dxa"/>
            <w:tcBorders>
              <w:top w:val="single" w:sz="4" w:space="0" w:color="auto"/>
              <w:left w:val="single" w:sz="4" w:space="0" w:color="auto"/>
              <w:bottom w:val="single" w:sz="4" w:space="0" w:color="auto"/>
              <w:right w:val="single" w:sz="4" w:space="0" w:color="auto"/>
            </w:tcBorders>
            <w:hideMark/>
          </w:tcPr>
          <w:p w14:paraId="7C992162" w14:textId="77777777" w:rsidR="00836512" w:rsidRDefault="00836512">
            <w:pPr>
              <w:jc w:val="center"/>
              <w:rPr>
                <w:rFonts w:eastAsiaTheme="minorHAnsi"/>
                <w:sz w:val="20"/>
                <w:szCs w:val="20"/>
                <w:lang w:val="en-US"/>
              </w:rPr>
            </w:pPr>
            <w:r>
              <w:rPr>
                <w:rFonts w:eastAsiaTheme="minorHAnsi"/>
                <w:sz w:val="20"/>
                <w:szCs w:val="20"/>
                <w:lang w:val="en-US"/>
              </w:rPr>
              <w:t>9.90 – 11.20</w:t>
            </w:r>
          </w:p>
        </w:tc>
        <w:tc>
          <w:tcPr>
            <w:tcW w:w="924" w:type="dxa"/>
            <w:tcBorders>
              <w:top w:val="single" w:sz="4" w:space="0" w:color="auto"/>
              <w:left w:val="single" w:sz="4" w:space="0" w:color="auto"/>
              <w:bottom w:val="single" w:sz="4" w:space="0" w:color="auto"/>
              <w:right w:val="single" w:sz="4" w:space="0" w:color="auto"/>
            </w:tcBorders>
            <w:hideMark/>
          </w:tcPr>
          <w:p w14:paraId="19A2B01A" w14:textId="77777777" w:rsidR="00836512" w:rsidRDefault="00836512">
            <w:pPr>
              <w:jc w:val="center"/>
              <w:rPr>
                <w:rFonts w:eastAsiaTheme="minorHAnsi"/>
                <w:sz w:val="20"/>
                <w:szCs w:val="20"/>
                <w:lang w:val="en-US"/>
              </w:rPr>
            </w:pPr>
            <w:r>
              <w:rPr>
                <w:rFonts w:eastAsiaTheme="minorHAnsi"/>
                <w:sz w:val="20"/>
                <w:szCs w:val="20"/>
                <w:lang w:val="en-US"/>
              </w:rPr>
              <w:t>10.55</w:t>
            </w:r>
          </w:p>
        </w:tc>
        <w:tc>
          <w:tcPr>
            <w:tcW w:w="955" w:type="dxa"/>
            <w:tcBorders>
              <w:top w:val="single" w:sz="4" w:space="0" w:color="auto"/>
              <w:left w:val="nil"/>
              <w:bottom w:val="single" w:sz="4" w:space="0" w:color="auto"/>
              <w:right w:val="single" w:sz="4" w:space="0" w:color="auto"/>
            </w:tcBorders>
            <w:vAlign w:val="bottom"/>
            <w:hideMark/>
          </w:tcPr>
          <w:p w14:paraId="114AA6E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77F163A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8.5</w:t>
            </w:r>
          </w:p>
        </w:tc>
        <w:tc>
          <w:tcPr>
            <w:tcW w:w="755" w:type="dxa"/>
            <w:tcBorders>
              <w:top w:val="single" w:sz="4" w:space="0" w:color="auto"/>
              <w:left w:val="single" w:sz="4" w:space="0" w:color="auto"/>
              <w:bottom w:val="single" w:sz="4" w:space="0" w:color="auto"/>
              <w:right w:val="single" w:sz="4" w:space="0" w:color="auto"/>
            </w:tcBorders>
            <w:vAlign w:val="bottom"/>
            <w:hideMark/>
          </w:tcPr>
          <w:p w14:paraId="0289BE7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6810E6B"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4A186ED7"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26611309"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5240D71" w14:textId="77777777" w:rsidR="00836512" w:rsidRDefault="00836512">
            <w:pPr>
              <w:jc w:val="center"/>
              <w:rPr>
                <w:rFonts w:eastAsiaTheme="minorHAnsi"/>
                <w:sz w:val="20"/>
                <w:szCs w:val="20"/>
                <w:lang w:val="en-US"/>
              </w:rPr>
            </w:pPr>
            <w:r>
              <w:rPr>
                <w:rFonts w:eastAsiaTheme="minorHAnsi"/>
                <w:sz w:val="20"/>
                <w:szCs w:val="20"/>
                <w:lang w:val="en-US"/>
              </w:rPr>
              <w:t>T13.08</w:t>
            </w:r>
          </w:p>
        </w:tc>
        <w:tc>
          <w:tcPr>
            <w:tcW w:w="1399" w:type="dxa"/>
            <w:tcBorders>
              <w:top w:val="single" w:sz="4" w:space="0" w:color="auto"/>
              <w:left w:val="single" w:sz="4" w:space="0" w:color="auto"/>
              <w:bottom w:val="single" w:sz="4" w:space="0" w:color="auto"/>
              <w:right w:val="single" w:sz="4" w:space="0" w:color="auto"/>
            </w:tcBorders>
            <w:hideMark/>
          </w:tcPr>
          <w:p w14:paraId="0324ABB4" w14:textId="77777777" w:rsidR="00836512" w:rsidRDefault="00836512">
            <w:pPr>
              <w:jc w:val="center"/>
              <w:rPr>
                <w:rFonts w:eastAsiaTheme="minorHAnsi"/>
                <w:sz w:val="20"/>
                <w:szCs w:val="20"/>
                <w:lang w:val="en-US"/>
              </w:rPr>
            </w:pPr>
            <w:r>
              <w:rPr>
                <w:rFonts w:eastAsiaTheme="minorHAnsi"/>
                <w:sz w:val="20"/>
                <w:szCs w:val="20"/>
                <w:lang w:val="en-US"/>
              </w:rPr>
              <w:t>11.20 – 12.50</w:t>
            </w:r>
          </w:p>
        </w:tc>
        <w:tc>
          <w:tcPr>
            <w:tcW w:w="924" w:type="dxa"/>
            <w:tcBorders>
              <w:top w:val="single" w:sz="4" w:space="0" w:color="auto"/>
              <w:left w:val="single" w:sz="4" w:space="0" w:color="auto"/>
              <w:bottom w:val="single" w:sz="4" w:space="0" w:color="auto"/>
              <w:right w:val="single" w:sz="4" w:space="0" w:color="auto"/>
            </w:tcBorders>
            <w:hideMark/>
          </w:tcPr>
          <w:p w14:paraId="30DBD16A" w14:textId="77777777" w:rsidR="00836512" w:rsidRDefault="00836512">
            <w:pPr>
              <w:jc w:val="center"/>
              <w:rPr>
                <w:rFonts w:eastAsiaTheme="minorHAnsi"/>
                <w:sz w:val="20"/>
                <w:szCs w:val="20"/>
                <w:lang w:val="en-US"/>
              </w:rPr>
            </w:pPr>
            <w:r>
              <w:rPr>
                <w:rFonts w:eastAsiaTheme="minorHAnsi"/>
                <w:sz w:val="20"/>
                <w:szCs w:val="20"/>
                <w:lang w:val="en-US"/>
              </w:rPr>
              <w:t>11.85</w:t>
            </w:r>
          </w:p>
        </w:tc>
        <w:tc>
          <w:tcPr>
            <w:tcW w:w="955" w:type="dxa"/>
            <w:tcBorders>
              <w:top w:val="single" w:sz="4" w:space="0" w:color="auto"/>
              <w:left w:val="nil"/>
              <w:bottom w:val="single" w:sz="4" w:space="0" w:color="auto"/>
              <w:right w:val="single" w:sz="4" w:space="0" w:color="auto"/>
            </w:tcBorders>
            <w:vAlign w:val="bottom"/>
            <w:hideMark/>
          </w:tcPr>
          <w:p w14:paraId="7BFD8BC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48E7371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9.0</w:t>
            </w:r>
          </w:p>
        </w:tc>
        <w:tc>
          <w:tcPr>
            <w:tcW w:w="755" w:type="dxa"/>
            <w:tcBorders>
              <w:top w:val="single" w:sz="4" w:space="0" w:color="auto"/>
              <w:left w:val="single" w:sz="4" w:space="0" w:color="auto"/>
              <w:bottom w:val="single" w:sz="4" w:space="0" w:color="auto"/>
              <w:right w:val="single" w:sz="4" w:space="0" w:color="auto"/>
            </w:tcBorders>
            <w:vAlign w:val="bottom"/>
            <w:hideMark/>
          </w:tcPr>
          <w:p w14:paraId="69394E6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1AA754F0" w14:textId="77777777" w:rsidTr="004533C9">
        <w:tc>
          <w:tcPr>
            <w:tcW w:w="1216" w:type="dxa"/>
            <w:vMerge w:val="restart"/>
            <w:tcBorders>
              <w:top w:val="single" w:sz="4" w:space="0" w:color="auto"/>
              <w:left w:val="single" w:sz="4" w:space="0" w:color="auto"/>
              <w:bottom w:val="single" w:sz="4" w:space="0" w:color="auto"/>
              <w:right w:val="single" w:sz="4" w:space="0" w:color="auto"/>
            </w:tcBorders>
            <w:hideMark/>
          </w:tcPr>
          <w:p w14:paraId="301312A3" w14:textId="77777777" w:rsidR="00836512" w:rsidRDefault="00836512">
            <w:pPr>
              <w:jc w:val="center"/>
              <w:rPr>
                <w:rFonts w:eastAsiaTheme="minorHAnsi"/>
                <w:sz w:val="20"/>
                <w:szCs w:val="20"/>
                <w:lang w:val="en-US"/>
              </w:rPr>
            </w:pPr>
            <w:r>
              <w:rPr>
                <w:rFonts w:eastAsiaTheme="minorHAnsi"/>
                <w:sz w:val="20"/>
                <w:szCs w:val="20"/>
                <w:lang w:val="en-US"/>
              </w:rPr>
              <w:t>Botromagno</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66BEC30A" w14:textId="77777777" w:rsidR="00836512" w:rsidRDefault="00836512">
            <w:pPr>
              <w:jc w:val="center"/>
              <w:rPr>
                <w:rFonts w:eastAsiaTheme="minorHAnsi"/>
                <w:sz w:val="20"/>
                <w:szCs w:val="20"/>
                <w:lang w:val="en-US"/>
              </w:rPr>
            </w:pPr>
            <w:r>
              <w:rPr>
                <w:rFonts w:eastAsiaTheme="minorHAnsi"/>
                <w:sz w:val="20"/>
                <w:szCs w:val="20"/>
                <w:lang w:val="en-US"/>
              </w:rPr>
              <w:t>No label #3 (box 6)</w:t>
            </w:r>
          </w:p>
        </w:tc>
        <w:tc>
          <w:tcPr>
            <w:tcW w:w="1333" w:type="dxa"/>
            <w:tcBorders>
              <w:top w:val="single" w:sz="4" w:space="0" w:color="auto"/>
              <w:left w:val="single" w:sz="4" w:space="0" w:color="auto"/>
              <w:bottom w:val="single" w:sz="4" w:space="0" w:color="auto"/>
              <w:right w:val="single" w:sz="4" w:space="0" w:color="auto"/>
            </w:tcBorders>
            <w:hideMark/>
          </w:tcPr>
          <w:p w14:paraId="3F4D4FF1" w14:textId="77777777" w:rsidR="00836512" w:rsidRDefault="00836512">
            <w:pPr>
              <w:jc w:val="center"/>
              <w:rPr>
                <w:rFonts w:eastAsiaTheme="minorHAnsi"/>
                <w:sz w:val="20"/>
                <w:szCs w:val="20"/>
                <w:lang w:val="en-US"/>
              </w:rPr>
            </w:pPr>
            <w:r>
              <w:rPr>
                <w:rFonts w:eastAsiaTheme="minorHAnsi"/>
                <w:sz w:val="20"/>
                <w:szCs w:val="20"/>
                <w:lang w:val="en-US"/>
              </w:rPr>
              <w:t>T15.01</w:t>
            </w:r>
          </w:p>
        </w:tc>
        <w:tc>
          <w:tcPr>
            <w:tcW w:w="1399" w:type="dxa"/>
            <w:tcBorders>
              <w:top w:val="single" w:sz="4" w:space="0" w:color="auto"/>
              <w:left w:val="single" w:sz="4" w:space="0" w:color="auto"/>
              <w:bottom w:val="single" w:sz="4" w:space="0" w:color="auto"/>
              <w:right w:val="single" w:sz="4" w:space="0" w:color="auto"/>
            </w:tcBorders>
            <w:hideMark/>
          </w:tcPr>
          <w:p w14:paraId="1400AD51" w14:textId="77777777" w:rsidR="00836512" w:rsidRDefault="00836512">
            <w:pPr>
              <w:jc w:val="center"/>
              <w:rPr>
                <w:rFonts w:eastAsiaTheme="minorHAnsi"/>
                <w:sz w:val="20"/>
                <w:szCs w:val="20"/>
                <w:lang w:val="en-US"/>
              </w:rPr>
            </w:pPr>
            <w:r>
              <w:rPr>
                <w:rFonts w:eastAsiaTheme="minorHAnsi"/>
                <w:sz w:val="20"/>
                <w:szCs w:val="20"/>
                <w:lang w:val="en-US"/>
              </w:rPr>
              <w:t>2.00 – 2.90</w:t>
            </w:r>
          </w:p>
        </w:tc>
        <w:tc>
          <w:tcPr>
            <w:tcW w:w="924" w:type="dxa"/>
            <w:tcBorders>
              <w:top w:val="single" w:sz="4" w:space="0" w:color="auto"/>
              <w:left w:val="single" w:sz="4" w:space="0" w:color="auto"/>
              <w:bottom w:val="single" w:sz="4" w:space="0" w:color="auto"/>
              <w:right w:val="single" w:sz="4" w:space="0" w:color="auto"/>
            </w:tcBorders>
            <w:hideMark/>
          </w:tcPr>
          <w:p w14:paraId="7905AAF4" w14:textId="77777777" w:rsidR="00836512" w:rsidRDefault="00836512">
            <w:pPr>
              <w:jc w:val="center"/>
              <w:rPr>
                <w:rFonts w:eastAsiaTheme="minorHAnsi"/>
                <w:sz w:val="20"/>
                <w:szCs w:val="20"/>
                <w:lang w:val="en-US"/>
              </w:rPr>
            </w:pPr>
            <w:r>
              <w:rPr>
                <w:rFonts w:eastAsiaTheme="minorHAnsi"/>
                <w:sz w:val="20"/>
                <w:szCs w:val="20"/>
                <w:lang w:val="en-US"/>
              </w:rPr>
              <w:t>2.45</w:t>
            </w:r>
          </w:p>
        </w:tc>
        <w:tc>
          <w:tcPr>
            <w:tcW w:w="955" w:type="dxa"/>
            <w:tcBorders>
              <w:top w:val="single" w:sz="4" w:space="0" w:color="auto"/>
              <w:left w:val="nil"/>
              <w:bottom w:val="single" w:sz="4" w:space="0" w:color="auto"/>
              <w:right w:val="single" w:sz="4" w:space="0" w:color="auto"/>
            </w:tcBorders>
            <w:vAlign w:val="bottom"/>
            <w:hideMark/>
          </w:tcPr>
          <w:p w14:paraId="697C4B2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-18.7</w:t>
            </w:r>
          </w:p>
        </w:tc>
        <w:tc>
          <w:tcPr>
            <w:tcW w:w="925" w:type="dxa"/>
            <w:tcBorders>
              <w:top w:val="single" w:sz="4" w:space="0" w:color="auto"/>
              <w:left w:val="single" w:sz="4" w:space="0" w:color="auto"/>
              <w:bottom w:val="single" w:sz="4" w:space="0" w:color="auto"/>
              <w:right w:val="nil"/>
            </w:tcBorders>
            <w:vAlign w:val="bottom"/>
            <w:hideMark/>
          </w:tcPr>
          <w:p w14:paraId="605AE77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11.2</w:t>
            </w:r>
          </w:p>
        </w:tc>
        <w:tc>
          <w:tcPr>
            <w:tcW w:w="755" w:type="dxa"/>
            <w:tcBorders>
              <w:top w:val="single" w:sz="4" w:space="0" w:color="auto"/>
              <w:left w:val="single" w:sz="4" w:space="0" w:color="auto"/>
              <w:bottom w:val="single" w:sz="4" w:space="0" w:color="auto"/>
              <w:right w:val="single" w:sz="4" w:space="0" w:color="auto"/>
            </w:tcBorders>
            <w:hideMark/>
          </w:tcPr>
          <w:p w14:paraId="1A6E75B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4A7F251"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2072320A"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57F65B9C"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21254F6F" w14:textId="77777777" w:rsidR="00836512" w:rsidRDefault="00836512">
            <w:pPr>
              <w:jc w:val="center"/>
              <w:rPr>
                <w:rFonts w:eastAsiaTheme="minorHAnsi"/>
                <w:sz w:val="20"/>
                <w:szCs w:val="20"/>
                <w:lang w:val="en-US"/>
              </w:rPr>
            </w:pPr>
            <w:r>
              <w:rPr>
                <w:rFonts w:eastAsiaTheme="minorHAnsi"/>
                <w:sz w:val="20"/>
                <w:szCs w:val="20"/>
                <w:lang w:val="en-US"/>
              </w:rPr>
              <w:t>T15.02</w:t>
            </w:r>
          </w:p>
        </w:tc>
        <w:tc>
          <w:tcPr>
            <w:tcW w:w="1399" w:type="dxa"/>
            <w:tcBorders>
              <w:top w:val="single" w:sz="4" w:space="0" w:color="auto"/>
              <w:left w:val="single" w:sz="4" w:space="0" w:color="auto"/>
              <w:bottom w:val="single" w:sz="4" w:space="0" w:color="auto"/>
              <w:right w:val="single" w:sz="4" w:space="0" w:color="auto"/>
            </w:tcBorders>
            <w:hideMark/>
          </w:tcPr>
          <w:p w14:paraId="2F650E0C" w14:textId="77777777" w:rsidR="00836512" w:rsidRDefault="00836512">
            <w:pPr>
              <w:jc w:val="center"/>
              <w:rPr>
                <w:rFonts w:eastAsiaTheme="minorHAnsi"/>
                <w:sz w:val="20"/>
                <w:szCs w:val="20"/>
                <w:lang w:val="en-US"/>
              </w:rPr>
            </w:pPr>
            <w:r>
              <w:rPr>
                <w:rFonts w:eastAsiaTheme="minorHAnsi"/>
                <w:sz w:val="20"/>
                <w:szCs w:val="20"/>
                <w:lang w:val="en-US"/>
              </w:rPr>
              <w:t>2.90 – 4.10</w:t>
            </w:r>
          </w:p>
        </w:tc>
        <w:tc>
          <w:tcPr>
            <w:tcW w:w="924" w:type="dxa"/>
            <w:tcBorders>
              <w:top w:val="single" w:sz="4" w:space="0" w:color="auto"/>
              <w:left w:val="single" w:sz="4" w:space="0" w:color="auto"/>
              <w:bottom w:val="single" w:sz="4" w:space="0" w:color="auto"/>
              <w:right w:val="single" w:sz="4" w:space="0" w:color="auto"/>
            </w:tcBorders>
            <w:hideMark/>
          </w:tcPr>
          <w:p w14:paraId="52D8A917" w14:textId="77777777" w:rsidR="00836512" w:rsidRDefault="00836512">
            <w:pPr>
              <w:jc w:val="center"/>
              <w:rPr>
                <w:rFonts w:eastAsiaTheme="minorHAnsi"/>
                <w:sz w:val="20"/>
                <w:szCs w:val="20"/>
                <w:lang w:val="en-US"/>
              </w:rPr>
            </w:pPr>
            <w:r>
              <w:rPr>
                <w:rFonts w:eastAsiaTheme="minorHAnsi"/>
                <w:sz w:val="20"/>
                <w:szCs w:val="20"/>
                <w:lang w:val="en-US"/>
              </w:rPr>
              <w:t>3.50</w:t>
            </w:r>
          </w:p>
        </w:tc>
        <w:tc>
          <w:tcPr>
            <w:tcW w:w="955" w:type="dxa"/>
            <w:tcBorders>
              <w:top w:val="single" w:sz="4" w:space="0" w:color="auto"/>
              <w:left w:val="nil"/>
              <w:bottom w:val="single" w:sz="4" w:space="0" w:color="auto"/>
              <w:right w:val="single" w:sz="4" w:space="0" w:color="auto"/>
            </w:tcBorders>
            <w:vAlign w:val="bottom"/>
            <w:hideMark/>
          </w:tcPr>
          <w:p w14:paraId="5CDBC32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75DB7DC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9.1</w:t>
            </w:r>
          </w:p>
        </w:tc>
        <w:tc>
          <w:tcPr>
            <w:tcW w:w="755" w:type="dxa"/>
            <w:tcBorders>
              <w:top w:val="single" w:sz="4" w:space="0" w:color="auto"/>
              <w:left w:val="single" w:sz="4" w:space="0" w:color="auto"/>
              <w:bottom w:val="single" w:sz="4" w:space="0" w:color="auto"/>
              <w:right w:val="single" w:sz="4" w:space="0" w:color="auto"/>
            </w:tcBorders>
            <w:vAlign w:val="bottom"/>
            <w:hideMark/>
          </w:tcPr>
          <w:p w14:paraId="0075DCE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46DF4BDE"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A07DEF2"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B00E732"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0CB2379E" w14:textId="77777777" w:rsidR="00836512" w:rsidRDefault="00836512">
            <w:pPr>
              <w:jc w:val="center"/>
              <w:rPr>
                <w:rFonts w:eastAsiaTheme="minorHAnsi"/>
                <w:sz w:val="20"/>
                <w:szCs w:val="20"/>
                <w:lang w:val="en-US"/>
              </w:rPr>
            </w:pPr>
            <w:r>
              <w:rPr>
                <w:rFonts w:eastAsiaTheme="minorHAnsi"/>
                <w:sz w:val="20"/>
                <w:szCs w:val="20"/>
                <w:lang w:val="en-US"/>
              </w:rPr>
              <w:t>T15.03</w:t>
            </w:r>
          </w:p>
        </w:tc>
        <w:tc>
          <w:tcPr>
            <w:tcW w:w="1399" w:type="dxa"/>
            <w:tcBorders>
              <w:top w:val="single" w:sz="4" w:space="0" w:color="auto"/>
              <w:left w:val="single" w:sz="4" w:space="0" w:color="auto"/>
              <w:bottom w:val="single" w:sz="4" w:space="0" w:color="auto"/>
              <w:right w:val="single" w:sz="4" w:space="0" w:color="auto"/>
            </w:tcBorders>
            <w:hideMark/>
          </w:tcPr>
          <w:p w14:paraId="2C0C62B2" w14:textId="77777777" w:rsidR="00836512" w:rsidRDefault="00836512">
            <w:pPr>
              <w:jc w:val="center"/>
              <w:rPr>
                <w:rFonts w:eastAsiaTheme="minorHAnsi"/>
                <w:sz w:val="20"/>
                <w:szCs w:val="20"/>
                <w:lang w:val="en-US"/>
              </w:rPr>
            </w:pPr>
            <w:r>
              <w:rPr>
                <w:rFonts w:eastAsiaTheme="minorHAnsi"/>
                <w:sz w:val="20"/>
                <w:szCs w:val="20"/>
                <w:lang w:val="en-US"/>
              </w:rPr>
              <w:t>4.10 – 5.30</w:t>
            </w:r>
          </w:p>
        </w:tc>
        <w:tc>
          <w:tcPr>
            <w:tcW w:w="924" w:type="dxa"/>
            <w:tcBorders>
              <w:top w:val="single" w:sz="4" w:space="0" w:color="auto"/>
              <w:left w:val="single" w:sz="4" w:space="0" w:color="auto"/>
              <w:bottom w:val="single" w:sz="4" w:space="0" w:color="auto"/>
              <w:right w:val="single" w:sz="4" w:space="0" w:color="auto"/>
            </w:tcBorders>
            <w:hideMark/>
          </w:tcPr>
          <w:p w14:paraId="72330647" w14:textId="77777777" w:rsidR="00836512" w:rsidRDefault="00836512">
            <w:pPr>
              <w:jc w:val="center"/>
              <w:rPr>
                <w:rFonts w:eastAsiaTheme="minorHAnsi"/>
                <w:sz w:val="20"/>
                <w:szCs w:val="20"/>
                <w:lang w:val="en-US"/>
              </w:rPr>
            </w:pPr>
            <w:r>
              <w:rPr>
                <w:rFonts w:eastAsiaTheme="minorHAnsi"/>
                <w:sz w:val="20"/>
                <w:szCs w:val="20"/>
                <w:lang w:val="en-US"/>
              </w:rPr>
              <w:t>4.70</w:t>
            </w:r>
          </w:p>
        </w:tc>
        <w:tc>
          <w:tcPr>
            <w:tcW w:w="955" w:type="dxa"/>
            <w:tcBorders>
              <w:top w:val="single" w:sz="4" w:space="0" w:color="auto"/>
              <w:left w:val="nil"/>
              <w:bottom w:val="single" w:sz="4" w:space="0" w:color="auto"/>
              <w:right w:val="single" w:sz="4" w:space="0" w:color="auto"/>
            </w:tcBorders>
            <w:vAlign w:val="bottom"/>
            <w:hideMark/>
          </w:tcPr>
          <w:p w14:paraId="2A84B3C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-19.1</w:t>
            </w:r>
          </w:p>
        </w:tc>
        <w:tc>
          <w:tcPr>
            <w:tcW w:w="925" w:type="dxa"/>
            <w:tcBorders>
              <w:top w:val="single" w:sz="4" w:space="0" w:color="auto"/>
              <w:left w:val="single" w:sz="4" w:space="0" w:color="auto"/>
              <w:bottom w:val="single" w:sz="4" w:space="0" w:color="auto"/>
              <w:right w:val="nil"/>
            </w:tcBorders>
            <w:vAlign w:val="bottom"/>
            <w:hideMark/>
          </w:tcPr>
          <w:p w14:paraId="3FF2896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9.3</w:t>
            </w:r>
          </w:p>
        </w:tc>
        <w:tc>
          <w:tcPr>
            <w:tcW w:w="755" w:type="dxa"/>
            <w:tcBorders>
              <w:top w:val="single" w:sz="4" w:space="0" w:color="auto"/>
              <w:left w:val="single" w:sz="4" w:space="0" w:color="auto"/>
              <w:bottom w:val="single" w:sz="4" w:space="0" w:color="auto"/>
              <w:right w:val="single" w:sz="4" w:space="0" w:color="auto"/>
            </w:tcBorders>
            <w:vAlign w:val="bottom"/>
            <w:hideMark/>
          </w:tcPr>
          <w:p w14:paraId="568EFF2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41C7D306"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F6E4F2C"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45E04EC9"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493B3BFA" w14:textId="77777777" w:rsidR="00836512" w:rsidRDefault="00836512">
            <w:pPr>
              <w:jc w:val="center"/>
              <w:rPr>
                <w:rFonts w:eastAsiaTheme="minorHAnsi"/>
                <w:sz w:val="20"/>
                <w:szCs w:val="20"/>
                <w:lang w:val="en-US"/>
              </w:rPr>
            </w:pPr>
            <w:r>
              <w:rPr>
                <w:rFonts w:eastAsiaTheme="minorHAnsi"/>
                <w:sz w:val="20"/>
                <w:szCs w:val="20"/>
                <w:lang w:val="en-US"/>
              </w:rPr>
              <w:t>T15.04</w:t>
            </w:r>
          </w:p>
        </w:tc>
        <w:tc>
          <w:tcPr>
            <w:tcW w:w="1399" w:type="dxa"/>
            <w:tcBorders>
              <w:top w:val="single" w:sz="4" w:space="0" w:color="auto"/>
              <w:left w:val="single" w:sz="4" w:space="0" w:color="auto"/>
              <w:bottom w:val="single" w:sz="4" w:space="0" w:color="auto"/>
              <w:right w:val="single" w:sz="4" w:space="0" w:color="auto"/>
            </w:tcBorders>
            <w:hideMark/>
          </w:tcPr>
          <w:p w14:paraId="0078C030" w14:textId="77777777" w:rsidR="00836512" w:rsidRDefault="00836512">
            <w:pPr>
              <w:jc w:val="center"/>
              <w:rPr>
                <w:rFonts w:eastAsiaTheme="minorHAnsi"/>
                <w:sz w:val="20"/>
                <w:szCs w:val="20"/>
                <w:lang w:val="en-US"/>
              </w:rPr>
            </w:pPr>
            <w:r>
              <w:rPr>
                <w:rFonts w:eastAsiaTheme="minorHAnsi"/>
                <w:sz w:val="20"/>
                <w:szCs w:val="20"/>
                <w:lang w:val="en-US"/>
              </w:rPr>
              <w:t>5.30 – 6.50</w:t>
            </w:r>
          </w:p>
        </w:tc>
        <w:tc>
          <w:tcPr>
            <w:tcW w:w="924" w:type="dxa"/>
            <w:tcBorders>
              <w:top w:val="single" w:sz="4" w:space="0" w:color="auto"/>
              <w:left w:val="single" w:sz="4" w:space="0" w:color="auto"/>
              <w:bottom w:val="single" w:sz="4" w:space="0" w:color="auto"/>
              <w:right w:val="single" w:sz="4" w:space="0" w:color="auto"/>
            </w:tcBorders>
            <w:hideMark/>
          </w:tcPr>
          <w:p w14:paraId="3371A72A" w14:textId="77777777" w:rsidR="00836512" w:rsidRDefault="00836512">
            <w:pPr>
              <w:jc w:val="center"/>
              <w:rPr>
                <w:rFonts w:eastAsiaTheme="minorHAnsi"/>
                <w:sz w:val="20"/>
                <w:szCs w:val="20"/>
                <w:lang w:val="en-US"/>
              </w:rPr>
            </w:pPr>
            <w:r>
              <w:rPr>
                <w:rFonts w:eastAsiaTheme="minorHAnsi"/>
                <w:sz w:val="20"/>
                <w:szCs w:val="20"/>
                <w:lang w:val="en-US"/>
              </w:rPr>
              <w:t>5.90</w:t>
            </w:r>
          </w:p>
        </w:tc>
        <w:tc>
          <w:tcPr>
            <w:tcW w:w="955" w:type="dxa"/>
            <w:tcBorders>
              <w:top w:val="single" w:sz="4" w:space="0" w:color="auto"/>
              <w:left w:val="nil"/>
              <w:bottom w:val="single" w:sz="4" w:space="0" w:color="auto"/>
              <w:right w:val="single" w:sz="4" w:space="0" w:color="auto"/>
            </w:tcBorders>
            <w:vAlign w:val="bottom"/>
            <w:hideMark/>
          </w:tcPr>
          <w:p w14:paraId="2A26B2C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-18.9</w:t>
            </w:r>
          </w:p>
        </w:tc>
        <w:tc>
          <w:tcPr>
            <w:tcW w:w="925" w:type="dxa"/>
            <w:tcBorders>
              <w:top w:val="single" w:sz="4" w:space="0" w:color="auto"/>
              <w:left w:val="single" w:sz="4" w:space="0" w:color="auto"/>
              <w:bottom w:val="single" w:sz="4" w:space="0" w:color="auto"/>
              <w:right w:val="nil"/>
            </w:tcBorders>
            <w:vAlign w:val="bottom"/>
            <w:hideMark/>
          </w:tcPr>
          <w:p w14:paraId="29A63ED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9.4</w:t>
            </w:r>
          </w:p>
        </w:tc>
        <w:tc>
          <w:tcPr>
            <w:tcW w:w="755" w:type="dxa"/>
            <w:tcBorders>
              <w:top w:val="single" w:sz="4" w:space="0" w:color="auto"/>
              <w:left w:val="single" w:sz="4" w:space="0" w:color="auto"/>
              <w:bottom w:val="single" w:sz="4" w:space="0" w:color="auto"/>
              <w:right w:val="single" w:sz="4" w:space="0" w:color="auto"/>
            </w:tcBorders>
            <w:vAlign w:val="bottom"/>
            <w:hideMark/>
          </w:tcPr>
          <w:p w14:paraId="69C4E66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0A44976"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29F767FF"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35D5ACF"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F718160" w14:textId="77777777" w:rsidR="00836512" w:rsidRDefault="00836512">
            <w:pPr>
              <w:jc w:val="center"/>
              <w:rPr>
                <w:rFonts w:eastAsiaTheme="minorHAnsi"/>
                <w:sz w:val="20"/>
                <w:szCs w:val="20"/>
                <w:lang w:val="en-US"/>
              </w:rPr>
            </w:pPr>
            <w:r>
              <w:rPr>
                <w:rFonts w:eastAsiaTheme="minorHAnsi"/>
                <w:sz w:val="20"/>
                <w:szCs w:val="20"/>
                <w:lang w:val="en-US"/>
              </w:rPr>
              <w:t>T15.05</w:t>
            </w:r>
          </w:p>
        </w:tc>
        <w:tc>
          <w:tcPr>
            <w:tcW w:w="1399" w:type="dxa"/>
            <w:tcBorders>
              <w:top w:val="single" w:sz="4" w:space="0" w:color="auto"/>
              <w:left w:val="single" w:sz="4" w:space="0" w:color="auto"/>
              <w:bottom w:val="single" w:sz="4" w:space="0" w:color="auto"/>
              <w:right w:val="single" w:sz="4" w:space="0" w:color="auto"/>
            </w:tcBorders>
            <w:hideMark/>
          </w:tcPr>
          <w:p w14:paraId="407D3956" w14:textId="77777777" w:rsidR="00836512" w:rsidRDefault="00836512">
            <w:pPr>
              <w:jc w:val="center"/>
              <w:rPr>
                <w:rFonts w:eastAsiaTheme="minorHAnsi"/>
                <w:sz w:val="20"/>
                <w:szCs w:val="20"/>
                <w:lang w:val="en-US"/>
              </w:rPr>
            </w:pPr>
            <w:r>
              <w:rPr>
                <w:rFonts w:eastAsiaTheme="minorHAnsi"/>
                <w:sz w:val="20"/>
                <w:szCs w:val="20"/>
                <w:lang w:val="en-US"/>
              </w:rPr>
              <w:t>6.50 – 7.70</w:t>
            </w:r>
          </w:p>
        </w:tc>
        <w:tc>
          <w:tcPr>
            <w:tcW w:w="924" w:type="dxa"/>
            <w:tcBorders>
              <w:top w:val="single" w:sz="4" w:space="0" w:color="auto"/>
              <w:left w:val="single" w:sz="4" w:space="0" w:color="auto"/>
              <w:bottom w:val="single" w:sz="4" w:space="0" w:color="auto"/>
              <w:right w:val="single" w:sz="4" w:space="0" w:color="auto"/>
            </w:tcBorders>
            <w:hideMark/>
          </w:tcPr>
          <w:p w14:paraId="1F0D5CA7" w14:textId="77777777" w:rsidR="00836512" w:rsidRDefault="00836512">
            <w:pPr>
              <w:jc w:val="center"/>
              <w:rPr>
                <w:rFonts w:eastAsiaTheme="minorHAnsi"/>
                <w:sz w:val="20"/>
                <w:szCs w:val="20"/>
                <w:lang w:val="en-US"/>
              </w:rPr>
            </w:pPr>
            <w:r>
              <w:rPr>
                <w:rFonts w:eastAsiaTheme="minorHAnsi"/>
                <w:sz w:val="20"/>
                <w:szCs w:val="20"/>
                <w:lang w:val="en-US"/>
              </w:rPr>
              <w:t>7.10</w:t>
            </w:r>
          </w:p>
        </w:tc>
        <w:tc>
          <w:tcPr>
            <w:tcW w:w="955" w:type="dxa"/>
            <w:tcBorders>
              <w:top w:val="single" w:sz="4" w:space="0" w:color="auto"/>
              <w:left w:val="nil"/>
              <w:bottom w:val="single" w:sz="4" w:space="0" w:color="auto"/>
              <w:right w:val="single" w:sz="4" w:space="0" w:color="auto"/>
            </w:tcBorders>
            <w:vAlign w:val="bottom"/>
            <w:hideMark/>
          </w:tcPr>
          <w:p w14:paraId="5EA8464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-18.6</w:t>
            </w:r>
          </w:p>
        </w:tc>
        <w:tc>
          <w:tcPr>
            <w:tcW w:w="925" w:type="dxa"/>
            <w:tcBorders>
              <w:top w:val="single" w:sz="4" w:space="0" w:color="auto"/>
              <w:left w:val="single" w:sz="4" w:space="0" w:color="auto"/>
              <w:bottom w:val="single" w:sz="4" w:space="0" w:color="auto"/>
              <w:right w:val="nil"/>
            </w:tcBorders>
            <w:vAlign w:val="bottom"/>
            <w:hideMark/>
          </w:tcPr>
          <w:p w14:paraId="789D53A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9.5</w:t>
            </w:r>
          </w:p>
        </w:tc>
        <w:tc>
          <w:tcPr>
            <w:tcW w:w="755" w:type="dxa"/>
            <w:tcBorders>
              <w:top w:val="single" w:sz="4" w:space="0" w:color="auto"/>
              <w:left w:val="single" w:sz="4" w:space="0" w:color="auto"/>
              <w:bottom w:val="single" w:sz="4" w:space="0" w:color="auto"/>
              <w:right w:val="single" w:sz="4" w:space="0" w:color="auto"/>
            </w:tcBorders>
            <w:vAlign w:val="bottom"/>
            <w:hideMark/>
          </w:tcPr>
          <w:p w14:paraId="469E440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4124825"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9A2FEF1"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D1B63E6"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1ED4749B" w14:textId="77777777" w:rsidR="00836512" w:rsidRDefault="00836512">
            <w:pPr>
              <w:jc w:val="center"/>
              <w:rPr>
                <w:rFonts w:eastAsiaTheme="minorHAnsi"/>
                <w:sz w:val="20"/>
                <w:szCs w:val="20"/>
                <w:lang w:val="en-US"/>
              </w:rPr>
            </w:pPr>
            <w:r>
              <w:rPr>
                <w:rFonts w:eastAsiaTheme="minorHAnsi"/>
                <w:sz w:val="20"/>
                <w:szCs w:val="20"/>
                <w:lang w:val="en-US"/>
              </w:rPr>
              <w:t>T15.06</w:t>
            </w:r>
          </w:p>
        </w:tc>
        <w:tc>
          <w:tcPr>
            <w:tcW w:w="1399" w:type="dxa"/>
            <w:tcBorders>
              <w:top w:val="single" w:sz="4" w:space="0" w:color="auto"/>
              <w:left w:val="single" w:sz="4" w:space="0" w:color="auto"/>
              <w:bottom w:val="single" w:sz="4" w:space="0" w:color="auto"/>
              <w:right w:val="single" w:sz="4" w:space="0" w:color="auto"/>
            </w:tcBorders>
            <w:hideMark/>
          </w:tcPr>
          <w:p w14:paraId="578A1023" w14:textId="77777777" w:rsidR="00836512" w:rsidRDefault="00836512">
            <w:pPr>
              <w:jc w:val="center"/>
              <w:rPr>
                <w:rFonts w:eastAsiaTheme="minorHAnsi"/>
                <w:sz w:val="20"/>
                <w:szCs w:val="20"/>
                <w:lang w:val="en-US"/>
              </w:rPr>
            </w:pPr>
            <w:r>
              <w:rPr>
                <w:rFonts w:eastAsiaTheme="minorHAnsi"/>
                <w:sz w:val="20"/>
                <w:szCs w:val="20"/>
                <w:lang w:val="en-US"/>
              </w:rPr>
              <w:t>7.70 – 8.90</w:t>
            </w:r>
          </w:p>
        </w:tc>
        <w:tc>
          <w:tcPr>
            <w:tcW w:w="924" w:type="dxa"/>
            <w:tcBorders>
              <w:top w:val="single" w:sz="4" w:space="0" w:color="auto"/>
              <w:left w:val="single" w:sz="4" w:space="0" w:color="auto"/>
              <w:bottom w:val="single" w:sz="4" w:space="0" w:color="auto"/>
              <w:right w:val="single" w:sz="4" w:space="0" w:color="auto"/>
            </w:tcBorders>
            <w:hideMark/>
          </w:tcPr>
          <w:p w14:paraId="6699E089" w14:textId="77777777" w:rsidR="00836512" w:rsidRDefault="00836512">
            <w:pPr>
              <w:jc w:val="center"/>
              <w:rPr>
                <w:rFonts w:eastAsiaTheme="minorHAnsi"/>
                <w:sz w:val="20"/>
                <w:szCs w:val="20"/>
                <w:lang w:val="en-US"/>
              </w:rPr>
            </w:pPr>
            <w:r>
              <w:rPr>
                <w:rFonts w:eastAsiaTheme="minorHAnsi"/>
                <w:sz w:val="20"/>
                <w:szCs w:val="20"/>
                <w:lang w:val="en-US"/>
              </w:rPr>
              <w:t>8.30</w:t>
            </w:r>
          </w:p>
        </w:tc>
        <w:tc>
          <w:tcPr>
            <w:tcW w:w="955" w:type="dxa"/>
            <w:tcBorders>
              <w:top w:val="single" w:sz="4" w:space="0" w:color="auto"/>
              <w:left w:val="nil"/>
              <w:bottom w:val="single" w:sz="4" w:space="0" w:color="auto"/>
              <w:right w:val="single" w:sz="4" w:space="0" w:color="auto"/>
            </w:tcBorders>
            <w:vAlign w:val="bottom"/>
            <w:hideMark/>
          </w:tcPr>
          <w:p w14:paraId="3847CF1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-18.6</w:t>
            </w:r>
          </w:p>
        </w:tc>
        <w:tc>
          <w:tcPr>
            <w:tcW w:w="925" w:type="dxa"/>
            <w:tcBorders>
              <w:top w:val="single" w:sz="4" w:space="0" w:color="auto"/>
              <w:left w:val="single" w:sz="4" w:space="0" w:color="auto"/>
              <w:bottom w:val="single" w:sz="4" w:space="0" w:color="auto"/>
              <w:right w:val="nil"/>
            </w:tcBorders>
            <w:vAlign w:val="bottom"/>
            <w:hideMark/>
          </w:tcPr>
          <w:p w14:paraId="35E0B81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9.6</w:t>
            </w:r>
          </w:p>
        </w:tc>
        <w:tc>
          <w:tcPr>
            <w:tcW w:w="755" w:type="dxa"/>
            <w:tcBorders>
              <w:top w:val="single" w:sz="4" w:space="0" w:color="auto"/>
              <w:left w:val="single" w:sz="4" w:space="0" w:color="auto"/>
              <w:bottom w:val="single" w:sz="4" w:space="0" w:color="auto"/>
              <w:right w:val="single" w:sz="4" w:space="0" w:color="auto"/>
            </w:tcBorders>
            <w:vAlign w:val="bottom"/>
            <w:hideMark/>
          </w:tcPr>
          <w:p w14:paraId="090230A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C18A363"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3C66917A"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45E7CD96"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68C6CC48" w14:textId="77777777" w:rsidR="00836512" w:rsidRDefault="00836512">
            <w:pPr>
              <w:jc w:val="center"/>
              <w:rPr>
                <w:rFonts w:eastAsiaTheme="minorHAnsi"/>
                <w:sz w:val="20"/>
                <w:szCs w:val="20"/>
                <w:lang w:val="en-US"/>
              </w:rPr>
            </w:pPr>
            <w:r>
              <w:rPr>
                <w:rFonts w:eastAsiaTheme="minorHAnsi"/>
                <w:sz w:val="20"/>
                <w:szCs w:val="20"/>
                <w:lang w:val="en-US"/>
              </w:rPr>
              <w:t>T15.07</w:t>
            </w:r>
          </w:p>
        </w:tc>
        <w:tc>
          <w:tcPr>
            <w:tcW w:w="1399" w:type="dxa"/>
            <w:tcBorders>
              <w:top w:val="single" w:sz="4" w:space="0" w:color="auto"/>
              <w:left w:val="single" w:sz="4" w:space="0" w:color="auto"/>
              <w:bottom w:val="single" w:sz="4" w:space="0" w:color="auto"/>
              <w:right w:val="single" w:sz="4" w:space="0" w:color="auto"/>
            </w:tcBorders>
            <w:hideMark/>
          </w:tcPr>
          <w:p w14:paraId="2D97C95D" w14:textId="77777777" w:rsidR="00836512" w:rsidRDefault="00836512">
            <w:pPr>
              <w:jc w:val="center"/>
              <w:rPr>
                <w:rFonts w:eastAsiaTheme="minorHAnsi"/>
                <w:sz w:val="20"/>
                <w:szCs w:val="20"/>
                <w:lang w:val="en-US"/>
              </w:rPr>
            </w:pPr>
            <w:r>
              <w:rPr>
                <w:rFonts w:eastAsiaTheme="minorHAnsi"/>
                <w:sz w:val="20"/>
                <w:szCs w:val="20"/>
                <w:lang w:val="en-US"/>
              </w:rPr>
              <w:t>8.90 – 10.10</w:t>
            </w:r>
          </w:p>
        </w:tc>
        <w:tc>
          <w:tcPr>
            <w:tcW w:w="924" w:type="dxa"/>
            <w:tcBorders>
              <w:top w:val="single" w:sz="4" w:space="0" w:color="auto"/>
              <w:left w:val="single" w:sz="4" w:space="0" w:color="auto"/>
              <w:bottom w:val="single" w:sz="4" w:space="0" w:color="auto"/>
              <w:right w:val="single" w:sz="4" w:space="0" w:color="auto"/>
            </w:tcBorders>
            <w:hideMark/>
          </w:tcPr>
          <w:p w14:paraId="3314BB25" w14:textId="77777777" w:rsidR="00836512" w:rsidRDefault="00836512">
            <w:pPr>
              <w:jc w:val="center"/>
              <w:rPr>
                <w:rFonts w:eastAsiaTheme="minorHAnsi"/>
                <w:sz w:val="20"/>
                <w:szCs w:val="20"/>
                <w:lang w:val="en-US"/>
              </w:rPr>
            </w:pPr>
            <w:r>
              <w:rPr>
                <w:rFonts w:eastAsiaTheme="minorHAnsi"/>
                <w:sz w:val="20"/>
                <w:szCs w:val="20"/>
                <w:lang w:val="en-US"/>
              </w:rPr>
              <w:t>9.50</w:t>
            </w:r>
          </w:p>
        </w:tc>
        <w:tc>
          <w:tcPr>
            <w:tcW w:w="955" w:type="dxa"/>
            <w:tcBorders>
              <w:top w:val="single" w:sz="4" w:space="0" w:color="auto"/>
              <w:left w:val="nil"/>
              <w:bottom w:val="single" w:sz="4" w:space="0" w:color="auto"/>
              <w:right w:val="single" w:sz="4" w:space="0" w:color="auto"/>
            </w:tcBorders>
            <w:vAlign w:val="bottom"/>
            <w:hideMark/>
          </w:tcPr>
          <w:p w14:paraId="3D5C436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-18.9</w:t>
            </w:r>
          </w:p>
        </w:tc>
        <w:tc>
          <w:tcPr>
            <w:tcW w:w="925" w:type="dxa"/>
            <w:tcBorders>
              <w:top w:val="single" w:sz="4" w:space="0" w:color="auto"/>
              <w:left w:val="single" w:sz="4" w:space="0" w:color="auto"/>
              <w:bottom w:val="single" w:sz="4" w:space="0" w:color="auto"/>
              <w:right w:val="nil"/>
            </w:tcBorders>
            <w:vAlign w:val="bottom"/>
            <w:hideMark/>
          </w:tcPr>
          <w:p w14:paraId="17935CE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10.1</w:t>
            </w:r>
          </w:p>
        </w:tc>
        <w:tc>
          <w:tcPr>
            <w:tcW w:w="755" w:type="dxa"/>
            <w:tcBorders>
              <w:top w:val="single" w:sz="4" w:space="0" w:color="auto"/>
              <w:left w:val="single" w:sz="4" w:space="0" w:color="auto"/>
              <w:bottom w:val="single" w:sz="4" w:space="0" w:color="auto"/>
              <w:right w:val="single" w:sz="4" w:space="0" w:color="auto"/>
            </w:tcBorders>
            <w:vAlign w:val="bottom"/>
            <w:hideMark/>
          </w:tcPr>
          <w:p w14:paraId="0B60D00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C65ABB6"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840CB74"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68CA0DB6"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2A7CE09A" w14:textId="77777777" w:rsidR="00836512" w:rsidRDefault="00836512">
            <w:pPr>
              <w:jc w:val="center"/>
              <w:rPr>
                <w:rFonts w:eastAsiaTheme="minorHAnsi"/>
                <w:sz w:val="20"/>
                <w:szCs w:val="20"/>
                <w:lang w:val="en-US"/>
              </w:rPr>
            </w:pPr>
            <w:r>
              <w:rPr>
                <w:rFonts w:eastAsiaTheme="minorHAnsi"/>
                <w:sz w:val="20"/>
                <w:szCs w:val="20"/>
                <w:lang w:val="en-US"/>
              </w:rPr>
              <w:t>T15.08</w:t>
            </w:r>
          </w:p>
        </w:tc>
        <w:tc>
          <w:tcPr>
            <w:tcW w:w="1399" w:type="dxa"/>
            <w:tcBorders>
              <w:top w:val="single" w:sz="4" w:space="0" w:color="auto"/>
              <w:left w:val="single" w:sz="4" w:space="0" w:color="auto"/>
              <w:bottom w:val="single" w:sz="4" w:space="0" w:color="auto"/>
              <w:right w:val="single" w:sz="4" w:space="0" w:color="auto"/>
            </w:tcBorders>
            <w:hideMark/>
          </w:tcPr>
          <w:p w14:paraId="13C1337D" w14:textId="77777777" w:rsidR="00836512" w:rsidRDefault="00836512">
            <w:pPr>
              <w:jc w:val="center"/>
              <w:rPr>
                <w:rFonts w:eastAsiaTheme="minorHAnsi"/>
                <w:sz w:val="20"/>
                <w:szCs w:val="20"/>
                <w:lang w:val="en-US"/>
              </w:rPr>
            </w:pPr>
            <w:r>
              <w:rPr>
                <w:rFonts w:eastAsiaTheme="minorHAnsi"/>
                <w:sz w:val="20"/>
                <w:szCs w:val="20"/>
                <w:lang w:val="en-US"/>
              </w:rPr>
              <w:t>10.10 – 11.30</w:t>
            </w:r>
          </w:p>
        </w:tc>
        <w:tc>
          <w:tcPr>
            <w:tcW w:w="924" w:type="dxa"/>
            <w:tcBorders>
              <w:top w:val="single" w:sz="4" w:space="0" w:color="auto"/>
              <w:left w:val="single" w:sz="4" w:space="0" w:color="auto"/>
              <w:bottom w:val="single" w:sz="4" w:space="0" w:color="auto"/>
              <w:right w:val="single" w:sz="4" w:space="0" w:color="auto"/>
            </w:tcBorders>
            <w:hideMark/>
          </w:tcPr>
          <w:p w14:paraId="75E0F715" w14:textId="77777777" w:rsidR="00836512" w:rsidRDefault="00836512">
            <w:pPr>
              <w:jc w:val="center"/>
              <w:rPr>
                <w:rFonts w:eastAsiaTheme="minorHAnsi"/>
                <w:sz w:val="20"/>
                <w:szCs w:val="20"/>
                <w:lang w:val="en-US"/>
              </w:rPr>
            </w:pPr>
            <w:r>
              <w:rPr>
                <w:rFonts w:eastAsiaTheme="minorHAnsi"/>
                <w:sz w:val="20"/>
                <w:szCs w:val="20"/>
                <w:lang w:val="en-US"/>
              </w:rPr>
              <w:t>10.70</w:t>
            </w:r>
          </w:p>
        </w:tc>
        <w:tc>
          <w:tcPr>
            <w:tcW w:w="955" w:type="dxa"/>
            <w:tcBorders>
              <w:top w:val="single" w:sz="4" w:space="0" w:color="auto"/>
              <w:left w:val="nil"/>
              <w:bottom w:val="single" w:sz="4" w:space="0" w:color="auto"/>
              <w:right w:val="single" w:sz="4" w:space="0" w:color="auto"/>
            </w:tcBorders>
            <w:vAlign w:val="bottom"/>
            <w:hideMark/>
          </w:tcPr>
          <w:p w14:paraId="5273D51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-18.8</w:t>
            </w:r>
          </w:p>
        </w:tc>
        <w:tc>
          <w:tcPr>
            <w:tcW w:w="925" w:type="dxa"/>
            <w:tcBorders>
              <w:top w:val="single" w:sz="4" w:space="0" w:color="auto"/>
              <w:left w:val="single" w:sz="4" w:space="0" w:color="auto"/>
              <w:bottom w:val="single" w:sz="4" w:space="0" w:color="auto"/>
              <w:right w:val="nil"/>
            </w:tcBorders>
            <w:vAlign w:val="bottom"/>
            <w:hideMark/>
          </w:tcPr>
          <w:p w14:paraId="40C1D18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10.5</w:t>
            </w:r>
          </w:p>
        </w:tc>
        <w:tc>
          <w:tcPr>
            <w:tcW w:w="755" w:type="dxa"/>
            <w:tcBorders>
              <w:top w:val="single" w:sz="4" w:space="0" w:color="auto"/>
              <w:left w:val="single" w:sz="4" w:space="0" w:color="auto"/>
              <w:bottom w:val="single" w:sz="4" w:space="0" w:color="auto"/>
              <w:right w:val="single" w:sz="4" w:space="0" w:color="auto"/>
            </w:tcBorders>
            <w:vAlign w:val="bottom"/>
            <w:hideMark/>
          </w:tcPr>
          <w:p w14:paraId="668F240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6965F2B7"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03791B12"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58102C9F"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F8CBA9B" w14:textId="77777777" w:rsidR="00836512" w:rsidRDefault="00836512">
            <w:pPr>
              <w:jc w:val="center"/>
              <w:rPr>
                <w:rFonts w:eastAsiaTheme="minorHAnsi"/>
                <w:sz w:val="20"/>
                <w:szCs w:val="20"/>
                <w:lang w:val="en-US"/>
              </w:rPr>
            </w:pPr>
            <w:r>
              <w:rPr>
                <w:rFonts w:eastAsiaTheme="minorHAnsi"/>
                <w:sz w:val="20"/>
                <w:szCs w:val="20"/>
                <w:lang w:val="en-US"/>
              </w:rPr>
              <w:t>T15.09</w:t>
            </w:r>
          </w:p>
        </w:tc>
        <w:tc>
          <w:tcPr>
            <w:tcW w:w="1399" w:type="dxa"/>
            <w:tcBorders>
              <w:top w:val="single" w:sz="4" w:space="0" w:color="auto"/>
              <w:left w:val="single" w:sz="4" w:space="0" w:color="auto"/>
              <w:bottom w:val="single" w:sz="4" w:space="0" w:color="auto"/>
              <w:right w:val="single" w:sz="4" w:space="0" w:color="auto"/>
            </w:tcBorders>
            <w:hideMark/>
          </w:tcPr>
          <w:p w14:paraId="54DFCD42" w14:textId="77777777" w:rsidR="00836512" w:rsidRDefault="00836512">
            <w:pPr>
              <w:jc w:val="center"/>
              <w:rPr>
                <w:rFonts w:eastAsiaTheme="minorHAnsi"/>
                <w:sz w:val="20"/>
                <w:szCs w:val="20"/>
                <w:lang w:val="en-US"/>
              </w:rPr>
            </w:pPr>
            <w:r>
              <w:rPr>
                <w:rFonts w:eastAsiaTheme="minorHAnsi"/>
                <w:sz w:val="20"/>
                <w:szCs w:val="20"/>
                <w:lang w:val="en-US"/>
              </w:rPr>
              <w:t>11.30 – 12.50</w:t>
            </w:r>
          </w:p>
        </w:tc>
        <w:tc>
          <w:tcPr>
            <w:tcW w:w="924" w:type="dxa"/>
            <w:tcBorders>
              <w:top w:val="single" w:sz="4" w:space="0" w:color="auto"/>
              <w:left w:val="single" w:sz="4" w:space="0" w:color="auto"/>
              <w:bottom w:val="single" w:sz="4" w:space="0" w:color="auto"/>
              <w:right w:val="single" w:sz="4" w:space="0" w:color="auto"/>
            </w:tcBorders>
            <w:hideMark/>
          </w:tcPr>
          <w:p w14:paraId="28D24E0C" w14:textId="77777777" w:rsidR="00836512" w:rsidRDefault="00836512">
            <w:pPr>
              <w:jc w:val="center"/>
              <w:rPr>
                <w:rFonts w:eastAsiaTheme="minorHAnsi"/>
                <w:sz w:val="20"/>
                <w:szCs w:val="20"/>
                <w:lang w:val="en-US"/>
              </w:rPr>
            </w:pPr>
            <w:r>
              <w:rPr>
                <w:rFonts w:eastAsiaTheme="minorHAnsi"/>
                <w:sz w:val="20"/>
                <w:szCs w:val="20"/>
                <w:lang w:val="en-US"/>
              </w:rPr>
              <w:t>11.90</w:t>
            </w:r>
          </w:p>
        </w:tc>
        <w:tc>
          <w:tcPr>
            <w:tcW w:w="955" w:type="dxa"/>
            <w:tcBorders>
              <w:top w:val="single" w:sz="4" w:space="0" w:color="auto"/>
              <w:left w:val="nil"/>
              <w:bottom w:val="single" w:sz="4" w:space="0" w:color="auto"/>
              <w:right w:val="single" w:sz="4" w:space="0" w:color="auto"/>
            </w:tcBorders>
            <w:vAlign w:val="bottom"/>
            <w:hideMark/>
          </w:tcPr>
          <w:p w14:paraId="2708D98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-19.7</w:t>
            </w:r>
          </w:p>
        </w:tc>
        <w:tc>
          <w:tcPr>
            <w:tcW w:w="925" w:type="dxa"/>
            <w:tcBorders>
              <w:top w:val="single" w:sz="4" w:space="0" w:color="auto"/>
              <w:left w:val="single" w:sz="4" w:space="0" w:color="auto"/>
              <w:bottom w:val="single" w:sz="4" w:space="0" w:color="auto"/>
              <w:right w:val="nil"/>
            </w:tcBorders>
            <w:vAlign w:val="bottom"/>
            <w:hideMark/>
          </w:tcPr>
          <w:p w14:paraId="198D1E1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10.8</w:t>
            </w:r>
          </w:p>
        </w:tc>
        <w:tc>
          <w:tcPr>
            <w:tcW w:w="755" w:type="dxa"/>
            <w:tcBorders>
              <w:top w:val="single" w:sz="4" w:space="0" w:color="auto"/>
              <w:left w:val="single" w:sz="4" w:space="0" w:color="auto"/>
              <w:bottom w:val="single" w:sz="4" w:space="0" w:color="auto"/>
              <w:right w:val="single" w:sz="4" w:space="0" w:color="auto"/>
            </w:tcBorders>
            <w:vAlign w:val="bottom"/>
            <w:hideMark/>
          </w:tcPr>
          <w:p w14:paraId="55C7B48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3B7480B" w14:textId="77777777" w:rsidTr="004533C9">
        <w:tc>
          <w:tcPr>
            <w:tcW w:w="1216" w:type="dxa"/>
            <w:vMerge w:val="restart"/>
            <w:tcBorders>
              <w:top w:val="single" w:sz="4" w:space="0" w:color="auto"/>
              <w:left w:val="single" w:sz="4" w:space="0" w:color="auto"/>
              <w:bottom w:val="single" w:sz="4" w:space="0" w:color="auto"/>
              <w:right w:val="single" w:sz="4" w:space="0" w:color="auto"/>
            </w:tcBorders>
            <w:hideMark/>
          </w:tcPr>
          <w:p w14:paraId="071D357E" w14:textId="77777777" w:rsidR="00836512" w:rsidRDefault="00836512">
            <w:pPr>
              <w:jc w:val="center"/>
              <w:rPr>
                <w:rFonts w:eastAsiaTheme="minorHAnsi"/>
                <w:sz w:val="20"/>
                <w:szCs w:val="20"/>
                <w:lang w:val="en-US"/>
              </w:rPr>
            </w:pPr>
            <w:r>
              <w:rPr>
                <w:rFonts w:eastAsiaTheme="minorHAnsi"/>
                <w:sz w:val="20"/>
                <w:szCs w:val="20"/>
                <w:lang w:val="en-US"/>
              </w:rPr>
              <w:t>Botromagno</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0699E28B" w14:textId="77777777" w:rsidR="00836512" w:rsidRDefault="00836512">
            <w:pPr>
              <w:jc w:val="center"/>
              <w:rPr>
                <w:rFonts w:eastAsiaTheme="minorHAnsi"/>
                <w:sz w:val="20"/>
                <w:szCs w:val="20"/>
                <w:lang w:val="en-US"/>
              </w:rPr>
            </w:pPr>
            <w:r>
              <w:rPr>
                <w:rFonts w:eastAsiaTheme="minorHAnsi"/>
                <w:sz w:val="20"/>
                <w:szCs w:val="20"/>
                <w:lang w:val="en-US"/>
              </w:rPr>
              <w:t>BOTR F5 20108 Layer 1047 Skull</w:t>
            </w:r>
          </w:p>
        </w:tc>
        <w:tc>
          <w:tcPr>
            <w:tcW w:w="1333" w:type="dxa"/>
            <w:tcBorders>
              <w:top w:val="single" w:sz="4" w:space="0" w:color="auto"/>
              <w:left w:val="single" w:sz="4" w:space="0" w:color="auto"/>
              <w:bottom w:val="single" w:sz="4" w:space="0" w:color="auto"/>
              <w:right w:val="single" w:sz="4" w:space="0" w:color="auto"/>
            </w:tcBorders>
            <w:hideMark/>
          </w:tcPr>
          <w:p w14:paraId="589491B6" w14:textId="77777777" w:rsidR="00836512" w:rsidRDefault="00836512">
            <w:pPr>
              <w:jc w:val="center"/>
              <w:rPr>
                <w:rFonts w:eastAsiaTheme="minorHAnsi"/>
                <w:sz w:val="20"/>
                <w:szCs w:val="20"/>
                <w:lang w:val="en-US"/>
              </w:rPr>
            </w:pPr>
            <w:r>
              <w:rPr>
                <w:rFonts w:eastAsiaTheme="minorHAnsi"/>
                <w:sz w:val="20"/>
                <w:szCs w:val="20"/>
                <w:lang w:val="en-US"/>
              </w:rPr>
              <w:t>T16.01</w:t>
            </w:r>
          </w:p>
        </w:tc>
        <w:tc>
          <w:tcPr>
            <w:tcW w:w="1399" w:type="dxa"/>
            <w:tcBorders>
              <w:top w:val="single" w:sz="4" w:space="0" w:color="auto"/>
              <w:left w:val="single" w:sz="4" w:space="0" w:color="auto"/>
              <w:bottom w:val="single" w:sz="4" w:space="0" w:color="auto"/>
              <w:right w:val="single" w:sz="4" w:space="0" w:color="auto"/>
            </w:tcBorders>
            <w:hideMark/>
          </w:tcPr>
          <w:p w14:paraId="56A6DB31" w14:textId="77777777" w:rsidR="00836512" w:rsidRDefault="00836512">
            <w:pPr>
              <w:jc w:val="center"/>
              <w:rPr>
                <w:rFonts w:eastAsiaTheme="minorHAnsi"/>
                <w:sz w:val="20"/>
                <w:szCs w:val="20"/>
                <w:lang w:val="en-US"/>
              </w:rPr>
            </w:pPr>
            <w:r>
              <w:rPr>
                <w:rFonts w:eastAsiaTheme="minorHAnsi"/>
                <w:sz w:val="20"/>
                <w:szCs w:val="20"/>
                <w:lang w:val="en-US"/>
              </w:rPr>
              <w:t>2.00 – 3.60</w:t>
            </w:r>
          </w:p>
        </w:tc>
        <w:tc>
          <w:tcPr>
            <w:tcW w:w="924" w:type="dxa"/>
            <w:tcBorders>
              <w:top w:val="single" w:sz="4" w:space="0" w:color="auto"/>
              <w:left w:val="single" w:sz="4" w:space="0" w:color="auto"/>
              <w:bottom w:val="single" w:sz="4" w:space="0" w:color="auto"/>
              <w:right w:val="single" w:sz="4" w:space="0" w:color="auto"/>
            </w:tcBorders>
            <w:hideMark/>
          </w:tcPr>
          <w:p w14:paraId="5A33CC1A" w14:textId="77777777" w:rsidR="00836512" w:rsidRDefault="00836512">
            <w:pPr>
              <w:jc w:val="center"/>
              <w:rPr>
                <w:rFonts w:eastAsiaTheme="minorHAnsi"/>
                <w:sz w:val="20"/>
                <w:szCs w:val="20"/>
                <w:lang w:val="en-US"/>
              </w:rPr>
            </w:pPr>
            <w:r>
              <w:rPr>
                <w:rFonts w:eastAsiaTheme="minorHAnsi"/>
                <w:sz w:val="20"/>
                <w:szCs w:val="20"/>
                <w:lang w:val="en-US"/>
              </w:rPr>
              <w:t>2.80</w:t>
            </w:r>
          </w:p>
        </w:tc>
        <w:tc>
          <w:tcPr>
            <w:tcW w:w="955" w:type="dxa"/>
            <w:tcBorders>
              <w:top w:val="single" w:sz="4" w:space="0" w:color="auto"/>
              <w:left w:val="nil"/>
              <w:bottom w:val="single" w:sz="4" w:space="0" w:color="auto"/>
              <w:right w:val="single" w:sz="4" w:space="0" w:color="auto"/>
            </w:tcBorders>
            <w:vAlign w:val="bottom"/>
            <w:hideMark/>
          </w:tcPr>
          <w:p w14:paraId="1029F17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-19.9</w:t>
            </w:r>
          </w:p>
        </w:tc>
        <w:tc>
          <w:tcPr>
            <w:tcW w:w="925" w:type="dxa"/>
            <w:tcBorders>
              <w:top w:val="single" w:sz="4" w:space="0" w:color="auto"/>
              <w:left w:val="single" w:sz="4" w:space="0" w:color="auto"/>
              <w:bottom w:val="single" w:sz="4" w:space="0" w:color="auto"/>
              <w:right w:val="nil"/>
            </w:tcBorders>
            <w:vAlign w:val="bottom"/>
            <w:hideMark/>
          </w:tcPr>
          <w:p w14:paraId="34212AE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9.0</w:t>
            </w:r>
          </w:p>
        </w:tc>
        <w:tc>
          <w:tcPr>
            <w:tcW w:w="755" w:type="dxa"/>
            <w:tcBorders>
              <w:top w:val="single" w:sz="4" w:space="0" w:color="auto"/>
              <w:left w:val="single" w:sz="4" w:space="0" w:color="auto"/>
              <w:bottom w:val="single" w:sz="4" w:space="0" w:color="auto"/>
              <w:right w:val="single" w:sz="4" w:space="0" w:color="auto"/>
            </w:tcBorders>
            <w:vAlign w:val="bottom"/>
            <w:hideMark/>
          </w:tcPr>
          <w:p w14:paraId="77780DD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A4DBA4C"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3953B985"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5C00EFE4"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2AFFF018" w14:textId="77777777" w:rsidR="00836512" w:rsidRDefault="00836512">
            <w:pPr>
              <w:jc w:val="center"/>
              <w:rPr>
                <w:rFonts w:eastAsiaTheme="minorHAnsi"/>
                <w:sz w:val="20"/>
                <w:szCs w:val="20"/>
                <w:lang w:val="en-US"/>
              </w:rPr>
            </w:pPr>
            <w:r>
              <w:rPr>
                <w:rFonts w:eastAsiaTheme="minorHAnsi"/>
                <w:sz w:val="20"/>
                <w:szCs w:val="20"/>
                <w:lang w:val="en-US"/>
              </w:rPr>
              <w:t>T16.02</w:t>
            </w:r>
          </w:p>
        </w:tc>
        <w:tc>
          <w:tcPr>
            <w:tcW w:w="1399" w:type="dxa"/>
            <w:tcBorders>
              <w:top w:val="single" w:sz="4" w:space="0" w:color="auto"/>
              <w:left w:val="single" w:sz="4" w:space="0" w:color="auto"/>
              <w:bottom w:val="single" w:sz="4" w:space="0" w:color="auto"/>
              <w:right w:val="single" w:sz="4" w:space="0" w:color="auto"/>
            </w:tcBorders>
            <w:hideMark/>
          </w:tcPr>
          <w:p w14:paraId="37AAA2A2" w14:textId="77777777" w:rsidR="00836512" w:rsidRDefault="00836512">
            <w:pPr>
              <w:jc w:val="center"/>
              <w:rPr>
                <w:rFonts w:eastAsiaTheme="minorHAnsi"/>
                <w:sz w:val="20"/>
                <w:szCs w:val="20"/>
                <w:lang w:val="en-US"/>
              </w:rPr>
            </w:pPr>
            <w:r>
              <w:rPr>
                <w:rFonts w:eastAsiaTheme="minorHAnsi"/>
                <w:sz w:val="20"/>
                <w:szCs w:val="20"/>
                <w:lang w:val="en-US"/>
              </w:rPr>
              <w:t>3.60 – 5.30</w:t>
            </w:r>
          </w:p>
        </w:tc>
        <w:tc>
          <w:tcPr>
            <w:tcW w:w="924" w:type="dxa"/>
            <w:tcBorders>
              <w:top w:val="single" w:sz="4" w:space="0" w:color="auto"/>
              <w:left w:val="single" w:sz="4" w:space="0" w:color="auto"/>
              <w:bottom w:val="single" w:sz="4" w:space="0" w:color="auto"/>
              <w:right w:val="single" w:sz="4" w:space="0" w:color="auto"/>
            </w:tcBorders>
            <w:hideMark/>
          </w:tcPr>
          <w:p w14:paraId="282DF97E" w14:textId="77777777" w:rsidR="00836512" w:rsidRDefault="00836512">
            <w:pPr>
              <w:jc w:val="center"/>
              <w:rPr>
                <w:rFonts w:eastAsiaTheme="minorHAnsi"/>
                <w:sz w:val="20"/>
                <w:szCs w:val="20"/>
                <w:lang w:val="en-US"/>
              </w:rPr>
            </w:pPr>
            <w:r>
              <w:rPr>
                <w:rFonts w:eastAsiaTheme="minorHAnsi"/>
                <w:sz w:val="20"/>
                <w:szCs w:val="20"/>
                <w:lang w:val="en-US"/>
              </w:rPr>
              <w:t>4.45</w:t>
            </w:r>
          </w:p>
        </w:tc>
        <w:tc>
          <w:tcPr>
            <w:tcW w:w="955" w:type="dxa"/>
            <w:tcBorders>
              <w:top w:val="single" w:sz="4" w:space="0" w:color="auto"/>
              <w:left w:val="nil"/>
              <w:bottom w:val="single" w:sz="4" w:space="0" w:color="auto"/>
              <w:right w:val="single" w:sz="4" w:space="0" w:color="auto"/>
            </w:tcBorders>
            <w:vAlign w:val="bottom"/>
            <w:hideMark/>
          </w:tcPr>
          <w:p w14:paraId="06C92C0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-20.2</w:t>
            </w:r>
          </w:p>
        </w:tc>
        <w:tc>
          <w:tcPr>
            <w:tcW w:w="925" w:type="dxa"/>
            <w:tcBorders>
              <w:top w:val="single" w:sz="4" w:space="0" w:color="auto"/>
              <w:left w:val="single" w:sz="4" w:space="0" w:color="auto"/>
              <w:bottom w:val="single" w:sz="4" w:space="0" w:color="auto"/>
              <w:right w:val="nil"/>
            </w:tcBorders>
            <w:vAlign w:val="bottom"/>
            <w:hideMark/>
          </w:tcPr>
          <w:p w14:paraId="6EAB709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8.1</w:t>
            </w:r>
          </w:p>
        </w:tc>
        <w:tc>
          <w:tcPr>
            <w:tcW w:w="755" w:type="dxa"/>
            <w:tcBorders>
              <w:top w:val="single" w:sz="4" w:space="0" w:color="auto"/>
              <w:left w:val="single" w:sz="4" w:space="0" w:color="auto"/>
              <w:bottom w:val="single" w:sz="4" w:space="0" w:color="auto"/>
              <w:right w:val="single" w:sz="4" w:space="0" w:color="auto"/>
            </w:tcBorders>
            <w:vAlign w:val="bottom"/>
            <w:hideMark/>
          </w:tcPr>
          <w:p w14:paraId="420B65D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75B015B0"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22F0D85E"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0CA95110"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56978E28" w14:textId="77777777" w:rsidR="00836512" w:rsidRDefault="00836512">
            <w:pPr>
              <w:jc w:val="center"/>
              <w:rPr>
                <w:rFonts w:eastAsiaTheme="minorHAnsi"/>
                <w:sz w:val="20"/>
                <w:szCs w:val="20"/>
                <w:lang w:val="en-US"/>
              </w:rPr>
            </w:pPr>
            <w:r>
              <w:rPr>
                <w:rFonts w:eastAsiaTheme="minorHAnsi"/>
                <w:sz w:val="20"/>
                <w:szCs w:val="20"/>
                <w:lang w:val="en-US"/>
              </w:rPr>
              <w:t>T16.03</w:t>
            </w:r>
          </w:p>
        </w:tc>
        <w:tc>
          <w:tcPr>
            <w:tcW w:w="1399" w:type="dxa"/>
            <w:tcBorders>
              <w:top w:val="single" w:sz="4" w:space="0" w:color="auto"/>
              <w:left w:val="single" w:sz="4" w:space="0" w:color="auto"/>
              <w:bottom w:val="single" w:sz="4" w:space="0" w:color="auto"/>
              <w:right w:val="single" w:sz="4" w:space="0" w:color="auto"/>
            </w:tcBorders>
            <w:hideMark/>
          </w:tcPr>
          <w:p w14:paraId="0F3568FB" w14:textId="77777777" w:rsidR="00836512" w:rsidRDefault="00836512">
            <w:pPr>
              <w:jc w:val="center"/>
              <w:rPr>
                <w:rFonts w:eastAsiaTheme="minorHAnsi"/>
                <w:sz w:val="20"/>
                <w:szCs w:val="20"/>
                <w:lang w:val="en-US"/>
              </w:rPr>
            </w:pPr>
            <w:r>
              <w:rPr>
                <w:rFonts w:eastAsiaTheme="minorHAnsi"/>
                <w:sz w:val="20"/>
                <w:szCs w:val="20"/>
                <w:lang w:val="en-US"/>
              </w:rPr>
              <w:t>5.30 – 7.00</w:t>
            </w:r>
          </w:p>
        </w:tc>
        <w:tc>
          <w:tcPr>
            <w:tcW w:w="924" w:type="dxa"/>
            <w:tcBorders>
              <w:top w:val="single" w:sz="4" w:space="0" w:color="auto"/>
              <w:left w:val="single" w:sz="4" w:space="0" w:color="auto"/>
              <w:bottom w:val="single" w:sz="4" w:space="0" w:color="auto"/>
              <w:right w:val="single" w:sz="4" w:space="0" w:color="auto"/>
            </w:tcBorders>
            <w:hideMark/>
          </w:tcPr>
          <w:p w14:paraId="0F090D80" w14:textId="77777777" w:rsidR="00836512" w:rsidRDefault="00836512">
            <w:pPr>
              <w:jc w:val="center"/>
              <w:rPr>
                <w:rFonts w:eastAsiaTheme="minorHAnsi"/>
                <w:sz w:val="20"/>
                <w:szCs w:val="20"/>
                <w:lang w:val="en-US"/>
              </w:rPr>
            </w:pPr>
            <w:r>
              <w:rPr>
                <w:rFonts w:eastAsiaTheme="minorHAnsi"/>
                <w:sz w:val="20"/>
                <w:szCs w:val="20"/>
                <w:lang w:val="en-US"/>
              </w:rPr>
              <w:t>6.15</w:t>
            </w:r>
          </w:p>
        </w:tc>
        <w:tc>
          <w:tcPr>
            <w:tcW w:w="955" w:type="dxa"/>
            <w:tcBorders>
              <w:top w:val="single" w:sz="4" w:space="0" w:color="auto"/>
              <w:left w:val="nil"/>
              <w:bottom w:val="single" w:sz="4" w:space="0" w:color="auto"/>
              <w:right w:val="single" w:sz="4" w:space="0" w:color="auto"/>
            </w:tcBorders>
            <w:vAlign w:val="bottom"/>
            <w:hideMark/>
          </w:tcPr>
          <w:p w14:paraId="6957905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-20.1</w:t>
            </w:r>
          </w:p>
        </w:tc>
        <w:tc>
          <w:tcPr>
            <w:tcW w:w="925" w:type="dxa"/>
            <w:tcBorders>
              <w:top w:val="single" w:sz="4" w:space="0" w:color="auto"/>
              <w:left w:val="single" w:sz="4" w:space="0" w:color="auto"/>
              <w:bottom w:val="single" w:sz="4" w:space="0" w:color="auto"/>
              <w:right w:val="nil"/>
            </w:tcBorders>
            <w:vAlign w:val="bottom"/>
            <w:hideMark/>
          </w:tcPr>
          <w:p w14:paraId="5F490CD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8.2</w:t>
            </w:r>
          </w:p>
        </w:tc>
        <w:tc>
          <w:tcPr>
            <w:tcW w:w="755" w:type="dxa"/>
            <w:tcBorders>
              <w:top w:val="single" w:sz="4" w:space="0" w:color="auto"/>
              <w:left w:val="single" w:sz="4" w:space="0" w:color="auto"/>
              <w:bottom w:val="single" w:sz="4" w:space="0" w:color="auto"/>
              <w:right w:val="single" w:sz="4" w:space="0" w:color="auto"/>
            </w:tcBorders>
            <w:vAlign w:val="bottom"/>
            <w:hideMark/>
          </w:tcPr>
          <w:p w14:paraId="107F10B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4656AF83"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F3CF466"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6078E9CF"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19AE94AD" w14:textId="77777777" w:rsidR="00836512" w:rsidRDefault="00836512">
            <w:pPr>
              <w:jc w:val="center"/>
              <w:rPr>
                <w:rFonts w:eastAsiaTheme="minorHAnsi"/>
                <w:sz w:val="20"/>
                <w:szCs w:val="20"/>
                <w:lang w:val="en-US"/>
              </w:rPr>
            </w:pPr>
            <w:r>
              <w:rPr>
                <w:rFonts w:eastAsiaTheme="minorHAnsi"/>
                <w:sz w:val="20"/>
                <w:szCs w:val="20"/>
                <w:lang w:val="en-US"/>
              </w:rPr>
              <w:t>T16.04</w:t>
            </w:r>
          </w:p>
        </w:tc>
        <w:tc>
          <w:tcPr>
            <w:tcW w:w="1399" w:type="dxa"/>
            <w:tcBorders>
              <w:top w:val="single" w:sz="4" w:space="0" w:color="auto"/>
              <w:left w:val="single" w:sz="4" w:space="0" w:color="auto"/>
              <w:bottom w:val="single" w:sz="4" w:space="0" w:color="auto"/>
              <w:right w:val="single" w:sz="4" w:space="0" w:color="auto"/>
            </w:tcBorders>
            <w:hideMark/>
          </w:tcPr>
          <w:p w14:paraId="598A6898" w14:textId="77777777" w:rsidR="00836512" w:rsidRDefault="00836512">
            <w:pPr>
              <w:jc w:val="center"/>
              <w:rPr>
                <w:rFonts w:eastAsiaTheme="minorHAnsi"/>
                <w:sz w:val="20"/>
                <w:szCs w:val="20"/>
                <w:lang w:val="en-US"/>
              </w:rPr>
            </w:pPr>
            <w:r>
              <w:rPr>
                <w:rFonts w:eastAsiaTheme="minorHAnsi"/>
                <w:sz w:val="20"/>
                <w:szCs w:val="20"/>
                <w:lang w:val="en-US"/>
              </w:rPr>
              <w:t>7.00 – 8.10</w:t>
            </w:r>
          </w:p>
        </w:tc>
        <w:tc>
          <w:tcPr>
            <w:tcW w:w="924" w:type="dxa"/>
            <w:tcBorders>
              <w:top w:val="single" w:sz="4" w:space="0" w:color="auto"/>
              <w:left w:val="single" w:sz="4" w:space="0" w:color="auto"/>
              <w:bottom w:val="single" w:sz="4" w:space="0" w:color="auto"/>
              <w:right w:val="single" w:sz="4" w:space="0" w:color="auto"/>
            </w:tcBorders>
            <w:hideMark/>
          </w:tcPr>
          <w:p w14:paraId="2DDB6E74" w14:textId="77777777" w:rsidR="00836512" w:rsidRDefault="00836512">
            <w:pPr>
              <w:jc w:val="center"/>
              <w:rPr>
                <w:rFonts w:eastAsiaTheme="minorHAnsi"/>
                <w:sz w:val="20"/>
                <w:szCs w:val="20"/>
                <w:lang w:val="en-US"/>
              </w:rPr>
            </w:pPr>
            <w:r>
              <w:rPr>
                <w:rFonts w:eastAsiaTheme="minorHAnsi"/>
                <w:sz w:val="20"/>
                <w:szCs w:val="20"/>
                <w:lang w:val="en-US"/>
              </w:rPr>
              <w:t>7.55</w:t>
            </w:r>
          </w:p>
        </w:tc>
        <w:tc>
          <w:tcPr>
            <w:tcW w:w="955" w:type="dxa"/>
            <w:tcBorders>
              <w:top w:val="single" w:sz="4" w:space="0" w:color="auto"/>
              <w:left w:val="nil"/>
              <w:bottom w:val="single" w:sz="4" w:space="0" w:color="auto"/>
              <w:right w:val="single" w:sz="4" w:space="0" w:color="auto"/>
            </w:tcBorders>
            <w:vAlign w:val="bottom"/>
            <w:hideMark/>
          </w:tcPr>
          <w:p w14:paraId="56292CC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-20.0</w:t>
            </w:r>
          </w:p>
        </w:tc>
        <w:tc>
          <w:tcPr>
            <w:tcW w:w="925" w:type="dxa"/>
            <w:tcBorders>
              <w:top w:val="single" w:sz="4" w:space="0" w:color="auto"/>
              <w:left w:val="single" w:sz="4" w:space="0" w:color="auto"/>
              <w:bottom w:val="single" w:sz="4" w:space="0" w:color="auto"/>
              <w:right w:val="nil"/>
            </w:tcBorders>
            <w:vAlign w:val="bottom"/>
            <w:hideMark/>
          </w:tcPr>
          <w:p w14:paraId="04A8E4C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8.6</w:t>
            </w:r>
          </w:p>
        </w:tc>
        <w:tc>
          <w:tcPr>
            <w:tcW w:w="755" w:type="dxa"/>
            <w:tcBorders>
              <w:top w:val="single" w:sz="4" w:space="0" w:color="auto"/>
              <w:left w:val="single" w:sz="4" w:space="0" w:color="auto"/>
              <w:bottom w:val="single" w:sz="4" w:space="0" w:color="auto"/>
              <w:right w:val="single" w:sz="4" w:space="0" w:color="auto"/>
            </w:tcBorders>
            <w:vAlign w:val="bottom"/>
            <w:hideMark/>
          </w:tcPr>
          <w:p w14:paraId="5E5D8F7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7EB650B"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06980D29"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23D85D6"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5D440F19" w14:textId="77777777" w:rsidR="00836512" w:rsidRDefault="00836512">
            <w:pPr>
              <w:jc w:val="center"/>
              <w:rPr>
                <w:rFonts w:eastAsiaTheme="minorHAnsi"/>
                <w:sz w:val="20"/>
                <w:szCs w:val="20"/>
                <w:lang w:val="en-US"/>
              </w:rPr>
            </w:pPr>
            <w:r>
              <w:rPr>
                <w:rFonts w:eastAsiaTheme="minorHAnsi"/>
                <w:sz w:val="20"/>
                <w:szCs w:val="20"/>
                <w:lang w:val="en-US"/>
              </w:rPr>
              <w:t>T16.05</w:t>
            </w:r>
          </w:p>
        </w:tc>
        <w:tc>
          <w:tcPr>
            <w:tcW w:w="1399" w:type="dxa"/>
            <w:tcBorders>
              <w:top w:val="single" w:sz="4" w:space="0" w:color="auto"/>
              <w:left w:val="single" w:sz="4" w:space="0" w:color="auto"/>
              <w:bottom w:val="single" w:sz="4" w:space="0" w:color="auto"/>
              <w:right w:val="single" w:sz="4" w:space="0" w:color="auto"/>
            </w:tcBorders>
            <w:hideMark/>
          </w:tcPr>
          <w:p w14:paraId="1704204E" w14:textId="77777777" w:rsidR="00836512" w:rsidRDefault="00836512">
            <w:pPr>
              <w:jc w:val="center"/>
              <w:rPr>
                <w:rFonts w:eastAsiaTheme="minorHAnsi"/>
                <w:sz w:val="20"/>
                <w:szCs w:val="20"/>
                <w:lang w:val="en-US"/>
              </w:rPr>
            </w:pPr>
            <w:r>
              <w:rPr>
                <w:rFonts w:eastAsiaTheme="minorHAnsi"/>
                <w:sz w:val="20"/>
                <w:szCs w:val="20"/>
                <w:lang w:val="en-US"/>
              </w:rPr>
              <w:t>8.10 – 9.20</w:t>
            </w:r>
          </w:p>
        </w:tc>
        <w:tc>
          <w:tcPr>
            <w:tcW w:w="924" w:type="dxa"/>
            <w:tcBorders>
              <w:top w:val="single" w:sz="4" w:space="0" w:color="auto"/>
              <w:left w:val="single" w:sz="4" w:space="0" w:color="auto"/>
              <w:bottom w:val="single" w:sz="4" w:space="0" w:color="auto"/>
              <w:right w:val="single" w:sz="4" w:space="0" w:color="auto"/>
            </w:tcBorders>
            <w:hideMark/>
          </w:tcPr>
          <w:p w14:paraId="14580B3C" w14:textId="77777777" w:rsidR="00836512" w:rsidRDefault="00836512">
            <w:pPr>
              <w:jc w:val="center"/>
              <w:rPr>
                <w:rFonts w:eastAsiaTheme="minorHAnsi"/>
                <w:sz w:val="20"/>
                <w:szCs w:val="20"/>
                <w:lang w:val="en-US"/>
              </w:rPr>
            </w:pPr>
            <w:r>
              <w:rPr>
                <w:rFonts w:eastAsiaTheme="minorHAnsi"/>
                <w:sz w:val="20"/>
                <w:szCs w:val="20"/>
                <w:lang w:val="en-US"/>
              </w:rPr>
              <w:t>8.65</w:t>
            </w:r>
          </w:p>
        </w:tc>
        <w:tc>
          <w:tcPr>
            <w:tcW w:w="955" w:type="dxa"/>
            <w:tcBorders>
              <w:top w:val="single" w:sz="4" w:space="0" w:color="auto"/>
              <w:left w:val="nil"/>
              <w:bottom w:val="single" w:sz="4" w:space="0" w:color="auto"/>
              <w:right w:val="single" w:sz="4" w:space="0" w:color="auto"/>
            </w:tcBorders>
            <w:vAlign w:val="bottom"/>
            <w:hideMark/>
          </w:tcPr>
          <w:p w14:paraId="10B3A76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-20.0</w:t>
            </w:r>
          </w:p>
        </w:tc>
        <w:tc>
          <w:tcPr>
            <w:tcW w:w="925" w:type="dxa"/>
            <w:tcBorders>
              <w:top w:val="single" w:sz="4" w:space="0" w:color="auto"/>
              <w:left w:val="single" w:sz="4" w:space="0" w:color="auto"/>
              <w:bottom w:val="single" w:sz="4" w:space="0" w:color="auto"/>
              <w:right w:val="nil"/>
            </w:tcBorders>
            <w:vAlign w:val="bottom"/>
            <w:hideMark/>
          </w:tcPr>
          <w:p w14:paraId="572B0E5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8.5</w:t>
            </w:r>
          </w:p>
        </w:tc>
        <w:tc>
          <w:tcPr>
            <w:tcW w:w="755" w:type="dxa"/>
            <w:tcBorders>
              <w:top w:val="single" w:sz="4" w:space="0" w:color="auto"/>
              <w:left w:val="single" w:sz="4" w:space="0" w:color="auto"/>
              <w:bottom w:val="single" w:sz="4" w:space="0" w:color="auto"/>
              <w:right w:val="single" w:sz="4" w:space="0" w:color="auto"/>
            </w:tcBorders>
            <w:vAlign w:val="bottom"/>
            <w:hideMark/>
          </w:tcPr>
          <w:p w14:paraId="29D2D2B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513980E2"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3C901C4E"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F9AB6D9"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6D658CDA" w14:textId="77777777" w:rsidR="00836512" w:rsidRDefault="00836512">
            <w:pPr>
              <w:jc w:val="center"/>
              <w:rPr>
                <w:rFonts w:eastAsiaTheme="minorHAnsi"/>
                <w:sz w:val="20"/>
                <w:szCs w:val="20"/>
                <w:lang w:val="en-US"/>
              </w:rPr>
            </w:pPr>
            <w:r>
              <w:rPr>
                <w:rFonts w:eastAsiaTheme="minorHAnsi"/>
                <w:sz w:val="20"/>
                <w:szCs w:val="20"/>
                <w:lang w:val="en-US"/>
              </w:rPr>
              <w:t>T16.06</w:t>
            </w:r>
          </w:p>
        </w:tc>
        <w:tc>
          <w:tcPr>
            <w:tcW w:w="1399" w:type="dxa"/>
            <w:tcBorders>
              <w:top w:val="single" w:sz="4" w:space="0" w:color="auto"/>
              <w:left w:val="single" w:sz="4" w:space="0" w:color="auto"/>
              <w:bottom w:val="single" w:sz="4" w:space="0" w:color="auto"/>
              <w:right w:val="single" w:sz="4" w:space="0" w:color="auto"/>
            </w:tcBorders>
            <w:hideMark/>
          </w:tcPr>
          <w:p w14:paraId="6BD9884B" w14:textId="77777777" w:rsidR="00836512" w:rsidRDefault="00836512">
            <w:pPr>
              <w:jc w:val="center"/>
              <w:rPr>
                <w:rFonts w:eastAsiaTheme="minorHAnsi"/>
                <w:sz w:val="20"/>
                <w:szCs w:val="20"/>
                <w:lang w:val="en-US"/>
              </w:rPr>
            </w:pPr>
            <w:r>
              <w:rPr>
                <w:rFonts w:eastAsiaTheme="minorHAnsi"/>
                <w:sz w:val="20"/>
                <w:szCs w:val="20"/>
                <w:lang w:val="en-US"/>
              </w:rPr>
              <w:t>9.20 – 10.30</w:t>
            </w:r>
          </w:p>
        </w:tc>
        <w:tc>
          <w:tcPr>
            <w:tcW w:w="924" w:type="dxa"/>
            <w:tcBorders>
              <w:top w:val="single" w:sz="4" w:space="0" w:color="auto"/>
              <w:left w:val="single" w:sz="4" w:space="0" w:color="auto"/>
              <w:bottom w:val="single" w:sz="4" w:space="0" w:color="auto"/>
              <w:right w:val="single" w:sz="4" w:space="0" w:color="auto"/>
            </w:tcBorders>
            <w:hideMark/>
          </w:tcPr>
          <w:p w14:paraId="134EA441" w14:textId="77777777" w:rsidR="00836512" w:rsidRDefault="00836512">
            <w:pPr>
              <w:jc w:val="center"/>
              <w:rPr>
                <w:rFonts w:eastAsiaTheme="minorHAnsi"/>
                <w:sz w:val="20"/>
                <w:szCs w:val="20"/>
                <w:lang w:val="en-US"/>
              </w:rPr>
            </w:pPr>
            <w:r>
              <w:rPr>
                <w:rFonts w:eastAsiaTheme="minorHAnsi"/>
                <w:sz w:val="20"/>
                <w:szCs w:val="20"/>
                <w:lang w:val="en-US"/>
              </w:rPr>
              <w:t>9.75</w:t>
            </w:r>
          </w:p>
        </w:tc>
        <w:tc>
          <w:tcPr>
            <w:tcW w:w="955" w:type="dxa"/>
            <w:tcBorders>
              <w:top w:val="single" w:sz="4" w:space="0" w:color="auto"/>
              <w:left w:val="nil"/>
              <w:bottom w:val="single" w:sz="4" w:space="0" w:color="auto"/>
              <w:right w:val="single" w:sz="4" w:space="0" w:color="auto"/>
            </w:tcBorders>
            <w:vAlign w:val="bottom"/>
            <w:hideMark/>
          </w:tcPr>
          <w:p w14:paraId="4B00009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-19.8</w:t>
            </w:r>
          </w:p>
        </w:tc>
        <w:tc>
          <w:tcPr>
            <w:tcW w:w="925" w:type="dxa"/>
            <w:tcBorders>
              <w:top w:val="single" w:sz="4" w:space="0" w:color="auto"/>
              <w:left w:val="single" w:sz="4" w:space="0" w:color="auto"/>
              <w:bottom w:val="single" w:sz="4" w:space="0" w:color="auto"/>
              <w:right w:val="nil"/>
            </w:tcBorders>
            <w:vAlign w:val="bottom"/>
            <w:hideMark/>
          </w:tcPr>
          <w:p w14:paraId="5A239CC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8.8</w:t>
            </w:r>
          </w:p>
        </w:tc>
        <w:tc>
          <w:tcPr>
            <w:tcW w:w="755" w:type="dxa"/>
            <w:tcBorders>
              <w:top w:val="single" w:sz="4" w:space="0" w:color="auto"/>
              <w:left w:val="single" w:sz="4" w:space="0" w:color="auto"/>
              <w:bottom w:val="single" w:sz="4" w:space="0" w:color="auto"/>
              <w:right w:val="single" w:sz="4" w:space="0" w:color="auto"/>
            </w:tcBorders>
            <w:vAlign w:val="bottom"/>
            <w:hideMark/>
          </w:tcPr>
          <w:p w14:paraId="2342B57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729C05E"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26123D56"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24C7E0EA"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230C2E3A" w14:textId="77777777" w:rsidR="00836512" w:rsidRDefault="00836512">
            <w:pPr>
              <w:jc w:val="center"/>
              <w:rPr>
                <w:rFonts w:eastAsiaTheme="minorHAnsi"/>
                <w:sz w:val="20"/>
                <w:szCs w:val="20"/>
                <w:lang w:val="en-US"/>
              </w:rPr>
            </w:pPr>
            <w:r>
              <w:rPr>
                <w:rFonts w:eastAsiaTheme="minorHAnsi"/>
                <w:sz w:val="20"/>
                <w:szCs w:val="20"/>
                <w:lang w:val="en-US"/>
              </w:rPr>
              <w:t>T16.07</w:t>
            </w:r>
          </w:p>
        </w:tc>
        <w:tc>
          <w:tcPr>
            <w:tcW w:w="1399" w:type="dxa"/>
            <w:tcBorders>
              <w:top w:val="single" w:sz="4" w:space="0" w:color="auto"/>
              <w:left w:val="single" w:sz="4" w:space="0" w:color="auto"/>
              <w:bottom w:val="single" w:sz="4" w:space="0" w:color="auto"/>
              <w:right w:val="single" w:sz="4" w:space="0" w:color="auto"/>
            </w:tcBorders>
            <w:hideMark/>
          </w:tcPr>
          <w:p w14:paraId="255629E9" w14:textId="77777777" w:rsidR="00836512" w:rsidRDefault="00836512">
            <w:pPr>
              <w:jc w:val="center"/>
              <w:rPr>
                <w:rFonts w:eastAsiaTheme="minorHAnsi"/>
                <w:sz w:val="20"/>
                <w:szCs w:val="20"/>
                <w:lang w:val="en-US"/>
              </w:rPr>
            </w:pPr>
            <w:r>
              <w:rPr>
                <w:rFonts w:eastAsiaTheme="minorHAnsi"/>
                <w:sz w:val="20"/>
                <w:szCs w:val="20"/>
                <w:lang w:val="en-US"/>
              </w:rPr>
              <w:t>10.30 – 11.40</w:t>
            </w:r>
          </w:p>
        </w:tc>
        <w:tc>
          <w:tcPr>
            <w:tcW w:w="924" w:type="dxa"/>
            <w:tcBorders>
              <w:top w:val="single" w:sz="4" w:space="0" w:color="auto"/>
              <w:left w:val="single" w:sz="4" w:space="0" w:color="auto"/>
              <w:bottom w:val="single" w:sz="4" w:space="0" w:color="auto"/>
              <w:right w:val="single" w:sz="4" w:space="0" w:color="auto"/>
            </w:tcBorders>
            <w:hideMark/>
          </w:tcPr>
          <w:p w14:paraId="75928404" w14:textId="77777777" w:rsidR="00836512" w:rsidRDefault="00836512">
            <w:pPr>
              <w:jc w:val="center"/>
              <w:rPr>
                <w:rFonts w:eastAsiaTheme="minorHAnsi"/>
                <w:sz w:val="20"/>
                <w:szCs w:val="20"/>
                <w:lang w:val="en-US"/>
              </w:rPr>
            </w:pPr>
            <w:r>
              <w:rPr>
                <w:rFonts w:eastAsiaTheme="minorHAnsi"/>
                <w:sz w:val="20"/>
                <w:szCs w:val="20"/>
                <w:lang w:val="en-US"/>
              </w:rPr>
              <w:t>10.85</w:t>
            </w:r>
          </w:p>
        </w:tc>
        <w:tc>
          <w:tcPr>
            <w:tcW w:w="955" w:type="dxa"/>
            <w:tcBorders>
              <w:top w:val="single" w:sz="4" w:space="0" w:color="auto"/>
              <w:left w:val="nil"/>
              <w:bottom w:val="single" w:sz="4" w:space="0" w:color="auto"/>
              <w:right w:val="single" w:sz="4" w:space="0" w:color="auto"/>
            </w:tcBorders>
            <w:vAlign w:val="bottom"/>
            <w:hideMark/>
          </w:tcPr>
          <w:p w14:paraId="10DF8C6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-19.9</w:t>
            </w:r>
          </w:p>
        </w:tc>
        <w:tc>
          <w:tcPr>
            <w:tcW w:w="925" w:type="dxa"/>
            <w:tcBorders>
              <w:top w:val="single" w:sz="4" w:space="0" w:color="auto"/>
              <w:left w:val="single" w:sz="4" w:space="0" w:color="auto"/>
              <w:bottom w:val="single" w:sz="4" w:space="0" w:color="auto"/>
              <w:right w:val="nil"/>
            </w:tcBorders>
            <w:vAlign w:val="bottom"/>
            <w:hideMark/>
          </w:tcPr>
          <w:p w14:paraId="6B195A0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8.8</w:t>
            </w:r>
          </w:p>
        </w:tc>
        <w:tc>
          <w:tcPr>
            <w:tcW w:w="755" w:type="dxa"/>
            <w:tcBorders>
              <w:top w:val="single" w:sz="4" w:space="0" w:color="auto"/>
              <w:left w:val="single" w:sz="4" w:space="0" w:color="auto"/>
              <w:bottom w:val="single" w:sz="4" w:space="0" w:color="auto"/>
              <w:right w:val="single" w:sz="4" w:space="0" w:color="auto"/>
            </w:tcBorders>
            <w:vAlign w:val="bottom"/>
            <w:hideMark/>
          </w:tcPr>
          <w:p w14:paraId="46A0856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7FAAC0E3"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37C59FBB"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338D8AA6"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580CC13E" w14:textId="77777777" w:rsidR="00836512" w:rsidRDefault="00836512">
            <w:pPr>
              <w:jc w:val="center"/>
              <w:rPr>
                <w:rFonts w:eastAsiaTheme="minorHAnsi"/>
                <w:sz w:val="20"/>
                <w:szCs w:val="20"/>
                <w:lang w:val="en-US"/>
              </w:rPr>
            </w:pPr>
            <w:r>
              <w:rPr>
                <w:rFonts w:eastAsiaTheme="minorHAnsi"/>
                <w:sz w:val="20"/>
                <w:szCs w:val="20"/>
                <w:lang w:val="en-US"/>
              </w:rPr>
              <w:t>T16.08</w:t>
            </w:r>
          </w:p>
        </w:tc>
        <w:tc>
          <w:tcPr>
            <w:tcW w:w="1399" w:type="dxa"/>
            <w:tcBorders>
              <w:top w:val="single" w:sz="4" w:space="0" w:color="auto"/>
              <w:left w:val="single" w:sz="4" w:space="0" w:color="auto"/>
              <w:bottom w:val="single" w:sz="4" w:space="0" w:color="auto"/>
              <w:right w:val="single" w:sz="4" w:space="0" w:color="auto"/>
            </w:tcBorders>
            <w:hideMark/>
          </w:tcPr>
          <w:p w14:paraId="7C5E578A" w14:textId="77777777" w:rsidR="00836512" w:rsidRDefault="00836512">
            <w:pPr>
              <w:jc w:val="center"/>
              <w:rPr>
                <w:rFonts w:eastAsiaTheme="minorHAnsi"/>
                <w:sz w:val="20"/>
                <w:szCs w:val="20"/>
                <w:lang w:val="en-US"/>
              </w:rPr>
            </w:pPr>
            <w:r>
              <w:rPr>
                <w:rFonts w:eastAsiaTheme="minorHAnsi"/>
                <w:sz w:val="20"/>
                <w:szCs w:val="20"/>
                <w:lang w:val="en-US"/>
              </w:rPr>
              <w:t>11.40 – 12.50</w:t>
            </w:r>
          </w:p>
        </w:tc>
        <w:tc>
          <w:tcPr>
            <w:tcW w:w="924" w:type="dxa"/>
            <w:tcBorders>
              <w:top w:val="single" w:sz="4" w:space="0" w:color="auto"/>
              <w:left w:val="single" w:sz="4" w:space="0" w:color="auto"/>
              <w:bottom w:val="single" w:sz="4" w:space="0" w:color="auto"/>
              <w:right w:val="single" w:sz="4" w:space="0" w:color="auto"/>
            </w:tcBorders>
            <w:hideMark/>
          </w:tcPr>
          <w:p w14:paraId="4A51382D" w14:textId="77777777" w:rsidR="00836512" w:rsidRDefault="00836512">
            <w:pPr>
              <w:jc w:val="center"/>
              <w:rPr>
                <w:rFonts w:eastAsiaTheme="minorHAnsi"/>
                <w:sz w:val="20"/>
                <w:szCs w:val="20"/>
                <w:lang w:val="en-US"/>
              </w:rPr>
            </w:pPr>
            <w:r>
              <w:rPr>
                <w:rFonts w:eastAsiaTheme="minorHAnsi"/>
                <w:sz w:val="20"/>
                <w:szCs w:val="20"/>
                <w:lang w:val="en-US"/>
              </w:rPr>
              <w:t>11.95</w:t>
            </w:r>
          </w:p>
        </w:tc>
        <w:tc>
          <w:tcPr>
            <w:tcW w:w="955" w:type="dxa"/>
            <w:tcBorders>
              <w:top w:val="single" w:sz="4" w:space="0" w:color="auto"/>
              <w:left w:val="nil"/>
              <w:bottom w:val="single" w:sz="4" w:space="0" w:color="auto"/>
              <w:right w:val="single" w:sz="4" w:space="0" w:color="auto"/>
            </w:tcBorders>
            <w:vAlign w:val="bottom"/>
            <w:hideMark/>
          </w:tcPr>
          <w:p w14:paraId="28E4F7A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-20.4</w:t>
            </w:r>
          </w:p>
        </w:tc>
        <w:tc>
          <w:tcPr>
            <w:tcW w:w="925" w:type="dxa"/>
            <w:tcBorders>
              <w:top w:val="single" w:sz="4" w:space="0" w:color="auto"/>
              <w:left w:val="single" w:sz="4" w:space="0" w:color="auto"/>
              <w:bottom w:val="single" w:sz="4" w:space="0" w:color="auto"/>
              <w:right w:val="nil"/>
            </w:tcBorders>
            <w:vAlign w:val="bottom"/>
            <w:hideMark/>
          </w:tcPr>
          <w:p w14:paraId="72FEA62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9.2</w:t>
            </w:r>
          </w:p>
        </w:tc>
        <w:tc>
          <w:tcPr>
            <w:tcW w:w="755" w:type="dxa"/>
            <w:tcBorders>
              <w:top w:val="single" w:sz="4" w:space="0" w:color="auto"/>
              <w:left w:val="single" w:sz="4" w:space="0" w:color="auto"/>
              <w:bottom w:val="single" w:sz="4" w:space="0" w:color="auto"/>
              <w:right w:val="single" w:sz="4" w:space="0" w:color="auto"/>
            </w:tcBorders>
            <w:vAlign w:val="bottom"/>
            <w:hideMark/>
          </w:tcPr>
          <w:p w14:paraId="2E39EFA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1B375153" w14:textId="77777777" w:rsidTr="004533C9">
        <w:tc>
          <w:tcPr>
            <w:tcW w:w="1216" w:type="dxa"/>
            <w:vMerge w:val="restart"/>
            <w:tcBorders>
              <w:top w:val="single" w:sz="4" w:space="0" w:color="auto"/>
              <w:left w:val="single" w:sz="4" w:space="0" w:color="auto"/>
              <w:bottom w:val="single" w:sz="4" w:space="0" w:color="auto"/>
              <w:right w:val="single" w:sz="4" w:space="0" w:color="auto"/>
            </w:tcBorders>
            <w:hideMark/>
          </w:tcPr>
          <w:p w14:paraId="54B6B6A8" w14:textId="77777777" w:rsidR="00836512" w:rsidRDefault="00836512">
            <w:pPr>
              <w:jc w:val="center"/>
              <w:rPr>
                <w:rFonts w:eastAsiaTheme="minorHAnsi"/>
                <w:sz w:val="20"/>
                <w:szCs w:val="20"/>
                <w:lang w:val="en-US"/>
              </w:rPr>
            </w:pPr>
            <w:r>
              <w:rPr>
                <w:rFonts w:eastAsiaTheme="minorHAnsi"/>
                <w:sz w:val="20"/>
                <w:szCs w:val="20"/>
                <w:lang w:val="en-US"/>
              </w:rPr>
              <w:t>Parco San Stefano</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008A1DFB" w14:textId="77777777" w:rsidR="00836512" w:rsidRDefault="00836512">
            <w:pPr>
              <w:jc w:val="center"/>
              <w:rPr>
                <w:rFonts w:eastAsiaTheme="minorHAnsi"/>
                <w:sz w:val="20"/>
                <w:szCs w:val="20"/>
                <w:highlight w:val="yellow"/>
                <w:lang w:val="en-US"/>
              </w:rPr>
            </w:pPr>
            <w:r>
              <w:rPr>
                <w:rFonts w:eastAsiaTheme="minorHAnsi"/>
                <w:sz w:val="20"/>
                <w:szCs w:val="20"/>
                <w:lang w:val="en-US"/>
              </w:rPr>
              <w:t>PS Stefano Tomba 43</w:t>
            </w:r>
          </w:p>
        </w:tc>
        <w:tc>
          <w:tcPr>
            <w:tcW w:w="1333" w:type="dxa"/>
            <w:tcBorders>
              <w:top w:val="single" w:sz="4" w:space="0" w:color="auto"/>
              <w:left w:val="single" w:sz="4" w:space="0" w:color="auto"/>
              <w:bottom w:val="single" w:sz="4" w:space="0" w:color="auto"/>
              <w:right w:val="single" w:sz="4" w:space="0" w:color="auto"/>
            </w:tcBorders>
            <w:hideMark/>
          </w:tcPr>
          <w:p w14:paraId="4DACDC95" w14:textId="77777777" w:rsidR="00836512" w:rsidRDefault="00836512">
            <w:pPr>
              <w:jc w:val="center"/>
              <w:rPr>
                <w:rFonts w:eastAsiaTheme="minorHAnsi"/>
                <w:strike/>
                <w:sz w:val="20"/>
                <w:szCs w:val="20"/>
                <w:highlight w:val="yellow"/>
                <w:lang w:val="en-US"/>
              </w:rPr>
            </w:pPr>
            <w:r>
              <w:rPr>
                <w:rFonts w:eastAsiaTheme="minorHAnsi"/>
                <w:sz w:val="20"/>
                <w:szCs w:val="20"/>
                <w:lang w:val="en-US"/>
              </w:rPr>
              <w:t>T17.02</w:t>
            </w:r>
          </w:p>
        </w:tc>
        <w:tc>
          <w:tcPr>
            <w:tcW w:w="1399" w:type="dxa"/>
            <w:tcBorders>
              <w:top w:val="single" w:sz="4" w:space="0" w:color="auto"/>
              <w:left w:val="single" w:sz="4" w:space="0" w:color="auto"/>
              <w:bottom w:val="single" w:sz="4" w:space="0" w:color="auto"/>
              <w:right w:val="single" w:sz="4" w:space="0" w:color="auto"/>
            </w:tcBorders>
            <w:hideMark/>
          </w:tcPr>
          <w:p w14:paraId="7B971505" w14:textId="77777777" w:rsidR="00836512" w:rsidRDefault="00836512">
            <w:pPr>
              <w:jc w:val="center"/>
              <w:rPr>
                <w:rFonts w:eastAsiaTheme="minorHAnsi"/>
                <w:strike/>
                <w:sz w:val="20"/>
                <w:szCs w:val="20"/>
                <w:highlight w:val="yellow"/>
                <w:lang w:val="en-US"/>
              </w:rPr>
            </w:pPr>
            <w:r>
              <w:rPr>
                <w:rFonts w:eastAsiaTheme="minorHAnsi"/>
                <w:sz w:val="20"/>
                <w:szCs w:val="20"/>
                <w:lang w:val="en-US"/>
              </w:rPr>
              <w:t>3.75 – 5.50</w:t>
            </w:r>
          </w:p>
        </w:tc>
        <w:tc>
          <w:tcPr>
            <w:tcW w:w="924" w:type="dxa"/>
            <w:tcBorders>
              <w:top w:val="single" w:sz="4" w:space="0" w:color="auto"/>
              <w:left w:val="single" w:sz="4" w:space="0" w:color="auto"/>
              <w:bottom w:val="single" w:sz="4" w:space="0" w:color="auto"/>
              <w:right w:val="single" w:sz="4" w:space="0" w:color="auto"/>
            </w:tcBorders>
            <w:hideMark/>
          </w:tcPr>
          <w:p w14:paraId="6E0E64C3" w14:textId="77777777" w:rsidR="00836512" w:rsidRDefault="00836512">
            <w:pPr>
              <w:jc w:val="center"/>
              <w:rPr>
                <w:rFonts w:eastAsiaTheme="minorHAnsi"/>
                <w:strike/>
                <w:sz w:val="20"/>
                <w:szCs w:val="20"/>
                <w:highlight w:val="yellow"/>
                <w:lang w:val="en-US"/>
              </w:rPr>
            </w:pPr>
            <w:r>
              <w:rPr>
                <w:rFonts w:eastAsiaTheme="minorHAnsi"/>
                <w:sz w:val="20"/>
                <w:szCs w:val="20"/>
                <w:lang w:val="en-US"/>
              </w:rPr>
              <w:t>4.63</w:t>
            </w:r>
          </w:p>
        </w:tc>
        <w:tc>
          <w:tcPr>
            <w:tcW w:w="955" w:type="dxa"/>
            <w:tcBorders>
              <w:top w:val="single" w:sz="4" w:space="0" w:color="auto"/>
              <w:left w:val="nil"/>
              <w:bottom w:val="single" w:sz="4" w:space="0" w:color="auto"/>
              <w:right w:val="single" w:sz="4" w:space="0" w:color="auto"/>
            </w:tcBorders>
            <w:vAlign w:val="bottom"/>
            <w:hideMark/>
          </w:tcPr>
          <w:p w14:paraId="393C8819" w14:textId="77777777" w:rsidR="00836512" w:rsidRDefault="00836512">
            <w:pPr>
              <w:jc w:val="center"/>
              <w:rPr>
                <w:rFonts w:eastAsiaTheme="minorHAnsi"/>
                <w:strike/>
                <w:color w:val="000000"/>
                <w:sz w:val="20"/>
                <w:szCs w:val="20"/>
                <w:highlight w:val="yellow"/>
                <w:lang w:val="en-US"/>
              </w:rPr>
            </w:pPr>
            <w:r>
              <w:rPr>
                <w:rFonts w:eastAsiaTheme="minorHAnsi"/>
                <w:color w:val="000000"/>
                <w:sz w:val="20"/>
                <w:szCs w:val="20"/>
                <w:lang w:val="en-US"/>
              </w:rPr>
              <w:t>-19.0</w:t>
            </w:r>
          </w:p>
        </w:tc>
        <w:tc>
          <w:tcPr>
            <w:tcW w:w="925" w:type="dxa"/>
            <w:tcBorders>
              <w:top w:val="single" w:sz="4" w:space="0" w:color="auto"/>
              <w:left w:val="single" w:sz="4" w:space="0" w:color="auto"/>
              <w:bottom w:val="single" w:sz="4" w:space="0" w:color="auto"/>
              <w:right w:val="nil"/>
            </w:tcBorders>
            <w:vAlign w:val="bottom"/>
            <w:hideMark/>
          </w:tcPr>
          <w:p w14:paraId="623DF947" w14:textId="77777777" w:rsidR="00836512" w:rsidRDefault="00836512">
            <w:pPr>
              <w:jc w:val="center"/>
              <w:rPr>
                <w:rFonts w:eastAsiaTheme="minorHAnsi"/>
                <w:strike/>
                <w:color w:val="000000"/>
                <w:sz w:val="20"/>
                <w:szCs w:val="20"/>
                <w:highlight w:val="yellow"/>
                <w:lang w:val="en-US"/>
              </w:rPr>
            </w:pPr>
            <w:r>
              <w:rPr>
                <w:rFonts w:eastAsiaTheme="minorHAnsi"/>
                <w:color w:val="000000"/>
                <w:sz w:val="20"/>
                <w:szCs w:val="20"/>
                <w:lang w:val="en-US"/>
              </w:rPr>
              <w:t>9.7</w:t>
            </w:r>
          </w:p>
        </w:tc>
        <w:tc>
          <w:tcPr>
            <w:tcW w:w="755" w:type="dxa"/>
            <w:tcBorders>
              <w:top w:val="single" w:sz="4" w:space="0" w:color="auto"/>
              <w:left w:val="single" w:sz="4" w:space="0" w:color="auto"/>
              <w:bottom w:val="single" w:sz="4" w:space="0" w:color="auto"/>
              <w:right w:val="single" w:sz="4" w:space="0" w:color="auto"/>
            </w:tcBorders>
            <w:vAlign w:val="bottom"/>
            <w:hideMark/>
          </w:tcPr>
          <w:p w14:paraId="7E90FC98" w14:textId="77777777" w:rsidR="00836512" w:rsidRDefault="00836512">
            <w:pPr>
              <w:jc w:val="center"/>
              <w:rPr>
                <w:rFonts w:eastAsiaTheme="minorHAnsi"/>
                <w:strike/>
                <w:color w:val="000000"/>
                <w:sz w:val="20"/>
                <w:szCs w:val="20"/>
                <w:highlight w:val="yellow"/>
                <w:lang w:val="en-US"/>
              </w:rPr>
            </w:pPr>
            <w:r>
              <w:rPr>
                <w:rFonts w:eastAsiaTheme="minorHAnsi"/>
                <w:color w:val="000000"/>
                <w:sz w:val="20"/>
                <w:szCs w:val="20"/>
                <w:lang w:val="en-US"/>
              </w:rPr>
              <w:t>3.3</w:t>
            </w:r>
          </w:p>
        </w:tc>
      </w:tr>
      <w:tr w:rsidR="00836512" w14:paraId="0D2D9838"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3437AB9A"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56BF139A" w14:textId="77777777" w:rsidR="00836512" w:rsidRDefault="00836512">
            <w:pPr>
              <w:rPr>
                <w:rFonts w:eastAsiaTheme="minorHAnsi"/>
                <w:sz w:val="20"/>
                <w:szCs w:val="20"/>
                <w:highlight w:val="yellow"/>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B5FE0EB" w14:textId="77777777" w:rsidR="00836512" w:rsidRDefault="00836512">
            <w:pPr>
              <w:jc w:val="center"/>
              <w:rPr>
                <w:rFonts w:eastAsiaTheme="minorHAnsi"/>
                <w:sz w:val="20"/>
                <w:szCs w:val="20"/>
                <w:lang w:val="en-US"/>
              </w:rPr>
            </w:pPr>
            <w:r>
              <w:rPr>
                <w:rFonts w:eastAsiaTheme="minorHAnsi"/>
                <w:sz w:val="20"/>
                <w:szCs w:val="20"/>
                <w:lang w:val="en-US"/>
              </w:rPr>
              <w:t>T17.03</w:t>
            </w:r>
          </w:p>
        </w:tc>
        <w:tc>
          <w:tcPr>
            <w:tcW w:w="1399" w:type="dxa"/>
            <w:tcBorders>
              <w:top w:val="single" w:sz="4" w:space="0" w:color="auto"/>
              <w:left w:val="single" w:sz="4" w:space="0" w:color="auto"/>
              <w:bottom w:val="single" w:sz="4" w:space="0" w:color="auto"/>
              <w:right w:val="single" w:sz="4" w:space="0" w:color="auto"/>
            </w:tcBorders>
            <w:hideMark/>
          </w:tcPr>
          <w:p w14:paraId="28449FBE" w14:textId="77777777" w:rsidR="00836512" w:rsidRDefault="00836512">
            <w:pPr>
              <w:jc w:val="center"/>
              <w:rPr>
                <w:rFonts w:eastAsiaTheme="minorHAnsi"/>
                <w:sz w:val="20"/>
                <w:szCs w:val="20"/>
                <w:lang w:val="en-US"/>
              </w:rPr>
            </w:pPr>
            <w:r>
              <w:rPr>
                <w:rFonts w:eastAsiaTheme="minorHAnsi"/>
                <w:sz w:val="20"/>
                <w:szCs w:val="20"/>
                <w:lang w:val="en-US"/>
              </w:rPr>
              <w:t>5.50 – 7.25</w:t>
            </w:r>
          </w:p>
        </w:tc>
        <w:tc>
          <w:tcPr>
            <w:tcW w:w="924" w:type="dxa"/>
            <w:tcBorders>
              <w:top w:val="single" w:sz="4" w:space="0" w:color="auto"/>
              <w:left w:val="single" w:sz="4" w:space="0" w:color="auto"/>
              <w:bottom w:val="single" w:sz="4" w:space="0" w:color="auto"/>
              <w:right w:val="single" w:sz="4" w:space="0" w:color="auto"/>
            </w:tcBorders>
            <w:hideMark/>
          </w:tcPr>
          <w:p w14:paraId="6BB105FA" w14:textId="77777777" w:rsidR="00836512" w:rsidRDefault="00836512">
            <w:pPr>
              <w:jc w:val="center"/>
              <w:rPr>
                <w:rFonts w:eastAsiaTheme="minorHAnsi"/>
                <w:sz w:val="20"/>
                <w:szCs w:val="20"/>
                <w:lang w:val="en-US"/>
              </w:rPr>
            </w:pPr>
            <w:r>
              <w:rPr>
                <w:rFonts w:eastAsiaTheme="minorHAnsi"/>
                <w:sz w:val="20"/>
                <w:szCs w:val="20"/>
                <w:lang w:val="en-US"/>
              </w:rPr>
              <w:t>6.38</w:t>
            </w:r>
          </w:p>
        </w:tc>
        <w:tc>
          <w:tcPr>
            <w:tcW w:w="955" w:type="dxa"/>
            <w:tcBorders>
              <w:top w:val="single" w:sz="4" w:space="0" w:color="auto"/>
              <w:left w:val="nil"/>
              <w:bottom w:val="single" w:sz="4" w:space="0" w:color="auto"/>
              <w:right w:val="single" w:sz="4" w:space="0" w:color="auto"/>
            </w:tcBorders>
            <w:vAlign w:val="bottom"/>
            <w:hideMark/>
          </w:tcPr>
          <w:p w14:paraId="013F2C6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-18.9</w:t>
            </w:r>
          </w:p>
        </w:tc>
        <w:tc>
          <w:tcPr>
            <w:tcW w:w="925" w:type="dxa"/>
            <w:tcBorders>
              <w:top w:val="single" w:sz="4" w:space="0" w:color="auto"/>
              <w:left w:val="single" w:sz="4" w:space="0" w:color="auto"/>
              <w:bottom w:val="single" w:sz="4" w:space="0" w:color="auto"/>
              <w:right w:val="nil"/>
            </w:tcBorders>
            <w:vAlign w:val="bottom"/>
            <w:hideMark/>
          </w:tcPr>
          <w:p w14:paraId="6F962FB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9.6</w:t>
            </w:r>
          </w:p>
        </w:tc>
        <w:tc>
          <w:tcPr>
            <w:tcW w:w="755" w:type="dxa"/>
            <w:tcBorders>
              <w:top w:val="single" w:sz="4" w:space="0" w:color="auto"/>
              <w:left w:val="single" w:sz="4" w:space="0" w:color="auto"/>
              <w:bottom w:val="single" w:sz="4" w:space="0" w:color="auto"/>
              <w:right w:val="single" w:sz="4" w:space="0" w:color="auto"/>
            </w:tcBorders>
            <w:vAlign w:val="bottom"/>
            <w:hideMark/>
          </w:tcPr>
          <w:p w14:paraId="6FB1A5A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34014E5E"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29356301"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0023DBDC" w14:textId="77777777" w:rsidR="00836512" w:rsidRDefault="00836512">
            <w:pPr>
              <w:rPr>
                <w:rFonts w:eastAsiaTheme="minorHAnsi"/>
                <w:sz w:val="20"/>
                <w:szCs w:val="20"/>
                <w:highlight w:val="yellow"/>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AB626C3" w14:textId="77777777" w:rsidR="00836512" w:rsidRDefault="00836512">
            <w:pPr>
              <w:jc w:val="center"/>
              <w:rPr>
                <w:rFonts w:eastAsiaTheme="minorHAnsi"/>
                <w:sz w:val="20"/>
                <w:szCs w:val="20"/>
                <w:lang w:val="en-US"/>
              </w:rPr>
            </w:pPr>
            <w:r>
              <w:rPr>
                <w:rFonts w:eastAsiaTheme="minorHAnsi"/>
                <w:sz w:val="20"/>
                <w:szCs w:val="20"/>
                <w:lang w:val="en-US"/>
              </w:rPr>
              <w:t>T17.04</w:t>
            </w:r>
          </w:p>
        </w:tc>
        <w:tc>
          <w:tcPr>
            <w:tcW w:w="1399" w:type="dxa"/>
            <w:tcBorders>
              <w:top w:val="single" w:sz="4" w:space="0" w:color="auto"/>
              <w:left w:val="single" w:sz="4" w:space="0" w:color="auto"/>
              <w:bottom w:val="single" w:sz="4" w:space="0" w:color="auto"/>
              <w:right w:val="single" w:sz="4" w:space="0" w:color="auto"/>
            </w:tcBorders>
            <w:hideMark/>
          </w:tcPr>
          <w:p w14:paraId="38FA0E9D" w14:textId="77777777" w:rsidR="00836512" w:rsidRDefault="00836512">
            <w:pPr>
              <w:jc w:val="center"/>
              <w:rPr>
                <w:rFonts w:eastAsiaTheme="minorHAnsi"/>
                <w:sz w:val="20"/>
                <w:szCs w:val="20"/>
                <w:lang w:val="en-US"/>
              </w:rPr>
            </w:pPr>
            <w:r>
              <w:rPr>
                <w:rFonts w:eastAsiaTheme="minorHAnsi"/>
                <w:sz w:val="20"/>
                <w:szCs w:val="20"/>
                <w:lang w:val="en-US"/>
              </w:rPr>
              <w:t>7.25 – 9.00</w:t>
            </w:r>
          </w:p>
        </w:tc>
        <w:tc>
          <w:tcPr>
            <w:tcW w:w="924" w:type="dxa"/>
            <w:tcBorders>
              <w:top w:val="single" w:sz="4" w:space="0" w:color="auto"/>
              <w:left w:val="single" w:sz="4" w:space="0" w:color="auto"/>
              <w:bottom w:val="single" w:sz="4" w:space="0" w:color="auto"/>
              <w:right w:val="single" w:sz="4" w:space="0" w:color="auto"/>
            </w:tcBorders>
            <w:hideMark/>
          </w:tcPr>
          <w:p w14:paraId="6C0F63FD" w14:textId="77777777" w:rsidR="00836512" w:rsidRDefault="00836512">
            <w:pPr>
              <w:jc w:val="center"/>
              <w:rPr>
                <w:rFonts w:eastAsiaTheme="minorHAnsi"/>
                <w:sz w:val="20"/>
                <w:szCs w:val="20"/>
                <w:lang w:val="en-US"/>
              </w:rPr>
            </w:pPr>
            <w:r>
              <w:rPr>
                <w:rFonts w:eastAsiaTheme="minorHAnsi"/>
                <w:sz w:val="20"/>
                <w:szCs w:val="20"/>
                <w:lang w:val="en-US"/>
              </w:rPr>
              <w:t>8.13</w:t>
            </w:r>
          </w:p>
        </w:tc>
        <w:tc>
          <w:tcPr>
            <w:tcW w:w="955" w:type="dxa"/>
            <w:tcBorders>
              <w:top w:val="single" w:sz="4" w:space="0" w:color="auto"/>
              <w:left w:val="nil"/>
              <w:bottom w:val="single" w:sz="4" w:space="0" w:color="auto"/>
              <w:right w:val="single" w:sz="4" w:space="0" w:color="auto"/>
            </w:tcBorders>
            <w:vAlign w:val="bottom"/>
            <w:hideMark/>
          </w:tcPr>
          <w:p w14:paraId="257BE1A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w:t>
            </w:r>
          </w:p>
        </w:tc>
        <w:tc>
          <w:tcPr>
            <w:tcW w:w="925" w:type="dxa"/>
            <w:tcBorders>
              <w:top w:val="single" w:sz="4" w:space="0" w:color="auto"/>
              <w:left w:val="single" w:sz="4" w:space="0" w:color="auto"/>
              <w:bottom w:val="single" w:sz="4" w:space="0" w:color="auto"/>
              <w:right w:val="nil"/>
            </w:tcBorders>
            <w:vAlign w:val="bottom"/>
            <w:hideMark/>
          </w:tcPr>
          <w:p w14:paraId="1C8C067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10.1</w:t>
            </w:r>
          </w:p>
        </w:tc>
        <w:tc>
          <w:tcPr>
            <w:tcW w:w="755" w:type="dxa"/>
            <w:tcBorders>
              <w:top w:val="single" w:sz="4" w:space="0" w:color="auto"/>
              <w:left w:val="single" w:sz="4" w:space="0" w:color="auto"/>
              <w:bottom w:val="single" w:sz="4" w:space="0" w:color="auto"/>
              <w:right w:val="single" w:sz="4" w:space="0" w:color="auto"/>
            </w:tcBorders>
            <w:vAlign w:val="bottom"/>
            <w:hideMark/>
          </w:tcPr>
          <w:p w14:paraId="42E05A9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3.4</w:t>
            </w:r>
          </w:p>
        </w:tc>
      </w:tr>
      <w:tr w:rsidR="00836512" w14:paraId="5C9F1AB5"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3128465D"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1202BEF" w14:textId="77777777" w:rsidR="00836512" w:rsidRDefault="00836512">
            <w:pPr>
              <w:rPr>
                <w:rFonts w:eastAsiaTheme="minorHAnsi"/>
                <w:sz w:val="20"/>
                <w:szCs w:val="20"/>
                <w:highlight w:val="yellow"/>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A425AF8" w14:textId="77777777" w:rsidR="00836512" w:rsidRDefault="00836512">
            <w:pPr>
              <w:jc w:val="center"/>
              <w:rPr>
                <w:rFonts w:eastAsiaTheme="minorHAnsi"/>
                <w:sz w:val="20"/>
                <w:szCs w:val="20"/>
                <w:lang w:val="en-US"/>
              </w:rPr>
            </w:pPr>
            <w:r>
              <w:rPr>
                <w:rFonts w:eastAsiaTheme="minorHAnsi"/>
                <w:sz w:val="20"/>
                <w:szCs w:val="20"/>
                <w:lang w:val="en-US"/>
              </w:rPr>
              <w:t>T17.05</w:t>
            </w:r>
          </w:p>
        </w:tc>
        <w:tc>
          <w:tcPr>
            <w:tcW w:w="1399" w:type="dxa"/>
            <w:tcBorders>
              <w:top w:val="single" w:sz="4" w:space="0" w:color="auto"/>
              <w:left w:val="single" w:sz="4" w:space="0" w:color="auto"/>
              <w:bottom w:val="single" w:sz="4" w:space="0" w:color="auto"/>
              <w:right w:val="single" w:sz="4" w:space="0" w:color="auto"/>
            </w:tcBorders>
            <w:hideMark/>
          </w:tcPr>
          <w:p w14:paraId="5EA8D2B4" w14:textId="77777777" w:rsidR="00836512" w:rsidRDefault="00836512">
            <w:pPr>
              <w:jc w:val="center"/>
              <w:rPr>
                <w:rFonts w:eastAsiaTheme="minorHAnsi"/>
                <w:sz w:val="20"/>
                <w:szCs w:val="20"/>
                <w:lang w:val="en-US"/>
              </w:rPr>
            </w:pPr>
            <w:r>
              <w:rPr>
                <w:rFonts w:eastAsiaTheme="minorHAnsi"/>
                <w:sz w:val="20"/>
                <w:szCs w:val="20"/>
                <w:lang w:val="en-US"/>
              </w:rPr>
              <w:t>9.00 – 12.5</w:t>
            </w:r>
          </w:p>
        </w:tc>
        <w:tc>
          <w:tcPr>
            <w:tcW w:w="924" w:type="dxa"/>
            <w:tcBorders>
              <w:top w:val="single" w:sz="4" w:space="0" w:color="auto"/>
              <w:left w:val="single" w:sz="4" w:space="0" w:color="auto"/>
              <w:bottom w:val="single" w:sz="4" w:space="0" w:color="auto"/>
              <w:right w:val="single" w:sz="4" w:space="0" w:color="auto"/>
            </w:tcBorders>
            <w:hideMark/>
          </w:tcPr>
          <w:p w14:paraId="0DA831EA" w14:textId="77777777" w:rsidR="00836512" w:rsidRDefault="00836512">
            <w:pPr>
              <w:jc w:val="center"/>
              <w:rPr>
                <w:rFonts w:eastAsiaTheme="minorHAnsi"/>
                <w:sz w:val="20"/>
                <w:szCs w:val="20"/>
                <w:lang w:val="en-US"/>
              </w:rPr>
            </w:pPr>
            <w:r>
              <w:rPr>
                <w:rFonts w:eastAsiaTheme="minorHAnsi"/>
                <w:sz w:val="20"/>
                <w:szCs w:val="20"/>
                <w:lang w:val="en-US"/>
              </w:rPr>
              <w:t>10.75</w:t>
            </w:r>
          </w:p>
        </w:tc>
        <w:tc>
          <w:tcPr>
            <w:tcW w:w="955" w:type="dxa"/>
            <w:tcBorders>
              <w:top w:val="single" w:sz="4" w:space="0" w:color="auto"/>
              <w:left w:val="nil"/>
              <w:bottom w:val="single" w:sz="4" w:space="0" w:color="auto"/>
              <w:right w:val="single" w:sz="4" w:space="0" w:color="auto"/>
            </w:tcBorders>
            <w:vAlign w:val="bottom"/>
            <w:hideMark/>
          </w:tcPr>
          <w:p w14:paraId="088F8E6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0657390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10.3</w:t>
            </w:r>
          </w:p>
        </w:tc>
        <w:tc>
          <w:tcPr>
            <w:tcW w:w="755" w:type="dxa"/>
            <w:tcBorders>
              <w:top w:val="single" w:sz="4" w:space="0" w:color="auto"/>
              <w:left w:val="single" w:sz="4" w:space="0" w:color="auto"/>
              <w:bottom w:val="single" w:sz="4" w:space="0" w:color="auto"/>
              <w:right w:val="single" w:sz="4" w:space="0" w:color="auto"/>
            </w:tcBorders>
            <w:vAlign w:val="bottom"/>
            <w:hideMark/>
          </w:tcPr>
          <w:p w14:paraId="5B335DB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2018863" w14:textId="77777777" w:rsidTr="004533C9">
        <w:tc>
          <w:tcPr>
            <w:tcW w:w="1216" w:type="dxa"/>
            <w:vMerge w:val="restart"/>
            <w:tcBorders>
              <w:top w:val="single" w:sz="4" w:space="0" w:color="auto"/>
              <w:left w:val="single" w:sz="4" w:space="0" w:color="auto"/>
              <w:bottom w:val="single" w:sz="4" w:space="0" w:color="auto"/>
              <w:right w:val="single" w:sz="4" w:space="0" w:color="auto"/>
            </w:tcBorders>
            <w:hideMark/>
          </w:tcPr>
          <w:p w14:paraId="5ED07ACD" w14:textId="77777777" w:rsidR="00836512" w:rsidRDefault="00836512">
            <w:pPr>
              <w:jc w:val="center"/>
              <w:rPr>
                <w:rFonts w:eastAsiaTheme="minorHAnsi"/>
                <w:sz w:val="20"/>
                <w:szCs w:val="20"/>
                <w:lang w:val="en-US"/>
              </w:rPr>
            </w:pPr>
            <w:r>
              <w:rPr>
                <w:rFonts w:eastAsiaTheme="minorHAnsi"/>
                <w:sz w:val="20"/>
                <w:szCs w:val="20"/>
                <w:lang w:val="en-US"/>
              </w:rPr>
              <w:t>Parco San Stefano</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7F03FDA2" w14:textId="77777777" w:rsidR="00836512" w:rsidRDefault="00836512">
            <w:pPr>
              <w:rPr>
                <w:rFonts w:eastAsiaTheme="minorHAnsi"/>
                <w:sz w:val="20"/>
                <w:szCs w:val="20"/>
                <w:lang w:val="en-US"/>
              </w:rPr>
            </w:pPr>
            <w:r>
              <w:rPr>
                <w:rFonts w:eastAsiaTheme="minorHAnsi"/>
                <w:sz w:val="20"/>
                <w:szCs w:val="20"/>
                <w:lang w:val="en-US"/>
              </w:rPr>
              <w:t>PS Stefano Tomba 11(?)</w:t>
            </w:r>
          </w:p>
        </w:tc>
        <w:tc>
          <w:tcPr>
            <w:tcW w:w="1333" w:type="dxa"/>
            <w:tcBorders>
              <w:top w:val="single" w:sz="4" w:space="0" w:color="auto"/>
              <w:left w:val="single" w:sz="4" w:space="0" w:color="auto"/>
              <w:bottom w:val="single" w:sz="4" w:space="0" w:color="auto"/>
              <w:right w:val="single" w:sz="4" w:space="0" w:color="auto"/>
            </w:tcBorders>
            <w:hideMark/>
          </w:tcPr>
          <w:p w14:paraId="57263705" w14:textId="77777777" w:rsidR="00836512" w:rsidRDefault="00836512">
            <w:pPr>
              <w:jc w:val="center"/>
              <w:rPr>
                <w:rFonts w:eastAsiaTheme="minorHAnsi"/>
                <w:sz w:val="20"/>
                <w:szCs w:val="20"/>
                <w:lang w:val="en-US"/>
              </w:rPr>
            </w:pPr>
            <w:r>
              <w:rPr>
                <w:rFonts w:eastAsiaTheme="minorHAnsi"/>
                <w:sz w:val="20"/>
                <w:szCs w:val="20"/>
                <w:lang w:val="en-US"/>
              </w:rPr>
              <w:t>T18.01</w:t>
            </w:r>
          </w:p>
        </w:tc>
        <w:tc>
          <w:tcPr>
            <w:tcW w:w="1399" w:type="dxa"/>
            <w:tcBorders>
              <w:top w:val="single" w:sz="4" w:space="0" w:color="auto"/>
              <w:left w:val="single" w:sz="4" w:space="0" w:color="auto"/>
              <w:bottom w:val="single" w:sz="4" w:space="0" w:color="auto"/>
              <w:right w:val="single" w:sz="4" w:space="0" w:color="auto"/>
            </w:tcBorders>
            <w:hideMark/>
          </w:tcPr>
          <w:p w14:paraId="7019AEBA" w14:textId="77777777" w:rsidR="00836512" w:rsidRDefault="00836512">
            <w:pPr>
              <w:jc w:val="center"/>
              <w:rPr>
                <w:rFonts w:eastAsiaTheme="minorHAnsi"/>
                <w:sz w:val="20"/>
                <w:szCs w:val="20"/>
                <w:lang w:val="en-US"/>
              </w:rPr>
            </w:pPr>
            <w:r>
              <w:rPr>
                <w:rFonts w:eastAsiaTheme="minorHAnsi"/>
                <w:sz w:val="20"/>
                <w:szCs w:val="20"/>
                <w:lang w:val="en-US"/>
              </w:rPr>
              <w:t>2.50 – 4.16</w:t>
            </w:r>
          </w:p>
        </w:tc>
        <w:tc>
          <w:tcPr>
            <w:tcW w:w="924" w:type="dxa"/>
            <w:tcBorders>
              <w:top w:val="single" w:sz="4" w:space="0" w:color="auto"/>
              <w:left w:val="single" w:sz="4" w:space="0" w:color="auto"/>
              <w:bottom w:val="single" w:sz="4" w:space="0" w:color="auto"/>
              <w:right w:val="single" w:sz="4" w:space="0" w:color="auto"/>
            </w:tcBorders>
            <w:hideMark/>
          </w:tcPr>
          <w:p w14:paraId="245115B3" w14:textId="77777777" w:rsidR="00836512" w:rsidRDefault="00836512">
            <w:pPr>
              <w:jc w:val="center"/>
              <w:rPr>
                <w:rFonts w:eastAsiaTheme="minorHAnsi"/>
                <w:sz w:val="20"/>
                <w:szCs w:val="20"/>
                <w:lang w:val="en-US"/>
              </w:rPr>
            </w:pPr>
            <w:r>
              <w:rPr>
                <w:rFonts w:eastAsiaTheme="minorHAnsi"/>
                <w:sz w:val="20"/>
                <w:szCs w:val="20"/>
                <w:lang w:val="en-US"/>
              </w:rPr>
              <w:t>3.33</w:t>
            </w:r>
          </w:p>
        </w:tc>
        <w:tc>
          <w:tcPr>
            <w:tcW w:w="955" w:type="dxa"/>
            <w:tcBorders>
              <w:top w:val="single" w:sz="4" w:space="0" w:color="auto"/>
              <w:left w:val="nil"/>
              <w:bottom w:val="single" w:sz="4" w:space="0" w:color="auto"/>
              <w:right w:val="single" w:sz="4" w:space="0" w:color="auto"/>
            </w:tcBorders>
            <w:vAlign w:val="bottom"/>
            <w:hideMark/>
          </w:tcPr>
          <w:p w14:paraId="55BA3EE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-19.9</w:t>
            </w:r>
          </w:p>
        </w:tc>
        <w:tc>
          <w:tcPr>
            <w:tcW w:w="925" w:type="dxa"/>
            <w:tcBorders>
              <w:top w:val="single" w:sz="4" w:space="0" w:color="auto"/>
              <w:left w:val="single" w:sz="4" w:space="0" w:color="auto"/>
              <w:bottom w:val="single" w:sz="4" w:space="0" w:color="auto"/>
              <w:right w:val="nil"/>
            </w:tcBorders>
            <w:vAlign w:val="bottom"/>
            <w:hideMark/>
          </w:tcPr>
          <w:p w14:paraId="650B292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9.8</w:t>
            </w:r>
          </w:p>
        </w:tc>
        <w:tc>
          <w:tcPr>
            <w:tcW w:w="755" w:type="dxa"/>
            <w:tcBorders>
              <w:top w:val="single" w:sz="4" w:space="0" w:color="auto"/>
              <w:left w:val="single" w:sz="4" w:space="0" w:color="auto"/>
              <w:bottom w:val="single" w:sz="4" w:space="0" w:color="auto"/>
              <w:right w:val="single" w:sz="4" w:space="0" w:color="auto"/>
            </w:tcBorders>
            <w:vAlign w:val="bottom"/>
            <w:hideMark/>
          </w:tcPr>
          <w:p w14:paraId="7837DC0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4353115"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5FD9F124"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4704CE3D"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1E68E409" w14:textId="77777777" w:rsidR="00836512" w:rsidRDefault="00836512">
            <w:pPr>
              <w:jc w:val="center"/>
              <w:rPr>
                <w:rFonts w:eastAsiaTheme="minorHAnsi"/>
                <w:sz w:val="20"/>
                <w:szCs w:val="20"/>
                <w:lang w:val="en-US"/>
              </w:rPr>
            </w:pPr>
            <w:r>
              <w:rPr>
                <w:rFonts w:eastAsiaTheme="minorHAnsi"/>
                <w:sz w:val="20"/>
                <w:szCs w:val="20"/>
                <w:lang w:val="en-US"/>
              </w:rPr>
              <w:t>T18.02</w:t>
            </w:r>
          </w:p>
        </w:tc>
        <w:tc>
          <w:tcPr>
            <w:tcW w:w="1399" w:type="dxa"/>
            <w:tcBorders>
              <w:top w:val="single" w:sz="4" w:space="0" w:color="auto"/>
              <w:left w:val="single" w:sz="4" w:space="0" w:color="auto"/>
              <w:bottom w:val="single" w:sz="4" w:space="0" w:color="auto"/>
              <w:right w:val="single" w:sz="4" w:space="0" w:color="auto"/>
            </w:tcBorders>
            <w:hideMark/>
          </w:tcPr>
          <w:p w14:paraId="3900F9FF" w14:textId="77777777" w:rsidR="00836512" w:rsidRDefault="00836512">
            <w:pPr>
              <w:jc w:val="center"/>
              <w:rPr>
                <w:rFonts w:eastAsiaTheme="minorHAnsi"/>
                <w:sz w:val="20"/>
                <w:szCs w:val="20"/>
                <w:lang w:val="en-US"/>
              </w:rPr>
            </w:pPr>
            <w:r>
              <w:rPr>
                <w:rFonts w:eastAsiaTheme="minorHAnsi"/>
                <w:sz w:val="20"/>
                <w:szCs w:val="20"/>
                <w:lang w:val="en-US"/>
              </w:rPr>
              <w:t>4.16 – 5.66</w:t>
            </w:r>
          </w:p>
        </w:tc>
        <w:tc>
          <w:tcPr>
            <w:tcW w:w="924" w:type="dxa"/>
            <w:tcBorders>
              <w:top w:val="single" w:sz="4" w:space="0" w:color="auto"/>
              <w:left w:val="single" w:sz="4" w:space="0" w:color="auto"/>
              <w:bottom w:val="single" w:sz="4" w:space="0" w:color="auto"/>
              <w:right w:val="single" w:sz="4" w:space="0" w:color="auto"/>
            </w:tcBorders>
            <w:hideMark/>
          </w:tcPr>
          <w:p w14:paraId="75838579" w14:textId="77777777" w:rsidR="00836512" w:rsidRDefault="00836512">
            <w:pPr>
              <w:jc w:val="center"/>
              <w:rPr>
                <w:rFonts w:eastAsiaTheme="minorHAnsi"/>
                <w:sz w:val="20"/>
                <w:szCs w:val="20"/>
                <w:lang w:val="en-US"/>
              </w:rPr>
            </w:pPr>
            <w:r>
              <w:rPr>
                <w:rFonts w:eastAsiaTheme="minorHAnsi"/>
                <w:sz w:val="20"/>
                <w:szCs w:val="20"/>
                <w:lang w:val="en-US"/>
              </w:rPr>
              <w:t>4.91</w:t>
            </w:r>
          </w:p>
        </w:tc>
        <w:tc>
          <w:tcPr>
            <w:tcW w:w="955" w:type="dxa"/>
            <w:tcBorders>
              <w:top w:val="single" w:sz="4" w:space="0" w:color="auto"/>
              <w:left w:val="nil"/>
              <w:bottom w:val="single" w:sz="4" w:space="0" w:color="auto"/>
              <w:right w:val="single" w:sz="4" w:space="0" w:color="auto"/>
            </w:tcBorders>
            <w:vAlign w:val="bottom"/>
            <w:hideMark/>
          </w:tcPr>
          <w:p w14:paraId="51A46AF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925" w:type="dxa"/>
            <w:tcBorders>
              <w:top w:val="single" w:sz="4" w:space="0" w:color="auto"/>
              <w:left w:val="single" w:sz="4" w:space="0" w:color="auto"/>
              <w:bottom w:val="single" w:sz="4" w:space="0" w:color="auto"/>
              <w:right w:val="nil"/>
            </w:tcBorders>
            <w:vAlign w:val="bottom"/>
            <w:hideMark/>
          </w:tcPr>
          <w:p w14:paraId="2BA96BD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9.6</w:t>
            </w:r>
          </w:p>
        </w:tc>
        <w:tc>
          <w:tcPr>
            <w:tcW w:w="755" w:type="dxa"/>
            <w:tcBorders>
              <w:top w:val="single" w:sz="4" w:space="0" w:color="auto"/>
              <w:left w:val="single" w:sz="4" w:space="0" w:color="auto"/>
              <w:bottom w:val="single" w:sz="4" w:space="0" w:color="auto"/>
              <w:right w:val="single" w:sz="4" w:space="0" w:color="auto"/>
            </w:tcBorders>
            <w:vAlign w:val="bottom"/>
            <w:hideMark/>
          </w:tcPr>
          <w:p w14:paraId="1D99E6B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D92445F"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7A8BF5A"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FC1DFE6"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6BB74C4D" w14:textId="77777777" w:rsidR="00836512" w:rsidRDefault="00836512">
            <w:pPr>
              <w:jc w:val="center"/>
              <w:rPr>
                <w:rFonts w:eastAsiaTheme="minorHAnsi"/>
                <w:sz w:val="20"/>
                <w:szCs w:val="20"/>
                <w:lang w:val="en-US"/>
              </w:rPr>
            </w:pPr>
            <w:r>
              <w:rPr>
                <w:rFonts w:eastAsiaTheme="minorHAnsi"/>
                <w:sz w:val="20"/>
                <w:szCs w:val="20"/>
                <w:lang w:val="en-US"/>
              </w:rPr>
              <w:t>T18.03</w:t>
            </w:r>
          </w:p>
        </w:tc>
        <w:tc>
          <w:tcPr>
            <w:tcW w:w="1399" w:type="dxa"/>
            <w:tcBorders>
              <w:top w:val="single" w:sz="4" w:space="0" w:color="auto"/>
              <w:left w:val="single" w:sz="4" w:space="0" w:color="auto"/>
              <w:bottom w:val="single" w:sz="4" w:space="0" w:color="auto"/>
              <w:right w:val="single" w:sz="4" w:space="0" w:color="auto"/>
            </w:tcBorders>
            <w:hideMark/>
          </w:tcPr>
          <w:p w14:paraId="71F70654" w14:textId="77777777" w:rsidR="00836512" w:rsidRDefault="00836512">
            <w:pPr>
              <w:jc w:val="center"/>
              <w:rPr>
                <w:rFonts w:eastAsiaTheme="minorHAnsi"/>
                <w:sz w:val="20"/>
                <w:szCs w:val="20"/>
                <w:lang w:val="en-US"/>
              </w:rPr>
            </w:pPr>
            <w:r>
              <w:rPr>
                <w:rFonts w:eastAsiaTheme="minorHAnsi"/>
                <w:sz w:val="20"/>
                <w:szCs w:val="20"/>
                <w:lang w:val="en-US"/>
              </w:rPr>
              <w:t>5.66 – 6.86</w:t>
            </w:r>
          </w:p>
        </w:tc>
        <w:tc>
          <w:tcPr>
            <w:tcW w:w="924" w:type="dxa"/>
            <w:tcBorders>
              <w:top w:val="single" w:sz="4" w:space="0" w:color="auto"/>
              <w:left w:val="single" w:sz="4" w:space="0" w:color="auto"/>
              <w:bottom w:val="single" w:sz="4" w:space="0" w:color="auto"/>
              <w:right w:val="single" w:sz="4" w:space="0" w:color="auto"/>
            </w:tcBorders>
            <w:hideMark/>
          </w:tcPr>
          <w:p w14:paraId="2CBAB522" w14:textId="77777777" w:rsidR="00836512" w:rsidRDefault="00836512">
            <w:pPr>
              <w:jc w:val="center"/>
              <w:rPr>
                <w:rFonts w:eastAsiaTheme="minorHAnsi"/>
                <w:sz w:val="20"/>
                <w:szCs w:val="20"/>
                <w:lang w:val="en-US"/>
              </w:rPr>
            </w:pPr>
            <w:r>
              <w:rPr>
                <w:rFonts w:eastAsiaTheme="minorHAnsi"/>
                <w:sz w:val="20"/>
                <w:szCs w:val="20"/>
                <w:lang w:val="en-US"/>
              </w:rPr>
              <w:t>6.26</w:t>
            </w:r>
          </w:p>
        </w:tc>
        <w:tc>
          <w:tcPr>
            <w:tcW w:w="955" w:type="dxa"/>
            <w:tcBorders>
              <w:top w:val="single" w:sz="4" w:space="0" w:color="auto"/>
              <w:left w:val="nil"/>
              <w:bottom w:val="single" w:sz="4" w:space="0" w:color="auto"/>
              <w:right w:val="single" w:sz="4" w:space="0" w:color="auto"/>
            </w:tcBorders>
            <w:vAlign w:val="bottom"/>
            <w:hideMark/>
          </w:tcPr>
          <w:p w14:paraId="11C3B37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925" w:type="dxa"/>
            <w:tcBorders>
              <w:top w:val="single" w:sz="4" w:space="0" w:color="auto"/>
              <w:left w:val="single" w:sz="4" w:space="0" w:color="auto"/>
              <w:bottom w:val="single" w:sz="4" w:space="0" w:color="auto"/>
              <w:right w:val="nil"/>
            </w:tcBorders>
            <w:vAlign w:val="bottom"/>
            <w:hideMark/>
          </w:tcPr>
          <w:p w14:paraId="1BC9AFF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9.3</w:t>
            </w:r>
          </w:p>
        </w:tc>
        <w:tc>
          <w:tcPr>
            <w:tcW w:w="755" w:type="dxa"/>
            <w:tcBorders>
              <w:top w:val="single" w:sz="4" w:space="0" w:color="auto"/>
              <w:left w:val="single" w:sz="4" w:space="0" w:color="auto"/>
              <w:bottom w:val="single" w:sz="4" w:space="0" w:color="auto"/>
              <w:right w:val="single" w:sz="4" w:space="0" w:color="auto"/>
            </w:tcBorders>
            <w:vAlign w:val="bottom"/>
            <w:hideMark/>
          </w:tcPr>
          <w:p w14:paraId="237012E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6C93730A"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0F55AE2E"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6507E0FE"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A4F58A5" w14:textId="77777777" w:rsidR="00836512" w:rsidRDefault="00836512">
            <w:pPr>
              <w:jc w:val="center"/>
              <w:rPr>
                <w:rFonts w:eastAsiaTheme="minorHAnsi"/>
                <w:sz w:val="20"/>
                <w:szCs w:val="20"/>
                <w:lang w:val="en-US"/>
              </w:rPr>
            </w:pPr>
            <w:r>
              <w:rPr>
                <w:rFonts w:eastAsiaTheme="minorHAnsi"/>
                <w:sz w:val="20"/>
                <w:szCs w:val="20"/>
                <w:lang w:val="en-US"/>
              </w:rPr>
              <w:t>T18.04</w:t>
            </w:r>
          </w:p>
        </w:tc>
        <w:tc>
          <w:tcPr>
            <w:tcW w:w="1399" w:type="dxa"/>
            <w:tcBorders>
              <w:top w:val="single" w:sz="4" w:space="0" w:color="auto"/>
              <w:left w:val="single" w:sz="4" w:space="0" w:color="auto"/>
              <w:bottom w:val="single" w:sz="4" w:space="0" w:color="auto"/>
              <w:right w:val="single" w:sz="4" w:space="0" w:color="auto"/>
            </w:tcBorders>
            <w:hideMark/>
          </w:tcPr>
          <w:p w14:paraId="5108B31E" w14:textId="77777777" w:rsidR="00836512" w:rsidRDefault="00836512">
            <w:pPr>
              <w:jc w:val="center"/>
              <w:rPr>
                <w:rFonts w:eastAsiaTheme="minorHAnsi"/>
                <w:sz w:val="20"/>
                <w:szCs w:val="20"/>
                <w:lang w:val="en-US"/>
              </w:rPr>
            </w:pPr>
            <w:r>
              <w:rPr>
                <w:rFonts w:eastAsiaTheme="minorHAnsi"/>
                <w:sz w:val="20"/>
                <w:szCs w:val="20"/>
                <w:lang w:val="en-US"/>
              </w:rPr>
              <w:t>6.86 – 8.06</w:t>
            </w:r>
          </w:p>
        </w:tc>
        <w:tc>
          <w:tcPr>
            <w:tcW w:w="924" w:type="dxa"/>
            <w:tcBorders>
              <w:top w:val="single" w:sz="4" w:space="0" w:color="auto"/>
              <w:left w:val="single" w:sz="4" w:space="0" w:color="auto"/>
              <w:bottom w:val="single" w:sz="4" w:space="0" w:color="auto"/>
              <w:right w:val="single" w:sz="4" w:space="0" w:color="auto"/>
            </w:tcBorders>
            <w:hideMark/>
          </w:tcPr>
          <w:p w14:paraId="55CC656E" w14:textId="77777777" w:rsidR="00836512" w:rsidRDefault="00836512">
            <w:pPr>
              <w:jc w:val="center"/>
              <w:rPr>
                <w:rFonts w:eastAsiaTheme="minorHAnsi"/>
                <w:sz w:val="20"/>
                <w:szCs w:val="20"/>
                <w:lang w:val="en-US"/>
              </w:rPr>
            </w:pPr>
            <w:r>
              <w:rPr>
                <w:rFonts w:eastAsiaTheme="minorHAnsi"/>
                <w:sz w:val="20"/>
                <w:szCs w:val="20"/>
                <w:lang w:val="en-US"/>
              </w:rPr>
              <w:t>7.46</w:t>
            </w:r>
          </w:p>
        </w:tc>
        <w:tc>
          <w:tcPr>
            <w:tcW w:w="955" w:type="dxa"/>
            <w:tcBorders>
              <w:top w:val="single" w:sz="4" w:space="0" w:color="auto"/>
              <w:left w:val="nil"/>
              <w:bottom w:val="single" w:sz="4" w:space="0" w:color="auto"/>
              <w:right w:val="single" w:sz="4" w:space="0" w:color="auto"/>
            </w:tcBorders>
            <w:vAlign w:val="bottom"/>
            <w:hideMark/>
          </w:tcPr>
          <w:p w14:paraId="1D5C1D8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-18.8</w:t>
            </w:r>
          </w:p>
        </w:tc>
        <w:tc>
          <w:tcPr>
            <w:tcW w:w="925" w:type="dxa"/>
            <w:tcBorders>
              <w:top w:val="single" w:sz="4" w:space="0" w:color="auto"/>
              <w:left w:val="single" w:sz="4" w:space="0" w:color="auto"/>
              <w:bottom w:val="single" w:sz="4" w:space="0" w:color="auto"/>
              <w:right w:val="nil"/>
            </w:tcBorders>
            <w:vAlign w:val="bottom"/>
            <w:hideMark/>
          </w:tcPr>
          <w:p w14:paraId="71E4B0F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9.5</w:t>
            </w:r>
          </w:p>
        </w:tc>
        <w:tc>
          <w:tcPr>
            <w:tcW w:w="755" w:type="dxa"/>
            <w:tcBorders>
              <w:top w:val="single" w:sz="4" w:space="0" w:color="auto"/>
              <w:left w:val="single" w:sz="4" w:space="0" w:color="auto"/>
              <w:bottom w:val="single" w:sz="4" w:space="0" w:color="auto"/>
              <w:right w:val="single" w:sz="4" w:space="0" w:color="auto"/>
            </w:tcBorders>
            <w:vAlign w:val="bottom"/>
            <w:hideMark/>
          </w:tcPr>
          <w:p w14:paraId="6D6591B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7DAFB99"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6FB13FF0"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DEEDD62"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4FAFFAE7" w14:textId="77777777" w:rsidR="00836512" w:rsidRDefault="00836512">
            <w:pPr>
              <w:jc w:val="center"/>
              <w:rPr>
                <w:rFonts w:eastAsiaTheme="minorHAnsi"/>
                <w:sz w:val="20"/>
                <w:szCs w:val="20"/>
                <w:lang w:val="en-US"/>
              </w:rPr>
            </w:pPr>
            <w:r>
              <w:rPr>
                <w:rFonts w:eastAsiaTheme="minorHAnsi"/>
                <w:sz w:val="20"/>
                <w:szCs w:val="20"/>
                <w:lang w:val="en-US"/>
              </w:rPr>
              <w:t>T18.05</w:t>
            </w:r>
          </w:p>
        </w:tc>
        <w:tc>
          <w:tcPr>
            <w:tcW w:w="1399" w:type="dxa"/>
            <w:tcBorders>
              <w:top w:val="single" w:sz="4" w:space="0" w:color="auto"/>
              <w:left w:val="single" w:sz="4" w:space="0" w:color="auto"/>
              <w:bottom w:val="single" w:sz="4" w:space="0" w:color="auto"/>
              <w:right w:val="single" w:sz="4" w:space="0" w:color="auto"/>
            </w:tcBorders>
            <w:hideMark/>
          </w:tcPr>
          <w:p w14:paraId="2D3944F7" w14:textId="77777777" w:rsidR="00836512" w:rsidRDefault="00836512">
            <w:pPr>
              <w:jc w:val="center"/>
              <w:rPr>
                <w:rFonts w:eastAsiaTheme="minorHAnsi"/>
                <w:sz w:val="20"/>
                <w:szCs w:val="20"/>
                <w:lang w:val="en-US"/>
              </w:rPr>
            </w:pPr>
            <w:r>
              <w:rPr>
                <w:rFonts w:eastAsiaTheme="minorHAnsi"/>
                <w:sz w:val="20"/>
                <w:szCs w:val="20"/>
                <w:lang w:val="en-US"/>
              </w:rPr>
              <w:t>8.06 – 9.26</w:t>
            </w:r>
          </w:p>
        </w:tc>
        <w:tc>
          <w:tcPr>
            <w:tcW w:w="924" w:type="dxa"/>
            <w:tcBorders>
              <w:top w:val="single" w:sz="4" w:space="0" w:color="auto"/>
              <w:left w:val="single" w:sz="4" w:space="0" w:color="auto"/>
              <w:bottom w:val="single" w:sz="4" w:space="0" w:color="auto"/>
              <w:right w:val="single" w:sz="4" w:space="0" w:color="auto"/>
            </w:tcBorders>
            <w:hideMark/>
          </w:tcPr>
          <w:p w14:paraId="0917716E" w14:textId="77777777" w:rsidR="00836512" w:rsidRDefault="00836512">
            <w:pPr>
              <w:jc w:val="center"/>
              <w:rPr>
                <w:rFonts w:eastAsiaTheme="minorHAnsi"/>
                <w:sz w:val="20"/>
                <w:szCs w:val="20"/>
                <w:lang w:val="en-US"/>
              </w:rPr>
            </w:pPr>
            <w:r>
              <w:rPr>
                <w:rFonts w:eastAsiaTheme="minorHAnsi"/>
                <w:sz w:val="20"/>
                <w:szCs w:val="20"/>
                <w:lang w:val="en-US"/>
              </w:rPr>
              <w:t>8.66</w:t>
            </w:r>
          </w:p>
        </w:tc>
        <w:tc>
          <w:tcPr>
            <w:tcW w:w="955" w:type="dxa"/>
            <w:tcBorders>
              <w:top w:val="single" w:sz="4" w:space="0" w:color="auto"/>
              <w:left w:val="nil"/>
              <w:bottom w:val="single" w:sz="4" w:space="0" w:color="auto"/>
              <w:right w:val="single" w:sz="4" w:space="0" w:color="auto"/>
            </w:tcBorders>
            <w:vAlign w:val="bottom"/>
            <w:hideMark/>
          </w:tcPr>
          <w:p w14:paraId="6367373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-18.9</w:t>
            </w:r>
          </w:p>
        </w:tc>
        <w:tc>
          <w:tcPr>
            <w:tcW w:w="925" w:type="dxa"/>
            <w:tcBorders>
              <w:top w:val="single" w:sz="4" w:space="0" w:color="auto"/>
              <w:left w:val="single" w:sz="4" w:space="0" w:color="auto"/>
              <w:bottom w:val="single" w:sz="4" w:space="0" w:color="auto"/>
              <w:right w:val="nil"/>
            </w:tcBorders>
            <w:vAlign w:val="bottom"/>
            <w:hideMark/>
          </w:tcPr>
          <w:p w14:paraId="09BD2F6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9.9</w:t>
            </w:r>
          </w:p>
        </w:tc>
        <w:tc>
          <w:tcPr>
            <w:tcW w:w="755" w:type="dxa"/>
            <w:tcBorders>
              <w:top w:val="single" w:sz="4" w:space="0" w:color="auto"/>
              <w:left w:val="single" w:sz="4" w:space="0" w:color="auto"/>
              <w:bottom w:val="single" w:sz="4" w:space="0" w:color="auto"/>
              <w:right w:val="single" w:sz="4" w:space="0" w:color="auto"/>
            </w:tcBorders>
            <w:vAlign w:val="bottom"/>
            <w:hideMark/>
          </w:tcPr>
          <w:p w14:paraId="39D0BC7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AAB8F62"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46F2D24E"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6C7ADD3D"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4086645F" w14:textId="77777777" w:rsidR="00836512" w:rsidRDefault="00836512">
            <w:pPr>
              <w:jc w:val="center"/>
              <w:rPr>
                <w:rFonts w:eastAsiaTheme="minorHAnsi"/>
                <w:sz w:val="20"/>
                <w:szCs w:val="20"/>
                <w:lang w:val="en-US"/>
              </w:rPr>
            </w:pPr>
            <w:r>
              <w:rPr>
                <w:rFonts w:eastAsiaTheme="minorHAnsi"/>
                <w:sz w:val="20"/>
                <w:szCs w:val="20"/>
                <w:lang w:val="en-US"/>
              </w:rPr>
              <w:t>T18.06</w:t>
            </w:r>
          </w:p>
        </w:tc>
        <w:tc>
          <w:tcPr>
            <w:tcW w:w="1399" w:type="dxa"/>
            <w:tcBorders>
              <w:top w:val="single" w:sz="4" w:space="0" w:color="auto"/>
              <w:left w:val="single" w:sz="4" w:space="0" w:color="auto"/>
              <w:bottom w:val="single" w:sz="4" w:space="0" w:color="auto"/>
              <w:right w:val="single" w:sz="4" w:space="0" w:color="auto"/>
            </w:tcBorders>
            <w:hideMark/>
          </w:tcPr>
          <w:p w14:paraId="7EC56A0C" w14:textId="77777777" w:rsidR="00836512" w:rsidRDefault="00836512">
            <w:pPr>
              <w:jc w:val="center"/>
              <w:rPr>
                <w:rFonts w:eastAsiaTheme="minorHAnsi"/>
                <w:sz w:val="20"/>
                <w:szCs w:val="20"/>
                <w:lang w:val="en-US"/>
              </w:rPr>
            </w:pPr>
            <w:r>
              <w:rPr>
                <w:rFonts w:eastAsiaTheme="minorHAnsi"/>
                <w:sz w:val="20"/>
                <w:szCs w:val="20"/>
                <w:lang w:val="en-US"/>
              </w:rPr>
              <w:t>9.26 – 10.50</w:t>
            </w:r>
          </w:p>
        </w:tc>
        <w:tc>
          <w:tcPr>
            <w:tcW w:w="924" w:type="dxa"/>
            <w:tcBorders>
              <w:top w:val="single" w:sz="4" w:space="0" w:color="auto"/>
              <w:left w:val="single" w:sz="4" w:space="0" w:color="auto"/>
              <w:bottom w:val="single" w:sz="4" w:space="0" w:color="auto"/>
              <w:right w:val="single" w:sz="4" w:space="0" w:color="auto"/>
            </w:tcBorders>
            <w:hideMark/>
          </w:tcPr>
          <w:p w14:paraId="768250E2" w14:textId="77777777" w:rsidR="00836512" w:rsidRDefault="00836512">
            <w:pPr>
              <w:jc w:val="center"/>
              <w:rPr>
                <w:rFonts w:eastAsiaTheme="minorHAnsi"/>
                <w:sz w:val="20"/>
                <w:szCs w:val="20"/>
                <w:lang w:val="en-US"/>
              </w:rPr>
            </w:pPr>
            <w:r>
              <w:rPr>
                <w:rFonts w:eastAsiaTheme="minorHAnsi"/>
                <w:sz w:val="20"/>
                <w:szCs w:val="20"/>
                <w:lang w:val="en-US"/>
              </w:rPr>
              <w:t>9.88</w:t>
            </w:r>
          </w:p>
        </w:tc>
        <w:tc>
          <w:tcPr>
            <w:tcW w:w="955" w:type="dxa"/>
            <w:tcBorders>
              <w:top w:val="single" w:sz="4" w:space="0" w:color="auto"/>
              <w:left w:val="nil"/>
              <w:bottom w:val="single" w:sz="4" w:space="0" w:color="auto"/>
              <w:right w:val="single" w:sz="4" w:space="0" w:color="auto"/>
            </w:tcBorders>
            <w:vAlign w:val="bottom"/>
            <w:hideMark/>
          </w:tcPr>
          <w:p w14:paraId="0065D82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925" w:type="dxa"/>
            <w:tcBorders>
              <w:top w:val="single" w:sz="4" w:space="0" w:color="auto"/>
              <w:left w:val="single" w:sz="4" w:space="0" w:color="auto"/>
              <w:bottom w:val="single" w:sz="4" w:space="0" w:color="auto"/>
              <w:right w:val="nil"/>
            </w:tcBorders>
            <w:vAlign w:val="bottom"/>
            <w:hideMark/>
          </w:tcPr>
          <w:p w14:paraId="5E211E5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10.2</w:t>
            </w:r>
          </w:p>
        </w:tc>
        <w:tc>
          <w:tcPr>
            <w:tcW w:w="755" w:type="dxa"/>
            <w:tcBorders>
              <w:top w:val="single" w:sz="4" w:space="0" w:color="auto"/>
              <w:left w:val="single" w:sz="4" w:space="0" w:color="auto"/>
              <w:bottom w:val="single" w:sz="4" w:space="0" w:color="auto"/>
              <w:right w:val="single" w:sz="4" w:space="0" w:color="auto"/>
            </w:tcBorders>
            <w:vAlign w:val="bottom"/>
            <w:hideMark/>
          </w:tcPr>
          <w:p w14:paraId="3796AE5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A377D02"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12A87088"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62F1C149"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6F90E9FA" w14:textId="77777777" w:rsidR="00836512" w:rsidRDefault="00836512">
            <w:pPr>
              <w:jc w:val="center"/>
              <w:rPr>
                <w:rFonts w:eastAsiaTheme="minorHAnsi"/>
                <w:sz w:val="20"/>
                <w:szCs w:val="20"/>
                <w:lang w:val="en-US"/>
              </w:rPr>
            </w:pPr>
            <w:r>
              <w:rPr>
                <w:rFonts w:eastAsiaTheme="minorHAnsi"/>
                <w:sz w:val="20"/>
                <w:szCs w:val="20"/>
                <w:lang w:val="en-US"/>
              </w:rPr>
              <w:t>T18.07</w:t>
            </w:r>
          </w:p>
        </w:tc>
        <w:tc>
          <w:tcPr>
            <w:tcW w:w="1399" w:type="dxa"/>
            <w:tcBorders>
              <w:top w:val="single" w:sz="4" w:space="0" w:color="auto"/>
              <w:left w:val="single" w:sz="4" w:space="0" w:color="auto"/>
              <w:bottom w:val="single" w:sz="4" w:space="0" w:color="auto"/>
              <w:right w:val="single" w:sz="4" w:space="0" w:color="auto"/>
            </w:tcBorders>
            <w:hideMark/>
          </w:tcPr>
          <w:p w14:paraId="256D2192" w14:textId="77777777" w:rsidR="00836512" w:rsidRDefault="00836512">
            <w:pPr>
              <w:jc w:val="center"/>
              <w:rPr>
                <w:rFonts w:eastAsiaTheme="minorHAnsi"/>
                <w:sz w:val="20"/>
                <w:szCs w:val="20"/>
                <w:lang w:val="en-US"/>
              </w:rPr>
            </w:pPr>
            <w:r>
              <w:rPr>
                <w:rFonts w:eastAsiaTheme="minorHAnsi"/>
                <w:sz w:val="20"/>
                <w:szCs w:val="20"/>
                <w:lang w:val="en-US"/>
              </w:rPr>
              <w:t>10.50 – 11.66</w:t>
            </w:r>
          </w:p>
        </w:tc>
        <w:tc>
          <w:tcPr>
            <w:tcW w:w="924" w:type="dxa"/>
            <w:tcBorders>
              <w:top w:val="single" w:sz="4" w:space="0" w:color="auto"/>
              <w:left w:val="single" w:sz="4" w:space="0" w:color="auto"/>
              <w:bottom w:val="single" w:sz="4" w:space="0" w:color="auto"/>
              <w:right w:val="single" w:sz="4" w:space="0" w:color="auto"/>
            </w:tcBorders>
            <w:hideMark/>
          </w:tcPr>
          <w:p w14:paraId="66AD9A5B" w14:textId="77777777" w:rsidR="00836512" w:rsidRDefault="00836512">
            <w:pPr>
              <w:jc w:val="center"/>
              <w:rPr>
                <w:rFonts w:eastAsiaTheme="minorHAnsi"/>
                <w:sz w:val="20"/>
                <w:szCs w:val="20"/>
                <w:lang w:val="en-US"/>
              </w:rPr>
            </w:pPr>
            <w:r>
              <w:rPr>
                <w:rFonts w:eastAsiaTheme="minorHAnsi"/>
                <w:sz w:val="20"/>
                <w:szCs w:val="20"/>
                <w:lang w:val="en-US"/>
              </w:rPr>
              <w:t>11.08</w:t>
            </w:r>
          </w:p>
        </w:tc>
        <w:tc>
          <w:tcPr>
            <w:tcW w:w="955" w:type="dxa"/>
            <w:tcBorders>
              <w:top w:val="single" w:sz="4" w:space="0" w:color="auto"/>
              <w:left w:val="nil"/>
              <w:bottom w:val="single" w:sz="4" w:space="0" w:color="auto"/>
              <w:right w:val="single" w:sz="4" w:space="0" w:color="auto"/>
            </w:tcBorders>
            <w:vAlign w:val="bottom"/>
            <w:hideMark/>
          </w:tcPr>
          <w:p w14:paraId="2D07775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925" w:type="dxa"/>
            <w:tcBorders>
              <w:top w:val="single" w:sz="4" w:space="0" w:color="auto"/>
              <w:left w:val="single" w:sz="4" w:space="0" w:color="auto"/>
              <w:bottom w:val="single" w:sz="4" w:space="0" w:color="auto"/>
              <w:right w:val="nil"/>
            </w:tcBorders>
            <w:vAlign w:val="bottom"/>
            <w:hideMark/>
          </w:tcPr>
          <w:p w14:paraId="127B109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9.9</w:t>
            </w:r>
          </w:p>
        </w:tc>
        <w:tc>
          <w:tcPr>
            <w:tcW w:w="755" w:type="dxa"/>
            <w:tcBorders>
              <w:top w:val="single" w:sz="4" w:space="0" w:color="auto"/>
              <w:left w:val="single" w:sz="4" w:space="0" w:color="auto"/>
              <w:bottom w:val="single" w:sz="4" w:space="0" w:color="auto"/>
              <w:right w:val="single" w:sz="4" w:space="0" w:color="auto"/>
            </w:tcBorders>
            <w:vAlign w:val="bottom"/>
            <w:hideMark/>
          </w:tcPr>
          <w:p w14:paraId="16392B1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E0B3151"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2DC3732B"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3E26105D"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554E8E29" w14:textId="77777777" w:rsidR="00836512" w:rsidRDefault="00836512">
            <w:pPr>
              <w:jc w:val="center"/>
              <w:rPr>
                <w:rFonts w:eastAsiaTheme="minorHAnsi"/>
                <w:sz w:val="20"/>
                <w:szCs w:val="20"/>
                <w:lang w:val="en-US"/>
              </w:rPr>
            </w:pPr>
            <w:r>
              <w:rPr>
                <w:rFonts w:eastAsiaTheme="minorHAnsi"/>
                <w:sz w:val="20"/>
                <w:szCs w:val="20"/>
                <w:lang w:val="en-US"/>
              </w:rPr>
              <w:t>T18.08</w:t>
            </w:r>
          </w:p>
        </w:tc>
        <w:tc>
          <w:tcPr>
            <w:tcW w:w="1399" w:type="dxa"/>
            <w:tcBorders>
              <w:top w:val="single" w:sz="4" w:space="0" w:color="auto"/>
              <w:left w:val="single" w:sz="4" w:space="0" w:color="auto"/>
              <w:bottom w:val="single" w:sz="4" w:space="0" w:color="auto"/>
              <w:right w:val="single" w:sz="4" w:space="0" w:color="auto"/>
            </w:tcBorders>
            <w:hideMark/>
          </w:tcPr>
          <w:p w14:paraId="41B09495" w14:textId="77777777" w:rsidR="00836512" w:rsidRDefault="00836512">
            <w:pPr>
              <w:jc w:val="center"/>
              <w:rPr>
                <w:rFonts w:eastAsiaTheme="minorHAnsi"/>
                <w:sz w:val="20"/>
                <w:szCs w:val="20"/>
                <w:lang w:val="en-US"/>
              </w:rPr>
            </w:pPr>
            <w:r>
              <w:rPr>
                <w:rFonts w:eastAsiaTheme="minorHAnsi"/>
                <w:sz w:val="20"/>
                <w:szCs w:val="20"/>
                <w:lang w:val="en-US"/>
              </w:rPr>
              <w:t>11.66 – 13.50</w:t>
            </w:r>
          </w:p>
        </w:tc>
        <w:tc>
          <w:tcPr>
            <w:tcW w:w="924" w:type="dxa"/>
            <w:tcBorders>
              <w:top w:val="single" w:sz="4" w:space="0" w:color="auto"/>
              <w:left w:val="single" w:sz="4" w:space="0" w:color="auto"/>
              <w:bottom w:val="single" w:sz="4" w:space="0" w:color="auto"/>
              <w:right w:val="single" w:sz="4" w:space="0" w:color="auto"/>
            </w:tcBorders>
            <w:hideMark/>
          </w:tcPr>
          <w:p w14:paraId="2E41023B" w14:textId="77777777" w:rsidR="00836512" w:rsidRDefault="00836512">
            <w:pPr>
              <w:jc w:val="center"/>
              <w:rPr>
                <w:rFonts w:eastAsiaTheme="minorHAnsi"/>
                <w:sz w:val="20"/>
                <w:szCs w:val="20"/>
                <w:lang w:val="en-US"/>
              </w:rPr>
            </w:pPr>
            <w:r>
              <w:rPr>
                <w:rFonts w:eastAsiaTheme="minorHAnsi"/>
                <w:sz w:val="20"/>
                <w:szCs w:val="20"/>
                <w:lang w:val="en-US"/>
              </w:rPr>
              <w:t>12.58</w:t>
            </w:r>
          </w:p>
        </w:tc>
        <w:tc>
          <w:tcPr>
            <w:tcW w:w="955" w:type="dxa"/>
            <w:tcBorders>
              <w:top w:val="single" w:sz="4" w:space="0" w:color="auto"/>
              <w:left w:val="nil"/>
              <w:bottom w:val="single" w:sz="4" w:space="0" w:color="auto"/>
              <w:right w:val="single" w:sz="4" w:space="0" w:color="auto"/>
            </w:tcBorders>
            <w:vAlign w:val="bottom"/>
            <w:hideMark/>
          </w:tcPr>
          <w:p w14:paraId="0EFF4CB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-19.5</w:t>
            </w:r>
          </w:p>
        </w:tc>
        <w:tc>
          <w:tcPr>
            <w:tcW w:w="925" w:type="dxa"/>
            <w:tcBorders>
              <w:top w:val="single" w:sz="4" w:space="0" w:color="auto"/>
              <w:left w:val="single" w:sz="4" w:space="0" w:color="auto"/>
              <w:bottom w:val="single" w:sz="4" w:space="0" w:color="auto"/>
              <w:right w:val="nil"/>
            </w:tcBorders>
            <w:vAlign w:val="bottom"/>
            <w:hideMark/>
          </w:tcPr>
          <w:p w14:paraId="732E62D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10.2</w:t>
            </w:r>
          </w:p>
        </w:tc>
        <w:tc>
          <w:tcPr>
            <w:tcW w:w="755" w:type="dxa"/>
            <w:tcBorders>
              <w:top w:val="single" w:sz="4" w:space="0" w:color="auto"/>
              <w:left w:val="single" w:sz="4" w:space="0" w:color="auto"/>
              <w:bottom w:val="single" w:sz="4" w:space="0" w:color="auto"/>
              <w:right w:val="single" w:sz="4" w:space="0" w:color="auto"/>
            </w:tcBorders>
            <w:vAlign w:val="bottom"/>
            <w:hideMark/>
          </w:tcPr>
          <w:p w14:paraId="5593B17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FD25D7" w14:paraId="53D33A4E" w14:textId="77777777" w:rsidTr="004533C9">
        <w:tc>
          <w:tcPr>
            <w:tcW w:w="1216" w:type="dxa"/>
            <w:tcBorders>
              <w:top w:val="single" w:sz="4" w:space="0" w:color="auto"/>
              <w:left w:val="single" w:sz="4" w:space="0" w:color="auto"/>
              <w:bottom w:val="single" w:sz="4" w:space="0" w:color="auto"/>
              <w:right w:val="single" w:sz="4" w:space="0" w:color="auto"/>
            </w:tcBorders>
          </w:tcPr>
          <w:p w14:paraId="50A6C55D" w14:textId="77777777" w:rsidR="00FD25D7" w:rsidRDefault="00FD25D7">
            <w:pPr>
              <w:jc w:val="center"/>
              <w:rPr>
                <w:rFonts w:eastAsiaTheme="minorHAnsi"/>
                <w:sz w:val="20"/>
                <w:szCs w:val="20"/>
                <w:lang w:val="en-US"/>
              </w:rPr>
            </w:pPr>
          </w:p>
        </w:tc>
        <w:tc>
          <w:tcPr>
            <w:tcW w:w="1150" w:type="dxa"/>
            <w:tcBorders>
              <w:top w:val="single" w:sz="4" w:space="0" w:color="auto"/>
              <w:left w:val="single" w:sz="4" w:space="0" w:color="auto"/>
              <w:bottom w:val="single" w:sz="4" w:space="0" w:color="auto"/>
              <w:right w:val="single" w:sz="4" w:space="0" w:color="auto"/>
            </w:tcBorders>
          </w:tcPr>
          <w:p w14:paraId="28EE5EBF" w14:textId="77777777" w:rsidR="00FD25D7" w:rsidRDefault="00FD25D7">
            <w:pPr>
              <w:jc w:val="cente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tcPr>
          <w:p w14:paraId="5BB596AF" w14:textId="77777777" w:rsidR="00FD25D7" w:rsidRDefault="00FD25D7">
            <w:pPr>
              <w:jc w:val="center"/>
              <w:rPr>
                <w:rFonts w:eastAsiaTheme="minorHAnsi"/>
                <w:sz w:val="20"/>
                <w:szCs w:val="20"/>
                <w:lang w:val="en-US"/>
              </w:rPr>
            </w:pPr>
          </w:p>
        </w:tc>
        <w:tc>
          <w:tcPr>
            <w:tcW w:w="1399" w:type="dxa"/>
            <w:tcBorders>
              <w:top w:val="single" w:sz="4" w:space="0" w:color="auto"/>
              <w:left w:val="single" w:sz="4" w:space="0" w:color="auto"/>
              <w:bottom w:val="single" w:sz="4" w:space="0" w:color="auto"/>
              <w:right w:val="single" w:sz="4" w:space="0" w:color="auto"/>
            </w:tcBorders>
          </w:tcPr>
          <w:p w14:paraId="6062947C" w14:textId="77777777" w:rsidR="00FD25D7" w:rsidRDefault="00FD25D7">
            <w:pPr>
              <w:jc w:val="center"/>
              <w:rPr>
                <w:rFonts w:eastAsiaTheme="minorHAnsi"/>
                <w:sz w:val="20"/>
                <w:szCs w:val="20"/>
                <w:lang w:val="en-US"/>
              </w:rPr>
            </w:pPr>
          </w:p>
        </w:tc>
        <w:tc>
          <w:tcPr>
            <w:tcW w:w="924" w:type="dxa"/>
            <w:tcBorders>
              <w:top w:val="single" w:sz="4" w:space="0" w:color="auto"/>
              <w:left w:val="single" w:sz="4" w:space="0" w:color="auto"/>
              <w:bottom w:val="single" w:sz="4" w:space="0" w:color="auto"/>
              <w:right w:val="single" w:sz="4" w:space="0" w:color="auto"/>
            </w:tcBorders>
          </w:tcPr>
          <w:p w14:paraId="40E73BE1" w14:textId="77777777" w:rsidR="00FD25D7" w:rsidRDefault="00FD25D7">
            <w:pPr>
              <w:jc w:val="center"/>
              <w:rPr>
                <w:rFonts w:eastAsiaTheme="minorHAnsi"/>
                <w:sz w:val="20"/>
                <w:szCs w:val="20"/>
                <w:lang w:val="en-US"/>
              </w:rPr>
            </w:pPr>
          </w:p>
        </w:tc>
        <w:tc>
          <w:tcPr>
            <w:tcW w:w="955" w:type="dxa"/>
            <w:tcBorders>
              <w:top w:val="single" w:sz="4" w:space="0" w:color="auto"/>
              <w:left w:val="nil"/>
              <w:bottom w:val="single" w:sz="4" w:space="0" w:color="auto"/>
              <w:right w:val="single" w:sz="4" w:space="0" w:color="auto"/>
            </w:tcBorders>
            <w:vAlign w:val="bottom"/>
          </w:tcPr>
          <w:p w14:paraId="01F0F09F" w14:textId="77777777" w:rsidR="00FD25D7" w:rsidRDefault="00FD25D7">
            <w:pPr>
              <w:jc w:val="center"/>
              <w:rPr>
                <w:rFonts w:eastAsiaTheme="minorHAnsi"/>
                <w:color w:val="000000"/>
                <w:sz w:val="20"/>
                <w:szCs w:val="20"/>
                <w:lang w:val="en-US"/>
              </w:rPr>
            </w:pPr>
          </w:p>
        </w:tc>
        <w:tc>
          <w:tcPr>
            <w:tcW w:w="925" w:type="dxa"/>
            <w:tcBorders>
              <w:top w:val="single" w:sz="4" w:space="0" w:color="auto"/>
              <w:left w:val="single" w:sz="4" w:space="0" w:color="auto"/>
              <w:bottom w:val="single" w:sz="4" w:space="0" w:color="auto"/>
              <w:right w:val="nil"/>
            </w:tcBorders>
            <w:vAlign w:val="bottom"/>
          </w:tcPr>
          <w:p w14:paraId="134BBAFD" w14:textId="77777777" w:rsidR="00FD25D7" w:rsidRDefault="00FD25D7">
            <w:pPr>
              <w:jc w:val="center"/>
              <w:rPr>
                <w:rFonts w:eastAsiaTheme="minorHAnsi"/>
                <w:color w:val="000000"/>
                <w:sz w:val="20"/>
                <w:szCs w:val="20"/>
                <w:lang w:val="en-US"/>
              </w:rPr>
            </w:pPr>
          </w:p>
        </w:tc>
        <w:tc>
          <w:tcPr>
            <w:tcW w:w="755" w:type="dxa"/>
            <w:tcBorders>
              <w:top w:val="single" w:sz="4" w:space="0" w:color="auto"/>
              <w:left w:val="single" w:sz="4" w:space="0" w:color="auto"/>
              <w:bottom w:val="single" w:sz="4" w:space="0" w:color="auto"/>
              <w:right w:val="single" w:sz="4" w:space="0" w:color="auto"/>
            </w:tcBorders>
            <w:vAlign w:val="bottom"/>
          </w:tcPr>
          <w:p w14:paraId="5B512A5E" w14:textId="77777777" w:rsidR="00FD25D7" w:rsidRDefault="00FD25D7">
            <w:pPr>
              <w:jc w:val="center"/>
              <w:rPr>
                <w:rFonts w:eastAsiaTheme="minorHAnsi"/>
                <w:color w:val="000000"/>
                <w:sz w:val="20"/>
                <w:szCs w:val="20"/>
                <w:lang w:val="en-US"/>
              </w:rPr>
            </w:pPr>
          </w:p>
        </w:tc>
      </w:tr>
      <w:tr w:rsidR="00FD25D7" w14:paraId="4629A30A" w14:textId="77777777" w:rsidTr="004533C9">
        <w:tc>
          <w:tcPr>
            <w:tcW w:w="1216" w:type="dxa"/>
            <w:tcBorders>
              <w:top w:val="single" w:sz="4" w:space="0" w:color="auto"/>
              <w:left w:val="single" w:sz="4" w:space="0" w:color="auto"/>
              <w:bottom w:val="single" w:sz="4" w:space="0" w:color="auto"/>
              <w:right w:val="single" w:sz="4" w:space="0" w:color="auto"/>
            </w:tcBorders>
          </w:tcPr>
          <w:p w14:paraId="5D4BF70A" w14:textId="77777777" w:rsidR="00FD25D7" w:rsidRDefault="00FD25D7">
            <w:pPr>
              <w:jc w:val="center"/>
              <w:rPr>
                <w:rFonts w:eastAsiaTheme="minorHAnsi"/>
                <w:sz w:val="20"/>
                <w:szCs w:val="20"/>
                <w:lang w:val="en-US"/>
              </w:rPr>
            </w:pPr>
          </w:p>
        </w:tc>
        <w:tc>
          <w:tcPr>
            <w:tcW w:w="1150" w:type="dxa"/>
            <w:tcBorders>
              <w:top w:val="single" w:sz="4" w:space="0" w:color="auto"/>
              <w:left w:val="single" w:sz="4" w:space="0" w:color="auto"/>
              <w:bottom w:val="single" w:sz="4" w:space="0" w:color="auto"/>
              <w:right w:val="single" w:sz="4" w:space="0" w:color="auto"/>
            </w:tcBorders>
          </w:tcPr>
          <w:p w14:paraId="4651222F" w14:textId="77777777" w:rsidR="00FD25D7" w:rsidRDefault="00FD25D7">
            <w:pPr>
              <w:jc w:val="cente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tcPr>
          <w:p w14:paraId="31993FF7" w14:textId="77777777" w:rsidR="00FD25D7" w:rsidRDefault="00FD25D7">
            <w:pPr>
              <w:jc w:val="center"/>
              <w:rPr>
                <w:rFonts w:eastAsiaTheme="minorHAnsi"/>
                <w:sz w:val="20"/>
                <w:szCs w:val="20"/>
                <w:lang w:val="en-US"/>
              </w:rPr>
            </w:pPr>
          </w:p>
        </w:tc>
        <w:tc>
          <w:tcPr>
            <w:tcW w:w="1399" w:type="dxa"/>
            <w:tcBorders>
              <w:top w:val="single" w:sz="4" w:space="0" w:color="auto"/>
              <w:left w:val="single" w:sz="4" w:space="0" w:color="auto"/>
              <w:bottom w:val="single" w:sz="4" w:space="0" w:color="auto"/>
              <w:right w:val="single" w:sz="4" w:space="0" w:color="auto"/>
            </w:tcBorders>
          </w:tcPr>
          <w:p w14:paraId="5F37A6DE" w14:textId="77777777" w:rsidR="00FD25D7" w:rsidRDefault="00FD25D7">
            <w:pPr>
              <w:jc w:val="center"/>
              <w:rPr>
                <w:rFonts w:eastAsiaTheme="minorHAnsi"/>
                <w:sz w:val="20"/>
                <w:szCs w:val="20"/>
                <w:lang w:val="en-US"/>
              </w:rPr>
            </w:pPr>
          </w:p>
        </w:tc>
        <w:tc>
          <w:tcPr>
            <w:tcW w:w="924" w:type="dxa"/>
            <w:tcBorders>
              <w:top w:val="single" w:sz="4" w:space="0" w:color="auto"/>
              <w:left w:val="single" w:sz="4" w:space="0" w:color="auto"/>
              <w:bottom w:val="single" w:sz="4" w:space="0" w:color="auto"/>
              <w:right w:val="single" w:sz="4" w:space="0" w:color="auto"/>
            </w:tcBorders>
          </w:tcPr>
          <w:p w14:paraId="75097F11" w14:textId="77777777" w:rsidR="00FD25D7" w:rsidRDefault="00FD25D7">
            <w:pPr>
              <w:jc w:val="center"/>
              <w:rPr>
                <w:rFonts w:eastAsiaTheme="minorHAnsi"/>
                <w:sz w:val="20"/>
                <w:szCs w:val="20"/>
                <w:lang w:val="en-US"/>
              </w:rPr>
            </w:pPr>
          </w:p>
        </w:tc>
        <w:tc>
          <w:tcPr>
            <w:tcW w:w="955" w:type="dxa"/>
            <w:tcBorders>
              <w:top w:val="single" w:sz="4" w:space="0" w:color="auto"/>
              <w:left w:val="nil"/>
              <w:bottom w:val="single" w:sz="4" w:space="0" w:color="auto"/>
              <w:right w:val="single" w:sz="4" w:space="0" w:color="auto"/>
            </w:tcBorders>
            <w:vAlign w:val="bottom"/>
          </w:tcPr>
          <w:p w14:paraId="085CA903" w14:textId="77777777" w:rsidR="00FD25D7" w:rsidRDefault="00FD25D7">
            <w:pPr>
              <w:jc w:val="center"/>
              <w:rPr>
                <w:rFonts w:eastAsiaTheme="minorHAnsi"/>
                <w:color w:val="000000"/>
                <w:sz w:val="20"/>
                <w:szCs w:val="20"/>
                <w:lang w:val="en-US"/>
              </w:rPr>
            </w:pPr>
          </w:p>
        </w:tc>
        <w:tc>
          <w:tcPr>
            <w:tcW w:w="925" w:type="dxa"/>
            <w:tcBorders>
              <w:top w:val="single" w:sz="4" w:space="0" w:color="auto"/>
              <w:left w:val="single" w:sz="4" w:space="0" w:color="auto"/>
              <w:bottom w:val="single" w:sz="4" w:space="0" w:color="auto"/>
              <w:right w:val="nil"/>
            </w:tcBorders>
            <w:vAlign w:val="bottom"/>
          </w:tcPr>
          <w:p w14:paraId="65CC990D" w14:textId="77777777" w:rsidR="00FD25D7" w:rsidRDefault="00FD25D7">
            <w:pPr>
              <w:jc w:val="center"/>
              <w:rPr>
                <w:rFonts w:eastAsiaTheme="minorHAnsi"/>
                <w:color w:val="000000"/>
                <w:sz w:val="20"/>
                <w:szCs w:val="20"/>
                <w:lang w:val="en-US"/>
              </w:rPr>
            </w:pPr>
          </w:p>
        </w:tc>
        <w:tc>
          <w:tcPr>
            <w:tcW w:w="755" w:type="dxa"/>
            <w:tcBorders>
              <w:top w:val="single" w:sz="4" w:space="0" w:color="auto"/>
              <w:left w:val="single" w:sz="4" w:space="0" w:color="auto"/>
              <w:bottom w:val="single" w:sz="4" w:space="0" w:color="auto"/>
              <w:right w:val="single" w:sz="4" w:space="0" w:color="auto"/>
            </w:tcBorders>
            <w:vAlign w:val="bottom"/>
          </w:tcPr>
          <w:p w14:paraId="75187411" w14:textId="77777777" w:rsidR="00FD25D7" w:rsidRDefault="00FD25D7">
            <w:pPr>
              <w:jc w:val="center"/>
              <w:rPr>
                <w:rFonts w:eastAsiaTheme="minorHAnsi"/>
                <w:color w:val="000000"/>
                <w:sz w:val="20"/>
                <w:szCs w:val="20"/>
                <w:lang w:val="en-US"/>
              </w:rPr>
            </w:pPr>
          </w:p>
        </w:tc>
      </w:tr>
      <w:tr w:rsidR="00836512" w14:paraId="5291BB01" w14:textId="77777777" w:rsidTr="004533C9">
        <w:tc>
          <w:tcPr>
            <w:tcW w:w="1216" w:type="dxa"/>
            <w:vMerge w:val="restart"/>
            <w:tcBorders>
              <w:top w:val="single" w:sz="4" w:space="0" w:color="auto"/>
              <w:left w:val="single" w:sz="4" w:space="0" w:color="auto"/>
              <w:bottom w:val="single" w:sz="4" w:space="0" w:color="auto"/>
              <w:right w:val="single" w:sz="4" w:space="0" w:color="auto"/>
            </w:tcBorders>
            <w:hideMark/>
          </w:tcPr>
          <w:p w14:paraId="2E6FAE2B" w14:textId="77777777" w:rsidR="00836512" w:rsidRDefault="00836512">
            <w:pPr>
              <w:jc w:val="center"/>
              <w:rPr>
                <w:rFonts w:eastAsiaTheme="minorHAnsi"/>
                <w:sz w:val="20"/>
                <w:szCs w:val="20"/>
                <w:lang w:val="en-US"/>
              </w:rPr>
            </w:pPr>
            <w:r>
              <w:rPr>
                <w:rFonts w:eastAsiaTheme="minorHAnsi"/>
                <w:sz w:val="20"/>
                <w:szCs w:val="20"/>
                <w:lang w:val="en-US"/>
              </w:rPr>
              <w:lastRenderedPageBreak/>
              <w:t>Botromagno</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0D7974E0" w14:textId="77777777" w:rsidR="00836512" w:rsidRDefault="00836512">
            <w:pPr>
              <w:jc w:val="center"/>
              <w:rPr>
                <w:rFonts w:eastAsiaTheme="minorHAnsi"/>
                <w:sz w:val="20"/>
                <w:szCs w:val="20"/>
                <w:lang w:val="en-US"/>
              </w:rPr>
            </w:pPr>
            <w:r>
              <w:rPr>
                <w:rFonts w:eastAsiaTheme="minorHAnsi"/>
                <w:sz w:val="20"/>
                <w:szCs w:val="20"/>
                <w:lang w:val="en-US"/>
              </w:rPr>
              <w:t>G67III p.1 e.1 PI 1 Layer 1 pit fill</w:t>
            </w:r>
          </w:p>
        </w:tc>
        <w:tc>
          <w:tcPr>
            <w:tcW w:w="1333" w:type="dxa"/>
            <w:tcBorders>
              <w:top w:val="single" w:sz="4" w:space="0" w:color="auto"/>
              <w:left w:val="single" w:sz="4" w:space="0" w:color="auto"/>
              <w:bottom w:val="single" w:sz="4" w:space="0" w:color="auto"/>
              <w:right w:val="single" w:sz="4" w:space="0" w:color="auto"/>
            </w:tcBorders>
            <w:hideMark/>
          </w:tcPr>
          <w:p w14:paraId="07857345" w14:textId="77777777" w:rsidR="00836512" w:rsidRDefault="00836512">
            <w:pPr>
              <w:jc w:val="center"/>
              <w:rPr>
                <w:rFonts w:eastAsiaTheme="minorHAnsi"/>
                <w:sz w:val="20"/>
                <w:szCs w:val="20"/>
                <w:lang w:val="en-US"/>
              </w:rPr>
            </w:pPr>
            <w:r>
              <w:rPr>
                <w:rFonts w:eastAsiaTheme="minorHAnsi"/>
                <w:sz w:val="20"/>
                <w:szCs w:val="20"/>
                <w:lang w:val="en-US"/>
              </w:rPr>
              <w:t>T19.01</w:t>
            </w:r>
          </w:p>
        </w:tc>
        <w:tc>
          <w:tcPr>
            <w:tcW w:w="1399" w:type="dxa"/>
            <w:tcBorders>
              <w:top w:val="single" w:sz="4" w:space="0" w:color="auto"/>
              <w:left w:val="single" w:sz="4" w:space="0" w:color="auto"/>
              <w:bottom w:val="single" w:sz="4" w:space="0" w:color="auto"/>
              <w:right w:val="single" w:sz="4" w:space="0" w:color="auto"/>
            </w:tcBorders>
            <w:hideMark/>
          </w:tcPr>
          <w:p w14:paraId="25A3D2E5" w14:textId="77777777" w:rsidR="00836512" w:rsidRDefault="00836512">
            <w:pPr>
              <w:jc w:val="center"/>
              <w:rPr>
                <w:rFonts w:eastAsiaTheme="minorHAnsi"/>
                <w:sz w:val="20"/>
                <w:szCs w:val="20"/>
                <w:lang w:val="en-US"/>
              </w:rPr>
            </w:pPr>
            <w:r>
              <w:rPr>
                <w:rFonts w:eastAsiaTheme="minorHAnsi"/>
                <w:sz w:val="20"/>
                <w:szCs w:val="20"/>
                <w:lang w:val="en-US"/>
              </w:rPr>
              <w:t>1.50 – 3.30</w:t>
            </w:r>
          </w:p>
        </w:tc>
        <w:tc>
          <w:tcPr>
            <w:tcW w:w="924" w:type="dxa"/>
            <w:tcBorders>
              <w:top w:val="single" w:sz="4" w:space="0" w:color="auto"/>
              <w:left w:val="single" w:sz="4" w:space="0" w:color="auto"/>
              <w:bottom w:val="single" w:sz="4" w:space="0" w:color="auto"/>
              <w:right w:val="single" w:sz="4" w:space="0" w:color="auto"/>
            </w:tcBorders>
            <w:hideMark/>
          </w:tcPr>
          <w:p w14:paraId="18DE50D8" w14:textId="77777777" w:rsidR="00836512" w:rsidRDefault="00836512">
            <w:pPr>
              <w:jc w:val="center"/>
              <w:rPr>
                <w:rFonts w:eastAsiaTheme="minorHAnsi"/>
                <w:sz w:val="20"/>
                <w:szCs w:val="20"/>
                <w:lang w:val="en-US"/>
              </w:rPr>
            </w:pPr>
            <w:r>
              <w:rPr>
                <w:rFonts w:eastAsiaTheme="minorHAnsi"/>
                <w:sz w:val="20"/>
                <w:szCs w:val="20"/>
                <w:lang w:val="en-US"/>
              </w:rPr>
              <w:t>2.40</w:t>
            </w:r>
          </w:p>
        </w:tc>
        <w:tc>
          <w:tcPr>
            <w:tcW w:w="955" w:type="dxa"/>
            <w:tcBorders>
              <w:top w:val="single" w:sz="4" w:space="0" w:color="auto"/>
              <w:left w:val="nil"/>
              <w:bottom w:val="single" w:sz="4" w:space="0" w:color="auto"/>
              <w:right w:val="single" w:sz="4" w:space="0" w:color="auto"/>
            </w:tcBorders>
            <w:vAlign w:val="bottom"/>
            <w:hideMark/>
          </w:tcPr>
          <w:p w14:paraId="23D0240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925" w:type="dxa"/>
            <w:tcBorders>
              <w:top w:val="single" w:sz="4" w:space="0" w:color="auto"/>
              <w:left w:val="single" w:sz="4" w:space="0" w:color="auto"/>
              <w:bottom w:val="single" w:sz="4" w:space="0" w:color="auto"/>
              <w:right w:val="nil"/>
            </w:tcBorders>
            <w:vAlign w:val="bottom"/>
            <w:hideMark/>
          </w:tcPr>
          <w:p w14:paraId="03038EF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w:t>
            </w:r>
            <w:r>
              <w:rPr>
                <w:rFonts w:eastAsiaTheme="minorHAnsi"/>
                <w:color w:val="000000"/>
                <w:sz w:val="20"/>
                <w:szCs w:val="20"/>
                <w:u w:val="single"/>
                <w:lang w:val="en-US"/>
              </w:rPr>
              <w:t>8</w:t>
            </w:r>
          </w:p>
        </w:tc>
        <w:tc>
          <w:tcPr>
            <w:tcW w:w="755" w:type="dxa"/>
            <w:tcBorders>
              <w:top w:val="single" w:sz="4" w:space="0" w:color="auto"/>
              <w:left w:val="single" w:sz="4" w:space="0" w:color="auto"/>
              <w:bottom w:val="single" w:sz="4" w:space="0" w:color="auto"/>
              <w:right w:val="single" w:sz="4" w:space="0" w:color="auto"/>
            </w:tcBorders>
            <w:vAlign w:val="bottom"/>
            <w:hideMark/>
          </w:tcPr>
          <w:p w14:paraId="3A9072D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24D38F6"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3BC0089B"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5116E3B8"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62AF9A2" w14:textId="77777777" w:rsidR="00836512" w:rsidRDefault="00836512">
            <w:pPr>
              <w:jc w:val="center"/>
              <w:rPr>
                <w:rFonts w:eastAsiaTheme="minorHAnsi"/>
                <w:sz w:val="20"/>
                <w:szCs w:val="20"/>
                <w:lang w:val="en-US"/>
              </w:rPr>
            </w:pPr>
            <w:r>
              <w:rPr>
                <w:rFonts w:eastAsiaTheme="minorHAnsi"/>
                <w:sz w:val="20"/>
                <w:szCs w:val="20"/>
                <w:lang w:val="en-US"/>
              </w:rPr>
              <w:t>T19.02</w:t>
            </w:r>
          </w:p>
        </w:tc>
        <w:tc>
          <w:tcPr>
            <w:tcW w:w="1399" w:type="dxa"/>
            <w:tcBorders>
              <w:top w:val="single" w:sz="4" w:space="0" w:color="auto"/>
              <w:left w:val="single" w:sz="4" w:space="0" w:color="auto"/>
              <w:bottom w:val="single" w:sz="4" w:space="0" w:color="auto"/>
              <w:right w:val="single" w:sz="4" w:space="0" w:color="auto"/>
            </w:tcBorders>
            <w:hideMark/>
          </w:tcPr>
          <w:p w14:paraId="69B7BC5A" w14:textId="77777777" w:rsidR="00836512" w:rsidRDefault="00836512">
            <w:pPr>
              <w:jc w:val="center"/>
              <w:rPr>
                <w:rFonts w:eastAsiaTheme="minorHAnsi"/>
                <w:sz w:val="20"/>
                <w:szCs w:val="20"/>
                <w:lang w:val="en-US"/>
              </w:rPr>
            </w:pPr>
            <w:r>
              <w:rPr>
                <w:rFonts w:eastAsiaTheme="minorHAnsi"/>
                <w:sz w:val="20"/>
                <w:szCs w:val="20"/>
                <w:lang w:val="en-US"/>
              </w:rPr>
              <w:t>3.30 – 4.50</w:t>
            </w:r>
          </w:p>
        </w:tc>
        <w:tc>
          <w:tcPr>
            <w:tcW w:w="924" w:type="dxa"/>
            <w:tcBorders>
              <w:top w:val="single" w:sz="4" w:space="0" w:color="auto"/>
              <w:left w:val="single" w:sz="4" w:space="0" w:color="auto"/>
              <w:bottom w:val="single" w:sz="4" w:space="0" w:color="auto"/>
              <w:right w:val="single" w:sz="4" w:space="0" w:color="auto"/>
            </w:tcBorders>
            <w:hideMark/>
          </w:tcPr>
          <w:p w14:paraId="48C1B651" w14:textId="77777777" w:rsidR="00836512" w:rsidRDefault="00836512">
            <w:pPr>
              <w:jc w:val="center"/>
              <w:rPr>
                <w:rFonts w:eastAsiaTheme="minorHAnsi"/>
                <w:sz w:val="20"/>
                <w:szCs w:val="20"/>
                <w:lang w:val="en-US"/>
              </w:rPr>
            </w:pPr>
            <w:r>
              <w:rPr>
                <w:rFonts w:eastAsiaTheme="minorHAnsi"/>
                <w:sz w:val="20"/>
                <w:szCs w:val="20"/>
                <w:lang w:val="en-US"/>
              </w:rPr>
              <w:t>3.90</w:t>
            </w:r>
          </w:p>
        </w:tc>
        <w:tc>
          <w:tcPr>
            <w:tcW w:w="955" w:type="dxa"/>
            <w:tcBorders>
              <w:top w:val="single" w:sz="4" w:space="0" w:color="auto"/>
              <w:left w:val="nil"/>
              <w:bottom w:val="single" w:sz="4" w:space="0" w:color="auto"/>
              <w:right w:val="single" w:sz="4" w:space="0" w:color="auto"/>
            </w:tcBorders>
            <w:vAlign w:val="bottom"/>
            <w:hideMark/>
          </w:tcPr>
          <w:p w14:paraId="4A7C114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-19.1</w:t>
            </w:r>
          </w:p>
        </w:tc>
        <w:tc>
          <w:tcPr>
            <w:tcW w:w="925" w:type="dxa"/>
            <w:tcBorders>
              <w:top w:val="single" w:sz="4" w:space="0" w:color="auto"/>
              <w:left w:val="single" w:sz="4" w:space="0" w:color="auto"/>
              <w:bottom w:val="single" w:sz="4" w:space="0" w:color="auto"/>
              <w:right w:val="nil"/>
            </w:tcBorders>
            <w:vAlign w:val="bottom"/>
            <w:hideMark/>
          </w:tcPr>
          <w:p w14:paraId="14B08294" w14:textId="77777777" w:rsidR="00836512" w:rsidRDefault="00836512">
            <w:pPr>
              <w:jc w:val="center"/>
              <w:rPr>
                <w:rFonts w:eastAsiaTheme="minorHAnsi"/>
                <w:color w:val="000000"/>
                <w:sz w:val="20"/>
                <w:szCs w:val="20"/>
                <w:u w:val="single"/>
                <w:lang w:val="en-US"/>
              </w:rPr>
            </w:pPr>
            <w:r>
              <w:rPr>
                <w:rFonts w:eastAsiaTheme="minorHAnsi"/>
                <w:color w:val="000000"/>
                <w:sz w:val="20"/>
                <w:szCs w:val="20"/>
                <w:lang w:val="en-US"/>
              </w:rPr>
              <w:t>10.8</w:t>
            </w:r>
          </w:p>
        </w:tc>
        <w:tc>
          <w:tcPr>
            <w:tcW w:w="755" w:type="dxa"/>
            <w:tcBorders>
              <w:top w:val="single" w:sz="4" w:space="0" w:color="auto"/>
              <w:left w:val="single" w:sz="4" w:space="0" w:color="auto"/>
              <w:bottom w:val="single" w:sz="4" w:space="0" w:color="auto"/>
              <w:right w:val="single" w:sz="4" w:space="0" w:color="auto"/>
            </w:tcBorders>
            <w:vAlign w:val="bottom"/>
            <w:hideMark/>
          </w:tcPr>
          <w:p w14:paraId="528E25C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2E05722"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578F0923"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255E6067"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30A51D58" w14:textId="77777777" w:rsidR="00836512" w:rsidRDefault="00836512">
            <w:pPr>
              <w:jc w:val="center"/>
              <w:rPr>
                <w:rFonts w:eastAsiaTheme="minorHAnsi"/>
                <w:sz w:val="20"/>
                <w:szCs w:val="20"/>
                <w:lang w:val="en-US"/>
              </w:rPr>
            </w:pPr>
            <w:r>
              <w:rPr>
                <w:rFonts w:eastAsiaTheme="minorHAnsi"/>
                <w:sz w:val="20"/>
                <w:szCs w:val="20"/>
                <w:lang w:val="en-US"/>
              </w:rPr>
              <w:t>T19.03</w:t>
            </w:r>
          </w:p>
        </w:tc>
        <w:tc>
          <w:tcPr>
            <w:tcW w:w="1399" w:type="dxa"/>
            <w:tcBorders>
              <w:top w:val="single" w:sz="4" w:space="0" w:color="auto"/>
              <w:left w:val="single" w:sz="4" w:space="0" w:color="auto"/>
              <w:bottom w:val="single" w:sz="4" w:space="0" w:color="auto"/>
              <w:right w:val="single" w:sz="4" w:space="0" w:color="auto"/>
            </w:tcBorders>
            <w:hideMark/>
          </w:tcPr>
          <w:p w14:paraId="49638F36" w14:textId="77777777" w:rsidR="00836512" w:rsidRDefault="00836512">
            <w:pPr>
              <w:jc w:val="center"/>
              <w:rPr>
                <w:rFonts w:eastAsiaTheme="minorHAnsi"/>
                <w:sz w:val="20"/>
                <w:szCs w:val="20"/>
                <w:lang w:val="en-US"/>
              </w:rPr>
            </w:pPr>
            <w:r>
              <w:rPr>
                <w:rFonts w:eastAsiaTheme="minorHAnsi"/>
                <w:sz w:val="20"/>
                <w:szCs w:val="20"/>
                <w:lang w:val="en-US"/>
              </w:rPr>
              <w:t>4.50 – 5.70</w:t>
            </w:r>
          </w:p>
        </w:tc>
        <w:tc>
          <w:tcPr>
            <w:tcW w:w="924" w:type="dxa"/>
            <w:tcBorders>
              <w:top w:val="single" w:sz="4" w:space="0" w:color="auto"/>
              <w:left w:val="single" w:sz="4" w:space="0" w:color="auto"/>
              <w:bottom w:val="single" w:sz="4" w:space="0" w:color="auto"/>
              <w:right w:val="single" w:sz="4" w:space="0" w:color="auto"/>
            </w:tcBorders>
            <w:hideMark/>
          </w:tcPr>
          <w:p w14:paraId="0B79E715" w14:textId="77777777" w:rsidR="00836512" w:rsidRDefault="00836512">
            <w:pPr>
              <w:jc w:val="center"/>
              <w:rPr>
                <w:rFonts w:eastAsiaTheme="minorHAnsi"/>
                <w:sz w:val="20"/>
                <w:szCs w:val="20"/>
                <w:lang w:val="en-US"/>
              </w:rPr>
            </w:pPr>
            <w:r>
              <w:rPr>
                <w:rFonts w:eastAsiaTheme="minorHAnsi"/>
                <w:sz w:val="20"/>
                <w:szCs w:val="20"/>
                <w:lang w:val="en-US"/>
              </w:rPr>
              <w:t>5.10</w:t>
            </w:r>
          </w:p>
        </w:tc>
        <w:tc>
          <w:tcPr>
            <w:tcW w:w="955" w:type="dxa"/>
            <w:tcBorders>
              <w:top w:val="single" w:sz="4" w:space="0" w:color="auto"/>
              <w:left w:val="nil"/>
              <w:bottom w:val="single" w:sz="4" w:space="0" w:color="auto"/>
              <w:right w:val="single" w:sz="4" w:space="0" w:color="auto"/>
            </w:tcBorders>
            <w:vAlign w:val="bottom"/>
            <w:hideMark/>
          </w:tcPr>
          <w:p w14:paraId="5EA2C9A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925" w:type="dxa"/>
            <w:tcBorders>
              <w:top w:val="single" w:sz="4" w:space="0" w:color="auto"/>
              <w:left w:val="single" w:sz="4" w:space="0" w:color="auto"/>
              <w:bottom w:val="single" w:sz="4" w:space="0" w:color="auto"/>
              <w:right w:val="nil"/>
            </w:tcBorders>
            <w:vAlign w:val="bottom"/>
            <w:hideMark/>
          </w:tcPr>
          <w:p w14:paraId="261EC7E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10.7</w:t>
            </w:r>
          </w:p>
        </w:tc>
        <w:tc>
          <w:tcPr>
            <w:tcW w:w="755" w:type="dxa"/>
            <w:tcBorders>
              <w:top w:val="single" w:sz="4" w:space="0" w:color="auto"/>
              <w:left w:val="single" w:sz="4" w:space="0" w:color="auto"/>
              <w:bottom w:val="single" w:sz="4" w:space="0" w:color="auto"/>
              <w:right w:val="single" w:sz="4" w:space="0" w:color="auto"/>
            </w:tcBorders>
            <w:vAlign w:val="bottom"/>
            <w:hideMark/>
          </w:tcPr>
          <w:p w14:paraId="05E810F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78739D05"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637B870B"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4F8AD15"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2314AA50" w14:textId="77777777" w:rsidR="00836512" w:rsidRDefault="00836512">
            <w:pPr>
              <w:jc w:val="center"/>
              <w:rPr>
                <w:rFonts w:eastAsiaTheme="minorHAnsi"/>
                <w:sz w:val="20"/>
                <w:szCs w:val="20"/>
                <w:lang w:val="en-US"/>
              </w:rPr>
            </w:pPr>
            <w:r>
              <w:rPr>
                <w:rFonts w:eastAsiaTheme="minorHAnsi"/>
                <w:sz w:val="20"/>
                <w:szCs w:val="20"/>
                <w:lang w:val="en-US"/>
              </w:rPr>
              <w:t>T19.04</w:t>
            </w:r>
          </w:p>
        </w:tc>
        <w:tc>
          <w:tcPr>
            <w:tcW w:w="1399" w:type="dxa"/>
            <w:tcBorders>
              <w:top w:val="single" w:sz="4" w:space="0" w:color="auto"/>
              <w:left w:val="single" w:sz="4" w:space="0" w:color="auto"/>
              <w:bottom w:val="single" w:sz="4" w:space="0" w:color="auto"/>
              <w:right w:val="single" w:sz="4" w:space="0" w:color="auto"/>
            </w:tcBorders>
            <w:hideMark/>
          </w:tcPr>
          <w:p w14:paraId="6AD694EE" w14:textId="77777777" w:rsidR="00836512" w:rsidRDefault="00836512">
            <w:pPr>
              <w:jc w:val="center"/>
              <w:rPr>
                <w:rFonts w:eastAsiaTheme="minorHAnsi"/>
                <w:sz w:val="20"/>
                <w:szCs w:val="20"/>
                <w:lang w:val="en-US"/>
              </w:rPr>
            </w:pPr>
            <w:r>
              <w:rPr>
                <w:rFonts w:eastAsiaTheme="minorHAnsi"/>
                <w:sz w:val="20"/>
                <w:szCs w:val="20"/>
                <w:lang w:val="en-US"/>
              </w:rPr>
              <w:t>5.70 – 6.90</w:t>
            </w:r>
          </w:p>
        </w:tc>
        <w:tc>
          <w:tcPr>
            <w:tcW w:w="924" w:type="dxa"/>
            <w:tcBorders>
              <w:top w:val="single" w:sz="4" w:space="0" w:color="auto"/>
              <w:left w:val="single" w:sz="4" w:space="0" w:color="auto"/>
              <w:bottom w:val="single" w:sz="4" w:space="0" w:color="auto"/>
              <w:right w:val="single" w:sz="4" w:space="0" w:color="auto"/>
            </w:tcBorders>
            <w:hideMark/>
          </w:tcPr>
          <w:p w14:paraId="451C4E72" w14:textId="77777777" w:rsidR="00836512" w:rsidRDefault="00836512">
            <w:pPr>
              <w:jc w:val="center"/>
              <w:rPr>
                <w:rFonts w:eastAsiaTheme="minorHAnsi"/>
                <w:sz w:val="20"/>
                <w:szCs w:val="20"/>
                <w:lang w:val="en-US"/>
              </w:rPr>
            </w:pPr>
            <w:r>
              <w:rPr>
                <w:rFonts w:eastAsiaTheme="minorHAnsi"/>
                <w:sz w:val="20"/>
                <w:szCs w:val="20"/>
                <w:lang w:val="en-US"/>
              </w:rPr>
              <w:t>6.30</w:t>
            </w:r>
          </w:p>
        </w:tc>
        <w:tc>
          <w:tcPr>
            <w:tcW w:w="955" w:type="dxa"/>
            <w:tcBorders>
              <w:top w:val="single" w:sz="4" w:space="0" w:color="auto"/>
              <w:left w:val="nil"/>
              <w:bottom w:val="single" w:sz="4" w:space="0" w:color="auto"/>
              <w:right w:val="single" w:sz="4" w:space="0" w:color="auto"/>
            </w:tcBorders>
            <w:vAlign w:val="bottom"/>
            <w:hideMark/>
          </w:tcPr>
          <w:p w14:paraId="69FA391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-18.8</w:t>
            </w:r>
          </w:p>
        </w:tc>
        <w:tc>
          <w:tcPr>
            <w:tcW w:w="925" w:type="dxa"/>
            <w:tcBorders>
              <w:top w:val="single" w:sz="4" w:space="0" w:color="auto"/>
              <w:left w:val="single" w:sz="4" w:space="0" w:color="auto"/>
              <w:bottom w:val="single" w:sz="4" w:space="0" w:color="auto"/>
              <w:right w:val="nil"/>
            </w:tcBorders>
            <w:vAlign w:val="bottom"/>
            <w:hideMark/>
          </w:tcPr>
          <w:p w14:paraId="3F6DF53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10.2</w:t>
            </w:r>
          </w:p>
        </w:tc>
        <w:tc>
          <w:tcPr>
            <w:tcW w:w="755" w:type="dxa"/>
            <w:tcBorders>
              <w:top w:val="single" w:sz="4" w:space="0" w:color="auto"/>
              <w:left w:val="single" w:sz="4" w:space="0" w:color="auto"/>
              <w:bottom w:val="single" w:sz="4" w:space="0" w:color="auto"/>
              <w:right w:val="single" w:sz="4" w:space="0" w:color="auto"/>
            </w:tcBorders>
            <w:vAlign w:val="bottom"/>
            <w:hideMark/>
          </w:tcPr>
          <w:p w14:paraId="7865E79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CBAE071"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065BB624"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07673728"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1DBBB63A" w14:textId="77777777" w:rsidR="00836512" w:rsidRDefault="00836512">
            <w:pPr>
              <w:jc w:val="center"/>
              <w:rPr>
                <w:rFonts w:eastAsiaTheme="minorHAnsi"/>
                <w:sz w:val="20"/>
                <w:szCs w:val="20"/>
                <w:lang w:val="en-US"/>
              </w:rPr>
            </w:pPr>
            <w:r>
              <w:rPr>
                <w:rFonts w:eastAsiaTheme="minorHAnsi"/>
                <w:sz w:val="20"/>
                <w:szCs w:val="20"/>
                <w:lang w:val="en-US"/>
              </w:rPr>
              <w:t>T19.05</w:t>
            </w:r>
          </w:p>
        </w:tc>
        <w:tc>
          <w:tcPr>
            <w:tcW w:w="1399" w:type="dxa"/>
            <w:tcBorders>
              <w:top w:val="single" w:sz="4" w:space="0" w:color="auto"/>
              <w:left w:val="single" w:sz="4" w:space="0" w:color="auto"/>
              <w:bottom w:val="single" w:sz="4" w:space="0" w:color="auto"/>
              <w:right w:val="single" w:sz="4" w:space="0" w:color="auto"/>
            </w:tcBorders>
            <w:hideMark/>
          </w:tcPr>
          <w:p w14:paraId="454A877E" w14:textId="77777777" w:rsidR="00836512" w:rsidRDefault="00836512">
            <w:pPr>
              <w:jc w:val="center"/>
              <w:rPr>
                <w:rFonts w:eastAsiaTheme="minorHAnsi"/>
                <w:sz w:val="20"/>
                <w:szCs w:val="20"/>
                <w:lang w:val="en-US"/>
              </w:rPr>
            </w:pPr>
            <w:r>
              <w:rPr>
                <w:rFonts w:eastAsiaTheme="minorHAnsi"/>
                <w:sz w:val="20"/>
                <w:szCs w:val="20"/>
                <w:lang w:val="en-US"/>
              </w:rPr>
              <w:t>6.90 – 8.10</w:t>
            </w:r>
          </w:p>
        </w:tc>
        <w:tc>
          <w:tcPr>
            <w:tcW w:w="924" w:type="dxa"/>
            <w:tcBorders>
              <w:top w:val="single" w:sz="4" w:space="0" w:color="auto"/>
              <w:left w:val="single" w:sz="4" w:space="0" w:color="auto"/>
              <w:bottom w:val="single" w:sz="4" w:space="0" w:color="auto"/>
              <w:right w:val="single" w:sz="4" w:space="0" w:color="auto"/>
            </w:tcBorders>
            <w:hideMark/>
          </w:tcPr>
          <w:p w14:paraId="573CBDFF" w14:textId="77777777" w:rsidR="00836512" w:rsidRDefault="00836512">
            <w:pPr>
              <w:jc w:val="center"/>
              <w:rPr>
                <w:rFonts w:eastAsiaTheme="minorHAnsi"/>
                <w:sz w:val="20"/>
                <w:szCs w:val="20"/>
                <w:lang w:val="en-US"/>
              </w:rPr>
            </w:pPr>
            <w:r>
              <w:rPr>
                <w:rFonts w:eastAsiaTheme="minorHAnsi"/>
                <w:sz w:val="20"/>
                <w:szCs w:val="20"/>
                <w:lang w:val="en-US"/>
              </w:rPr>
              <w:t>7.50</w:t>
            </w:r>
          </w:p>
        </w:tc>
        <w:tc>
          <w:tcPr>
            <w:tcW w:w="955" w:type="dxa"/>
            <w:tcBorders>
              <w:top w:val="single" w:sz="4" w:space="0" w:color="auto"/>
              <w:left w:val="nil"/>
              <w:bottom w:val="single" w:sz="4" w:space="0" w:color="auto"/>
              <w:right w:val="single" w:sz="4" w:space="0" w:color="auto"/>
            </w:tcBorders>
            <w:vAlign w:val="bottom"/>
            <w:hideMark/>
          </w:tcPr>
          <w:p w14:paraId="5051B59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-18.8</w:t>
            </w:r>
          </w:p>
        </w:tc>
        <w:tc>
          <w:tcPr>
            <w:tcW w:w="925" w:type="dxa"/>
            <w:tcBorders>
              <w:top w:val="single" w:sz="4" w:space="0" w:color="auto"/>
              <w:left w:val="single" w:sz="4" w:space="0" w:color="auto"/>
              <w:bottom w:val="single" w:sz="4" w:space="0" w:color="auto"/>
              <w:right w:val="nil"/>
            </w:tcBorders>
            <w:vAlign w:val="bottom"/>
            <w:hideMark/>
          </w:tcPr>
          <w:p w14:paraId="69AFD5B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10.1</w:t>
            </w:r>
          </w:p>
        </w:tc>
        <w:tc>
          <w:tcPr>
            <w:tcW w:w="755" w:type="dxa"/>
            <w:tcBorders>
              <w:top w:val="single" w:sz="4" w:space="0" w:color="auto"/>
              <w:left w:val="single" w:sz="4" w:space="0" w:color="auto"/>
              <w:bottom w:val="single" w:sz="4" w:space="0" w:color="auto"/>
              <w:right w:val="single" w:sz="4" w:space="0" w:color="auto"/>
            </w:tcBorders>
            <w:vAlign w:val="bottom"/>
            <w:hideMark/>
          </w:tcPr>
          <w:p w14:paraId="19A6BD5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E78F947"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1841121D"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360ABD1"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EAC3D20" w14:textId="77777777" w:rsidR="00836512" w:rsidRDefault="00836512">
            <w:pPr>
              <w:jc w:val="center"/>
              <w:rPr>
                <w:rFonts w:eastAsiaTheme="minorHAnsi"/>
                <w:sz w:val="20"/>
                <w:szCs w:val="20"/>
                <w:lang w:val="en-US"/>
              </w:rPr>
            </w:pPr>
            <w:r>
              <w:rPr>
                <w:rFonts w:eastAsiaTheme="minorHAnsi"/>
                <w:sz w:val="20"/>
                <w:szCs w:val="20"/>
                <w:lang w:val="en-US"/>
              </w:rPr>
              <w:t>T19.06</w:t>
            </w:r>
          </w:p>
        </w:tc>
        <w:tc>
          <w:tcPr>
            <w:tcW w:w="1399" w:type="dxa"/>
            <w:tcBorders>
              <w:top w:val="single" w:sz="4" w:space="0" w:color="auto"/>
              <w:left w:val="single" w:sz="4" w:space="0" w:color="auto"/>
              <w:bottom w:val="single" w:sz="4" w:space="0" w:color="auto"/>
              <w:right w:val="single" w:sz="4" w:space="0" w:color="auto"/>
            </w:tcBorders>
            <w:hideMark/>
          </w:tcPr>
          <w:p w14:paraId="30B1EA6A" w14:textId="77777777" w:rsidR="00836512" w:rsidRDefault="00836512">
            <w:pPr>
              <w:jc w:val="center"/>
              <w:rPr>
                <w:rFonts w:eastAsiaTheme="minorHAnsi"/>
                <w:sz w:val="20"/>
                <w:szCs w:val="20"/>
                <w:lang w:val="en-US"/>
              </w:rPr>
            </w:pPr>
            <w:r>
              <w:rPr>
                <w:rFonts w:eastAsiaTheme="minorHAnsi"/>
                <w:sz w:val="20"/>
                <w:szCs w:val="20"/>
                <w:lang w:val="en-US"/>
              </w:rPr>
              <w:t>8.10 – 9.30</w:t>
            </w:r>
          </w:p>
        </w:tc>
        <w:tc>
          <w:tcPr>
            <w:tcW w:w="924" w:type="dxa"/>
            <w:tcBorders>
              <w:top w:val="single" w:sz="4" w:space="0" w:color="auto"/>
              <w:left w:val="single" w:sz="4" w:space="0" w:color="auto"/>
              <w:bottom w:val="single" w:sz="4" w:space="0" w:color="auto"/>
              <w:right w:val="single" w:sz="4" w:space="0" w:color="auto"/>
            </w:tcBorders>
            <w:hideMark/>
          </w:tcPr>
          <w:p w14:paraId="347AACAA" w14:textId="77777777" w:rsidR="00836512" w:rsidRDefault="00836512">
            <w:pPr>
              <w:jc w:val="center"/>
              <w:rPr>
                <w:rFonts w:eastAsiaTheme="minorHAnsi"/>
                <w:sz w:val="20"/>
                <w:szCs w:val="20"/>
                <w:lang w:val="en-US"/>
              </w:rPr>
            </w:pPr>
            <w:r>
              <w:rPr>
                <w:rFonts w:eastAsiaTheme="minorHAnsi"/>
                <w:sz w:val="20"/>
                <w:szCs w:val="20"/>
                <w:lang w:val="en-US"/>
              </w:rPr>
              <w:t>8.70</w:t>
            </w:r>
          </w:p>
        </w:tc>
        <w:tc>
          <w:tcPr>
            <w:tcW w:w="955" w:type="dxa"/>
            <w:tcBorders>
              <w:top w:val="single" w:sz="4" w:space="0" w:color="auto"/>
              <w:left w:val="nil"/>
              <w:bottom w:val="single" w:sz="4" w:space="0" w:color="auto"/>
              <w:right w:val="single" w:sz="4" w:space="0" w:color="auto"/>
            </w:tcBorders>
            <w:vAlign w:val="bottom"/>
            <w:hideMark/>
          </w:tcPr>
          <w:p w14:paraId="613ECC8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-18.9</w:t>
            </w:r>
          </w:p>
        </w:tc>
        <w:tc>
          <w:tcPr>
            <w:tcW w:w="925" w:type="dxa"/>
            <w:tcBorders>
              <w:top w:val="single" w:sz="4" w:space="0" w:color="auto"/>
              <w:left w:val="single" w:sz="4" w:space="0" w:color="auto"/>
              <w:bottom w:val="single" w:sz="4" w:space="0" w:color="auto"/>
              <w:right w:val="nil"/>
            </w:tcBorders>
            <w:vAlign w:val="bottom"/>
            <w:hideMark/>
          </w:tcPr>
          <w:p w14:paraId="4139178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10.2</w:t>
            </w:r>
          </w:p>
        </w:tc>
        <w:tc>
          <w:tcPr>
            <w:tcW w:w="755" w:type="dxa"/>
            <w:tcBorders>
              <w:top w:val="single" w:sz="4" w:space="0" w:color="auto"/>
              <w:left w:val="single" w:sz="4" w:space="0" w:color="auto"/>
              <w:bottom w:val="single" w:sz="4" w:space="0" w:color="auto"/>
              <w:right w:val="single" w:sz="4" w:space="0" w:color="auto"/>
            </w:tcBorders>
            <w:vAlign w:val="bottom"/>
            <w:hideMark/>
          </w:tcPr>
          <w:p w14:paraId="46498B7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B844D30"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51FFDB7A"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5F93CA7C"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43CBD7DB" w14:textId="77777777" w:rsidR="00836512" w:rsidRDefault="00836512">
            <w:pPr>
              <w:jc w:val="center"/>
              <w:rPr>
                <w:rFonts w:eastAsiaTheme="minorHAnsi"/>
                <w:sz w:val="20"/>
                <w:szCs w:val="20"/>
                <w:lang w:val="en-US"/>
              </w:rPr>
            </w:pPr>
            <w:r>
              <w:rPr>
                <w:rFonts w:eastAsiaTheme="minorHAnsi"/>
                <w:sz w:val="20"/>
                <w:szCs w:val="20"/>
                <w:lang w:val="en-US"/>
              </w:rPr>
              <w:t>T19.07</w:t>
            </w:r>
          </w:p>
        </w:tc>
        <w:tc>
          <w:tcPr>
            <w:tcW w:w="1399" w:type="dxa"/>
            <w:tcBorders>
              <w:top w:val="single" w:sz="4" w:space="0" w:color="auto"/>
              <w:left w:val="single" w:sz="4" w:space="0" w:color="auto"/>
              <w:bottom w:val="single" w:sz="4" w:space="0" w:color="auto"/>
              <w:right w:val="single" w:sz="4" w:space="0" w:color="auto"/>
            </w:tcBorders>
            <w:hideMark/>
          </w:tcPr>
          <w:p w14:paraId="7E24BA1B" w14:textId="77777777" w:rsidR="00836512" w:rsidRDefault="00836512">
            <w:pPr>
              <w:jc w:val="center"/>
              <w:rPr>
                <w:rFonts w:eastAsiaTheme="minorHAnsi"/>
                <w:sz w:val="20"/>
                <w:szCs w:val="20"/>
                <w:lang w:val="en-US"/>
              </w:rPr>
            </w:pPr>
            <w:r>
              <w:rPr>
                <w:rFonts w:eastAsiaTheme="minorHAnsi"/>
                <w:sz w:val="20"/>
                <w:szCs w:val="20"/>
                <w:lang w:val="en-US"/>
              </w:rPr>
              <w:t>9.30 – 10.50</w:t>
            </w:r>
          </w:p>
        </w:tc>
        <w:tc>
          <w:tcPr>
            <w:tcW w:w="924" w:type="dxa"/>
            <w:tcBorders>
              <w:top w:val="single" w:sz="4" w:space="0" w:color="auto"/>
              <w:left w:val="single" w:sz="4" w:space="0" w:color="auto"/>
              <w:bottom w:val="single" w:sz="4" w:space="0" w:color="auto"/>
              <w:right w:val="single" w:sz="4" w:space="0" w:color="auto"/>
            </w:tcBorders>
            <w:hideMark/>
          </w:tcPr>
          <w:p w14:paraId="62049DEF" w14:textId="77777777" w:rsidR="00836512" w:rsidRDefault="00836512">
            <w:pPr>
              <w:jc w:val="center"/>
              <w:rPr>
                <w:rFonts w:eastAsiaTheme="minorHAnsi"/>
                <w:sz w:val="20"/>
                <w:szCs w:val="20"/>
                <w:lang w:val="en-US"/>
              </w:rPr>
            </w:pPr>
            <w:r>
              <w:rPr>
                <w:rFonts w:eastAsiaTheme="minorHAnsi"/>
                <w:sz w:val="20"/>
                <w:szCs w:val="20"/>
                <w:lang w:val="en-US"/>
              </w:rPr>
              <w:t>9.90</w:t>
            </w:r>
          </w:p>
        </w:tc>
        <w:tc>
          <w:tcPr>
            <w:tcW w:w="955" w:type="dxa"/>
            <w:tcBorders>
              <w:top w:val="single" w:sz="4" w:space="0" w:color="auto"/>
              <w:left w:val="nil"/>
              <w:bottom w:val="single" w:sz="4" w:space="0" w:color="auto"/>
              <w:right w:val="single" w:sz="4" w:space="0" w:color="auto"/>
            </w:tcBorders>
            <w:vAlign w:val="bottom"/>
            <w:hideMark/>
          </w:tcPr>
          <w:p w14:paraId="662BCB0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39192A1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10.2</w:t>
            </w:r>
          </w:p>
        </w:tc>
        <w:tc>
          <w:tcPr>
            <w:tcW w:w="755" w:type="dxa"/>
            <w:tcBorders>
              <w:top w:val="single" w:sz="4" w:space="0" w:color="auto"/>
              <w:left w:val="single" w:sz="4" w:space="0" w:color="auto"/>
              <w:bottom w:val="single" w:sz="4" w:space="0" w:color="auto"/>
              <w:right w:val="single" w:sz="4" w:space="0" w:color="auto"/>
            </w:tcBorders>
            <w:vAlign w:val="bottom"/>
            <w:hideMark/>
          </w:tcPr>
          <w:p w14:paraId="15702D3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8565C73"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6D91DD9C"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0FEFAC33"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8ADE42F" w14:textId="77777777" w:rsidR="00836512" w:rsidRDefault="00836512">
            <w:pPr>
              <w:jc w:val="center"/>
              <w:rPr>
                <w:rFonts w:eastAsiaTheme="minorHAnsi"/>
                <w:sz w:val="20"/>
                <w:szCs w:val="20"/>
                <w:lang w:val="en-US"/>
              </w:rPr>
            </w:pPr>
            <w:r>
              <w:rPr>
                <w:rFonts w:eastAsiaTheme="minorHAnsi"/>
                <w:sz w:val="20"/>
                <w:szCs w:val="20"/>
                <w:lang w:val="en-US"/>
              </w:rPr>
              <w:t>T19.08</w:t>
            </w:r>
          </w:p>
        </w:tc>
        <w:tc>
          <w:tcPr>
            <w:tcW w:w="1399" w:type="dxa"/>
            <w:tcBorders>
              <w:top w:val="single" w:sz="4" w:space="0" w:color="auto"/>
              <w:left w:val="single" w:sz="4" w:space="0" w:color="auto"/>
              <w:bottom w:val="single" w:sz="4" w:space="0" w:color="auto"/>
              <w:right w:val="single" w:sz="4" w:space="0" w:color="auto"/>
            </w:tcBorders>
            <w:hideMark/>
          </w:tcPr>
          <w:p w14:paraId="4217E01A" w14:textId="77777777" w:rsidR="00836512" w:rsidRDefault="00836512">
            <w:pPr>
              <w:jc w:val="center"/>
              <w:rPr>
                <w:rFonts w:eastAsiaTheme="minorHAnsi"/>
                <w:sz w:val="20"/>
                <w:szCs w:val="20"/>
                <w:lang w:val="en-US"/>
              </w:rPr>
            </w:pPr>
            <w:r>
              <w:rPr>
                <w:rFonts w:eastAsiaTheme="minorHAnsi"/>
                <w:sz w:val="20"/>
                <w:szCs w:val="20"/>
                <w:lang w:val="en-US"/>
              </w:rPr>
              <w:t>10.50 – 11.70</w:t>
            </w:r>
          </w:p>
        </w:tc>
        <w:tc>
          <w:tcPr>
            <w:tcW w:w="924" w:type="dxa"/>
            <w:tcBorders>
              <w:top w:val="single" w:sz="4" w:space="0" w:color="auto"/>
              <w:left w:val="single" w:sz="4" w:space="0" w:color="auto"/>
              <w:bottom w:val="single" w:sz="4" w:space="0" w:color="auto"/>
              <w:right w:val="single" w:sz="4" w:space="0" w:color="auto"/>
            </w:tcBorders>
            <w:hideMark/>
          </w:tcPr>
          <w:p w14:paraId="28FD1732" w14:textId="77777777" w:rsidR="00836512" w:rsidRDefault="00836512">
            <w:pPr>
              <w:jc w:val="center"/>
              <w:rPr>
                <w:rFonts w:eastAsiaTheme="minorHAnsi"/>
                <w:sz w:val="20"/>
                <w:szCs w:val="20"/>
                <w:lang w:val="en-US"/>
              </w:rPr>
            </w:pPr>
            <w:r>
              <w:rPr>
                <w:rFonts w:eastAsiaTheme="minorHAnsi"/>
                <w:sz w:val="20"/>
                <w:szCs w:val="20"/>
                <w:lang w:val="en-US"/>
              </w:rPr>
              <w:t>11.10</w:t>
            </w:r>
          </w:p>
        </w:tc>
        <w:tc>
          <w:tcPr>
            <w:tcW w:w="955" w:type="dxa"/>
            <w:tcBorders>
              <w:top w:val="single" w:sz="4" w:space="0" w:color="auto"/>
              <w:left w:val="nil"/>
              <w:bottom w:val="single" w:sz="4" w:space="0" w:color="auto"/>
              <w:right w:val="single" w:sz="4" w:space="0" w:color="auto"/>
            </w:tcBorders>
            <w:vAlign w:val="bottom"/>
            <w:hideMark/>
          </w:tcPr>
          <w:p w14:paraId="106F932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925" w:type="dxa"/>
            <w:tcBorders>
              <w:top w:val="single" w:sz="4" w:space="0" w:color="auto"/>
              <w:left w:val="single" w:sz="4" w:space="0" w:color="auto"/>
              <w:bottom w:val="single" w:sz="4" w:space="0" w:color="auto"/>
              <w:right w:val="nil"/>
            </w:tcBorders>
            <w:vAlign w:val="bottom"/>
            <w:hideMark/>
          </w:tcPr>
          <w:p w14:paraId="236D560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10.3</w:t>
            </w:r>
          </w:p>
        </w:tc>
        <w:tc>
          <w:tcPr>
            <w:tcW w:w="755" w:type="dxa"/>
            <w:tcBorders>
              <w:top w:val="single" w:sz="4" w:space="0" w:color="auto"/>
              <w:left w:val="single" w:sz="4" w:space="0" w:color="auto"/>
              <w:bottom w:val="single" w:sz="4" w:space="0" w:color="auto"/>
              <w:right w:val="single" w:sz="4" w:space="0" w:color="auto"/>
            </w:tcBorders>
            <w:vAlign w:val="bottom"/>
            <w:hideMark/>
          </w:tcPr>
          <w:p w14:paraId="34890A2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887470D"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4254DB0"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562255B1"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E3E51C5" w14:textId="77777777" w:rsidR="00836512" w:rsidRDefault="00836512">
            <w:pPr>
              <w:jc w:val="center"/>
              <w:rPr>
                <w:rFonts w:eastAsiaTheme="minorHAnsi"/>
                <w:sz w:val="20"/>
                <w:szCs w:val="20"/>
                <w:lang w:val="en-US"/>
              </w:rPr>
            </w:pPr>
            <w:r>
              <w:rPr>
                <w:rFonts w:eastAsiaTheme="minorHAnsi"/>
                <w:sz w:val="20"/>
                <w:szCs w:val="20"/>
                <w:lang w:val="en-US"/>
              </w:rPr>
              <w:t>T19.09</w:t>
            </w:r>
          </w:p>
        </w:tc>
        <w:tc>
          <w:tcPr>
            <w:tcW w:w="1399" w:type="dxa"/>
            <w:tcBorders>
              <w:top w:val="single" w:sz="4" w:space="0" w:color="auto"/>
              <w:left w:val="single" w:sz="4" w:space="0" w:color="auto"/>
              <w:bottom w:val="single" w:sz="4" w:space="0" w:color="auto"/>
              <w:right w:val="single" w:sz="4" w:space="0" w:color="auto"/>
            </w:tcBorders>
            <w:hideMark/>
          </w:tcPr>
          <w:p w14:paraId="37D3F70A" w14:textId="77777777" w:rsidR="00836512" w:rsidRDefault="00836512">
            <w:pPr>
              <w:jc w:val="center"/>
              <w:rPr>
                <w:rFonts w:eastAsiaTheme="minorHAnsi"/>
                <w:sz w:val="20"/>
                <w:szCs w:val="20"/>
                <w:lang w:val="en-US"/>
              </w:rPr>
            </w:pPr>
            <w:r>
              <w:rPr>
                <w:rFonts w:eastAsiaTheme="minorHAnsi"/>
                <w:sz w:val="20"/>
                <w:szCs w:val="20"/>
                <w:lang w:val="en-US"/>
              </w:rPr>
              <w:t>11.70 – 13.50</w:t>
            </w:r>
          </w:p>
        </w:tc>
        <w:tc>
          <w:tcPr>
            <w:tcW w:w="924" w:type="dxa"/>
            <w:tcBorders>
              <w:top w:val="single" w:sz="4" w:space="0" w:color="auto"/>
              <w:left w:val="single" w:sz="4" w:space="0" w:color="auto"/>
              <w:bottom w:val="single" w:sz="4" w:space="0" w:color="auto"/>
              <w:right w:val="single" w:sz="4" w:space="0" w:color="auto"/>
            </w:tcBorders>
            <w:hideMark/>
          </w:tcPr>
          <w:p w14:paraId="59B919DE" w14:textId="77777777" w:rsidR="00836512" w:rsidRDefault="00836512">
            <w:pPr>
              <w:jc w:val="center"/>
              <w:rPr>
                <w:rFonts w:eastAsiaTheme="minorHAnsi"/>
                <w:sz w:val="20"/>
                <w:szCs w:val="20"/>
                <w:lang w:val="en-US"/>
              </w:rPr>
            </w:pPr>
            <w:r>
              <w:rPr>
                <w:rFonts w:eastAsiaTheme="minorHAnsi"/>
                <w:sz w:val="20"/>
                <w:szCs w:val="20"/>
                <w:lang w:val="en-US"/>
              </w:rPr>
              <w:t>12.60</w:t>
            </w:r>
          </w:p>
        </w:tc>
        <w:tc>
          <w:tcPr>
            <w:tcW w:w="955" w:type="dxa"/>
            <w:tcBorders>
              <w:top w:val="single" w:sz="4" w:space="0" w:color="auto"/>
              <w:left w:val="nil"/>
              <w:bottom w:val="single" w:sz="4" w:space="0" w:color="auto"/>
              <w:right w:val="single" w:sz="4" w:space="0" w:color="auto"/>
            </w:tcBorders>
            <w:vAlign w:val="bottom"/>
            <w:hideMark/>
          </w:tcPr>
          <w:p w14:paraId="2D222E5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1357BD0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10.6</w:t>
            </w:r>
          </w:p>
        </w:tc>
        <w:tc>
          <w:tcPr>
            <w:tcW w:w="755" w:type="dxa"/>
            <w:tcBorders>
              <w:top w:val="single" w:sz="4" w:space="0" w:color="auto"/>
              <w:left w:val="single" w:sz="4" w:space="0" w:color="auto"/>
              <w:bottom w:val="single" w:sz="4" w:space="0" w:color="auto"/>
              <w:right w:val="single" w:sz="4" w:space="0" w:color="auto"/>
            </w:tcBorders>
            <w:vAlign w:val="bottom"/>
            <w:hideMark/>
          </w:tcPr>
          <w:p w14:paraId="27FAB89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80D536D" w14:textId="77777777" w:rsidTr="004533C9">
        <w:tc>
          <w:tcPr>
            <w:tcW w:w="1216" w:type="dxa"/>
            <w:vMerge w:val="restart"/>
            <w:tcBorders>
              <w:top w:val="single" w:sz="4" w:space="0" w:color="auto"/>
              <w:left w:val="single" w:sz="4" w:space="0" w:color="auto"/>
              <w:bottom w:val="single" w:sz="4" w:space="0" w:color="auto"/>
              <w:right w:val="single" w:sz="4" w:space="0" w:color="auto"/>
            </w:tcBorders>
            <w:hideMark/>
          </w:tcPr>
          <w:p w14:paraId="58BD9649" w14:textId="77777777" w:rsidR="00836512" w:rsidRDefault="00836512">
            <w:pPr>
              <w:jc w:val="center"/>
              <w:rPr>
                <w:rFonts w:eastAsiaTheme="minorHAnsi"/>
                <w:sz w:val="20"/>
                <w:szCs w:val="20"/>
                <w:lang w:val="en-US"/>
              </w:rPr>
            </w:pPr>
            <w:r>
              <w:rPr>
                <w:rFonts w:eastAsiaTheme="minorHAnsi"/>
                <w:sz w:val="20"/>
                <w:szCs w:val="20"/>
                <w:lang w:val="en-US"/>
              </w:rPr>
              <w:t>Botromagno</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7C3B632E" w14:textId="77777777" w:rsidR="00836512" w:rsidRDefault="00836512">
            <w:pPr>
              <w:jc w:val="center"/>
              <w:rPr>
                <w:rFonts w:eastAsiaTheme="minorHAnsi"/>
                <w:sz w:val="20"/>
                <w:szCs w:val="20"/>
                <w:lang w:val="it-IT"/>
              </w:rPr>
            </w:pPr>
            <w:r>
              <w:rPr>
                <w:rFonts w:eastAsiaTheme="minorHAnsi"/>
                <w:sz w:val="20"/>
                <w:szCs w:val="20"/>
                <w:lang w:val="it-IT"/>
              </w:rPr>
              <w:t>Botr 1968 GDA 68 R1 F1 L5</w:t>
            </w:r>
          </w:p>
        </w:tc>
        <w:tc>
          <w:tcPr>
            <w:tcW w:w="1333" w:type="dxa"/>
            <w:tcBorders>
              <w:top w:val="single" w:sz="4" w:space="0" w:color="auto"/>
              <w:left w:val="single" w:sz="4" w:space="0" w:color="auto"/>
              <w:bottom w:val="single" w:sz="4" w:space="0" w:color="auto"/>
              <w:right w:val="single" w:sz="4" w:space="0" w:color="auto"/>
            </w:tcBorders>
            <w:hideMark/>
          </w:tcPr>
          <w:p w14:paraId="0D58D4CC" w14:textId="77777777" w:rsidR="00836512" w:rsidRDefault="00836512">
            <w:pPr>
              <w:jc w:val="center"/>
              <w:rPr>
                <w:rFonts w:eastAsiaTheme="minorHAnsi"/>
                <w:sz w:val="20"/>
                <w:szCs w:val="20"/>
                <w:lang w:val="en-US"/>
              </w:rPr>
            </w:pPr>
            <w:r>
              <w:rPr>
                <w:rFonts w:eastAsiaTheme="minorHAnsi"/>
                <w:sz w:val="20"/>
                <w:szCs w:val="20"/>
                <w:lang w:val="en-US"/>
              </w:rPr>
              <w:t>T20.01</w:t>
            </w:r>
          </w:p>
        </w:tc>
        <w:tc>
          <w:tcPr>
            <w:tcW w:w="1399" w:type="dxa"/>
            <w:tcBorders>
              <w:top w:val="single" w:sz="4" w:space="0" w:color="auto"/>
              <w:left w:val="single" w:sz="4" w:space="0" w:color="auto"/>
              <w:bottom w:val="single" w:sz="4" w:space="0" w:color="auto"/>
              <w:right w:val="single" w:sz="4" w:space="0" w:color="auto"/>
            </w:tcBorders>
            <w:hideMark/>
          </w:tcPr>
          <w:p w14:paraId="23E85DF8" w14:textId="77777777" w:rsidR="00836512" w:rsidRDefault="00836512">
            <w:pPr>
              <w:jc w:val="center"/>
              <w:rPr>
                <w:rFonts w:eastAsiaTheme="minorHAnsi"/>
                <w:sz w:val="20"/>
                <w:szCs w:val="20"/>
                <w:lang w:val="en-US"/>
              </w:rPr>
            </w:pPr>
            <w:r>
              <w:rPr>
                <w:rFonts w:eastAsiaTheme="minorHAnsi"/>
                <w:sz w:val="20"/>
                <w:szCs w:val="20"/>
                <w:lang w:val="en-US"/>
              </w:rPr>
              <w:t>2.00 – 2.90</w:t>
            </w:r>
          </w:p>
        </w:tc>
        <w:tc>
          <w:tcPr>
            <w:tcW w:w="924" w:type="dxa"/>
            <w:tcBorders>
              <w:top w:val="single" w:sz="4" w:space="0" w:color="auto"/>
              <w:left w:val="single" w:sz="4" w:space="0" w:color="auto"/>
              <w:bottom w:val="single" w:sz="4" w:space="0" w:color="auto"/>
              <w:right w:val="single" w:sz="4" w:space="0" w:color="auto"/>
            </w:tcBorders>
            <w:hideMark/>
          </w:tcPr>
          <w:p w14:paraId="2469ADFD" w14:textId="77777777" w:rsidR="00836512" w:rsidRDefault="00836512">
            <w:pPr>
              <w:jc w:val="center"/>
              <w:rPr>
                <w:rFonts w:eastAsiaTheme="minorHAnsi"/>
                <w:sz w:val="20"/>
                <w:szCs w:val="20"/>
                <w:lang w:val="en-US"/>
              </w:rPr>
            </w:pPr>
            <w:r>
              <w:rPr>
                <w:rFonts w:eastAsiaTheme="minorHAnsi"/>
                <w:sz w:val="20"/>
                <w:szCs w:val="20"/>
                <w:lang w:val="en-US"/>
              </w:rPr>
              <w:t>2.45</w:t>
            </w:r>
          </w:p>
        </w:tc>
        <w:tc>
          <w:tcPr>
            <w:tcW w:w="955" w:type="dxa"/>
            <w:tcBorders>
              <w:top w:val="single" w:sz="4" w:space="0" w:color="auto"/>
              <w:left w:val="nil"/>
              <w:bottom w:val="single" w:sz="4" w:space="0" w:color="auto"/>
              <w:right w:val="single" w:sz="4" w:space="0" w:color="auto"/>
            </w:tcBorders>
            <w:vAlign w:val="bottom"/>
            <w:hideMark/>
          </w:tcPr>
          <w:p w14:paraId="054493E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-19.0</w:t>
            </w:r>
          </w:p>
        </w:tc>
        <w:tc>
          <w:tcPr>
            <w:tcW w:w="925" w:type="dxa"/>
            <w:tcBorders>
              <w:top w:val="single" w:sz="4" w:space="0" w:color="auto"/>
              <w:left w:val="single" w:sz="4" w:space="0" w:color="auto"/>
              <w:bottom w:val="single" w:sz="4" w:space="0" w:color="auto"/>
              <w:right w:val="nil"/>
            </w:tcBorders>
            <w:vAlign w:val="bottom"/>
            <w:hideMark/>
          </w:tcPr>
          <w:p w14:paraId="32EB12A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12.3</w:t>
            </w:r>
          </w:p>
        </w:tc>
        <w:tc>
          <w:tcPr>
            <w:tcW w:w="755" w:type="dxa"/>
            <w:tcBorders>
              <w:top w:val="single" w:sz="4" w:space="0" w:color="auto"/>
              <w:left w:val="single" w:sz="4" w:space="0" w:color="auto"/>
              <w:bottom w:val="single" w:sz="4" w:space="0" w:color="auto"/>
              <w:right w:val="single" w:sz="4" w:space="0" w:color="auto"/>
            </w:tcBorders>
            <w:vAlign w:val="bottom"/>
            <w:hideMark/>
          </w:tcPr>
          <w:p w14:paraId="7F38908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14DA356"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246420E"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0C60FB8A"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7F9E98B2" w14:textId="77777777" w:rsidR="00836512" w:rsidRDefault="00836512">
            <w:pPr>
              <w:jc w:val="center"/>
              <w:rPr>
                <w:rFonts w:eastAsiaTheme="minorHAnsi"/>
                <w:sz w:val="20"/>
                <w:szCs w:val="20"/>
                <w:lang w:val="en-US"/>
              </w:rPr>
            </w:pPr>
            <w:r>
              <w:rPr>
                <w:rFonts w:eastAsiaTheme="minorHAnsi"/>
                <w:sz w:val="20"/>
                <w:szCs w:val="20"/>
                <w:lang w:val="en-US"/>
              </w:rPr>
              <w:t>T20.02</w:t>
            </w:r>
          </w:p>
        </w:tc>
        <w:tc>
          <w:tcPr>
            <w:tcW w:w="1399" w:type="dxa"/>
            <w:tcBorders>
              <w:top w:val="single" w:sz="4" w:space="0" w:color="auto"/>
              <w:left w:val="single" w:sz="4" w:space="0" w:color="auto"/>
              <w:bottom w:val="single" w:sz="4" w:space="0" w:color="auto"/>
              <w:right w:val="single" w:sz="4" w:space="0" w:color="auto"/>
            </w:tcBorders>
            <w:hideMark/>
          </w:tcPr>
          <w:p w14:paraId="0254F461" w14:textId="77777777" w:rsidR="00836512" w:rsidRDefault="00836512">
            <w:pPr>
              <w:jc w:val="center"/>
              <w:rPr>
                <w:rFonts w:eastAsiaTheme="minorHAnsi"/>
                <w:sz w:val="20"/>
                <w:szCs w:val="20"/>
                <w:lang w:val="en-US"/>
              </w:rPr>
            </w:pPr>
            <w:r>
              <w:rPr>
                <w:rFonts w:eastAsiaTheme="minorHAnsi"/>
                <w:sz w:val="20"/>
                <w:szCs w:val="20"/>
                <w:lang w:val="en-US"/>
              </w:rPr>
              <w:t>2.90 – 4.00</w:t>
            </w:r>
          </w:p>
        </w:tc>
        <w:tc>
          <w:tcPr>
            <w:tcW w:w="924" w:type="dxa"/>
            <w:tcBorders>
              <w:top w:val="single" w:sz="4" w:space="0" w:color="auto"/>
              <w:left w:val="single" w:sz="4" w:space="0" w:color="auto"/>
              <w:bottom w:val="single" w:sz="4" w:space="0" w:color="auto"/>
              <w:right w:val="single" w:sz="4" w:space="0" w:color="auto"/>
            </w:tcBorders>
            <w:hideMark/>
          </w:tcPr>
          <w:p w14:paraId="102FEFB4" w14:textId="77777777" w:rsidR="00836512" w:rsidRDefault="00836512">
            <w:pPr>
              <w:jc w:val="center"/>
              <w:rPr>
                <w:rFonts w:eastAsiaTheme="minorHAnsi"/>
                <w:sz w:val="20"/>
                <w:szCs w:val="20"/>
                <w:lang w:val="en-US"/>
              </w:rPr>
            </w:pPr>
            <w:r>
              <w:rPr>
                <w:rFonts w:eastAsiaTheme="minorHAnsi"/>
                <w:sz w:val="20"/>
                <w:szCs w:val="20"/>
                <w:lang w:val="en-US"/>
              </w:rPr>
              <w:t>3.45</w:t>
            </w:r>
          </w:p>
        </w:tc>
        <w:tc>
          <w:tcPr>
            <w:tcW w:w="955" w:type="dxa"/>
            <w:tcBorders>
              <w:top w:val="single" w:sz="4" w:space="0" w:color="auto"/>
              <w:left w:val="nil"/>
              <w:bottom w:val="single" w:sz="4" w:space="0" w:color="auto"/>
              <w:right w:val="single" w:sz="4" w:space="0" w:color="auto"/>
            </w:tcBorders>
            <w:vAlign w:val="bottom"/>
            <w:hideMark/>
          </w:tcPr>
          <w:p w14:paraId="1A0B844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925" w:type="dxa"/>
            <w:tcBorders>
              <w:top w:val="single" w:sz="4" w:space="0" w:color="auto"/>
              <w:left w:val="single" w:sz="4" w:space="0" w:color="auto"/>
              <w:bottom w:val="single" w:sz="4" w:space="0" w:color="auto"/>
              <w:right w:val="nil"/>
            </w:tcBorders>
            <w:vAlign w:val="bottom"/>
            <w:hideMark/>
          </w:tcPr>
          <w:p w14:paraId="46DEE8B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10.6</w:t>
            </w:r>
          </w:p>
        </w:tc>
        <w:tc>
          <w:tcPr>
            <w:tcW w:w="755" w:type="dxa"/>
            <w:tcBorders>
              <w:top w:val="single" w:sz="4" w:space="0" w:color="auto"/>
              <w:left w:val="single" w:sz="4" w:space="0" w:color="auto"/>
              <w:bottom w:val="single" w:sz="4" w:space="0" w:color="auto"/>
              <w:right w:val="single" w:sz="4" w:space="0" w:color="auto"/>
            </w:tcBorders>
            <w:vAlign w:val="bottom"/>
            <w:hideMark/>
          </w:tcPr>
          <w:p w14:paraId="7091B80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6E73EB5"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3A7FD61C"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5545CF08"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72243E18" w14:textId="77777777" w:rsidR="00836512" w:rsidRDefault="00836512">
            <w:pPr>
              <w:jc w:val="center"/>
              <w:rPr>
                <w:rFonts w:eastAsiaTheme="minorHAnsi"/>
                <w:sz w:val="20"/>
                <w:szCs w:val="20"/>
                <w:lang w:val="en-US"/>
              </w:rPr>
            </w:pPr>
            <w:r>
              <w:rPr>
                <w:rFonts w:eastAsiaTheme="minorHAnsi"/>
                <w:sz w:val="20"/>
                <w:szCs w:val="20"/>
                <w:lang w:val="en-US"/>
              </w:rPr>
              <w:t>T20.03</w:t>
            </w:r>
          </w:p>
        </w:tc>
        <w:tc>
          <w:tcPr>
            <w:tcW w:w="1399" w:type="dxa"/>
            <w:tcBorders>
              <w:top w:val="single" w:sz="4" w:space="0" w:color="auto"/>
              <w:left w:val="single" w:sz="4" w:space="0" w:color="auto"/>
              <w:bottom w:val="single" w:sz="4" w:space="0" w:color="auto"/>
              <w:right w:val="single" w:sz="4" w:space="0" w:color="auto"/>
            </w:tcBorders>
            <w:hideMark/>
          </w:tcPr>
          <w:p w14:paraId="736F16E7" w14:textId="77777777" w:rsidR="00836512" w:rsidRDefault="00836512">
            <w:pPr>
              <w:jc w:val="center"/>
              <w:rPr>
                <w:rFonts w:eastAsiaTheme="minorHAnsi"/>
                <w:sz w:val="20"/>
                <w:szCs w:val="20"/>
                <w:lang w:val="en-US"/>
              </w:rPr>
            </w:pPr>
            <w:r>
              <w:rPr>
                <w:rFonts w:eastAsiaTheme="minorHAnsi"/>
                <w:sz w:val="20"/>
                <w:szCs w:val="20"/>
                <w:lang w:val="en-US"/>
              </w:rPr>
              <w:t>4.00 – 5.70</w:t>
            </w:r>
          </w:p>
        </w:tc>
        <w:tc>
          <w:tcPr>
            <w:tcW w:w="924" w:type="dxa"/>
            <w:tcBorders>
              <w:top w:val="single" w:sz="4" w:space="0" w:color="auto"/>
              <w:left w:val="single" w:sz="4" w:space="0" w:color="auto"/>
              <w:bottom w:val="single" w:sz="4" w:space="0" w:color="auto"/>
              <w:right w:val="single" w:sz="4" w:space="0" w:color="auto"/>
            </w:tcBorders>
            <w:hideMark/>
          </w:tcPr>
          <w:p w14:paraId="07CE833F" w14:textId="77777777" w:rsidR="00836512" w:rsidRDefault="00836512">
            <w:pPr>
              <w:jc w:val="center"/>
              <w:rPr>
                <w:rFonts w:eastAsiaTheme="minorHAnsi"/>
                <w:sz w:val="20"/>
                <w:szCs w:val="20"/>
                <w:lang w:val="en-US"/>
              </w:rPr>
            </w:pPr>
            <w:r>
              <w:rPr>
                <w:rFonts w:eastAsiaTheme="minorHAnsi"/>
                <w:sz w:val="20"/>
                <w:szCs w:val="20"/>
                <w:lang w:val="en-US"/>
              </w:rPr>
              <w:t>4.85</w:t>
            </w:r>
          </w:p>
        </w:tc>
        <w:tc>
          <w:tcPr>
            <w:tcW w:w="955" w:type="dxa"/>
            <w:tcBorders>
              <w:top w:val="single" w:sz="4" w:space="0" w:color="auto"/>
              <w:left w:val="nil"/>
              <w:bottom w:val="single" w:sz="4" w:space="0" w:color="auto"/>
              <w:right w:val="single" w:sz="4" w:space="0" w:color="auto"/>
            </w:tcBorders>
            <w:vAlign w:val="bottom"/>
            <w:hideMark/>
          </w:tcPr>
          <w:p w14:paraId="188DCDF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925" w:type="dxa"/>
            <w:tcBorders>
              <w:top w:val="single" w:sz="4" w:space="0" w:color="auto"/>
              <w:left w:val="single" w:sz="4" w:space="0" w:color="auto"/>
              <w:bottom w:val="single" w:sz="4" w:space="0" w:color="auto"/>
              <w:right w:val="nil"/>
            </w:tcBorders>
            <w:vAlign w:val="bottom"/>
            <w:hideMark/>
          </w:tcPr>
          <w:p w14:paraId="1322906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9.6</w:t>
            </w:r>
          </w:p>
        </w:tc>
        <w:tc>
          <w:tcPr>
            <w:tcW w:w="755" w:type="dxa"/>
            <w:tcBorders>
              <w:top w:val="single" w:sz="4" w:space="0" w:color="auto"/>
              <w:left w:val="single" w:sz="4" w:space="0" w:color="auto"/>
              <w:bottom w:val="single" w:sz="4" w:space="0" w:color="auto"/>
              <w:right w:val="single" w:sz="4" w:space="0" w:color="auto"/>
            </w:tcBorders>
            <w:vAlign w:val="bottom"/>
            <w:hideMark/>
          </w:tcPr>
          <w:p w14:paraId="3009E6C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4092097"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05D5422"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477186E6"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69510AC8" w14:textId="77777777" w:rsidR="00836512" w:rsidRDefault="00836512">
            <w:pPr>
              <w:jc w:val="center"/>
              <w:rPr>
                <w:rFonts w:eastAsiaTheme="minorHAnsi"/>
                <w:sz w:val="20"/>
                <w:szCs w:val="20"/>
                <w:lang w:val="en-US"/>
              </w:rPr>
            </w:pPr>
            <w:r>
              <w:rPr>
                <w:rFonts w:eastAsiaTheme="minorHAnsi"/>
                <w:sz w:val="20"/>
                <w:szCs w:val="20"/>
                <w:lang w:val="en-US"/>
              </w:rPr>
              <w:t>T20.04</w:t>
            </w:r>
          </w:p>
        </w:tc>
        <w:tc>
          <w:tcPr>
            <w:tcW w:w="1399" w:type="dxa"/>
            <w:tcBorders>
              <w:top w:val="single" w:sz="4" w:space="0" w:color="auto"/>
              <w:left w:val="single" w:sz="4" w:space="0" w:color="auto"/>
              <w:bottom w:val="single" w:sz="4" w:space="0" w:color="auto"/>
              <w:right w:val="single" w:sz="4" w:space="0" w:color="auto"/>
            </w:tcBorders>
            <w:hideMark/>
          </w:tcPr>
          <w:p w14:paraId="651783B4" w14:textId="77777777" w:rsidR="00836512" w:rsidRDefault="00836512">
            <w:pPr>
              <w:jc w:val="center"/>
              <w:rPr>
                <w:rFonts w:eastAsiaTheme="minorHAnsi"/>
                <w:sz w:val="20"/>
                <w:szCs w:val="20"/>
                <w:lang w:val="en-US"/>
              </w:rPr>
            </w:pPr>
            <w:r>
              <w:rPr>
                <w:rFonts w:eastAsiaTheme="minorHAnsi"/>
                <w:sz w:val="20"/>
                <w:szCs w:val="20"/>
                <w:lang w:val="en-US"/>
              </w:rPr>
              <w:t>5.70 – 7.40</w:t>
            </w:r>
          </w:p>
        </w:tc>
        <w:tc>
          <w:tcPr>
            <w:tcW w:w="924" w:type="dxa"/>
            <w:tcBorders>
              <w:top w:val="single" w:sz="4" w:space="0" w:color="auto"/>
              <w:left w:val="single" w:sz="4" w:space="0" w:color="auto"/>
              <w:bottom w:val="single" w:sz="4" w:space="0" w:color="auto"/>
              <w:right w:val="single" w:sz="4" w:space="0" w:color="auto"/>
            </w:tcBorders>
            <w:hideMark/>
          </w:tcPr>
          <w:p w14:paraId="5224838E" w14:textId="77777777" w:rsidR="00836512" w:rsidRDefault="00836512">
            <w:pPr>
              <w:jc w:val="center"/>
              <w:rPr>
                <w:rFonts w:eastAsiaTheme="minorHAnsi"/>
                <w:sz w:val="20"/>
                <w:szCs w:val="20"/>
                <w:lang w:val="en-US"/>
              </w:rPr>
            </w:pPr>
            <w:r>
              <w:rPr>
                <w:rFonts w:eastAsiaTheme="minorHAnsi"/>
                <w:sz w:val="20"/>
                <w:szCs w:val="20"/>
                <w:lang w:val="en-US"/>
              </w:rPr>
              <w:t>6.55</w:t>
            </w:r>
          </w:p>
        </w:tc>
        <w:tc>
          <w:tcPr>
            <w:tcW w:w="955" w:type="dxa"/>
            <w:tcBorders>
              <w:top w:val="single" w:sz="4" w:space="0" w:color="auto"/>
              <w:left w:val="nil"/>
              <w:bottom w:val="single" w:sz="4" w:space="0" w:color="auto"/>
              <w:right w:val="single" w:sz="4" w:space="0" w:color="auto"/>
            </w:tcBorders>
            <w:vAlign w:val="bottom"/>
            <w:hideMark/>
          </w:tcPr>
          <w:p w14:paraId="5DD7BF6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925" w:type="dxa"/>
            <w:tcBorders>
              <w:top w:val="single" w:sz="4" w:space="0" w:color="auto"/>
              <w:left w:val="single" w:sz="4" w:space="0" w:color="auto"/>
              <w:bottom w:val="single" w:sz="4" w:space="0" w:color="auto"/>
              <w:right w:val="nil"/>
            </w:tcBorders>
            <w:vAlign w:val="bottom"/>
            <w:hideMark/>
          </w:tcPr>
          <w:p w14:paraId="38D6533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9.7</w:t>
            </w:r>
          </w:p>
        </w:tc>
        <w:tc>
          <w:tcPr>
            <w:tcW w:w="755" w:type="dxa"/>
            <w:tcBorders>
              <w:top w:val="single" w:sz="4" w:space="0" w:color="auto"/>
              <w:left w:val="single" w:sz="4" w:space="0" w:color="auto"/>
              <w:bottom w:val="single" w:sz="4" w:space="0" w:color="auto"/>
              <w:right w:val="single" w:sz="4" w:space="0" w:color="auto"/>
            </w:tcBorders>
            <w:vAlign w:val="bottom"/>
            <w:hideMark/>
          </w:tcPr>
          <w:p w14:paraId="11444B4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24FFC68"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6D33F800"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DBE0C36"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7EE76953" w14:textId="77777777" w:rsidR="00836512" w:rsidRDefault="00836512">
            <w:pPr>
              <w:jc w:val="center"/>
              <w:rPr>
                <w:rFonts w:eastAsiaTheme="minorHAnsi"/>
                <w:sz w:val="20"/>
                <w:szCs w:val="20"/>
                <w:lang w:val="en-US"/>
              </w:rPr>
            </w:pPr>
            <w:r>
              <w:rPr>
                <w:rFonts w:eastAsiaTheme="minorHAnsi"/>
                <w:sz w:val="20"/>
                <w:szCs w:val="20"/>
                <w:lang w:val="en-US"/>
              </w:rPr>
              <w:t>T20.05</w:t>
            </w:r>
          </w:p>
        </w:tc>
        <w:tc>
          <w:tcPr>
            <w:tcW w:w="1399" w:type="dxa"/>
            <w:tcBorders>
              <w:top w:val="single" w:sz="4" w:space="0" w:color="auto"/>
              <w:left w:val="single" w:sz="4" w:space="0" w:color="auto"/>
              <w:bottom w:val="single" w:sz="4" w:space="0" w:color="auto"/>
              <w:right w:val="single" w:sz="4" w:space="0" w:color="auto"/>
            </w:tcBorders>
            <w:hideMark/>
          </w:tcPr>
          <w:p w14:paraId="0EC0A325" w14:textId="77777777" w:rsidR="00836512" w:rsidRDefault="00836512">
            <w:pPr>
              <w:jc w:val="center"/>
              <w:rPr>
                <w:rFonts w:eastAsiaTheme="minorHAnsi"/>
                <w:sz w:val="20"/>
                <w:szCs w:val="20"/>
                <w:lang w:val="en-US"/>
              </w:rPr>
            </w:pPr>
            <w:r>
              <w:rPr>
                <w:rFonts w:eastAsiaTheme="minorHAnsi"/>
                <w:sz w:val="20"/>
                <w:szCs w:val="20"/>
                <w:lang w:val="en-US"/>
              </w:rPr>
              <w:t>7.40 – 9.10</w:t>
            </w:r>
          </w:p>
        </w:tc>
        <w:tc>
          <w:tcPr>
            <w:tcW w:w="924" w:type="dxa"/>
            <w:tcBorders>
              <w:top w:val="single" w:sz="4" w:space="0" w:color="auto"/>
              <w:left w:val="single" w:sz="4" w:space="0" w:color="auto"/>
              <w:bottom w:val="single" w:sz="4" w:space="0" w:color="auto"/>
              <w:right w:val="single" w:sz="4" w:space="0" w:color="auto"/>
            </w:tcBorders>
            <w:hideMark/>
          </w:tcPr>
          <w:p w14:paraId="0F3F7E03" w14:textId="77777777" w:rsidR="00836512" w:rsidRDefault="00836512">
            <w:pPr>
              <w:jc w:val="center"/>
              <w:rPr>
                <w:rFonts w:eastAsiaTheme="minorHAnsi"/>
                <w:sz w:val="20"/>
                <w:szCs w:val="20"/>
                <w:lang w:val="en-US"/>
              </w:rPr>
            </w:pPr>
            <w:r>
              <w:rPr>
                <w:rFonts w:eastAsiaTheme="minorHAnsi"/>
                <w:sz w:val="20"/>
                <w:szCs w:val="20"/>
                <w:lang w:val="en-US"/>
              </w:rPr>
              <w:t>8.25</w:t>
            </w:r>
          </w:p>
        </w:tc>
        <w:tc>
          <w:tcPr>
            <w:tcW w:w="955" w:type="dxa"/>
            <w:tcBorders>
              <w:top w:val="single" w:sz="4" w:space="0" w:color="auto"/>
              <w:left w:val="nil"/>
              <w:bottom w:val="single" w:sz="4" w:space="0" w:color="auto"/>
              <w:right w:val="single" w:sz="4" w:space="0" w:color="auto"/>
            </w:tcBorders>
            <w:vAlign w:val="bottom"/>
            <w:hideMark/>
          </w:tcPr>
          <w:p w14:paraId="11D1FC1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3FC04D9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10.7</w:t>
            </w:r>
          </w:p>
        </w:tc>
        <w:tc>
          <w:tcPr>
            <w:tcW w:w="755" w:type="dxa"/>
            <w:tcBorders>
              <w:top w:val="single" w:sz="4" w:space="0" w:color="auto"/>
              <w:left w:val="single" w:sz="4" w:space="0" w:color="auto"/>
              <w:bottom w:val="single" w:sz="4" w:space="0" w:color="auto"/>
              <w:right w:val="single" w:sz="4" w:space="0" w:color="auto"/>
            </w:tcBorders>
            <w:vAlign w:val="bottom"/>
            <w:hideMark/>
          </w:tcPr>
          <w:p w14:paraId="4F6CF71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98F43CA"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192ED75"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2CAC8CE1"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72A55273" w14:textId="77777777" w:rsidR="00836512" w:rsidRDefault="00836512">
            <w:pPr>
              <w:jc w:val="center"/>
              <w:rPr>
                <w:rFonts w:eastAsiaTheme="minorHAnsi"/>
                <w:sz w:val="20"/>
                <w:szCs w:val="20"/>
                <w:lang w:val="en-US"/>
              </w:rPr>
            </w:pPr>
            <w:r>
              <w:rPr>
                <w:rFonts w:eastAsiaTheme="minorHAnsi"/>
                <w:sz w:val="20"/>
                <w:szCs w:val="20"/>
                <w:lang w:val="en-US"/>
              </w:rPr>
              <w:t>T20.06</w:t>
            </w:r>
          </w:p>
        </w:tc>
        <w:tc>
          <w:tcPr>
            <w:tcW w:w="1399" w:type="dxa"/>
            <w:tcBorders>
              <w:top w:val="single" w:sz="4" w:space="0" w:color="auto"/>
              <w:left w:val="single" w:sz="4" w:space="0" w:color="auto"/>
              <w:bottom w:val="single" w:sz="4" w:space="0" w:color="auto"/>
              <w:right w:val="single" w:sz="4" w:space="0" w:color="auto"/>
            </w:tcBorders>
            <w:hideMark/>
          </w:tcPr>
          <w:p w14:paraId="4B590741" w14:textId="77777777" w:rsidR="00836512" w:rsidRDefault="00836512">
            <w:pPr>
              <w:jc w:val="center"/>
              <w:rPr>
                <w:rFonts w:eastAsiaTheme="minorHAnsi"/>
                <w:sz w:val="20"/>
                <w:szCs w:val="20"/>
                <w:lang w:val="en-US"/>
              </w:rPr>
            </w:pPr>
            <w:r>
              <w:rPr>
                <w:rFonts w:eastAsiaTheme="minorHAnsi"/>
                <w:sz w:val="20"/>
                <w:szCs w:val="20"/>
                <w:lang w:val="en-US"/>
              </w:rPr>
              <w:t>9.10 – 10.80</w:t>
            </w:r>
          </w:p>
        </w:tc>
        <w:tc>
          <w:tcPr>
            <w:tcW w:w="924" w:type="dxa"/>
            <w:tcBorders>
              <w:top w:val="single" w:sz="4" w:space="0" w:color="auto"/>
              <w:left w:val="single" w:sz="4" w:space="0" w:color="auto"/>
              <w:bottom w:val="single" w:sz="4" w:space="0" w:color="auto"/>
              <w:right w:val="single" w:sz="4" w:space="0" w:color="auto"/>
            </w:tcBorders>
            <w:hideMark/>
          </w:tcPr>
          <w:p w14:paraId="31781DA8" w14:textId="77777777" w:rsidR="00836512" w:rsidRDefault="00836512">
            <w:pPr>
              <w:jc w:val="center"/>
              <w:rPr>
                <w:rFonts w:eastAsiaTheme="minorHAnsi"/>
                <w:sz w:val="20"/>
                <w:szCs w:val="20"/>
                <w:lang w:val="en-US"/>
              </w:rPr>
            </w:pPr>
            <w:r>
              <w:rPr>
                <w:rFonts w:eastAsiaTheme="minorHAnsi"/>
                <w:sz w:val="20"/>
                <w:szCs w:val="20"/>
                <w:lang w:val="en-US"/>
              </w:rPr>
              <w:t>9.95</w:t>
            </w:r>
          </w:p>
        </w:tc>
        <w:tc>
          <w:tcPr>
            <w:tcW w:w="955" w:type="dxa"/>
            <w:tcBorders>
              <w:top w:val="single" w:sz="4" w:space="0" w:color="auto"/>
              <w:left w:val="nil"/>
              <w:bottom w:val="single" w:sz="4" w:space="0" w:color="auto"/>
              <w:right w:val="single" w:sz="4" w:space="0" w:color="auto"/>
            </w:tcBorders>
            <w:vAlign w:val="bottom"/>
            <w:hideMark/>
          </w:tcPr>
          <w:p w14:paraId="6816961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-20.2</w:t>
            </w:r>
          </w:p>
        </w:tc>
        <w:tc>
          <w:tcPr>
            <w:tcW w:w="925" w:type="dxa"/>
            <w:tcBorders>
              <w:top w:val="single" w:sz="4" w:space="0" w:color="auto"/>
              <w:left w:val="single" w:sz="4" w:space="0" w:color="auto"/>
              <w:bottom w:val="single" w:sz="4" w:space="0" w:color="auto"/>
              <w:right w:val="nil"/>
            </w:tcBorders>
            <w:vAlign w:val="bottom"/>
            <w:hideMark/>
          </w:tcPr>
          <w:p w14:paraId="4588C4F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10.9</w:t>
            </w:r>
          </w:p>
        </w:tc>
        <w:tc>
          <w:tcPr>
            <w:tcW w:w="755" w:type="dxa"/>
            <w:tcBorders>
              <w:top w:val="single" w:sz="4" w:space="0" w:color="auto"/>
              <w:left w:val="single" w:sz="4" w:space="0" w:color="auto"/>
              <w:bottom w:val="single" w:sz="4" w:space="0" w:color="auto"/>
              <w:right w:val="single" w:sz="4" w:space="0" w:color="auto"/>
            </w:tcBorders>
            <w:vAlign w:val="bottom"/>
            <w:hideMark/>
          </w:tcPr>
          <w:p w14:paraId="2AF87AE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4CCE65E"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28285063"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2DA09BB1"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058191D9" w14:textId="77777777" w:rsidR="00836512" w:rsidRDefault="00836512">
            <w:pPr>
              <w:jc w:val="center"/>
              <w:rPr>
                <w:rFonts w:eastAsiaTheme="minorHAnsi"/>
                <w:sz w:val="20"/>
                <w:szCs w:val="20"/>
                <w:lang w:val="en-US"/>
              </w:rPr>
            </w:pPr>
            <w:r>
              <w:rPr>
                <w:rFonts w:eastAsiaTheme="minorHAnsi"/>
                <w:sz w:val="20"/>
                <w:szCs w:val="20"/>
                <w:lang w:val="en-US"/>
              </w:rPr>
              <w:t>T20.07</w:t>
            </w:r>
          </w:p>
        </w:tc>
        <w:tc>
          <w:tcPr>
            <w:tcW w:w="1399" w:type="dxa"/>
            <w:tcBorders>
              <w:top w:val="single" w:sz="4" w:space="0" w:color="auto"/>
              <w:left w:val="single" w:sz="4" w:space="0" w:color="auto"/>
              <w:bottom w:val="single" w:sz="4" w:space="0" w:color="auto"/>
              <w:right w:val="single" w:sz="4" w:space="0" w:color="auto"/>
            </w:tcBorders>
            <w:hideMark/>
          </w:tcPr>
          <w:p w14:paraId="56C4DC51" w14:textId="77777777" w:rsidR="00836512" w:rsidRDefault="00836512">
            <w:pPr>
              <w:jc w:val="center"/>
              <w:rPr>
                <w:rFonts w:eastAsiaTheme="minorHAnsi"/>
                <w:sz w:val="20"/>
                <w:szCs w:val="20"/>
                <w:lang w:val="en-US"/>
              </w:rPr>
            </w:pPr>
            <w:r>
              <w:rPr>
                <w:rFonts w:eastAsiaTheme="minorHAnsi"/>
                <w:sz w:val="20"/>
                <w:szCs w:val="20"/>
                <w:lang w:val="en-US"/>
              </w:rPr>
              <w:t>10.80 – 12.50</w:t>
            </w:r>
          </w:p>
        </w:tc>
        <w:tc>
          <w:tcPr>
            <w:tcW w:w="924" w:type="dxa"/>
            <w:tcBorders>
              <w:top w:val="single" w:sz="4" w:space="0" w:color="auto"/>
              <w:left w:val="single" w:sz="4" w:space="0" w:color="auto"/>
              <w:bottom w:val="single" w:sz="4" w:space="0" w:color="auto"/>
              <w:right w:val="single" w:sz="4" w:space="0" w:color="auto"/>
            </w:tcBorders>
            <w:hideMark/>
          </w:tcPr>
          <w:p w14:paraId="5944E8E4" w14:textId="77777777" w:rsidR="00836512" w:rsidRDefault="00836512">
            <w:pPr>
              <w:jc w:val="center"/>
              <w:rPr>
                <w:rFonts w:eastAsiaTheme="minorHAnsi"/>
                <w:sz w:val="20"/>
                <w:szCs w:val="20"/>
                <w:lang w:val="en-US"/>
              </w:rPr>
            </w:pPr>
            <w:r>
              <w:rPr>
                <w:rFonts w:eastAsiaTheme="minorHAnsi"/>
                <w:sz w:val="20"/>
                <w:szCs w:val="20"/>
                <w:lang w:val="en-US"/>
              </w:rPr>
              <w:t>11.65</w:t>
            </w:r>
          </w:p>
        </w:tc>
        <w:tc>
          <w:tcPr>
            <w:tcW w:w="955" w:type="dxa"/>
            <w:tcBorders>
              <w:top w:val="single" w:sz="4" w:space="0" w:color="auto"/>
              <w:left w:val="nil"/>
              <w:bottom w:val="single" w:sz="4" w:space="0" w:color="auto"/>
              <w:right w:val="single" w:sz="4" w:space="0" w:color="auto"/>
            </w:tcBorders>
            <w:vAlign w:val="bottom"/>
            <w:hideMark/>
          </w:tcPr>
          <w:p w14:paraId="43A7480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-19.4</w:t>
            </w:r>
          </w:p>
        </w:tc>
        <w:tc>
          <w:tcPr>
            <w:tcW w:w="925" w:type="dxa"/>
            <w:tcBorders>
              <w:top w:val="single" w:sz="4" w:space="0" w:color="auto"/>
              <w:left w:val="single" w:sz="4" w:space="0" w:color="auto"/>
              <w:bottom w:val="single" w:sz="4" w:space="0" w:color="auto"/>
              <w:right w:val="nil"/>
            </w:tcBorders>
            <w:vAlign w:val="bottom"/>
            <w:hideMark/>
          </w:tcPr>
          <w:p w14:paraId="0382D5D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10.1</w:t>
            </w:r>
          </w:p>
        </w:tc>
        <w:tc>
          <w:tcPr>
            <w:tcW w:w="755" w:type="dxa"/>
            <w:tcBorders>
              <w:top w:val="single" w:sz="4" w:space="0" w:color="auto"/>
              <w:left w:val="single" w:sz="4" w:space="0" w:color="auto"/>
              <w:bottom w:val="single" w:sz="4" w:space="0" w:color="auto"/>
              <w:right w:val="single" w:sz="4" w:space="0" w:color="auto"/>
            </w:tcBorders>
            <w:vAlign w:val="bottom"/>
            <w:hideMark/>
          </w:tcPr>
          <w:p w14:paraId="4D5158E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428929B7" w14:textId="77777777" w:rsidTr="004533C9">
        <w:tc>
          <w:tcPr>
            <w:tcW w:w="1216" w:type="dxa"/>
            <w:vMerge w:val="restart"/>
            <w:tcBorders>
              <w:top w:val="single" w:sz="4" w:space="0" w:color="auto"/>
              <w:left w:val="single" w:sz="4" w:space="0" w:color="auto"/>
              <w:bottom w:val="single" w:sz="4" w:space="0" w:color="auto"/>
              <w:right w:val="single" w:sz="4" w:space="0" w:color="auto"/>
            </w:tcBorders>
            <w:hideMark/>
          </w:tcPr>
          <w:p w14:paraId="03AE8A6E" w14:textId="77777777" w:rsidR="00836512" w:rsidRDefault="00836512">
            <w:pPr>
              <w:jc w:val="center"/>
              <w:rPr>
                <w:rFonts w:eastAsiaTheme="minorHAnsi"/>
                <w:sz w:val="20"/>
                <w:szCs w:val="20"/>
                <w:lang w:val="en-US"/>
              </w:rPr>
            </w:pPr>
            <w:r>
              <w:rPr>
                <w:rFonts w:eastAsiaTheme="minorHAnsi"/>
                <w:sz w:val="20"/>
                <w:szCs w:val="20"/>
                <w:lang w:val="en-US"/>
              </w:rPr>
              <w:t>Padreterno</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5A014F1D" w14:textId="77777777" w:rsidR="00836512" w:rsidRDefault="00836512">
            <w:pPr>
              <w:jc w:val="center"/>
              <w:rPr>
                <w:rFonts w:eastAsiaTheme="minorHAnsi"/>
                <w:sz w:val="20"/>
                <w:szCs w:val="20"/>
                <w:lang w:val="it-IT"/>
              </w:rPr>
            </w:pPr>
            <w:r>
              <w:rPr>
                <w:rFonts w:eastAsiaTheme="minorHAnsi"/>
                <w:sz w:val="20"/>
                <w:szCs w:val="20"/>
                <w:lang w:val="it-IT"/>
              </w:rPr>
              <w:t>Padreterno Settore II Tomba 11 Schletro in Conessione</w:t>
            </w:r>
          </w:p>
        </w:tc>
        <w:tc>
          <w:tcPr>
            <w:tcW w:w="1333" w:type="dxa"/>
            <w:tcBorders>
              <w:top w:val="single" w:sz="4" w:space="0" w:color="auto"/>
              <w:left w:val="single" w:sz="4" w:space="0" w:color="auto"/>
              <w:bottom w:val="single" w:sz="4" w:space="0" w:color="auto"/>
              <w:right w:val="single" w:sz="4" w:space="0" w:color="auto"/>
            </w:tcBorders>
            <w:hideMark/>
          </w:tcPr>
          <w:p w14:paraId="7F44EB5D" w14:textId="77777777" w:rsidR="00836512" w:rsidRDefault="00836512">
            <w:pPr>
              <w:jc w:val="center"/>
              <w:rPr>
                <w:rFonts w:eastAsiaTheme="minorHAnsi"/>
                <w:sz w:val="20"/>
                <w:szCs w:val="20"/>
                <w:lang w:val="en-US"/>
              </w:rPr>
            </w:pPr>
            <w:r>
              <w:rPr>
                <w:rFonts w:eastAsiaTheme="minorHAnsi"/>
                <w:sz w:val="20"/>
                <w:szCs w:val="20"/>
                <w:lang w:val="en-US"/>
              </w:rPr>
              <w:t>T21.01</w:t>
            </w:r>
          </w:p>
        </w:tc>
        <w:tc>
          <w:tcPr>
            <w:tcW w:w="1399" w:type="dxa"/>
            <w:tcBorders>
              <w:top w:val="single" w:sz="4" w:space="0" w:color="auto"/>
              <w:left w:val="single" w:sz="4" w:space="0" w:color="auto"/>
              <w:bottom w:val="single" w:sz="4" w:space="0" w:color="auto"/>
              <w:right w:val="single" w:sz="4" w:space="0" w:color="auto"/>
            </w:tcBorders>
            <w:hideMark/>
          </w:tcPr>
          <w:p w14:paraId="12065B34" w14:textId="77777777" w:rsidR="00836512" w:rsidRDefault="00836512">
            <w:pPr>
              <w:jc w:val="center"/>
              <w:rPr>
                <w:rFonts w:eastAsiaTheme="minorHAnsi"/>
                <w:sz w:val="20"/>
                <w:szCs w:val="20"/>
                <w:lang w:val="en-US"/>
              </w:rPr>
            </w:pPr>
            <w:r>
              <w:rPr>
                <w:rFonts w:eastAsiaTheme="minorHAnsi"/>
                <w:sz w:val="20"/>
                <w:szCs w:val="20"/>
                <w:lang w:val="en-US"/>
              </w:rPr>
              <w:t>2.00 – 3.15</w:t>
            </w:r>
          </w:p>
        </w:tc>
        <w:tc>
          <w:tcPr>
            <w:tcW w:w="924" w:type="dxa"/>
            <w:tcBorders>
              <w:top w:val="single" w:sz="4" w:space="0" w:color="auto"/>
              <w:left w:val="single" w:sz="4" w:space="0" w:color="auto"/>
              <w:bottom w:val="single" w:sz="4" w:space="0" w:color="auto"/>
              <w:right w:val="single" w:sz="4" w:space="0" w:color="auto"/>
            </w:tcBorders>
            <w:hideMark/>
          </w:tcPr>
          <w:p w14:paraId="18E59CA8" w14:textId="77777777" w:rsidR="00836512" w:rsidRDefault="00836512">
            <w:pPr>
              <w:jc w:val="center"/>
              <w:rPr>
                <w:rFonts w:eastAsiaTheme="minorHAnsi"/>
                <w:sz w:val="20"/>
                <w:szCs w:val="20"/>
                <w:lang w:val="en-US"/>
              </w:rPr>
            </w:pPr>
            <w:r>
              <w:rPr>
                <w:rFonts w:eastAsiaTheme="minorHAnsi"/>
                <w:sz w:val="20"/>
                <w:szCs w:val="20"/>
                <w:lang w:val="en-US"/>
              </w:rPr>
              <w:t>2.58</w:t>
            </w:r>
          </w:p>
        </w:tc>
        <w:tc>
          <w:tcPr>
            <w:tcW w:w="955" w:type="dxa"/>
            <w:tcBorders>
              <w:top w:val="single" w:sz="4" w:space="0" w:color="auto"/>
              <w:left w:val="nil"/>
              <w:bottom w:val="single" w:sz="4" w:space="0" w:color="auto"/>
              <w:right w:val="single" w:sz="4" w:space="0" w:color="auto"/>
            </w:tcBorders>
            <w:vAlign w:val="bottom"/>
            <w:hideMark/>
          </w:tcPr>
          <w:p w14:paraId="3BB7867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-20.1</w:t>
            </w:r>
          </w:p>
        </w:tc>
        <w:tc>
          <w:tcPr>
            <w:tcW w:w="925" w:type="dxa"/>
            <w:tcBorders>
              <w:top w:val="single" w:sz="4" w:space="0" w:color="auto"/>
              <w:left w:val="single" w:sz="4" w:space="0" w:color="auto"/>
              <w:bottom w:val="single" w:sz="4" w:space="0" w:color="auto"/>
              <w:right w:val="nil"/>
            </w:tcBorders>
            <w:vAlign w:val="bottom"/>
            <w:hideMark/>
          </w:tcPr>
          <w:p w14:paraId="0AAD536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8.8</w:t>
            </w:r>
          </w:p>
        </w:tc>
        <w:tc>
          <w:tcPr>
            <w:tcW w:w="755" w:type="dxa"/>
            <w:tcBorders>
              <w:top w:val="single" w:sz="4" w:space="0" w:color="auto"/>
              <w:left w:val="single" w:sz="4" w:space="0" w:color="auto"/>
              <w:bottom w:val="single" w:sz="4" w:space="0" w:color="auto"/>
              <w:right w:val="single" w:sz="4" w:space="0" w:color="auto"/>
            </w:tcBorders>
            <w:vAlign w:val="bottom"/>
            <w:hideMark/>
          </w:tcPr>
          <w:p w14:paraId="366457C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33A9DEC"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23122DF2"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0B7955F0"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48E2946E" w14:textId="77777777" w:rsidR="00836512" w:rsidRDefault="00836512">
            <w:pPr>
              <w:jc w:val="center"/>
              <w:rPr>
                <w:rFonts w:eastAsiaTheme="minorHAnsi"/>
                <w:sz w:val="20"/>
                <w:szCs w:val="20"/>
                <w:lang w:val="en-US"/>
              </w:rPr>
            </w:pPr>
            <w:r>
              <w:rPr>
                <w:rFonts w:eastAsiaTheme="minorHAnsi"/>
                <w:sz w:val="20"/>
                <w:szCs w:val="20"/>
                <w:lang w:val="en-US"/>
              </w:rPr>
              <w:t>T21.02</w:t>
            </w:r>
          </w:p>
        </w:tc>
        <w:tc>
          <w:tcPr>
            <w:tcW w:w="1399" w:type="dxa"/>
            <w:tcBorders>
              <w:top w:val="single" w:sz="4" w:space="0" w:color="auto"/>
              <w:left w:val="single" w:sz="4" w:space="0" w:color="auto"/>
              <w:bottom w:val="single" w:sz="4" w:space="0" w:color="auto"/>
              <w:right w:val="single" w:sz="4" w:space="0" w:color="auto"/>
            </w:tcBorders>
            <w:hideMark/>
          </w:tcPr>
          <w:p w14:paraId="37651B4D" w14:textId="77777777" w:rsidR="00836512" w:rsidRDefault="00836512">
            <w:pPr>
              <w:jc w:val="center"/>
              <w:rPr>
                <w:rFonts w:eastAsiaTheme="minorHAnsi"/>
                <w:sz w:val="20"/>
                <w:szCs w:val="20"/>
                <w:lang w:val="en-US"/>
              </w:rPr>
            </w:pPr>
            <w:r>
              <w:rPr>
                <w:rFonts w:eastAsiaTheme="minorHAnsi"/>
                <w:sz w:val="20"/>
                <w:szCs w:val="20"/>
                <w:lang w:val="en-US"/>
              </w:rPr>
              <w:t>3.15 – 4.32</w:t>
            </w:r>
          </w:p>
        </w:tc>
        <w:tc>
          <w:tcPr>
            <w:tcW w:w="924" w:type="dxa"/>
            <w:tcBorders>
              <w:top w:val="single" w:sz="4" w:space="0" w:color="auto"/>
              <w:left w:val="single" w:sz="4" w:space="0" w:color="auto"/>
              <w:bottom w:val="single" w:sz="4" w:space="0" w:color="auto"/>
              <w:right w:val="single" w:sz="4" w:space="0" w:color="auto"/>
            </w:tcBorders>
            <w:hideMark/>
          </w:tcPr>
          <w:p w14:paraId="3CD51C8F" w14:textId="77777777" w:rsidR="00836512" w:rsidRDefault="00836512">
            <w:pPr>
              <w:jc w:val="center"/>
              <w:rPr>
                <w:rFonts w:eastAsiaTheme="minorHAnsi"/>
                <w:sz w:val="20"/>
                <w:szCs w:val="20"/>
                <w:lang w:val="en-US"/>
              </w:rPr>
            </w:pPr>
            <w:r>
              <w:rPr>
                <w:rFonts w:eastAsiaTheme="minorHAnsi"/>
                <w:sz w:val="20"/>
                <w:szCs w:val="20"/>
                <w:lang w:val="en-US"/>
              </w:rPr>
              <w:t>3.74</w:t>
            </w:r>
          </w:p>
        </w:tc>
        <w:tc>
          <w:tcPr>
            <w:tcW w:w="955" w:type="dxa"/>
            <w:tcBorders>
              <w:top w:val="single" w:sz="4" w:space="0" w:color="auto"/>
              <w:left w:val="nil"/>
              <w:bottom w:val="single" w:sz="4" w:space="0" w:color="auto"/>
              <w:right w:val="single" w:sz="4" w:space="0" w:color="auto"/>
            </w:tcBorders>
            <w:vAlign w:val="bottom"/>
            <w:hideMark/>
          </w:tcPr>
          <w:p w14:paraId="56B56DA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-19.8</w:t>
            </w:r>
          </w:p>
        </w:tc>
        <w:tc>
          <w:tcPr>
            <w:tcW w:w="925" w:type="dxa"/>
            <w:tcBorders>
              <w:top w:val="single" w:sz="4" w:space="0" w:color="auto"/>
              <w:left w:val="single" w:sz="4" w:space="0" w:color="auto"/>
              <w:bottom w:val="single" w:sz="4" w:space="0" w:color="auto"/>
              <w:right w:val="nil"/>
            </w:tcBorders>
            <w:vAlign w:val="bottom"/>
            <w:hideMark/>
          </w:tcPr>
          <w:p w14:paraId="093C28A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7.7</w:t>
            </w:r>
          </w:p>
        </w:tc>
        <w:tc>
          <w:tcPr>
            <w:tcW w:w="755" w:type="dxa"/>
            <w:tcBorders>
              <w:top w:val="single" w:sz="4" w:space="0" w:color="auto"/>
              <w:left w:val="single" w:sz="4" w:space="0" w:color="auto"/>
              <w:bottom w:val="single" w:sz="4" w:space="0" w:color="auto"/>
              <w:right w:val="single" w:sz="4" w:space="0" w:color="auto"/>
            </w:tcBorders>
            <w:vAlign w:val="bottom"/>
            <w:hideMark/>
          </w:tcPr>
          <w:p w14:paraId="63F0AD7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69296BCE"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1AC9205B"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30EB10B0"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44EBEA4F" w14:textId="77777777" w:rsidR="00836512" w:rsidRDefault="00836512">
            <w:pPr>
              <w:jc w:val="center"/>
              <w:rPr>
                <w:rFonts w:eastAsiaTheme="minorHAnsi"/>
                <w:sz w:val="20"/>
                <w:szCs w:val="20"/>
                <w:lang w:val="en-US"/>
              </w:rPr>
            </w:pPr>
            <w:r>
              <w:rPr>
                <w:rFonts w:eastAsiaTheme="minorHAnsi"/>
                <w:sz w:val="20"/>
                <w:szCs w:val="20"/>
                <w:lang w:val="en-US"/>
              </w:rPr>
              <w:t>T21.03</w:t>
            </w:r>
          </w:p>
        </w:tc>
        <w:tc>
          <w:tcPr>
            <w:tcW w:w="1399" w:type="dxa"/>
            <w:tcBorders>
              <w:top w:val="single" w:sz="4" w:space="0" w:color="auto"/>
              <w:left w:val="single" w:sz="4" w:space="0" w:color="auto"/>
              <w:bottom w:val="single" w:sz="4" w:space="0" w:color="auto"/>
              <w:right w:val="single" w:sz="4" w:space="0" w:color="auto"/>
            </w:tcBorders>
            <w:hideMark/>
          </w:tcPr>
          <w:p w14:paraId="29889F49" w14:textId="77777777" w:rsidR="00836512" w:rsidRDefault="00836512">
            <w:pPr>
              <w:jc w:val="center"/>
              <w:rPr>
                <w:rFonts w:eastAsiaTheme="minorHAnsi"/>
                <w:sz w:val="20"/>
                <w:szCs w:val="20"/>
                <w:lang w:val="en-US"/>
              </w:rPr>
            </w:pPr>
            <w:r>
              <w:rPr>
                <w:rFonts w:eastAsiaTheme="minorHAnsi"/>
                <w:sz w:val="20"/>
                <w:szCs w:val="20"/>
                <w:lang w:val="en-US"/>
              </w:rPr>
              <w:t>4.32 – 5.49</w:t>
            </w:r>
          </w:p>
        </w:tc>
        <w:tc>
          <w:tcPr>
            <w:tcW w:w="924" w:type="dxa"/>
            <w:tcBorders>
              <w:top w:val="single" w:sz="4" w:space="0" w:color="auto"/>
              <w:left w:val="single" w:sz="4" w:space="0" w:color="auto"/>
              <w:bottom w:val="single" w:sz="4" w:space="0" w:color="auto"/>
              <w:right w:val="single" w:sz="4" w:space="0" w:color="auto"/>
            </w:tcBorders>
            <w:hideMark/>
          </w:tcPr>
          <w:p w14:paraId="79536B0A" w14:textId="77777777" w:rsidR="00836512" w:rsidRDefault="00836512">
            <w:pPr>
              <w:jc w:val="center"/>
              <w:rPr>
                <w:rFonts w:eastAsiaTheme="minorHAnsi"/>
                <w:sz w:val="20"/>
                <w:szCs w:val="20"/>
                <w:lang w:val="en-US"/>
              </w:rPr>
            </w:pPr>
            <w:r>
              <w:rPr>
                <w:rFonts w:eastAsiaTheme="minorHAnsi"/>
                <w:sz w:val="20"/>
                <w:szCs w:val="20"/>
                <w:lang w:val="en-US"/>
              </w:rPr>
              <w:t>4.90</w:t>
            </w:r>
          </w:p>
        </w:tc>
        <w:tc>
          <w:tcPr>
            <w:tcW w:w="955" w:type="dxa"/>
            <w:tcBorders>
              <w:top w:val="single" w:sz="4" w:space="0" w:color="auto"/>
              <w:left w:val="nil"/>
              <w:bottom w:val="single" w:sz="4" w:space="0" w:color="auto"/>
              <w:right w:val="single" w:sz="4" w:space="0" w:color="auto"/>
            </w:tcBorders>
            <w:vAlign w:val="bottom"/>
            <w:hideMark/>
          </w:tcPr>
          <w:p w14:paraId="103E4F5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-19.5</w:t>
            </w:r>
          </w:p>
        </w:tc>
        <w:tc>
          <w:tcPr>
            <w:tcW w:w="925" w:type="dxa"/>
            <w:tcBorders>
              <w:top w:val="single" w:sz="4" w:space="0" w:color="auto"/>
              <w:left w:val="single" w:sz="4" w:space="0" w:color="auto"/>
              <w:bottom w:val="single" w:sz="4" w:space="0" w:color="auto"/>
              <w:right w:val="nil"/>
            </w:tcBorders>
            <w:vAlign w:val="bottom"/>
            <w:hideMark/>
          </w:tcPr>
          <w:p w14:paraId="4176042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8.2</w:t>
            </w:r>
          </w:p>
        </w:tc>
        <w:tc>
          <w:tcPr>
            <w:tcW w:w="755" w:type="dxa"/>
            <w:tcBorders>
              <w:top w:val="single" w:sz="4" w:space="0" w:color="auto"/>
              <w:left w:val="single" w:sz="4" w:space="0" w:color="auto"/>
              <w:bottom w:val="single" w:sz="4" w:space="0" w:color="auto"/>
              <w:right w:val="single" w:sz="4" w:space="0" w:color="auto"/>
            </w:tcBorders>
            <w:vAlign w:val="bottom"/>
            <w:hideMark/>
          </w:tcPr>
          <w:p w14:paraId="678B618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14B3FBB"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519B006"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582CF7C"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365ECB3F" w14:textId="77777777" w:rsidR="00836512" w:rsidRDefault="00836512">
            <w:pPr>
              <w:jc w:val="center"/>
              <w:rPr>
                <w:rFonts w:eastAsiaTheme="minorHAnsi"/>
                <w:sz w:val="20"/>
                <w:szCs w:val="20"/>
                <w:lang w:val="en-US"/>
              </w:rPr>
            </w:pPr>
            <w:r>
              <w:rPr>
                <w:rFonts w:eastAsiaTheme="minorHAnsi"/>
                <w:sz w:val="20"/>
                <w:szCs w:val="20"/>
                <w:lang w:val="en-US"/>
              </w:rPr>
              <w:t>T21.04</w:t>
            </w:r>
          </w:p>
        </w:tc>
        <w:tc>
          <w:tcPr>
            <w:tcW w:w="1399" w:type="dxa"/>
            <w:tcBorders>
              <w:top w:val="single" w:sz="4" w:space="0" w:color="auto"/>
              <w:left w:val="single" w:sz="4" w:space="0" w:color="auto"/>
              <w:bottom w:val="single" w:sz="4" w:space="0" w:color="auto"/>
              <w:right w:val="single" w:sz="4" w:space="0" w:color="auto"/>
            </w:tcBorders>
            <w:hideMark/>
          </w:tcPr>
          <w:p w14:paraId="6DA80BD2" w14:textId="77777777" w:rsidR="00836512" w:rsidRDefault="00836512">
            <w:pPr>
              <w:jc w:val="center"/>
              <w:rPr>
                <w:rFonts w:eastAsiaTheme="minorHAnsi"/>
                <w:sz w:val="20"/>
                <w:szCs w:val="20"/>
                <w:lang w:val="en-US"/>
              </w:rPr>
            </w:pPr>
            <w:r>
              <w:rPr>
                <w:rFonts w:eastAsiaTheme="minorHAnsi"/>
                <w:sz w:val="20"/>
                <w:szCs w:val="20"/>
                <w:lang w:val="en-US"/>
              </w:rPr>
              <w:t>5.49 – 6.66</w:t>
            </w:r>
          </w:p>
        </w:tc>
        <w:tc>
          <w:tcPr>
            <w:tcW w:w="924" w:type="dxa"/>
            <w:tcBorders>
              <w:top w:val="single" w:sz="4" w:space="0" w:color="auto"/>
              <w:left w:val="single" w:sz="4" w:space="0" w:color="auto"/>
              <w:bottom w:val="single" w:sz="4" w:space="0" w:color="auto"/>
              <w:right w:val="single" w:sz="4" w:space="0" w:color="auto"/>
            </w:tcBorders>
            <w:hideMark/>
          </w:tcPr>
          <w:p w14:paraId="62DA729F" w14:textId="77777777" w:rsidR="00836512" w:rsidRDefault="00836512">
            <w:pPr>
              <w:jc w:val="center"/>
              <w:rPr>
                <w:rFonts w:eastAsiaTheme="minorHAnsi"/>
                <w:sz w:val="20"/>
                <w:szCs w:val="20"/>
                <w:lang w:val="en-US"/>
              </w:rPr>
            </w:pPr>
            <w:r>
              <w:rPr>
                <w:rFonts w:eastAsiaTheme="minorHAnsi"/>
                <w:sz w:val="20"/>
                <w:szCs w:val="20"/>
                <w:lang w:val="en-US"/>
              </w:rPr>
              <w:t>6.08</w:t>
            </w:r>
          </w:p>
        </w:tc>
        <w:tc>
          <w:tcPr>
            <w:tcW w:w="955" w:type="dxa"/>
            <w:tcBorders>
              <w:top w:val="single" w:sz="4" w:space="0" w:color="auto"/>
              <w:left w:val="nil"/>
              <w:bottom w:val="single" w:sz="4" w:space="0" w:color="auto"/>
              <w:right w:val="single" w:sz="4" w:space="0" w:color="auto"/>
            </w:tcBorders>
            <w:vAlign w:val="bottom"/>
            <w:hideMark/>
          </w:tcPr>
          <w:p w14:paraId="716C170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-19.3</w:t>
            </w:r>
          </w:p>
        </w:tc>
        <w:tc>
          <w:tcPr>
            <w:tcW w:w="925" w:type="dxa"/>
            <w:tcBorders>
              <w:top w:val="single" w:sz="4" w:space="0" w:color="auto"/>
              <w:left w:val="single" w:sz="4" w:space="0" w:color="auto"/>
              <w:bottom w:val="single" w:sz="4" w:space="0" w:color="auto"/>
              <w:right w:val="nil"/>
            </w:tcBorders>
            <w:vAlign w:val="bottom"/>
            <w:hideMark/>
          </w:tcPr>
          <w:p w14:paraId="5ABB41A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9.2</w:t>
            </w:r>
          </w:p>
        </w:tc>
        <w:tc>
          <w:tcPr>
            <w:tcW w:w="755" w:type="dxa"/>
            <w:tcBorders>
              <w:top w:val="single" w:sz="4" w:space="0" w:color="auto"/>
              <w:left w:val="single" w:sz="4" w:space="0" w:color="auto"/>
              <w:bottom w:val="single" w:sz="4" w:space="0" w:color="auto"/>
              <w:right w:val="single" w:sz="4" w:space="0" w:color="auto"/>
            </w:tcBorders>
            <w:vAlign w:val="bottom"/>
            <w:hideMark/>
          </w:tcPr>
          <w:p w14:paraId="5CD277D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C0CBEB2"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0ED8A242"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27D56FBB"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422C23CA" w14:textId="77777777" w:rsidR="00836512" w:rsidRDefault="00836512">
            <w:pPr>
              <w:jc w:val="center"/>
              <w:rPr>
                <w:rFonts w:eastAsiaTheme="minorHAnsi"/>
                <w:sz w:val="20"/>
                <w:szCs w:val="20"/>
                <w:lang w:val="en-US"/>
              </w:rPr>
            </w:pPr>
            <w:r>
              <w:rPr>
                <w:rFonts w:eastAsiaTheme="minorHAnsi"/>
                <w:sz w:val="20"/>
                <w:szCs w:val="20"/>
                <w:lang w:val="en-US"/>
              </w:rPr>
              <w:t>T21.05</w:t>
            </w:r>
          </w:p>
        </w:tc>
        <w:tc>
          <w:tcPr>
            <w:tcW w:w="1399" w:type="dxa"/>
            <w:tcBorders>
              <w:top w:val="single" w:sz="4" w:space="0" w:color="auto"/>
              <w:left w:val="single" w:sz="4" w:space="0" w:color="auto"/>
              <w:bottom w:val="single" w:sz="4" w:space="0" w:color="auto"/>
              <w:right w:val="single" w:sz="4" w:space="0" w:color="auto"/>
            </w:tcBorders>
            <w:hideMark/>
          </w:tcPr>
          <w:p w14:paraId="3265C178" w14:textId="77777777" w:rsidR="00836512" w:rsidRDefault="00836512">
            <w:pPr>
              <w:jc w:val="center"/>
              <w:rPr>
                <w:rFonts w:eastAsiaTheme="minorHAnsi"/>
                <w:sz w:val="20"/>
                <w:szCs w:val="20"/>
                <w:lang w:val="en-US"/>
              </w:rPr>
            </w:pPr>
            <w:r>
              <w:rPr>
                <w:rFonts w:eastAsiaTheme="minorHAnsi"/>
                <w:sz w:val="20"/>
                <w:szCs w:val="20"/>
                <w:lang w:val="en-US"/>
              </w:rPr>
              <w:t>6.66 – 7.83</w:t>
            </w:r>
          </w:p>
        </w:tc>
        <w:tc>
          <w:tcPr>
            <w:tcW w:w="924" w:type="dxa"/>
            <w:tcBorders>
              <w:top w:val="single" w:sz="4" w:space="0" w:color="auto"/>
              <w:left w:val="single" w:sz="4" w:space="0" w:color="auto"/>
              <w:bottom w:val="single" w:sz="4" w:space="0" w:color="auto"/>
              <w:right w:val="single" w:sz="4" w:space="0" w:color="auto"/>
            </w:tcBorders>
            <w:hideMark/>
          </w:tcPr>
          <w:p w14:paraId="04BBDE35" w14:textId="77777777" w:rsidR="00836512" w:rsidRDefault="00836512">
            <w:pPr>
              <w:jc w:val="center"/>
              <w:rPr>
                <w:rFonts w:eastAsiaTheme="minorHAnsi"/>
                <w:sz w:val="20"/>
                <w:szCs w:val="20"/>
                <w:lang w:val="en-US"/>
              </w:rPr>
            </w:pPr>
            <w:r>
              <w:rPr>
                <w:rFonts w:eastAsiaTheme="minorHAnsi"/>
                <w:sz w:val="20"/>
                <w:szCs w:val="20"/>
                <w:lang w:val="en-US"/>
              </w:rPr>
              <w:t>7.25</w:t>
            </w:r>
          </w:p>
        </w:tc>
        <w:tc>
          <w:tcPr>
            <w:tcW w:w="955" w:type="dxa"/>
            <w:tcBorders>
              <w:top w:val="single" w:sz="4" w:space="0" w:color="auto"/>
              <w:left w:val="nil"/>
              <w:bottom w:val="single" w:sz="4" w:space="0" w:color="auto"/>
              <w:right w:val="single" w:sz="4" w:space="0" w:color="auto"/>
            </w:tcBorders>
            <w:vAlign w:val="bottom"/>
            <w:hideMark/>
          </w:tcPr>
          <w:p w14:paraId="364840E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0CEF2A8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9.7</w:t>
            </w:r>
          </w:p>
        </w:tc>
        <w:tc>
          <w:tcPr>
            <w:tcW w:w="755" w:type="dxa"/>
            <w:tcBorders>
              <w:top w:val="single" w:sz="4" w:space="0" w:color="auto"/>
              <w:left w:val="single" w:sz="4" w:space="0" w:color="auto"/>
              <w:bottom w:val="single" w:sz="4" w:space="0" w:color="auto"/>
              <w:right w:val="single" w:sz="4" w:space="0" w:color="auto"/>
            </w:tcBorders>
            <w:vAlign w:val="bottom"/>
            <w:hideMark/>
          </w:tcPr>
          <w:p w14:paraId="4E40190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09C4D043"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5FFC5907"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6EF03B61"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1122F047" w14:textId="77777777" w:rsidR="00836512" w:rsidRDefault="00836512">
            <w:pPr>
              <w:jc w:val="center"/>
              <w:rPr>
                <w:rFonts w:eastAsiaTheme="minorHAnsi"/>
                <w:sz w:val="20"/>
                <w:szCs w:val="20"/>
                <w:lang w:val="en-US"/>
              </w:rPr>
            </w:pPr>
            <w:r>
              <w:rPr>
                <w:rFonts w:eastAsiaTheme="minorHAnsi"/>
                <w:sz w:val="20"/>
                <w:szCs w:val="20"/>
                <w:lang w:val="en-US"/>
              </w:rPr>
              <w:t>T21.06</w:t>
            </w:r>
          </w:p>
        </w:tc>
        <w:tc>
          <w:tcPr>
            <w:tcW w:w="1399" w:type="dxa"/>
            <w:tcBorders>
              <w:top w:val="single" w:sz="4" w:space="0" w:color="auto"/>
              <w:left w:val="single" w:sz="4" w:space="0" w:color="auto"/>
              <w:bottom w:val="single" w:sz="4" w:space="0" w:color="auto"/>
              <w:right w:val="single" w:sz="4" w:space="0" w:color="auto"/>
            </w:tcBorders>
            <w:hideMark/>
          </w:tcPr>
          <w:p w14:paraId="046886F9" w14:textId="77777777" w:rsidR="00836512" w:rsidRDefault="00836512">
            <w:pPr>
              <w:jc w:val="center"/>
              <w:rPr>
                <w:rFonts w:eastAsiaTheme="minorHAnsi"/>
                <w:sz w:val="20"/>
                <w:szCs w:val="20"/>
                <w:lang w:val="en-US"/>
              </w:rPr>
            </w:pPr>
            <w:r>
              <w:rPr>
                <w:rFonts w:eastAsiaTheme="minorHAnsi"/>
                <w:sz w:val="20"/>
                <w:szCs w:val="20"/>
                <w:lang w:val="en-US"/>
              </w:rPr>
              <w:t>7.83 – 9.00</w:t>
            </w:r>
          </w:p>
        </w:tc>
        <w:tc>
          <w:tcPr>
            <w:tcW w:w="924" w:type="dxa"/>
            <w:tcBorders>
              <w:top w:val="single" w:sz="4" w:space="0" w:color="auto"/>
              <w:left w:val="single" w:sz="4" w:space="0" w:color="auto"/>
              <w:bottom w:val="single" w:sz="4" w:space="0" w:color="auto"/>
              <w:right w:val="single" w:sz="4" w:space="0" w:color="auto"/>
            </w:tcBorders>
            <w:hideMark/>
          </w:tcPr>
          <w:p w14:paraId="390EB442" w14:textId="77777777" w:rsidR="00836512" w:rsidRDefault="00836512">
            <w:pPr>
              <w:jc w:val="center"/>
              <w:rPr>
                <w:rFonts w:eastAsiaTheme="minorHAnsi"/>
                <w:sz w:val="20"/>
                <w:szCs w:val="20"/>
                <w:lang w:val="en-US"/>
              </w:rPr>
            </w:pPr>
            <w:r>
              <w:rPr>
                <w:rFonts w:eastAsiaTheme="minorHAnsi"/>
                <w:sz w:val="20"/>
                <w:szCs w:val="20"/>
                <w:lang w:val="en-US"/>
              </w:rPr>
              <w:t>8.42</w:t>
            </w:r>
          </w:p>
        </w:tc>
        <w:tc>
          <w:tcPr>
            <w:tcW w:w="955" w:type="dxa"/>
            <w:tcBorders>
              <w:top w:val="single" w:sz="4" w:space="0" w:color="auto"/>
              <w:left w:val="nil"/>
              <w:bottom w:val="single" w:sz="4" w:space="0" w:color="auto"/>
              <w:right w:val="single" w:sz="4" w:space="0" w:color="auto"/>
            </w:tcBorders>
            <w:vAlign w:val="bottom"/>
            <w:hideMark/>
          </w:tcPr>
          <w:p w14:paraId="04260B7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w:t>
            </w:r>
          </w:p>
        </w:tc>
        <w:tc>
          <w:tcPr>
            <w:tcW w:w="925" w:type="dxa"/>
            <w:tcBorders>
              <w:top w:val="single" w:sz="4" w:space="0" w:color="auto"/>
              <w:left w:val="single" w:sz="4" w:space="0" w:color="auto"/>
              <w:bottom w:val="single" w:sz="4" w:space="0" w:color="auto"/>
              <w:right w:val="nil"/>
            </w:tcBorders>
            <w:vAlign w:val="bottom"/>
            <w:hideMark/>
          </w:tcPr>
          <w:p w14:paraId="4293872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10.9</w:t>
            </w:r>
          </w:p>
        </w:tc>
        <w:tc>
          <w:tcPr>
            <w:tcW w:w="755" w:type="dxa"/>
            <w:tcBorders>
              <w:top w:val="single" w:sz="4" w:space="0" w:color="auto"/>
              <w:left w:val="single" w:sz="4" w:space="0" w:color="auto"/>
              <w:bottom w:val="single" w:sz="4" w:space="0" w:color="auto"/>
              <w:right w:val="single" w:sz="4" w:space="0" w:color="auto"/>
            </w:tcBorders>
            <w:vAlign w:val="bottom"/>
            <w:hideMark/>
          </w:tcPr>
          <w:p w14:paraId="30B4238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3.4</w:t>
            </w:r>
          </w:p>
        </w:tc>
      </w:tr>
      <w:tr w:rsidR="00836512" w14:paraId="2FDAF748"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5E764D5D"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B82DD5F"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667377A0" w14:textId="77777777" w:rsidR="00836512" w:rsidRDefault="00836512">
            <w:pPr>
              <w:jc w:val="center"/>
              <w:rPr>
                <w:rFonts w:eastAsiaTheme="minorHAnsi"/>
                <w:sz w:val="20"/>
                <w:szCs w:val="20"/>
                <w:lang w:val="en-US"/>
              </w:rPr>
            </w:pPr>
            <w:r>
              <w:rPr>
                <w:rFonts w:eastAsiaTheme="minorHAnsi"/>
                <w:sz w:val="20"/>
                <w:szCs w:val="20"/>
                <w:lang w:val="en-US"/>
              </w:rPr>
              <w:t>T21.07</w:t>
            </w:r>
          </w:p>
        </w:tc>
        <w:tc>
          <w:tcPr>
            <w:tcW w:w="1399" w:type="dxa"/>
            <w:tcBorders>
              <w:top w:val="single" w:sz="4" w:space="0" w:color="auto"/>
              <w:left w:val="single" w:sz="4" w:space="0" w:color="auto"/>
              <w:bottom w:val="single" w:sz="4" w:space="0" w:color="auto"/>
              <w:right w:val="single" w:sz="4" w:space="0" w:color="auto"/>
            </w:tcBorders>
            <w:hideMark/>
          </w:tcPr>
          <w:p w14:paraId="76C1278A" w14:textId="77777777" w:rsidR="00836512" w:rsidRDefault="00836512">
            <w:pPr>
              <w:jc w:val="center"/>
              <w:rPr>
                <w:rFonts w:eastAsiaTheme="minorHAnsi"/>
                <w:sz w:val="20"/>
                <w:szCs w:val="20"/>
                <w:lang w:val="en-US"/>
              </w:rPr>
            </w:pPr>
            <w:r>
              <w:rPr>
                <w:rFonts w:eastAsiaTheme="minorHAnsi"/>
                <w:sz w:val="20"/>
                <w:szCs w:val="20"/>
                <w:lang w:val="en-US"/>
              </w:rPr>
              <w:t>9.00 – 10.75</w:t>
            </w:r>
          </w:p>
        </w:tc>
        <w:tc>
          <w:tcPr>
            <w:tcW w:w="924" w:type="dxa"/>
            <w:tcBorders>
              <w:top w:val="single" w:sz="4" w:space="0" w:color="auto"/>
              <w:left w:val="single" w:sz="4" w:space="0" w:color="auto"/>
              <w:bottom w:val="single" w:sz="4" w:space="0" w:color="auto"/>
              <w:right w:val="single" w:sz="4" w:space="0" w:color="auto"/>
            </w:tcBorders>
            <w:hideMark/>
          </w:tcPr>
          <w:p w14:paraId="6B16C0FB" w14:textId="77777777" w:rsidR="00836512" w:rsidRDefault="00836512">
            <w:pPr>
              <w:jc w:val="center"/>
              <w:rPr>
                <w:rFonts w:eastAsiaTheme="minorHAnsi"/>
                <w:sz w:val="20"/>
                <w:szCs w:val="20"/>
                <w:lang w:val="en-US"/>
              </w:rPr>
            </w:pPr>
            <w:r>
              <w:rPr>
                <w:rFonts w:eastAsiaTheme="minorHAnsi"/>
                <w:sz w:val="20"/>
                <w:szCs w:val="20"/>
                <w:lang w:val="en-US"/>
              </w:rPr>
              <w:t>9.88</w:t>
            </w:r>
          </w:p>
        </w:tc>
        <w:tc>
          <w:tcPr>
            <w:tcW w:w="955" w:type="dxa"/>
            <w:tcBorders>
              <w:top w:val="single" w:sz="4" w:space="0" w:color="auto"/>
              <w:left w:val="nil"/>
              <w:bottom w:val="single" w:sz="4" w:space="0" w:color="auto"/>
              <w:right w:val="single" w:sz="4" w:space="0" w:color="auto"/>
            </w:tcBorders>
            <w:vAlign w:val="bottom"/>
            <w:hideMark/>
          </w:tcPr>
          <w:p w14:paraId="62F6541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-20.1</w:t>
            </w:r>
          </w:p>
        </w:tc>
        <w:tc>
          <w:tcPr>
            <w:tcW w:w="925" w:type="dxa"/>
            <w:tcBorders>
              <w:top w:val="single" w:sz="4" w:space="0" w:color="auto"/>
              <w:left w:val="single" w:sz="4" w:space="0" w:color="auto"/>
              <w:bottom w:val="single" w:sz="4" w:space="0" w:color="auto"/>
              <w:right w:val="nil"/>
            </w:tcBorders>
            <w:vAlign w:val="bottom"/>
            <w:hideMark/>
          </w:tcPr>
          <w:p w14:paraId="1F0500C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10.4</w:t>
            </w:r>
          </w:p>
        </w:tc>
        <w:tc>
          <w:tcPr>
            <w:tcW w:w="755" w:type="dxa"/>
            <w:tcBorders>
              <w:top w:val="single" w:sz="4" w:space="0" w:color="auto"/>
              <w:left w:val="single" w:sz="4" w:space="0" w:color="auto"/>
              <w:bottom w:val="single" w:sz="4" w:space="0" w:color="auto"/>
              <w:right w:val="single" w:sz="4" w:space="0" w:color="auto"/>
            </w:tcBorders>
            <w:vAlign w:val="bottom"/>
            <w:hideMark/>
          </w:tcPr>
          <w:p w14:paraId="1DFA8C0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0CB4593B"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7E4D5FF7"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9678CA0" w14:textId="77777777" w:rsidR="00836512" w:rsidRDefault="00836512">
            <w:pPr>
              <w:rPr>
                <w:rFonts w:eastAsiaTheme="minorHAnsi"/>
                <w:sz w:val="20"/>
                <w:szCs w:val="20"/>
                <w:lang w:val="it-IT"/>
              </w:rPr>
            </w:pPr>
          </w:p>
        </w:tc>
        <w:tc>
          <w:tcPr>
            <w:tcW w:w="1333" w:type="dxa"/>
            <w:tcBorders>
              <w:top w:val="single" w:sz="4" w:space="0" w:color="auto"/>
              <w:left w:val="single" w:sz="4" w:space="0" w:color="auto"/>
              <w:bottom w:val="single" w:sz="4" w:space="0" w:color="auto"/>
              <w:right w:val="single" w:sz="4" w:space="0" w:color="auto"/>
            </w:tcBorders>
            <w:hideMark/>
          </w:tcPr>
          <w:p w14:paraId="148AC6BF" w14:textId="77777777" w:rsidR="00836512" w:rsidRDefault="00836512">
            <w:pPr>
              <w:jc w:val="center"/>
              <w:rPr>
                <w:rFonts w:eastAsiaTheme="minorHAnsi"/>
                <w:sz w:val="20"/>
                <w:szCs w:val="20"/>
                <w:lang w:val="en-US"/>
              </w:rPr>
            </w:pPr>
            <w:r>
              <w:rPr>
                <w:rFonts w:eastAsiaTheme="minorHAnsi"/>
                <w:sz w:val="20"/>
                <w:szCs w:val="20"/>
                <w:lang w:val="en-US"/>
              </w:rPr>
              <w:t>T21.08</w:t>
            </w:r>
          </w:p>
        </w:tc>
        <w:tc>
          <w:tcPr>
            <w:tcW w:w="1399" w:type="dxa"/>
            <w:tcBorders>
              <w:top w:val="single" w:sz="4" w:space="0" w:color="auto"/>
              <w:left w:val="single" w:sz="4" w:space="0" w:color="auto"/>
              <w:bottom w:val="single" w:sz="4" w:space="0" w:color="auto"/>
              <w:right w:val="single" w:sz="4" w:space="0" w:color="auto"/>
            </w:tcBorders>
            <w:hideMark/>
          </w:tcPr>
          <w:p w14:paraId="2AF7412A" w14:textId="77777777" w:rsidR="00836512" w:rsidRDefault="00836512">
            <w:pPr>
              <w:jc w:val="center"/>
              <w:rPr>
                <w:rFonts w:eastAsiaTheme="minorHAnsi"/>
                <w:sz w:val="20"/>
                <w:szCs w:val="20"/>
                <w:lang w:val="en-US"/>
              </w:rPr>
            </w:pPr>
            <w:r>
              <w:rPr>
                <w:rFonts w:eastAsiaTheme="minorHAnsi"/>
                <w:sz w:val="20"/>
                <w:szCs w:val="20"/>
                <w:lang w:val="en-US"/>
              </w:rPr>
              <w:t>10.75 – 12.50</w:t>
            </w:r>
          </w:p>
        </w:tc>
        <w:tc>
          <w:tcPr>
            <w:tcW w:w="924" w:type="dxa"/>
            <w:tcBorders>
              <w:top w:val="single" w:sz="4" w:space="0" w:color="auto"/>
              <w:left w:val="single" w:sz="4" w:space="0" w:color="auto"/>
              <w:bottom w:val="single" w:sz="4" w:space="0" w:color="auto"/>
              <w:right w:val="single" w:sz="4" w:space="0" w:color="auto"/>
            </w:tcBorders>
            <w:hideMark/>
          </w:tcPr>
          <w:p w14:paraId="6A8BAF70" w14:textId="77777777" w:rsidR="00836512" w:rsidRDefault="00836512">
            <w:pPr>
              <w:jc w:val="center"/>
              <w:rPr>
                <w:rFonts w:eastAsiaTheme="minorHAnsi"/>
                <w:sz w:val="20"/>
                <w:szCs w:val="20"/>
                <w:lang w:val="en-US"/>
              </w:rPr>
            </w:pPr>
            <w:r>
              <w:rPr>
                <w:rFonts w:eastAsiaTheme="minorHAnsi"/>
                <w:sz w:val="20"/>
                <w:szCs w:val="20"/>
                <w:lang w:val="en-US"/>
              </w:rPr>
              <w:t>11.63</w:t>
            </w:r>
          </w:p>
        </w:tc>
        <w:tc>
          <w:tcPr>
            <w:tcW w:w="955" w:type="dxa"/>
            <w:tcBorders>
              <w:top w:val="single" w:sz="4" w:space="0" w:color="auto"/>
              <w:left w:val="nil"/>
              <w:bottom w:val="single" w:sz="4" w:space="0" w:color="auto"/>
              <w:right w:val="single" w:sz="4" w:space="0" w:color="auto"/>
            </w:tcBorders>
            <w:vAlign w:val="bottom"/>
            <w:hideMark/>
          </w:tcPr>
          <w:p w14:paraId="0BD64AF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-19.2</w:t>
            </w:r>
          </w:p>
        </w:tc>
        <w:tc>
          <w:tcPr>
            <w:tcW w:w="925" w:type="dxa"/>
            <w:tcBorders>
              <w:top w:val="single" w:sz="4" w:space="0" w:color="auto"/>
              <w:left w:val="single" w:sz="4" w:space="0" w:color="auto"/>
              <w:bottom w:val="single" w:sz="4" w:space="0" w:color="auto"/>
              <w:right w:val="nil"/>
            </w:tcBorders>
            <w:vAlign w:val="bottom"/>
            <w:hideMark/>
          </w:tcPr>
          <w:p w14:paraId="370668B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10.8</w:t>
            </w:r>
          </w:p>
        </w:tc>
        <w:tc>
          <w:tcPr>
            <w:tcW w:w="755" w:type="dxa"/>
            <w:tcBorders>
              <w:top w:val="single" w:sz="4" w:space="0" w:color="auto"/>
              <w:left w:val="single" w:sz="4" w:space="0" w:color="auto"/>
              <w:bottom w:val="single" w:sz="4" w:space="0" w:color="auto"/>
              <w:right w:val="single" w:sz="4" w:space="0" w:color="auto"/>
            </w:tcBorders>
            <w:vAlign w:val="bottom"/>
            <w:hideMark/>
          </w:tcPr>
          <w:p w14:paraId="0BEC8B9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781A52BC" w14:textId="77777777" w:rsidTr="004533C9">
        <w:tc>
          <w:tcPr>
            <w:tcW w:w="1216" w:type="dxa"/>
            <w:vMerge w:val="restart"/>
            <w:tcBorders>
              <w:top w:val="single" w:sz="4" w:space="0" w:color="auto"/>
              <w:left w:val="single" w:sz="4" w:space="0" w:color="auto"/>
              <w:bottom w:val="single" w:sz="4" w:space="0" w:color="auto"/>
              <w:right w:val="single" w:sz="4" w:space="0" w:color="auto"/>
            </w:tcBorders>
            <w:hideMark/>
          </w:tcPr>
          <w:p w14:paraId="7DCFEE71" w14:textId="77777777" w:rsidR="00836512" w:rsidRDefault="00836512">
            <w:pPr>
              <w:jc w:val="center"/>
              <w:rPr>
                <w:rFonts w:eastAsiaTheme="minorHAnsi"/>
                <w:sz w:val="20"/>
                <w:szCs w:val="20"/>
                <w:lang w:val="en-US"/>
              </w:rPr>
            </w:pPr>
            <w:r>
              <w:rPr>
                <w:rFonts w:eastAsiaTheme="minorHAnsi"/>
                <w:sz w:val="20"/>
                <w:szCs w:val="20"/>
                <w:lang w:val="en-US"/>
              </w:rPr>
              <w:t>Botromagno</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2CFB663B" w14:textId="77777777" w:rsidR="00836512" w:rsidRDefault="00836512">
            <w:pPr>
              <w:jc w:val="center"/>
              <w:rPr>
                <w:rFonts w:eastAsiaTheme="minorHAnsi"/>
                <w:sz w:val="20"/>
                <w:szCs w:val="20"/>
                <w:lang w:val="en-US"/>
              </w:rPr>
            </w:pPr>
            <w:r>
              <w:rPr>
                <w:rFonts w:eastAsiaTheme="minorHAnsi"/>
                <w:sz w:val="20"/>
                <w:szCs w:val="20"/>
                <w:lang w:val="en-US"/>
              </w:rPr>
              <w:t>Botr 1971 Area NB, Grave 3</w:t>
            </w:r>
          </w:p>
        </w:tc>
        <w:tc>
          <w:tcPr>
            <w:tcW w:w="1333" w:type="dxa"/>
            <w:tcBorders>
              <w:top w:val="single" w:sz="4" w:space="0" w:color="auto"/>
              <w:left w:val="single" w:sz="4" w:space="0" w:color="auto"/>
              <w:bottom w:val="single" w:sz="4" w:space="0" w:color="auto"/>
              <w:right w:val="single" w:sz="4" w:space="0" w:color="auto"/>
            </w:tcBorders>
            <w:hideMark/>
          </w:tcPr>
          <w:p w14:paraId="438D9E9B" w14:textId="77777777" w:rsidR="00836512" w:rsidRDefault="00836512">
            <w:pPr>
              <w:jc w:val="center"/>
              <w:rPr>
                <w:rFonts w:eastAsiaTheme="minorHAnsi"/>
                <w:sz w:val="20"/>
                <w:szCs w:val="20"/>
                <w:lang w:val="en-US"/>
              </w:rPr>
            </w:pPr>
            <w:r>
              <w:rPr>
                <w:rFonts w:eastAsiaTheme="minorHAnsi"/>
                <w:sz w:val="20"/>
                <w:szCs w:val="20"/>
                <w:lang w:val="en-US"/>
              </w:rPr>
              <w:t>T22.01</w:t>
            </w:r>
          </w:p>
        </w:tc>
        <w:tc>
          <w:tcPr>
            <w:tcW w:w="1399" w:type="dxa"/>
            <w:tcBorders>
              <w:top w:val="single" w:sz="4" w:space="0" w:color="auto"/>
              <w:left w:val="single" w:sz="4" w:space="0" w:color="auto"/>
              <w:bottom w:val="single" w:sz="4" w:space="0" w:color="auto"/>
              <w:right w:val="single" w:sz="4" w:space="0" w:color="auto"/>
            </w:tcBorders>
            <w:hideMark/>
          </w:tcPr>
          <w:p w14:paraId="2B0A6A7D" w14:textId="77777777" w:rsidR="00836512" w:rsidRDefault="00836512">
            <w:pPr>
              <w:jc w:val="center"/>
              <w:rPr>
                <w:rFonts w:eastAsiaTheme="minorHAnsi"/>
                <w:sz w:val="20"/>
                <w:szCs w:val="20"/>
                <w:lang w:val="en-US"/>
              </w:rPr>
            </w:pPr>
            <w:r>
              <w:rPr>
                <w:rFonts w:eastAsiaTheme="minorHAnsi"/>
                <w:sz w:val="20"/>
                <w:szCs w:val="20"/>
                <w:lang w:val="en-US"/>
              </w:rPr>
              <w:t>1.50 – 2.67</w:t>
            </w:r>
          </w:p>
        </w:tc>
        <w:tc>
          <w:tcPr>
            <w:tcW w:w="924" w:type="dxa"/>
            <w:tcBorders>
              <w:top w:val="single" w:sz="4" w:space="0" w:color="auto"/>
              <w:left w:val="single" w:sz="4" w:space="0" w:color="auto"/>
              <w:bottom w:val="single" w:sz="4" w:space="0" w:color="auto"/>
              <w:right w:val="single" w:sz="4" w:space="0" w:color="auto"/>
            </w:tcBorders>
            <w:hideMark/>
          </w:tcPr>
          <w:p w14:paraId="49A41081" w14:textId="77777777" w:rsidR="00836512" w:rsidRDefault="00836512">
            <w:pPr>
              <w:jc w:val="center"/>
              <w:rPr>
                <w:rFonts w:eastAsiaTheme="minorHAnsi"/>
                <w:sz w:val="20"/>
                <w:szCs w:val="20"/>
                <w:lang w:val="en-US"/>
              </w:rPr>
            </w:pPr>
            <w:r>
              <w:rPr>
                <w:rFonts w:eastAsiaTheme="minorHAnsi"/>
                <w:sz w:val="20"/>
                <w:szCs w:val="20"/>
                <w:lang w:val="en-US"/>
              </w:rPr>
              <w:t>2.09</w:t>
            </w:r>
          </w:p>
        </w:tc>
        <w:tc>
          <w:tcPr>
            <w:tcW w:w="955" w:type="dxa"/>
            <w:tcBorders>
              <w:top w:val="single" w:sz="4" w:space="0" w:color="auto"/>
              <w:left w:val="nil"/>
              <w:bottom w:val="single" w:sz="4" w:space="0" w:color="auto"/>
              <w:right w:val="single" w:sz="4" w:space="0" w:color="auto"/>
            </w:tcBorders>
            <w:vAlign w:val="bottom"/>
            <w:hideMark/>
          </w:tcPr>
          <w:p w14:paraId="361A0F9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-19.4</w:t>
            </w:r>
          </w:p>
        </w:tc>
        <w:tc>
          <w:tcPr>
            <w:tcW w:w="925" w:type="dxa"/>
            <w:tcBorders>
              <w:top w:val="single" w:sz="4" w:space="0" w:color="auto"/>
              <w:left w:val="single" w:sz="4" w:space="0" w:color="auto"/>
              <w:bottom w:val="single" w:sz="4" w:space="0" w:color="auto"/>
              <w:right w:val="nil"/>
            </w:tcBorders>
            <w:vAlign w:val="bottom"/>
            <w:hideMark/>
          </w:tcPr>
          <w:p w14:paraId="20D3D3F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9.4</w:t>
            </w:r>
          </w:p>
        </w:tc>
        <w:tc>
          <w:tcPr>
            <w:tcW w:w="755" w:type="dxa"/>
            <w:tcBorders>
              <w:top w:val="single" w:sz="4" w:space="0" w:color="auto"/>
              <w:left w:val="single" w:sz="4" w:space="0" w:color="auto"/>
              <w:bottom w:val="single" w:sz="4" w:space="0" w:color="auto"/>
              <w:right w:val="single" w:sz="4" w:space="0" w:color="auto"/>
            </w:tcBorders>
            <w:vAlign w:val="bottom"/>
            <w:hideMark/>
          </w:tcPr>
          <w:p w14:paraId="79777D9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6295553C"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24E4F5C0"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EB49F89"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72595456" w14:textId="77777777" w:rsidR="00836512" w:rsidRDefault="00836512">
            <w:pPr>
              <w:jc w:val="center"/>
              <w:rPr>
                <w:rFonts w:eastAsiaTheme="minorHAnsi"/>
                <w:sz w:val="20"/>
                <w:szCs w:val="20"/>
                <w:lang w:val="en-US"/>
              </w:rPr>
            </w:pPr>
            <w:r>
              <w:rPr>
                <w:rFonts w:eastAsiaTheme="minorHAnsi"/>
                <w:sz w:val="20"/>
                <w:szCs w:val="20"/>
                <w:lang w:val="en-US"/>
              </w:rPr>
              <w:t>T22.02</w:t>
            </w:r>
          </w:p>
        </w:tc>
        <w:tc>
          <w:tcPr>
            <w:tcW w:w="1399" w:type="dxa"/>
            <w:tcBorders>
              <w:top w:val="single" w:sz="4" w:space="0" w:color="auto"/>
              <w:left w:val="single" w:sz="4" w:space="0" w:color="auto"/>
              <w:bottom w:val="single" w:sz="4" w:space="0" w:color="auto"/>
              <w:right w:val="single" w:sz="4" w:space="0" w:color="auto"/>
            </w:tcBorders>
            <w:hideMark/>
          </w:tcPr>
          <w:p w14:paraId="680553F6" w14:textId="77777777" w:rsidR="00836512" w:rsidRDefault="00836512">
            <w:pPr>
              <w:jc w:val="center"/>
              <w:rPr>
                <w:rFonts w:eastAsiaTheme="minorHAnsi"/>
                <w:sz w:val="20"/>
                <w:szCs w:val="20"/>
                <w:lang w:val="en-US"/>
              </w:rPr>
            </w:pPr>
            <w:r>
              <w:rPr>
                <w:rFonts w:eastAsiaTheme="minorHAnsi"/>
                <w:sz w:val="20"/>
                <w:szCs w:val="20"/>
                <w:lang w:val="en-US"/>
              </w:rPr>
              <w:t>2.67 – 3.84</w:t>
            </w:r>
          </w:p>
        </w:tc>
        <w:tc>
          <w:tcPr>
            <w:tcW w:w="924" w:type="dxa"/>
            <w:tcBorders>
              <w:top w:val="single" w:sz="4" w:space="0" w:color="auto"/>
              <w:left w:val="single" w:sz="4" w:space="0" w:color="auto"/>
              <w:bottom w:val="single" w:sz="4" w:space="0" w:color="auto"/>
              <w:right w:val="single" w:sz="4" w:space="0" w:color="auto"/>
            </w:tcBorders>
            <w:hideMark/>
          </w:tcPr>
          <w:p w14:paraId="2F72F3C9" w14:textId="77777777" w:rsidR="00836512" w:rsidRDefault="00836512">
            <w:pPr>
              <w:jc w:val="center"/>
              <w:rPr>
                <w:rFonts w:eastAsiaTheme="minorHAnsi"/>
                <w:sz w:val="20"/>
                <w:szCs w:val="20"/>
                <w:lang w:val="en-US"/>
              </w:rPr>
            </w:pPr>
            <w:r>
              <w:rPr>
                <w:rFonts w:eastAsiaTheme="minorHAnsi"/>
                <w:sz w:val="20"/>
                <w:szCs w:val="20"/>
                <w:lang w:val="en-US"/>
              </w:rPr>
              <w:t>3.26</w:t>
            </w:r>
          </w:p>
        </w:tc>
        <w:tc>
          <w:tcPr>
            <w:tcW w:w="955" w:type="dxa"/>
            <w:tcBorders>
              <w:top w:val="single" w:sz="4" w:space="0" w:color="auto"/>
              <w:left w:val="nil"/>
              <w:bottom w:val="single" w:sz="4" w:space="0" w:color="auto"/>
              <w:right w:val="single" w:sz="4" w:space="0" w:color="auto"/>
            </w:tcBorders>
            <w:vAlign w:val="bottom"/>
            <w:hideMark/>
          </w:tcPr>
          <w:p w14:paraId="67FF43A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-19.7</w:t>
            </w:r>
          </w:p>
        </w:tc>
        <w:tc>
          <w:tcPr>
            <w:tcW w:w="925" w:type="dxa"/>
            <w:tcBorders>
              <w:top w:val="single" w:sz="4" w:space="0" w:color="auto"/>
              <w:left w:val="single" w:sz="4" w:space="0" w:color="auto"/>
              <w:bottom w:val="single" w:sz="4" w:space="0" w:color="auto"/>
              <w:right w:val="nil"/>
            </w:tcBorders>
            <w:vAlign w:val="bottom"/>
            <w:hideMark/>
          </w:tcPr>
          <w:p w14:paraId="46D445F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8.9</w:t>
            </w:r>
          </w:p>
        </w:tc>
        <w:tc>
          <w:tcPr>
            <w:tcW w:w="755" w:type="dxa"/>
            <w:tcBorders>
              <w:top w:val="single" w:sz="4" w:space="0" w:color="auto"/>
              <w:left w:val="single" w:sz="4" w:space="0" w:color="auto"/>
              <w:bottom w:val="single" w:sz="4" w:space="0" w:color="auto"/>
              <w:right w:val="single" w:sz="4" w:space="0" w:color="auto"/>
            </w:tcBorders>
            <w:vAlign w:val="bottom"/>
            <w:hideMark/>
          </w:tcPr>
          <w:p w14:paraId="588E350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267F927B"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15F3DD21"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4776F7E8"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3A114C9C" w14:textId="77777777" w:rsidR="00836512" w:rsidRDefault="00836512">
            <w:pPr>
              <w:jc w:val="center"/>
              <w:rPr>
                <w:rFonts w:eastAsiaTheme="minorHAnsi"/>
                <w:sz w:val="20"/>
                <w:szCs w:val="20"/>
                <w:lang w:val="en-US"/>
              </w:rPr>
            </w:pPr>
            <w:r>
              <w:rPr>
                <w:rFonts w:eastAsiaTheme="minorHAnsi"/>
                <w:sz w:val="20"/>
                <w:szCs w:val="20"/>
                <w:lang w:val="en-US"/>
              </w:rPr>
              <w:t>T22.03</w:t>
            </w:r>
          </w:p>
        </w:tc>
        <w:tc>
          <w:tcPr>
            <w:tcW w:w="1399" w:type="dxa"/>
            <w:tcBorders>
              <w:top w:val="single" w:sz="4" w:space="0" w:color="auto"/>
              <w:left w:val="single" w:sz="4" w:space="0" w:color="auto"/>
              <w:bottom w:val="single" w:sz="4" w:space="0" w:color="auto"/>
              <w:right w:val="single" w:sz="4" w:space="0" w:color="auto"/>
            </w:tcBorders>
            <w:hideMark/>
          </w:tcPr>
          <w:p w14:paraId="44B4C188" w14:textId="77777777" w:rsidR="00836512" w:rsidRDefault="00836512">
            <w:pPr>
              <w:jc w:val="center"/>
              <w:rPr>
                <w:rFonts w:eastAsiaTheme="minorHAnsi"/>
                <w:sz w:val="20"/>
                <w:szCs w:val="20"/>
                <w:lang w:val="en-US"/>
              </w:rPr>
            </w:pPr>
            <w:r>
              <w:rPr>
                <w:rFonts w:eastAsiaTheme="minorHAnsi"/>
                <w:sz w:val="20"/>
                <w:szCs w:val="20"/>
                <w:lang w:val="en-US"/>
              </w:rPr>
              <w:t>3.84 – 5.01</w:t>
            </w:r>
          </w:p>
        </w:tc>
        <w:tc>
          <w:tcPr>
            <w:tcW w:w="924" w:type="dxa"/>
            <w:tcBorders>
              <w:top w:val="single" w:sz="4" w:space="0" w:color="auto"/>
              <w:left w:val="single" w:sz="4" w:space="0" w:color="auto"/>
              <w:bottom w:val="single" w:sz="4" w:space="0" w:color="auto"/>
              <w:right w:val="single" w:sz="4" w:space="0" w:color="auto"/>
            </w:tcBorders>
            <w:hideMark/>
          </w:tcPr>
          <w:p w14:paraId="65715579" w14:textId="77777777" w:rsidR="00836512" w:rsidRDefault="00836512">
            <w:pPr>
              <w:jc w:val="center"/>
              <w:rPr>
                <w:rFonts w:eastAsiaTheme="minorHAnsi"/>
                <w:sz w:val="20"/>
                <w:szCs w:val="20"/>
                <w:lang w:val="en-US"/>
              </w:rPr>
            </w:pPr>
            <w:r>
              <w:rPr>
                <w:rFonts w:eastAsiaTheme="minorHAnsi"/>
                <w:sz w:val="20"/>
                <w:szCs w:val="20"/>
                <w:lang w:val="en-US"/>
              </w:rPr>
              <w:t>4.43</w:t>
            </w:r>
          </w:p>
        </w:tc>
        <w:tc>
          <w:tcPr>
            <w:tcW w:w="955" w:type="dxa"/>
            <w:tcBorders>
              <w:top w:val="single" w:sz="4" w:space="0" w:color="auto"/>
              <w:left w:val="nil"/>
              <w:bottom w:val="single" w:sz="4" w:space="0" w:color="auto"/>
              <w:right w:val="single" w:sz="4" w:space="0" w:color="auto"/>
            </w:tcBorders>
            <w:vAlign w:val="bottom"/>
            <w:hideMark/>
          </w:tcPr>
          <w:p w14:paraId="47E8DF5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-20.3</w:t>
            </w:r>
          </w:p>
        </w:tc>
        <w:tc>
          <w:tcPr>
            <w:tcW w:w="925" w:type="dxa"/>
            <w:tcBorders>
              <w:top w:val="single" w:sz="4" w:space="0" w:color="auto"/>
              <w:left w:val="single" w:sz="4" w:space="0" w:color="auto"/>
              <w:bottom w:val="single" w:sz="4" w:space="0" w:color="auto"/>
              <w:right w:val="nil"/>
            </w:tcBorders>
            <w:vAlign w:val="bottom"/>
            <w:hideMark/>
          </w:tcPr>
          <w:p w14:paraId="4BCD0B6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7.3</w:t>
            </w:r>
          </w:p>
        </w:tc>
        <w:tc>
          <w:tcPr>
            <w:tcW w:w="755" w:type="dxa"/>
            <w:tcBorders>
              <w:top w:val="single" w:sz="4" w:space="0" w:color="auto"/>
              <w:left w:val="single" w:sz="4" w:space="0" w:color="auto"/>
              <w:bottom w:val="single" w:sz="4" w:space="0" w:color="auto"/>
              <w:right w:val="single" w:sz="4" w:space="0" w:color="auto"/>
            </w:tcBorders>
            <w:vAlign w:val="bottom"/>
            <w:hideMark/>
          </w:tcPr>
          <w:p w14:paraId="143A955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21269426"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07233FCB"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6E5310AE"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03B3DD6C" w14:textId="77777777" w:rsidR="00836512" w:rsidRDefault="00836512">
            <w:pPr>
              <w:jc w:val="center"/>
              <w:rPr>
                <w:rFonts w:eastAsiaTheme="minorHAnsi"/>
                <w:sz w:val="20"/>
                <w:szCs w:val="20"/>
                <w:lang w:val="en-US"/>
              </w:rPr>
            </w:pPr>
            <w:r>
              <w:rPr>
                <w:rFonts w:eastAsiaTheme="minorHAnsi"/>
                <w:sz w:val="20"/>
                <w:szCs w:val="20"/>
                <w:lang w:val="en-US"/>
              </w:rPr>
              <w:t>T22.04</w:t>
            </w:r>
          </w:p>
        </w:tc>
        <w:tc>
          <w:tcPr>
            <w:tcW w:w="1399" w:type="dxa"/>
            <w:tcBorders>
              <w:top w:val="single" w:sz="4" w:space="0" w:color="auto"/>
              <w:left w:val="single" w:sz="4" w:space="0" w:color="auto"/>
              <w:bottom w:val="single" w:sz="4" w:space="0" w:color="auto"/>
              <w:right w:val="single" w:sz="4" w:space="0" w:color="auto"/>
            </w:tcBorders>
            <w:hideMark/>
          </w:tcPr>
          <w:p w14:paraId="2642359A" w14:textId="77777777" w:rsidR="00836512" w:rsidRDefault="00836512">
            <w:pPr>
              <w:jc w:val="center"/>
              <w:rPr>
                <w:rFonts w:eastAsiaTheme="minorHAnsi"/>
                <w:sz w:val="20"/>
                <w:szCs w:val="20"/>
                <w:lang w:val="en-US"/>
              </w:rPr>
            </w:pPr>
            <w:r>
              <w:rPr>
                <w:rFonts w:eastAsiaTheme="minorHAnsi"/>
                <w:sz w:val="20"/>
                <w:szCs w:val="20"/>
                <w:lang w:val="en-US"/>
              </w:rPr>
              <w:t>5.01 – 6.76</w:t>
            </w:r>
          </w:p>
        </w:tc>
        <w:tc>
          <w:tcPr>
            <w:tcW w:w="924" w:type="dxa"/>
            <w:tcBorders>
              <w:top w:val="single" w:sz="4" w:space="0" w:color="auto"/>
              <w:left w:val="single" w:sz="4" w:space="0" w:color="auto"/>
              <w:bottom w:val="single" w:sz="4" w:space="0" w:color="auto"/>
              <w:right w:val="single" w:sz="4" w:space="0" w:color="auto"/>
            </w:tcBorders>
            <w:hideMark/>
          </w:tcPr>
          <w:p w14:paraId="550F25B8" w14:textId="77777777" w:rsidR="00836512" w:rsidRDefault="00836512">
            <w:pPr>
              <w:jc w:val="center"/>
              <w:rPr>
                <w:rFonts w:eastAsiaTheme="minorHAnsi"/>
                <w:sz w:val="20"/>
                <w:szCs w:val="20"/>
                <w:lang w:val="en-US"/>
              </w:rPr>
            </w:pPr>
            <w:r>
              <w:rPr>
                <w:rFonts w:eastAsiaTheme="minorHAnsi"/>
                <w:sz w:val="20"/>
                <w:szCs w:val="20"/>
                <w:lang w:val="en-US"/>
              </w:rPr>
              <w:t>5.89</w:t>
            </w:r>
          </w:p>
        </w:tc>
        <w:tc>
          <w:tcPr>
            <w:tcW w:w="955" w:type="dxa"/>
            <w:tcBorders>
              <w:top w:val="single" w:sz="4" w:space="0" w:color="auto"/>
              <w:left w:val="nil"/>
              <w:bottom w:val="single" w:sz="4" w:space="0" w:color="auto"/>
              <w:right w:val="single" w:sz="4" w:space="0" w:color="auto"/>
            </w:tcBorders>
            <w:vAlign w:val="bottom"/>
            <w:hideMark/>
          </w:tcPr>
          <w:p w14:paraId="4126D65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-19.8</w:t>
            </w:r>
          </w:p>
        </w:tc>
        <w:tc>
          <w:tcPr>
            <w:tcW w:w="925" w:type="dxa"/>
            <w:tcBorders>
              <w:top w:val="single" w:sz="4" w:space="0" w:color="auto"/>
              <w:left w:val="single" w:sz="4" w:space="0" w:color="auto"/>
              <w:bottom w:val="single" w:sz="4" w:space="0" w:color="auto"/>
              <w:right w:val="nil"/>
            </w:tcBorders>
            <w:vAlign w:val="bottom"/>
            <w:hideMark/>
          </w:tcPr>
          <w:p w14:paraId="09F9A0E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7.4</w:t>
            </w:r>
          </w:p>
        </w:tc>
        <w:tc>
          <w:tcPr>
            <w:tcW w:w="755" w:type="dxa"/>
            <w:tcBorders>
              <w:top w:val="single" w:sz="4" w:space="0" w:color="auto"/>
              <w:left w:val="single" w:sz="4" w:space="0" w:color="auto"/>
              <w:bottom w:val="single" w:sz="4" w:space="0" w:color="auto"/>
              <w:right w:val="single" w:sz="4" w:space="0" w:color="auto"/>
            </w:tcBorders>
            <w:vAlign w:val="bottom"/>
            <w:hideMark/>
          </w:tcPr>
          <w:p w14:paraId="489F44F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00A8859C"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600E4168"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1DF01730"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1EB64F33" w14:textId="77777777" w:rsidR="00836512" w:rsidRDefault="00836512">
            <w:pPr>
              <w:jc w:val="center"/>
              <w:rPr>
                <w:rFonts w:eastAsiaTheme="minorHAnsi"/>
                <w:sz w:val="20"/>
                <w:szCs w:val="20"/>
                <w:lang w:val="en-US"/>
              </w:rPr>
            </w:pPr>
            <w:r>
              <w:rPr>
                <w:rFonts w:eastAsiaTheme="minorHAnsi"/>
                <w:sz w:val="20"/>
                <w:szCs w:val="20"/>
                <w:lang w:val="en-US"/>
              </w:rPr>
              <w:t>T22.05</w:t>
            </w:r>
          </w:p>
        </w:tc>
        <w:tc>
          <w:tcPr>
            <w:tcW w:w="1399" w:type="dxa"/>
            <w:tcBorders>
              <w:top w:val="single" w:sz="4" w:space="0" w:color="auto"/>
              <w:left w:val="single" w:sz="4" w:space="0" w:color="auto"/>
              <w:bottom w:val="single" w:sz="4" w:space="0" w:color="auto"/>
              <w:right w:val="single" w:sz="4" w:space="0" w:color="auto"/>
            </w:tcBorders>
            <w:hideMark/>
          </w:tcPr>
          <w:p w14:paraId="53092B4C" w14:textId="77777777" w:rsidR="00836512" w:rsidRDefault="00836512">
            <w:pPr>
              <w:jc w:val="center"/>
              <w:rPr>
                <w:rFonts w:eastAsiaTheme="minorHAnsi"/>
                <w:sz w:val="20"/>
                <w:szCs w:val="20"/>
                <w:lang w:val="en-US"/>
              </w:rPr>
            </w:pPr>
            <w:r>
              <w:rPr>
                <w:rFonts w:eastAsiaTheme="minorHAnsi"/>
                <w:sz w:val="20"/>
                <w:szCs w:val="20"/>
                <w:lang w:val="en-US"/>
              </w:rPr>
              <w:t>6.76 – 8.51</w:t>
            </w:r>
          </w:p>
        </w:tc>
        <w:tc>
          <w:tcPr>
            <w:tcW w:w="924" w:type="dxa"/>
            <w:tcBorders>
              <w:top w:val="single" w:sz="4" w:space="0" w:color="auto"/>
              <w:left w:val="single" w:sz="4" w:space="0" w:color="auto"/>
              <w:bottom w:val="single" w:sz="4" w:space="0" w:color="auto"/>
              <w:right w:val="single" w:sz="4" w:space="0" w:color="auto"/>
            </w:tcBorders>
            <w:hideMark/>
          </w:tcPr>
          <w:p w14:paraId="21CEDF4C" w14:textId="77777777" w:rsidR="00836512" w:rsidRDefault="00836512">
            <w:pPr>
              <w:jc w:val="center"/>
              <w:rPr>
                <w:rFonts w:eastAsiaTheme="minorHAnsi"/>
                <w:sz w:val="20"/>
                <w:szCs w:val="20"/>
                <w:lang w:val="en-US"/>
              </w:rPr>
            </w:pPr>
            <w:r>
              <w:rPr>
                <w:rFonts w:eastAsiaTheme="minorHAnsi"/>
                <w:sz w:val="20"/>
                <w:szCs w:val="20"/>
                <w:lang w:val="en-US"/>
              </w:rPr>
              <w:t>7.64</w:t>
            </w:r>
          </w:p>
        </w:tc>
        <w:tc>
          <w:tcPr>
            <w:tcW w:w="955" w:type="dxa"/>
            <w:tcBorders>
              <w:top w:val="single" w:sz="4" w:space="0" w:color="auto"/>
              <w:left w:val="nil"/>
              <w:bottom w:val="single" w:sz="4" w:space="0" w:color="auto"/>
              <w:right w:val="single" w:sz="4" w:space="0" w:color="auto"/>
            </w:tcBorders>
            <w:vAlign w:val="bottom"/>
            <w:hideMark/>
          </w:tcPr>
          <w:p w14:paraId="1859348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-20.1</w:t>
            </w:r>
          </w:p>
        </w:tc>
        <w:tc>
          <w:tcPr>
            <w:tcW w:w="925" w:type="dxa"/>
            <w:tcBorders>
              <w:top w:val="single" w:sz="4" w:space="0" w:color="auto"/>
              <w:left w:val="single" w:sz="4" w:space="0" w:color="auto"/>
              <w:bottom w:val="single" w:sz="4" w:space="0" w:color="auto"/>
              <w:right w:val="nil"/>
            </w:tcBorders>
            <w:vAlign w:val="bottom"/>
            <w:hideMark/>
          </w:tcPr>
          <w:p w14:paraId="3141420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7.5</w:t>
            </w:r>
          </w:p>
        </w:tc>
        <w:tc>
          <w:tcPr>
            <w:tcW w:w="755" w:type="dxa"/>
            <w:tcBorders>
              <w:top w:val="single" w:sz="4" w:space="0" w:color="auto"/>
              <w:left w:val="single" w:sz="4" w:space="0" w:color="auto"/>
              <w:bottom w:val="single" w:sz="4" w:space="0" w:color="auto"/>
              <w:right w:val="single" w:sz="4" w:space="0" w:color="auto"/>
            </w:tcBorders>
            <w:vAlign w:val="bottom"/>
            <w:hideMark/>
          </w:tcPr>
          <w:p w14:paraId="2F8E498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650D329C"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5C1A6DEA"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7CF78558"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3EC37662" w14:textId="77777777" w:rsidR="00836512" w:rsidRDefault="00836512">
            <w:pPr>
              <w:jc w:val="center"/>
              <w:rPr>
                <w:rFonts w:eastAsiaTheme="minorHAnsi"/>
                <w:sz w:val="20"/>
                <w:szCs w:val="20"/>
                <w:lang w:val="en-US"/>
              </w:rPr>
            </w:pPr>
            <w:r>
              <w:rPr>
                <w:rFonts w:eastAsiaTheme="minorHAnsi"/>
                <w:sz w:val="20"/>
                <w:szCs w:val="20"/>
                <w:lang w:val="en-US"/>
              </w:rPr>
              <w:t>T22.06</w:t>
            </w:r>
          </w:p>
        </w:tc>
        <w:tc>
          <w:tcPr>
            <w:tcW w:w="1399" w:type="dxa"/>
            <w:tcBorders>
              <w:top w:val="single" w:sz="4" w:space="0" w:color="auto"/>
              <w:left w:val="single" w:sz="4" w:space="0" w:color="auto"/>
              <w:bottom w:val="single" w:sz="4" w:space="0" w:color="auto"/>
              <w:right w:val="single" w:sz="4" w:space="0" w:color="auto"/>
            </w:tcBorders>
            <w:hideMark/>
          </w:tcPr>
          <w:p w14:paraId="6BA1595A" w14:textId="77777777" w:rsidR="00836512" w:rsidRDefault="00836512">
            <w:pPr>
              <w:jc w:val="center"/>
              <w:rPr>
                <w:rFonts w:eastAsiaTheme="minorHAnsi"/>
                <w:sz w:val="20"/>
                <w:szCs w:val="20"/>
                <w:lang w:val="en-US"/>
              </w:rPr>
            </w:pPr>
            <w:r>
              <w:rPr>
                <w:rFonts w:eastAsiaTheme="minorHAnsi"/>
                <w:sz w:val="20"/>
                <w:szCs w:val="20"/>
                <w:lang w:val="en-US"/>
              </w:rPr>
              <w:t>8.51 – 10.26</w:t>
            </w:r>
          </w:p>
        </w:tc>
        <w:tc>
          <w:tcPr>
            <w:tcW w:w="924" w:type="dxa"/>
            <w:tcBorders>
              <w:top w:val="single" w:sz="4" w:space="0" w:color="auto"/>
              <w:left w:val="single" w:sz="4" w:space="0" w:color="auto"/>
              <w:bottom w:val="single" w:sz="4" w:space="0" w:color="auto"/>
              <w:right w:val="single" w:sz="4" w:space="0" w:color="auto"/>
            </w:tcBorders>
            <w:hideMark/>
          </w:tcPr>
          <w:p w14:paraId="27EDC40A" w14:textId="77777777" w:rsidR="00836512" w:rsidRDefault="00836512">
            <w:pPr>
              <w:jc w:val="center"/>
              <w:rPr>
                <w:rFonts w:eastAsiaTheme="minorHAnsi"/>
                <w:sz w:val="20"/>
                <w:szCs w:val="20"/>
                <w:lang w:val="en-US"/>
              </w:rPr>
            </w:pPr>
            <w:r>
              <w:rPr>
                <w:rFonts w:eastAsiaTheme="minorHAnsi"/>
                <w:sz w:val="20"/>
                <w:szCs w:val="20"/>
                <w:lang w:val="en-US"/>
              </w:rPr>
              <w:t>9.39</w:t>
            </w:r>
          </w:p>
        </w:tc>
        <w:tc>
          <w:tcPr>
            <w:tcW w:w="955" w:type="dxa"/>
            <w:tcBorders>
              <w:top w:val="single" w:sz="4" w:space="0" w:color="auto"/>
              <w:left w:val="nil"/>
              <w:bottom w:val="single" w:sz="4" w:space="0" w:color="auto"/>
              <w:right w:val="single" w:sz="4" w:space="0" w:color="auto"/>
            </w:tcBorders>
            <w:vAlign w:val="bottom"/>
            <w:hideMark/>
          </w:tcPr>
          <w:p w14:paraId="67866E4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-21.1</w:t>
            </w:r>
          </w:p>
        </w:tc>
        <w:tc>
          <w:tcPr>
            <w:tcW w:w="925" w:type="dxa"/>
            <w:tcBorders>
              <w:top w:val="single" w:sz="4" w:space="0" w:color="auto"/>
              <w:left w:val="single" w:sz="4" w:space="0" w:color="auto"/>
              <w:bottom w:val="single" w:sz="4" w:space="0" w:color="auto"/>
              <w:right w:val="nil"/>
            </w:tcBorders>
            <w:vAlign w:val="bottom"/>
            <w:hideMark/>
          </w:tcPr>
          <w:p w14:paraId="2B42626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7.7</w:t>
            </w:r>
          </w:p>
        </w:tc>
        <w:tc>
          <w:tcPr>
            <w:tcW w:w="755" w:type="dxa"/>
            <w:tcBorders>
              <w:top w:val="single" w:sz="4" w:space="0" w:color="auto"/>
              <w:left w:val="single" w:sz="4" w:space="0" w:color="auto"/>
              <w:bottom w:val="single" w:sz="4" w:space="0" w:color="auto"/>
              <w:right w:val="single" w:sz="4" w:space="0" w:color="auto"/>
            </w:tcBorders>
            <w:vAlign w:val="bottom"/>
            <w:hideMark/>
          </w:tcPr>
          <w:p w14:paraId="2CC6E35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79628EE9" w14:textId="77777777" w:rsidTr="004533C9">
        <w:tc>
          <w:tcPr>
            <w:tcW w:w="0" w:type="auto"/>
            <w:vMerge/>
            <w:tcBorders>
              <w:top w:val="single" w:sz="4" w:space="0" w:color="auto"/>
              <w:left w:val="single" w:sz="4" w:space="0" w:color="auto"/>
              <w:bottom w:val="single" w:sz="4" w:space="0" w:color="auto"/>
              <w:right w:val="single" w:sz="4" w:space="0" w:color="auto"/>
            </w:tcBorders>
            <w:vAlign w:val="center"/>
            <w:hideMark/>
          </w:tcPr>
          <w:p w14:paraId="465B83FB" w14:textId="77777777" w:rsidR="00836512" w:rsidRDefault="00836512">
            <w:pPr>
              <w:rPr>
                <w:rFonts w:eastAsiaTheme="minorHAnsi"/>
                <w:sz w:val="20"/>
                <w:szCs w:val="20"/>
                <w:lang w:val="en-U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14:paraId="3FE310F2" w14:textId="77777777" w:rsidR="00836512" w:rsidRDefault="00836512">
            <w:pPr>
              <w:rPr>
                <w:rFonts w:eastAsiaTheme="minorHAnsi"/>
                <w:sz w:val="20"/>
                <w:szCs w:val="20"/>
                <w:lang w:val="en-US"/>
              </w:rPr>
            </w:pPr>
          </w:p>
        </w:tc>
        <w:tc>
          <w:tcPr>
            <w:tcW w:w="1333" w:type="dxa"/>
            <w:tcBorders>
              <w:top w:val="single" w:sz="4" w:space="0" w:color="auto"/>
              <w:left w:val="single" w:sz="4" w:space="0" w:color="auto"/>
              <w:bottom w:val="single" w:sz="4" w:space="0" w:color="auto"/>
              <w:right w:val="single" w:sz="4" w:space="0" w:color="auto"/>
            </w:tcBorders>
            <w:hideMark/>
          </w:tcPr>
          <w:p w14:paraId="050DE8D0" w14:textId="77777777" w:rsidR="00836512" w:rsidRDefault="00836512">
            <w:pPr>
              <w:jc w:val="center"/>
              <w:rPr>
                <w:rFonts w:eastAsiaTheme="minorHAnsi"/>
                <w:sz w:val="20"/>
                <w:szCs w:val="20"/>
                <w:lang w:val="en-US"/>
              </w:rPr>
            </w:pPr>
            <w:r>
              <w:rPr>
                <w:rFonts w:eastAsiaTheme="minorHAnsi"/>
                <w:sz w:val="20"/>
                <w:szCs w:val="20"/>
                <w:lang w:val="en-US"/>
              </w:rPr>
              <w:t>T22.07</w:t>
            </w:r>
          </w:p>
        </w:tc>
        <w:tc>
          <w:tcPr>
            <w:tcW w:w="1399" w:type="dxa"/>
            <w:tcBorders>
              <w:top w:val="single" w:sz="4" w:space="0" w:color="auto"/>
              <w:left w:val="single" w:sz="4" w:space="0" w:color="auto"/>
              <w:bottom w:val="single" w:sz="4" w:space="0" w:color="auto"/>
              <w:right w:val="single" w:sz="4" w:space="0" w:color="auto"/>
            </w:tcBorders>
            <w:hideMark/>
          </w:tcPr>
          <w:p w14:paraId="01A91F53" w14:textId="77777777" w:rsidR="00836512" w:rsidRDefault="00836512">
            <w:pPr>
              <w:jc w:val="center"/>
              <w:rPr>
                <w:rFonts w:eastAsiaTheme="minorHAnsi"/>
                <w:sz w:val="20"/>
                <w:szCs w:val="20"/>
                <w:lang w:val="en-US"/>
              </w:rPr>
            </w:pPr>
            <w:r>
              <w:rPr>
                <w:rFonts w:eastAsiaTheme="minorHAnsi"/>
                <w:sz w:val="20"/>
                <w:szCs w:val="20"/>
                <w:lang w:val="en-US"/>
              </w:rPr>
              <w:t>10.26 – 12.01</w:t>
            </w:r>
          </w:p>
        </w:tc>
        <w:tc>
          <w:tcPr>
            <w:tcW w:w="924" w:type="dxa"/>
            <w:tcBorders>
              <w:top w:val="single" w:sz="4" w:space="0" w:color="auto"/>
              <w:left w:val="single" w:sz="4" w:space="0" w:color="auto"/>
              <w:bottom w:val="single" w:sz="4" w:space="0" w:color="auto"/>
              <w:right w:val="single" w:sz="4" w:space="0" w:color="auto"/>
            </w:tcBorders>
            <w:hideMark/>
          </w:tcPr>
          <w:p w14:paraId="502369A0" w14:textId="77777777" w:rsidR="00836512" w:rsidRDefault="00836512">
            <w:pPr>
              <w:jc w:val="center"/>
              <w:rPr>
                <w:rFonts w:eastAsiaTheme="minorHAnsi"/>
                <w:sz w:val="20"/>
                <w:szCs w:val="20"/>
                <w:lang w:val="en-US"/>
              </w:rPr>
            </w:pPr>
            <w:r>
              <w:rPr>
                <w:rFonts w:eastAsiaTheme="minorHAnsi"/>
                <w:sz w:val="20"/>
                <w:szCs w:val="20"/>
                <w:lang w:val="en-US"/>
              </w:rPr>
              <w:t>11.14</w:t>
            </w:r>
          </w:p>
        </w:tc>
        <w:tc>
          <w:tcPr>
            <w:tcW w:w="955" w:type="dxa"/>
            <w:tcBorders>
              <w:top w:val="single" w:sz="4" w:space="0" w:color="auto"/>
              <w:left w:val="nil"/>
              <w:bottom w:val="single" w:sz="4" w:space="0" w:color="auto"/>
              <w:right w:val="single" w:sz="4" w:space="0" w:color="auto"/>
            </w:tcBorders>
            <w:vAlign w:val="bottom"/>
            <w:hideMark/>
          </w:tcPr>
          <w:p w14:paraId="7997FAF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-20.2</w:t>
            </w:r>
          </w:p>
        </w:tc>
        <w:tc>
          <w:tcPr>
            <w:tcW w:w="925" w:type="dxa"/>
            <w:tcBorders>
              <w:top w:val="single" w:sz="4" w:space="0" w:color="auto"/>
              <w:left w:val="single" w:sz="4" w:space="0" w:color="auto"/>
              <w:bottom w:val="single" w:sz="4" w:space="0" w:color="auto"/>
              <w:right w:val="nil"/>
            </w:tcBorders>
            <w:vAlign w:val="bottom"/>
            <w:hideMark/>
          </w:tcPr>
          <w:p w14:paraId="5684956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8.0</w:t>
            </w:r>
          </w:p>
        </w:tc>
        <w:tc>
          <w:tcPr>
            <w:tcW w:w="755" w:type="dxa"/>
            <w:tcBorders>
              <w:top w:val="single" w:sz="4" w:space="0" w:color="auto"/>
              <w:left w:val="single" w:sz="4" w:space="0" w:color="auto"/>
              <w:bottom w:val="single" w:sz="4" w:space="0" w:color="auto"/>
              <w:right w:val="single" w:sz="4" w:space="0" w:color="auto"/>
            </w:tcBorders>
            <w:vAlign w:val="bottom"/>
            <w:hideMark/>
          </w:tcPr>
          <w:p w14:paraId="3763593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bl>
    <w:p w14:paraId="55116B1E" w14:textId="77777777" w:rsidR="00836512" w:rsidRDefault="00836512" w:rsidP="00836512">
      <w:pPr>
        <w:rPr>
          <w:rFonts w:asciiTheme="minorHAnsi" w:eastAsiaTheme="minorHAnsi" w:hAnsiTheme="minorHAnsi" w:cstheme="minorBidi"/>
          <w:lang w:val="en-US"/>
        </w:rPr>
      </w:pPr>
    </w:p>
    <w:p w14:paraId="18473C16" w14:textId="77777777" w:rsidR="00836512" w:rsidRDefault="00836512" w:rsidP="00912314">
      <w:pPr>
        <w:ind w:firstLine="720"/>
        <w:rPr>
          <w:rFonts w:eastAsiaTheme="minorHAnsi"/>
          <w:lang w:val="en-US"/>
        </w:rPr>
      </w:pPr>
    </w:p>
    <w:p w14:paraId="7FD8D7D4" w14:textId="77777777" w:rsidR="00836512" w:rsidRDefault="00836512" w:rsidP="00836512">
      <w:pPr>
        <w:spacing w:line="480" w:lineRule="auto"/>
        <w:ind w:firstLine="720"/>
        <w:rPr>
          <w:rFonts w:eastAsiaTheme="minorHAnsi"/>
          <w:lang w:val="en-US"/>
        </w:rPr>
      </w:pPr>
      <w:r>
        <w:rPr>
          <w:rFonts w:eastAsiaTheme="minorHAnsi"/>
          <w:lang w:val="en-US"/>
        </w:rPr>
        <w:t>Nitrogen and carbon isotope data for each adult tooth are plotted against the estimated mean age for each section to create isotopic profiles. These charts are presented below in Figure 5.14 – 5.22.</w:t>
      </w:r>
    </w:p>
    <w:p w14:paraId="3CDCD6ED" w14:textId="77777777" w:rsidR="00836512" w:rsidRDefault="00836512" w:rsidP="00836512">
      <w:pPr>
        <w:rPr>
          <w:rFonts w:asciiTheme="minorHAnsi" w:eastAsiaTheme="minorHAnsi" w:hAnsiTheme="minorHAnsi" w:cstheme="minorBidi"/>
          <w:lang w:val="en-US"/>
        </w:rPr>
      </w:pPr>
    </w:p>
    <w:p w14:paraId="7F2E2620" w14:textId="2280C731" w:rsidR="00836512" w:rsidRDefault="00836512" w:rsidP="00836512">
      <w:pPr>
        <w:jc w:val="center"/>
        <w:rPr>
          <w:rFonts w:asciiTheme="minorHAnsi" w:eastAsiaTheme="minorHAnsi" w:hAnsiTheme="minorHAnsi" w:cstheme="minorBidi"/>
          <w:lang w:val="en-US"/>
        </w:rPr>
      </w:pPr>
      <w:r>
        <w:rPr>
          <w:rFonts w:asciiTheme="minorHAnsi" w:eastAsiaTheme="minorHAnsi" w:hAnsiTheme="minorHAnsi" w:cstheme="minorBidi"/>
          <w:noProof/>
          <w:lang w:eastAsia="en-CA"/>
        </w:rPr>
        <w:lastRenderedPageBreak/>
        <w:drawing>
          <wp:inline distT="0" distB="0" distL="0" distR="0" wp14:anchorId="2F76CD0D" wp14:editId="30AABF1C">
            <wp:extent cx="4388400" cy="2865120"/>
            <wp:effectExtent l="0" t="0" r="0" b="5080"/>
            <wp:docPr id="56" name="Chart 56">
              <a:extLst xmlns:a="http://schemas.openxmlformats.org/drawingml/2006/main">
                <a:ext uri="{FF2B5EF4-FFF2-40B4-BE49-F238E27FC236}">
                  <a16:creationId xmlns:a16="http://schemas.microsoft.com/office/drawing/2014/main" id="{8CB8463E-0813-444F-9DE9-4E4CADCF3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798646" w14:textId="77777777" w:rsidR="00836512" w:rsidRDefault="00836512" w:rsidP="00836512">
      <w:pPr>
        <w:jc w:val="center"/>
        <w:rPr>
          <w:rFonts w:asciiTheme="minorHAnsi" w:eastAsiaTheme="minorHAnsi" w:hAnsiTheme="minorHAnsi" w:cstheme="minorBidi"/>
          <w:lang w:val="en-US"/>
        </w:rPr>
      </w:pPr>
    </w:p>
    <w:p w14:paraId="5920ED97" w14:textId="77777777" w:rsidR="00836512" w:rsidRPr="00475487" w:rsidRDefault="00836512" w:rsidP="00836512">
      <w:pPr>
        <w:jc w:val="center"/>
        <w:rPr>
          <w:rFonts w:eastAsiaTheme="minorHAnsi"/>
          <w:lang w:val="en-US"/>
        </w:rPr>
      </w:pPr>
      <w:r w:rsidRPr="00475487">
        <w:rPr>
          <w:rFonts w:eastAsiaTheme="minorHAnsi"/>
          <w:b/>
          <w:lang w:val="en-US"/>
        </w:rPr>
        <w:t>Figure 5.14:</w:t>
      </w:r>
      <w:r w:rsidRPr="00475487">
        <w:rPr>
          <w:rFonts w:eastAsiaTheme="minorHAnsi"/>
          <w:lang w:val="en-US"/>
        </w:rPr>
        <w:t xml:space="preserve"> Botr 1972 Grave 2 bottom burial (T13), male. Age at death: 21 &lt; years. </w:t>
      </w:r>
    </w:p>
    <w:p w14:paraId="5F47A29B" w14:textId="77777777" w:rsidR="00836512" w:rsidRDefault="00836512" w:rsidP="00836512">
      <w:pPr>
        <w:jc w:val="center"/>
        <w:rPr>
          <w:rFonts w:eastAsiaTheme="minorHAnsi"/>
          <w:sz w:val="20"/>
          <w:szCs w:val="20"/>
          <w:lang w:val="en-US"/>
        </w:rPr>
      </w:pPr>
    </w:p>
    <w:p w14:paraId="5A35EB99" w14:textId="77777777" w:rsidR="00836512" w:rsidRDefault="00836512" w:rsidP="00836512">
      <w:pPr>
        <w:jc w:val="center"/>
        <w:rPr>
          <w:rFonts w:eastAsiaTheme="minorHAnsi"/>
          <w:sz w:val="20"/>
          <w:szCs w:val="20"/>
          <w:lang w:val="en-US"/>
        </w:rPr>
      </w:pPr>
    </w:p>
    <w:p w14:paraId="619C3DDF" w14:textId="1DD25AFA" w:rsidR="00836512" w:rsidRDefault="00836512" w:rsidP="00836512">
      <w:pPr>
        <w:spacing w:line="480" w:lineRule="auto"/>
        <w:ind w:firstLine="720"/>
        <w:rPr>
          <w:rFonts w:eastAsiaTheme="minorHAnsi"/>
        </w:rPr>
      </w:pPr>
      <w:r>
        <w:rPr>
          <w:lang w:val="en-US"/>
        </w:rPr>
        <w:t>This adult male is represented by a permanent</w:t>
      </w:r>
      <w:r w:rsidR="00750C4F">
        <w:rPr>
          <w:lang w:val="en-US"/>
        </w:rPr>
        <w:t xml:space="preserve"> first</w:t>
      </w:r>
      <w:r>
        <w:rPr>
          <w:lang w:val="en-US"/>
        </w:rPr>
        <w:t xml:space="preserve"> molar, T13, and was estimated to be &lt; 21 years of age at the time of death. Dentine data from this tooth provide information on early diet from 2.7 to 11.9 years of age (Fig. 5.14). The relatively low initial </w:t>
      </w:r>
      <w:r>
        <w:t>δ</w:t>
      </w:r>
      <w:r>
        <w:rPr>
          <w:vertAlign w:val="superscript"/>
          <w:lang w:val="en-US"/>
        </w:rPr>
        <w:t>15</w:t>
      </w:r>
      <w:r>
        <w:rPr>
          <w:lang w:val="en-US"/>
        </w:rPr>
        <w:t xml:space="preserve">N value (9.6‰) measured at 2.7 years is lower than the initial </w:t>
      </w:r>
      <w:r>
        <w:t>δ</w:t>
      </w:r>
      <w:r>
        <w:rPr>
          <w:vertAlign w:val="superscript"/>
          <w:lang w:val="en-US"/>
        </w:rPr>
        <w:t>15</w:t>
      </w:r>
      <w:r>
        <w:rPr>
          <w:lang w:val="en-US"/>
        </w:rPr>
        <w:t xml:space="preserve">N values ranging from 13 – 16‰ measured for nearly all the subadults (e.g., T4, T6, T8) in this study. The decrease in </w:t>
      </w:r>
      <w:r>
        <w:t>δ</w:t>
      </w:r>
      <w:r>
        <w:rPr>
          <w:vertAlign w:val="superscript"/>
          <w:lang w:val="en-US"/>
        </w:rPr>
        <w:t>15</w:t>
      </w:r>
      <w:r>
        <w:rPr>
          <w:lang w:val="en-US"/>
        </w:rPr>
        <w:t>N values from 2.7 to 5.4 years by ~2.0‰,</w:t>
      </w:r>
      <w:r>
        <w:rPr>
          <w:rStyle w:val="CommentReference"/>
          <w:rFonts w:asciiTheme="minorHAnsi" w:eastAsiaTheme="minorHAnsi" w:hAnsiTheme="minorHAnsi" w:cstheme="minorBidi"/>
          <w:lang w:val="en-US"/>
        </w:rPr>
        <w:t xml:space="preserve"> </w:t>
      </w:r>
      <w:r w:rsidRPr="006C6408">
        <w:rPr>
          <w:rStyle w:val="CommentReference"/>
          <w:rFonts w:eastAsiaTheme="minorHAnsi"/>
          <w:sz w:val="24"/>
          <w:szCs w:val="24"/>
        </w:rPr>
        <w:t>suggests that this individual may have been weaned up until 5.4 years as the ~2-3</w:t>
      </w:r>
      <w:r w:rsidRPr="006C6408">
        <w:rPr>
          <w:lang w:val="en-US"/>
        </w:rPr>
        <w:t>‰</w:t>
      </w:r>
      <w:r>
        <w:rPr>
          <w:lang w:val="en-US"/>
        </w:rPr>
        <w:t xml:space="preserve"> is indicative of weaning; yet, as the initial </w:t>
      </w:r>
      <w:r>
        <w:t>δ</w:t>
      </w:r>
      <w:r>
        <w:rPr>
          <w:vertAlign w:val="superscript"/>
          <w:lang w:val="en-US"/>
        </w:rPr>
        <w:t>15</w:t>
      </w:r>
      <w:r>
        <w:rPr>
          <w:lang w:val="en-US"/>
        </w:rPr>
        <w:t xml:space="preserve">N value is lower than the values noted for subadults in this study, the decline may also be a reflection of accelerated growth resulting in the depletion of </w:t>
      </w:r>
      <w:r>
        <w:rPr>
          <w:vertAlign w:val="superscript"/>
          <w:lang w:val="en-US"/>
        </w:rPr>
        <w:t>15</w:t>
      </w:r>
      <w:r>
        <w:rPr>
          <w:lang w:val="en-US"/>
        </w:rPr>
        <w:t xml:space="preserve">N-levels. Between five to eight years </w:t>
      </w:r>
      <w:r>
        <w:t>δ</w:t>
      </w:r>
      <w:r>
        <w:rPr>
          <w:vertAlign w:val="superscript"/>
          <w:lang w:val="en-US"/>
        </w:rPr>
        <w:t>15</w:t>
      </w:r>
      <w:r>
        <w:rPr>
          <w:lang w:val="en-US"/>
        </w:rPr>
        <w:t xml:space="preserve">N and </w:t>
      </w:r>
      <w:r>
        <w:t>δ</w:t>
      </w:r>
      <w:r>
        <w:rPr>
          <w:vertAlign w:val="superscript"/>
          <w:lang w:val="en-US"/>
        </w:rPr>
        <w:t>13</w:t>
      </w:r>
      <w:r>
        <w:rPr>
          <w:lang w:val="en-US"/>
        </w:rPr>
        <w:t xml:space="preserve">C values remained relatively steady indicating that weaning was likely complete by this time. Following this period, </w:t>
      </w:r>
      <w:r>
        <w:t>δ</w:t>
      </w:r>
      <w:r>
        <w:rPr>
          <w:vertAlign w:val="superscript"/>
          <w:lang w:val="en-US"/>
        </w:rPr>
        <w:t>15</w:t>
      </w:r>
      <w:r>
        <w:rPr>
          <w:lang w:val="en-US"/>
        </w:rPr>
        <w:t xml:space="preserve">N values were elevated by 1.5‰, while </w:t>
      </w:r>
      <w:r>
        <w:t>δ</w:t>
      </w:r>
      <w:r>
        <w:rPr>
          <w:vertAlign w:val="superscript"/>
          <w:lang w:val="en-US"/>
        </w:rPr>
        <w:t>13</w:t>
      </w:r>
      <w:r>
        <w:rPr>
          <w:lang w:val="en-US"/>
        </w:rPr>
        <w:t xml:space="preserve">C values remained consistent. This spike in </w:t>
      </w:r>
      <w:r>
        <w:rPr>
          <w:lang w:val="en-US"/>
        </w:rPr>
        <w:lastRenderedPageBreak/>
        <w:t xml:space="preserve">stable nitrogen isotope values could be either a reflection of </w:t>
      </w:r>
      <w:r>
        <w:rPr>
          <w:vertAlign w:val="superscript"/>
          <w:lang w:val="en-US"/>
        </w:rPr>
        <w:t>15</w:t>
      </w:r>
      <w:r>
        <w:rPr>
          <w:lang w:val="en-US"/>
        </w:rPr>
        <w:t xml:space="preserve">N-enriched diet or more likely due to physiological stress, due to the fact that the </w:t>
      </w:r>
      <w:r>
        <w:t>δ</w:t>
      </w:r>
      <w:r>
        <w:rPr>
          <w:vertAlign w:val="superscript"/>
          <w:lang w:val="en-US"/>
        </w:rPr>
        <w:t>13</w:t>
      </w:r>
      <w:r>
        <w:rPr>
          <w:lang w:val="en-US"/>
        </w:rPr>
        <w:t xml:space="preserve">C values do not mirror the increase in nitrogen values. </w:t>
      </w:r>
    </w:p>
    <w:p w14:paraId="5C77EB72" w14:textId="6457D40D" w:rsidR="00836512" w:rsidRDefault="00836512" w:rsidP="00836512">
      <w:pPr>
        <w:jc w:val="center"/>
        <w:rPr>
          <w:rFonts w:asciiTheme="minorHAnsi" w:eastAsiaTheme="minorHAnsi" w:hAnsiTheme="minorHAnsi" w:cstheme="minorBidi"/>
          <w:lang w:val="en-US"/>
        </w:rPr>
      </w:pPr>
    </w:p>
    <w:p w14:paraId="7F906B2C" w14:textId="60F8A047" w:rsidR="00836512" w:rsidRDefault="00836512" w:rsidP="00836512">
      <w:pPr>
        <w:jc w:val="center"/>
        <w:rPr>
          <w:rFonts w:asciiTheme="minorHAnsi" w:eastAsiaTheme="minorHAnsi" w:hAnsiTheme="minorHAnsi" w:cstheme="minorBidi"/>
          <w:lang w:val="en-US"/>
        </w:rPr>
      </w:pPr>
      <w:r>
        <w:rPr>
          <w:noProof/>
          <w:lang w:eastAsia="en-CA"/>
        </w:rPr>
        <w:drawing>
          <wp:anchor distT="0" distB="0" distL="114300" distR="114300" simplePos="0" relativeHeight="251739136" behindDoc="0" locked="0" layoutInCell="1" allowOverlap="1" wp14:anchorId="6D0E9811" wp14:editId="43885A2F">
            <wp:simplePos x="0" y="0"/>
            <wp:positionH relativeFrom="column">
              <wp:posOffset>2914015</wp:posOffset>
            </wp:positionH>
            <wp:positionV relativeFrom="paragraph">
              <wp:posOffset>93345</wp:posOffset>
            </wp:positionV>
            <wp:extent cx="1485900" cy="1778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7BA52EC8" wp14:editId="5E5DF70C">
            <wp:extent cx="4388400" cy="2862000"/>
            <wp:effectExtent l="0" t="0" r="0" b="0"/>
            <wp:docPr id="54" name="Chart 54">
              <a:extLst xmlns:a="http://schemas.openxmlformats.org/drawingml/2006/main">
                <a:ext uri="{FF2B5EF4-FFF2-40B4-BE49-F238E27FC236}">
                  <a16:creationId xmlns:a16="http://schemas.microsoft.com/office/drawing/2014/main" id="{20B48A12-9577-1245-A9F1-94651098C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6C735D" w14:textId="6724B62C" w:rsidR="00836512" w:rsidRPr="00475487" w:rsidRDefault="00836512" w:rsidP="00836512">
      <w:pPr>
        <w:jc w:val="center"/>
        <w:rPr>
          <w:rFonts w:eastAsiaTheme="minorHAnsi"/>
          <w:lang w:val="en-US"/>
        </w:rPr>
      </w:pPr>
      <w:r w:rsidRPr="00475487">
        <w:rPr>
          <w:rFonts w:eastAsiaTheme="minorHAnsi"/>
          <w:b/>
          <w:lang w:val="it-IT"/>
        </w:rPr>
        <w:t>Figure 5.15:</w:t>
      </w:r>
      <w:r w:rsidRPr="00475487">
        <w:rPr>
          <w:rFonts w:eastAsiaTheme="minorHAnsi"/>
          <w:lang w:val="it-IT"/>
        </w:rPr>
        <w:t xml:space="preserve"> No label #3 (box 6) (T15), male. </w:t>
      </w:r>
      <w:r w:rsidRPr="00475487">
        <w:rPr>
          <w:rFonts w:eastAsiaTheme="minorHAnsi"/>
          <w:lang w:val="en-US"/>
        </w:rPr>
        <w:t>Age at death: 2</w:t>
      </w:r>
      <w:r w:rsidR="007E3BC4">
        <w:rPr>
          <w:rFonts w:eastAsiaTheme="minorHAnsi"/>
          <w:lang w:val="en-US"/>
        </w:rPr>
        <w:t>1</w:t>
      </w:r>
      <w:r w:rsidRPr="00475487">
        <w:rPr>
          <w:rFonts w:eastAsiaTheme="minorHAnsi"/>
          <w:lang w:val="en-US"/>
        </w:rPr>
        <w:t xml:space="preserve"> &lt; years.</w:t>
      </w:r>
    </w:p>
    <w:p w14:paraId="7592A4B4" w14:textId="3AAABA3F" w:rsidR="00836512" w:rsidRDefault="00836512" w:rsidP="00836512">
      <w:pPr>
        <w:jc w:val="center"/>
        <w:rPr>
          <w:rFonts w:eastAsiaTheme="minorHAnsi"/>
          <w:sz w:val="20"/>
          <w:szCs w:val="20"/>
          <w:lang w:val="en-US"/>
        </w:rPr>
      </w:pPr>
    </w:p>
    <w:p w14:paraId="42B7D4C9" w14:textId="77777777" w:rsidR="00B13223" w:rsidRDefault="00B13223" w:rsidP="00836512">
      <w:pPr>
        <w:jc w:val="center"/>
        <w:rPr>
          <w:rFonts w:eastAsiaTheme="minorHAnsi"/>
          <w:sz w:val="20"/>
          <w:szCs w:val="20"/>
          <w:lang w:val="en-US"/>
        </w:rPr>
      </w:pPr>
    </w:p>
    <w:p w14:paraId="4AD0C4CF" w14:textId="26352ADB" w:rsidR="00836512" w:rsidRPr="00912314" w:rsidRDefault="00836512" w:rsidP="00912314">
      <w:pPr>
        <w:spacing w:line="480" w:lineRule="auto"/>
        <w:ind w:firstLine="720"/>
        <w:rPr>
          <w:lang w:val="en-US"/>
        </w:rPr>
      </w:pPr>
      <w:r>
        <w:rPr>
          <w:lang w:val="en-US"/>
        </w:rPr>
        <w:t xml:space="preserve">This male individual was estimated to be </w:t>
      </w:r>
      <w:r w:rsidR="001159C9">
        <w:rPr>
          <w:lang w:val="en-US"/>
        </w:rPr>
        <w:t xml:space="preserve">&lt; </w:t>
      </w:r>
      <w:r>
        <w:rPr>
          <w:lang w:val="en-US"/>
        </w:rPr>
        <w:t xml:space="preserve">20  years of age at the time of death and is represented by a permanent </w:t>
      </w:r>
      <w:r w:rsidR="00750C4F">
        <w:rPr>
          <w:lang w:val="en-US"/>
        </w:rPr>
        <w:t xml:space="preserve">first </w:t>
      </w:r>
      <w:r>
        <w:rPr>
          <w:lang w:val="en-US"/>
        </w:rPr>
        <w:t xml:space="preserve">molar, T15, which provided isotopic values from 2.5 to 11.9 years. Declining </w:t>
      </w:r>
      <w:r>
        <w:t>δ</w:t>
      </w:r>
      <w:r>
        <w:rPr>
          <w:vertAlign w:val="superscript"/>
          <w:lang w:val="en-US"/>
        </w:rPr>
        <w:t>15</w:t>
      </w:r>
      <w:r>
        <w:rPr>
          <w:lang w:val="en-US"/>
        </w:rPr>
        <w:t xml:space="preserve">N values (by ~2.3‰) between 2.5 years to 3.5 years indicate that weaning began before or around 2.5 years of age and ceased by 3.5 years of age (Fig 5.15). Following this, between 3.5 to 10.7 years of age, the </w:t>
      </w:r>
      <w:r>
        <w:t>δ</w:t>
      </w:r>
      <w:r>
        <w:rPr>
          <w:vertAlign w:val="superscript"/>
          <w:lang w:val="en-US"/>
        </w:rPr>
        <w:t>15</w:t>
      </w:r>
      <w:r>
        <w:rPr>
          <w:lang w:val="en-US"/>
        </w:rPr>
        <w:t xml:space="preserve">N values uninterruptedly increase by 7‰, while the </w:t>
      </w:r>
      <w:r>
        <w:t>δ</w:t>
      </w:r>
      <w:r>
        <w:rPr>
          <w:vertAlign w:val="superscript"/>
          <w:lang w:val="en-US"/>
        </w:rPr>
        <w:t>13</w:t>
      </w:r>
      <w:r>
        <w:rPr>
          <w:lang w:val="en-US"/>
        </w:rPr>
        <w:t xml:space="preserve">C values only increased up until 7 years after which they began to gradually decline. This pattern could mean that after 7 years of age the individual likely experienced physiological stress demonstrated by elevated </w:t>
      </w:r>
      <w:r>
        <w:t>δ</w:t>
      </w:r>
      <w:r>
        <w:rPr>
          <w:vertAlign w:val="superscript"/>
          <w:lang w:val="en-US"/>
        </w:rPr>
        <w:t>15</w:t>
      </w:r>
      <w:r>
        <w:rPr>
          <w:lang w:val="en-US"/>
        </w:rPr>
        <w:t xml:space="preserve">N </w:t>
      </w:r>
      <w:r>
        <w:rPr>
          <w:lang w:val="en-US"/>
        </w:rPr>
        <w:lastRenderedPageBreak/>
        <w:t xml:space="preserve">levels and decreasing </w:t>
      </w:r>
      <w:r>
        <w:t>δ</w:t>
      </w:r>
      <w:r>
        <w:rPr>
          <w:vertAlign w:val="superscript"/>
          <w:lang w:val="en-US"/>
        </w:rPr>
        <w:t>13</w:t>
      </w:r>
      <w:r>
        <w:rPr>
          <w:lang w:val="en-US"/>
        </w:rPr>
        <w:t xml:space="preserve">C values, and a possible change in plant-based post-weaning diet. </w:t>
      </w:r>
    </w:p>
    <w:p w14:paraId="461B0BFF" w14:textId="36A970E5" w:rsidR="00836512" w:rsidRDefault="00836512" w:rsidP="00836512">
      <w:pPr>
        <w:jc w:val="center"/>
        <w:rPr>
          <w:rFonts w:asciiTheme="minorHAnsi" w:eastAsiaTheme="minorHAnsi" w:hAnsiTheme="minorHAnsi" w:cstheme="minorBidi"/>
          <w:lang w:val="en-US"/>
        </w:rPr>
      </w:pPr>
      <w:r>
        <w:rPr>
          <w:noProof/>
          <w:lang w:eastAsia="en-CA"/>
        </w:rPr>
        <w:drawing>
          <wp:anchor distT="0" distB="0" distL="114300" distR="114300" simplePos="0" relativeHeight="251740160" behindDoc="0" locked="0" layoutInCell="1" allowOverlap="1" wp14:anchorId="63ECB35E" wp14:editId="0EB7A7B5">
            <wp:simplePos x="0" y="0"/>
            <wp:positionH relativeFrom="column">
              <wp:posOffset>2845435</wp:posOffset>
            </wp:positionH>
            <wp:positionV relativeFrom="paragraph">
              <wp:posOffset>221615</wp:posOffset>
            </wp:positionV>
            <wp:extent cx="1485900" cy="1778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0B009E4E" wp14:editId="088A3651">
            <wp:extent cx="4388400" cy="2862000"/>
            <wp:effectExtent l="0" t="0" r="0" b="0"/>
            <wp:docPr id="53" name="Chart 53">
              <a:extLst xmlns:a="http://schemas.openxmlformats.org/drawingml/2006/main">
                <a:ext uri="{FF2B5EF4-FFF2-40B4-BE49-F238E27FC236}">
                  <a16:creationId xmlns:a16="http://schemas.microsoft.com/office/drawing/2014/main" id="{67B154A0-E227-3B42-A8C2-A46432650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A80477" w14:textId="77777777" w:rsidR="00836512" w:rsidRPr="00475487" w:rsidRDefault="00836512" w:rsidP="00912314">
      <w:pPr>
        <w:spacing w:line="480" w:lineRule="auto"/>
        <w:jc w:val="center"/>
        <w:rPr>
          <w:rFonts w:eastAsiaTheme="minorHAnsi"/>
          <w:lang w:val="en-US"/>
        </w:rPr>
      </w:pPr>
      <w:r w:rsidRPr="00475487">
        <w:rPr>
          <w:rFonts w:eastAsiaTheme="minorHAnsi"/>
          <w:b/>
          <w:lang w:val="en-US"/>
        </w:rPr>
        <w:t>Figure 5.16:</w:t>
      </w:r>
      <w:r w:rsidRPr="00475487">
        <w:rPr>
          <w:rFonts w:eastAsiaTheme="minorHAnsi"/>
          <w:lang w:val="en-US"/>
        </w:rPr>
        <w:t xml:space="preserve"> BOTR F5 20108 Layer 1047 Skull (T16), male. Age at death: 35 &lt; years.</w:t>
      </w:r>
    </w:p>
    <w:p w14:paraId="2BA6503B" w14:textId="77777777" w:rsidR="00912314" w:rsidRDefault="00912314" w:rsidP="00912314">
      <w:pPr>
        <w:jc w:val="center"/>
        <w:rPr>
          <w:rFonts w:asciiTheme="minorHAnsi" w:eastAsiaTheme="minorHAnsi" w:hAnsiTheme="minorHAnsi" w:cstheme="minorBidi"/>
          <w:lang w:val="en-US"/>
        </w:rPr>
      </w:pPr>
    </w:p>
    <w:p w14:paraId="2E8375B4" w14:textId="216AEAF4" w:rsidR="00836512" w:rsidRPr="00B13223" w:rsidRDefault="00836512" w:rsidP="00B13223">
      <w:pPr>
        <w:spacing w:line="480" w:lineRule="auto"/>
        <w:ind w:firstLine="720"/>
        <w:rPr>
          <w:lang w:val="en-US"/>
        </w:rPr>
      </w:pPr>
      <w:r>
        <w:rPr>
          <w:lang w:val="en-US"/>
        </w:rPr>
        <w:t xml:space="preserve">T16, a permanent first molar, represents this male individual who was estimated to be &lt; 35 years of age at the time of death. This tooth presents isotopic information from the early periods of life, between 2.8 and 12 years of age. Declining </w:t>
      </w:r>
      <w:r>
        <w:t>δ</w:t>
      </w:r>
      <w:r>
        <w:rPr>
          <w:vertAlign w:val="superscript"/>
          <w:lang w:val="en-US"/>
        </w:rPr>
        <w:t>15</w:t>
      </w:r>
      <w:r>
        <w:rPr>
          <w:lang w:val="en-US"/>
        </w:rPr>
        <w:t xml:space="preserve">N values by 0.9‰ from 2.8 to 4.5 years, followed by a 1.1‰ increase, reveals that weaning was likely underway by 2.8 years, and ceased around 4.5 years of age (Fig. 5.16). A consistent increase in both </w:t>
      </w:r>
      <w:r>
        <w:rPr>
          <w:vertAlign w:val="superscript"/>
          <w:lang w:val="en-US"/>
        </w:rPr>
        <w:t>15</w:t>
      </w:r>
      <w:r>
        <w:rPr>
          <w:lang w:val="en-US"/>
        </w:rPr>
        <w:t xml:space="preserve">N and </w:t>
      </w:r>
      <w:r>
        <w:t>δ</w:t>
      </w:r>
      <w:r>
        <w:rPr>
          <w:vertAlign w:val="superscript"/>
          <w:lang w:val="en-US"/>
        </w:rPr>
        <w:t>13</w:t>
      </w:r>
      <w:r>
        <w:rPr>
          <w:lang w:val="en-US"/>
        </w:rPr>
        <w:t xml:space="preserve">C values up to around 9.8 years of age, indicates a gradual increase in protein consumption from higher trophic levels. Similar to the previous individual, around 9.8 years of age, </w:t>
      </w:r>
      <w:r>
        <w:t>δ</w:t>
      </w:r>
      <w:r>
        <w:rPr>
          <w:vertAlign w:val="superscript"/>
          <w:lang w:val="en-US"/>
        </w:rPr>
        <w:t>15</w:t>
      </w:r>
      <w:r>
        <w:rPr>
          <w:lang w:val="en-US"/>
        </w:rPr>
        <w:t xml:space="preserve">N and </w:t>
      </w:r>
      <w:r>
        <w:t>δ</w:t>
      </w:r>
      <w:r>
        <w:rPr>
          <w:vertAlign w:val="superscript"/>
          <w:lang w:val="en-US"/>
        </w:rPr>
        <w:t>13</w:t>
      </w:r>
      <w:r>
        <w:rPr>
          <w:lang w:val="en-US"/>
        </w:rPr>
        <w:t xml:space="preserve">C values demonstrate an inverse relationship. </w:t>
      </w:r>
      <w:r>
        <w:rPr>
          <w:color w:val="000000" w:themeColor="text1"/>
          <w:lang w:val="en-US"/>
        </w:rPr>
        <w:t xml:space="preserve">The continued rise in </w:t>
      </w:r>
      <w:r>
        <w:rPr>
          <w:color w:val="000000" w:themeColor="text1"/>
        </w:rPr>
        <w:t>δ</w:t>
      </w:r>
      <w:r>
        <w:rPr>
          <w:color w:val="000000" w:themeColor="text1"/>
          <w:vertAlign w:val="superscript"/>
          <w:lang w:val="en-US"/>
        </w:rPr>
        <w:t>15</w:t>
      </w:r>
      <w:r>
        <w:rPr>
          <w:color w:val="000000" w:themeColor="text1"/>
          <w:lang w:val="en-US"/>
        </w:rPr>
        <w:t xml:space="preserve">N values with a decrease in </w:t>
      </w:r>
      <w:r>
        <w:t>δ</w:t>
      </w:r>
      <w:r>
        <w:rPr>
          <w:vertAlign w:val="superscript"/>
          <w:lang w:val="en-US"/>
        </w:rPr>
        <w:t>13</w:t>
      </w:r>
      <w:r>
        <w:rPr>
          <w:lang w:val="en-US"/>
        </w:rPr>
        <w:t>C</w:t>
      </w:r>
      <w:r>
        <w:rPr>
          <w:color w:val="000000" w:themeColor="text1"/>
          <w:lang w:val="en-US"/>
        </w:rPr>
        <w:t xml:space="preserve"> values suggests physiological stress.  </w:t>
      </w:r>
    </w:p>
    <w:p w14:paraId="04475475" w14:textId="3AE6680A" w:rsidR="00836512" w:rsidRDefault="00836512" w:rsidP="00836512">
      <w:pPr>
        <w:jc w:val="center"/>
        <w:rPr>
          <w:rFonts w:asciiTheme="minorHAnsi" w:eastAsiaTheme="minorHAnsi" w:hAnsiTheme="minorHAnsi" w:cstheme="minorBidi"/>
          <w:lang w:val="en-US"/>
        </w:rPr>
      </w:pPr>
      <w:r>
        <w:rPr>
          <w:noProof/>
          <w:lang w:eastAsia="en-CA"/>
        </w:rPr>
        <w:lastRenderedPageBreak/>
        <w:drawing>
          <wp:anchor distT="0" distB="0" distL="114300" distR="114300" simplePos="0" relativeHeight="251741184" behindDoc="0" locked="0" layoutInCell="1" allowOverlap="1" wp14:anchorId="0AAA0C45" wp14:editId="3B154AE1">
            <wp:simplePos x="0" y="0"/>
            <wp:positionH relativeFrom="column">
              <wp:posOffset>2948305</wp:posOffset>
            </wp:positionH>
            <wp:positionV relativeFrom="paragraph">
              <wp:posOffset>177800</wp:posOffset>
            </wp:positionV>
            <wp:extent cx="1485900" cy="1778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31C5BC53" wp14:editId="13FAA6D3">
            <wp:extent cx="4388400" cy="2862000"/>
            <wp:effectExtent l="0" t="0" r="0" b="0"/>
            <wp:docPr id="50" name="Chart 50">
              <a:extLst xmlns:a="http://schemas.openxmlformats.org/drawingml/2006/main">
                <a:ext uri="{FF2B5EF4-FFF2-40B4-BE49-F238E27FC236}">
                  <a16:creationId xmlns:a16="http://schemas.microsoft.com/office/drawing/2014/main" id="{47D14CFD-6D67-8E49-953A-8B4C8D3EE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7FCCB8" w14:textId="77777777" w:rsidR="00836512" w:rsidRPr="00475487" w:rsidRDefault="00836512" w:rsidP="00836512">
      <w:pPr>
        <w:jc w:val="center"/>
        <w:rPr>
          <w:rFonts w:asciiTheme="minorHAnsi" w:eastAsiaTheme="minorHAnsi" w:hAnsiTheme="minorHAnsi" w:cstheme="minorBidi"/>
          <w:lang w:val="en-US"/>
        </w:rPr>
      </w:pPr>
    </w:p>
    <w:p w14:paraId="24DD7BDF" w14:textId="77777777" w:rsidR="00836512" w:rsidRPr="00475487" w:rsidRDefault="00836512" w:rsidP="00912314">
      <w:pPr>
        <w:spacing w:line="480" w:lineRule="auto"/>
        <w:jc w:val="center"/>
        <w:rPr>
          <w:rFonts w:eastAsiaTheme="minorHAnsi"/>
          <w:lang w:val="en-US"/>
        </w:rPr>
      </w:pPr>
      <w:r w:rsidRPr="00475487">
        <w:rPr>
          <w:rFonts w:eastAsiaTheme="minorHAnsi"/>
          <w:b/>
          <w:lang w:val="en-US"/>
        </w:rPr>
        <w:t>Figure 5.17:</w:t>
      </w:r>
      <w:r w:rsidRPr="00475487">
        <w:rPr>
          <w:rFonts w:eastAsiaTheme="minorHAnsi"/>
          <w:lang w:val="en-US"/>
        </w:rPr>
        <w:t xml:space="preserve"> PS Stefano Tomba 43 (T17), female. Age at death: 38.9 </w:t>
      </w:r>
      <w:r w:rsidRPr="00475487">
        <w:rPr>
          <w:rFonts w:eastAsiaTheme="minorHAnsi"/>
          <w:lang w:val="en-US"/>
        </w:rPr>
        <w:sym w:font="Symbol" w:char="F0B1"/>
      </w:r>
      <w:r w:rsidRPr="00475487">
        <w:rPr>
          <w:rFonts w:eastAsiaTheme="minorHAnsi"/>
          <w:lang w:val="en-US"/>
        </w:rPr>
        <w:t xml:space="preserve"> 10.9 years.</w:t>
      </w:r>
    </w:p>
    <w:p w14:paraId="123655FA" w14:textId="77777777" w:rsidR="00836512" w:rsidRDefault="00836512" w:rsidP="00912314">
      <w:pPr>
        <w:rPr>
          <w:rFonts w:eastAsiaTheme="minorHAnsi"/>
          <w:sz w:val="20"/>
          <w:szCs w:val="20"/>
          <w:lang w:val="en-US"/>
        </w:rPr>
      </w:pPr>
    </w:p>
    <w:p w14:paraId="498D0C58" w14:textId="77777777" w:rsidR="00836512" w:rsidRDefault="00836512" w:rsidP="00836512">
      <w:pPr>
        <w:spacing w:line="480" w:lineRule="auto"/>
        <w:ind w:firstLine="720"/>
        <w:rPr>
          <w:lang w:val="en-US"/>
        </w:rPr>
      </w:pPr>
      <w:r>
        <w:rPr>
          <w:lang w:val="en-US"/>
        </w:rPr>
        <w:t xml:space="preserve">Permanent first molar, T17, presents early isotopic data for this female individual who was 38.2 years of age at the time death. Based on the steady </w:t>
      </w:r>
      <w:r>
        <w:t>δ</w:t>
      </w:r>
      <w:r>
        <w:rPr>
          <w:vertAlign w:val="superscript"/>
          <w:lang w:val="en-US"/>
        </w:rPr>
        <w:t>15</w:t>
      </w:r>
      <w:r>
        <w:rPr>
          <w:lang w:val="en-US"/>
        </w:rPr>
        <w:t xml:space="preserve">N and </w:t>
      </w:r>
      <w:r>
        <w:t>δ</w:t>
      </w:r>
      <w:r>
        <w:rPr>
          <w:vertAlign w:val="superscript"/>
          <w:lang w:val="en-US"/>
        </w:rPr>
        <w:t>13</w:t>
      </w:r>
      <w:r>
        <w:rPr>
          <w:lang w:val="en-US"/>
        </w:rPr>
        <w:t xml:space="preserve">C values measured between 4.6 and 6.4 years, this individual was likely already weaned by 4.6 years of age (Fig. 5.17). Between 6.4 and 8.1 years, </w:t>
      </w:r>
      <w:r>
        <w:t>δ</w:t>
      </w:r>
      <w:r>
        <w:rPr>
          <w:vertAlign w:val="superscript"/>
          <w:lang w:val="en-US"/>
        </w:rPr>
        <w:t>15</w:t>
      </w:r>
      <w:r>
        <w:rPr>
          <w:lang w:val="en-US"/>
        </w:rPr>
        <w:t xml:space="preserve">N values demonstrate a slight increase, while </w:t>
      </w:r>
      <w:r>
        <w:t>δ</w:t>
      </w:r>
      <w:r>
        <w:rPr>
          <w:vertAlign w:val="superscript"/>
          <w:lang w:val="en-US"/>
        </w:rPr>
        <w:t>13</w:t>
      </w:r>
      <w:r>
        <w:rPr>
          <w:lang w:val="en-US"/>
        </w:rPr>
        <w:t>C drops, with a recovery by 11 years where both isotope values rise. This brief inverse period might be indicative of a catabolic event due to physiological stress.</w:t>
      </w:r>
    </w:p>
    <w:p w14:paraId="431F7279" w14:textId="77777777" w:rsidR="00836512" w:rsidRDefault="00836512" w:rsidP="00836512">
      <w:pPr>
        <w:jc w:val="center"/>
        <w:rPr>
          <w:rFonts w:eastAsiaTheme="minorHAnsi"/>
          <w:sz w:val="20"/>
          <w:szCs w:val="20"/>
          <w:lang w:val="en-US"/>
        </w:rPr>
      </w:pPr>
    </w:p>
    <w:p w14:paraId="28775204" w14:textId="77777777" w:rsidR="00836512" w:rsidRDefault="00836512" w:rsidP="00836512">
      <w:pPr>
        <w:jc w:val="center"/>
        <w:rPr>
          <w:rFonts w:asciiTheme="minorHAnsi" w:eastAsiaTheme="minorHAnsi" w:hAnsiTheme="minorHAnsi" w:cstheme="minorBidi"/>
          <w:lang w:val="en-US"/>
        </w:rPr>
      </w:pPr>
    </w:p>
    <w:p w14:paraId="049236ED" w14:textId="1E19E30B" w:rsidR="00836512" w:rsidRDefault="00836512" w:rsidP="00836512">
      <w:pPr>
        <w:jc w:val="center"/>
        <w:rPr>
          <w:rFonts w:asciiTheme="minorHAnsi" w:eastAsiaTheme="minorHAnsi" w:hAnsiTheme="minorHAnsi" w:cstheme="minorBidi"/>
          <w:lang w:val="en-US"/>
        </w:rPr>
      </w:pPr>
      <w:r>
        <w:rPr>
          <w:rFonts w:asciiTheme="minorHAnsi" w:eastAsiaTheme="minorHAnsi" w:hAnsiTheme="minorHAnsi" w:cstheme="minorBidi"/>
          <w:noProof/>
          <w:lang w:eastAsia="en-CA"/>
        </w:rPr>
        <w:lastRenderedPageBreak/>
        <w:drawing>
          <wp:inline distT="0" distB="0" distL="0" distR="0" wp14:anchorId="09D69984" wp14:editId="2D17DCF2">
            <wp:extent cx="4388400" cy="2862000"/>
            <wp:effectExtent l="0" t="0" r="0" b="0"/>
            <wp:docPr id="49" name="Chart 49">
              <a:extLst xmlns:a="http://schemas.openxmlformats.org/drawingml/2006/main">
                <a:ext uri="{FF2B5EF4-FFF2-40B4-BE49-F238E27FC236}">
                  <a16:creationId xmlns:a16="http://schemas.microsoft.com/office/drawing/2014/main" id="{2BEDC399-B899-5042-989F-83419A41F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51E2E8" w14:textId="45B92147" w:rsidR="00836512" w:rsidRPr="00475487" w:rsidRDefault="00836512" w:rsidP="00836512">
      <w:pPr>
        <w:jc w:val="center"/>
        <w:rPr>
          <w:rFonts w:eastAsiaTheme="minorHAnsi"/>
          <w:lang w:val="en-US"/>
        </w:rPr>
      </w:pPr>
      <w:r w:rsidRPr="00475487">
        <w:rPr>
          <w:rFonts w:eastAsiaTheme="minorHAnsi"/>
          <w:b/>
        </w:rPr>
        <w:t>Figure 5.18:</w:t>
      </w:r>
      <w:r w:rsidRPr="00475487">
        <w:rPr>
          <w:rFonts w:eastAsiaTheme="minorHAnsi"/>
        </w:rPr>
        <w:t xml:space="preserve"> PS Stefano Tomba 11(?) </w:t>
      </w:r>
      <w:r w:rsidRPr="00475487">
        <w:rPr>
          <w:rFonts w:eastAsiaTheme="minorHAnsi"/>
          <w:lang w:val="en-US"/>
        </w:rPr>
        <w:t xml:space="preserve">(T18), male. Age at death: 35 – </w:t>
      </w:r>
      <w:r w:rsidR="007E3BC4">
        <w:rPr>
          <w:rFonts w:eastAsiaTheme="minorHAnsi"/>
          <w:lang w:val="en-US"/>
        </w:rPr>
        <w:t>39</w:t>
      </w:r>
      <w:r w:rsidRPr="00475487">
        <w:rPr>
          <w:rFonts w:eastAsiaTheme="minorHAnsi"/>
          <w:lang w:val="en-US"/>
        </w:rPr>
        <w:t xml:space="preserve"> years.</w:t>
      </w:r>
    </w:p>
    <w:p w14:paraId="787AE30D" w14:textId="77777777" w:rsidR="00836512" w:rsidRDefault="00836512" w:rsidP="00836512">
      <w:pPr>
        <w:jc w:val="center"/>
        <w:rPr>
          <w:rFonts w:eastAsiaTheme="minorHAnsi"/>
          <w:sz w:val="20"/>
          <w:szCs w:val="20"/>
          <w:lang w:val="en-US"/>
        </w:rPr>
      </w:pPr>
    </w:p>
    <w:p w14:paraId="55DA03A3" w14:textId="77777777" w:rsidR="00836512" w:rsidRDefault="00836512" w:rsidP="00912314">
      <w:pPr>
        <w:rPr>
          <w:rFonts w:eastAsiaTheme="minorHAnsi"/>
          <w:sz w:val="20"/>
          <w:szCs w:val="20"/>
          <w:lang w:val="en-US"/>
        </w:rPr>
      </w:pPr>
    </w:p>
    <w:p w14:paraId="1A713F4D" w14:textId="5412C9AC" w:rsidR="00836512" w:rsidRPr="004533C9" w:rsidRDefault="00836512" w:rsidP="004533C9">
      <w:pPr>
        <w:spacing w:line="480" w:lineRule="auto"/>
        <w:ind w:firstLine="720"/>
        <w:rPr>
          <w:lang w:val="en-US"/>
        </w:rPr>
      </w:pPr>
      <w:r>
        <w:rPr>
          <w:lang w:val="en-US"/>
        </w:rPr>
        <w:t xml:space="preserve">T18, a permanent incisor, presents early isotopic data for this male individual who was estimated to be 35 – 50 years of age at death. Decreasing </w:t>
      </w:r>
      <w:r>
        <w:t>δ</w:t>
      </w:r>
      <w:r>
        <w:rPr>
          <w:vertAlign w:val="superscript"/>
          <w:lang w:val="en-US"/>
        </w:rPr>
        <w:t>15</w:t>
      </w:r>
      <w:r>
        <w:rPr>
          <w:lang w:val="en-US"/>
        </w:rPr>
        <w:t>N values between three to six years</w:t>
      </w:r>
      <w:r w:rsidR="00180D96">
        <w:rPr>
          <w:lang w:val="en-US"/>
        </w:rPr>
        <w:t>,</w:t>
      </w:r>
      <w:r>
        <w:rPr>
          <w:lang w:val="en-US"/>
        </w:rPr>
        <w:t xml:space="preserve"> accompanied with increasing </w:t>
      </w:r>
      <w:r>
        <w:t>δ</w:t>
      </w:r>
      <w:r>
        <w:rPr>
          <w:vertAlign w:val="superscript"/>
          <w:lang w:val="en-US"/>
        </w:rPr>
        <w:t>13</w:t>
      </w:r>
      <w:r>
        <w:rPr>
          <w:lang w:val="en-US"/>
        </w:rPr>
        <w:t xml:space="preserve">C values, show that this individual was weaned prior to three years of age (Fig. 5.18). Considering the patterns noted in the individuals from this study, it is highly unlikely that this individual was weaned until 6.3 years of age. Also similar to T13 (Fig. 5.14) the initial </w:t>
      </w:r>
      <w:r>
        <w:t>δ</w:t>
      </w:r>
      <w:r>
        <w:rPr>
          <w:vertAlign w:val="superscript"/>
          <w:lang w:val="en-US"/>
        </w:rPr>
        <w:t>15</w:t>
      </w:r>
      <w:r>
        <w:rPr>
          <w:lang w:val="en-US"/>
        </w:rPr>
        <w:t xml:space="preserve">N value (9.73‰) is lower than the initial values seen for subadults in this study, hence, the decreasing nitrogen isotope values are most likely associated with the effect of depleting </w:t>
      </w:r>
      <w:r>
        <w:rPr>
          <w:vertAlign w:val="superscript"/>
          <w:lang w:val="en-US"/>
        </w:rPr>
        <w:t>15</w:t>
      </w:r>
      <w:r>
        <w:rPr>
          <w:lang w:val="en-US"/>
        </w:rPr>
        <w:t xml:space="preserve">N-levels and the added load of accelerated growth. The ultimate rise in </w:t>
      </w:r>
      <w:r>
        <w:t>δ</w:t>
      </w:r>
      <w:r>
        <w:rPr>
          <w:vertAlign w:val="superscript"/>
          <w:lang w:val="en-US"/>
        </w:rPr>
        <w:t>15</w:t>
      </w:r>
      <w:r>
        <w:rPr>
          <w:lang w:val="en-US"/>
        </w:rPr>
        <w:t xml:space="preserve">N values may be a response to a post-weaning diet that includes higher tropic levels; however, decreasing </w:t>
      </w:r>
      <w:r>
        <w:t>δ</w:t>
      </w:r>
      <w:r>
        <w:rPr>
          <w:vertAlign w:val="superscript"/>
          <w:lang w:val="en-US"/>
        </w:rPr>
        <w:t>13</w:t>
      </w:r>
      <w:r>
        <w:rPr>
          <w:lang w:val="en-US"/>
        </w:rPr>
        <w:t xml:space="preserve">C values after 7.5 years may suggest a catabolic event such as physiological stress causing </w:t>
      </w:r>
      <w:r>
        <w:t>the observed elevation in δ</w:t>
      </w:r>
      <w:r>
        <w:rPr>
          <w:vertAlign w:val="superscript"/>
          <w:lang w:val="en-US"/>
        </w:rPr>
        <w:t>15</w:t>
      </w:r>
      <w:r>
        <w:rPr>
          <w:lang w:val="en-US"/>
        </w:rPr>
        <w:t>N.</w:t>
      </w:r>
    </w:p>
    <w:p w14:paraId="6BCF28CB" w14:textId="0784075C" w:rsidR="00836512" w:rsidRDefault="00836512" w:rsidP="00912314">
      <w:pPr>
        <w:jc w:val="center"/>
        <w:rPr>
          <w:rFonts w:asciiTheme="minorHAnsi" w:eastAsiaTheme="minorHAnsi" w:hAnsiTheme="minorHAnsi" w:cstheme="minorBidi"/>
          <w:lang w:val="en-US"/>
        </w:rPr>
      </w:pPr>
      <w:r>
        <w:rPr>
          <w:noProof/>
          <w:lang w:eastAsia="en-CA"/>
        </w:rPr>
        <w:lastRenderedPageBreak/>
        <w:drawing>
          <wp:anchor distT="0" distB="0" distL="114300" distR="114300" simplePos="0" relativeHeight="251742208" behindDoc="0" locked="0" layoutInCell="1" allowOverlap="1" wp14:anchorId="38A574DB" wp14:editId="1662840F">
            <wp:simplePos x="0" y="0"/>
            <wp:positionH relativeFrom="column">
              <wp:posOffset>2914015</wp:posOffset>
            </wp:positionH>
            <wp:positionV relativeFrom="paragraph">
              <wp:posOffset>264795</wp:posOffset>
            </wp:positionV>
            <wp:extent cx="1485900" cy="1778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08CC1CDF" wp14:editId="3F94E067">
            <wp:extent cx="4388400" cy="2862000"/>
            <wp:effectExtent l="0" t="0" r="0" b="0"/>
            <wp:docPr id="48" name="Chart 48">
              <a:extLst xmlns:a="http://schemas.openxmlformats.org/drawingml/2006/main">
                <a:ext uri="{FF2B5EF4-FFF2-40B4-BE49-F238E27FC236}">
                  <a16:creationId xmlns:a16="http://schemas.microsoft.com/office/drawing/2014/main" id="{4FA3E040-01B3-AF47-B53D-BA8DD32F6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5CD23C" w14:textId="16419B2C" w:rsidR="00836512" w:rsidRPr="00475487" w:rsidRDefault="00836512" w:rsidP="00836512">
      <w:pPr>
        <w:jc w:val="center"/>
        <w:rPr>
          <w:rFonts w:eastAsiaTheme="minorHAnsi"/>
          <w:lang w:val="en-US"/>
        </w:rPr>
      </w:pPr>
      <w:r w:rsidRPr="00475487">
        <w:rPr>
          <w:rFonts w:eastAsiaTheme="minorHAnsi"/>
          <w:b/>
          <w:lang w:val="en-US"/>
        </w:rPr>
        <w:t>Figure 5.19:</w:t>
      </w:r>
      <w:r w:rsidRPr="00475487">
        <w:rPr>
          <w:rFonts w:eastAsiaTheme="minorHAnsi"/>
          <w:lang w:val="en-US"/>
        </w:rPr>
        <w:t xml:space="preserve"> G67III p.1 e.1 PI 1 Layer 1 pit fill (T19), female. Age at death: 1</w:t>
      </w:r>
      <w:r w:rsidR="00CB4EA6">
        <w:rPr>
          <w:rFonts w:eastAsiaTheme="minorHAnsi"/>
          <w:lang w:val="en-US"/>
        </w:rPr>
        <w:t>6</w:t>
      </w:r>
      <w:r w:rsidRPr="00475487">
        <w:rPr>
          <w:rFonts w:eastAsiaTheme="minorHAnsi"/>
          <w:lang w:val="en-US"/>
        </w:rPr>
        <w:t xml:space="preserve"> – 20 years.</w:t>
      </w:r>
    </w:p>
    <w:p w14:paraId="54F9FD38" w14:textId="77777777" w:rsidR="00836512" w:rsidRDefault="00836512" w:rsidP="00836512">
      <w:pPr>
        <w:jc w:val="center"/>
        <w:rPr>
          <w:rFonts w:eastAsiaTheme="minorHAnsi"/>
          <w:sz w:val="20"/>
          <w:szCs w:val="20"/>
          <w:lang w:val="en-US"/>
        </w:rPr>
      </w:pPr>
    </w:p>
    <w:p w14:paraId="15743ABE" w14:textId="77777777" w:rsidR="00836512" w:rsidRDefault="00836512" w:rsidP="00836512">
      <w:pPr>
        <w:jc w:val="center"/>
        <w:rPr>
          <w:rFonts w:eastAsiaTheme="minorHAnsi"/>
          <w:sz w:val="20"/>
          <w:szCs w:val="20"/>
          <w:lang w:val="en-US"/>
        </w:rPr>
      </w:pPr>
    </w:p>
    <w:p w14:paraId="26FE45FE" w14:textId="77777777" w:rsidR="00836512" w:rsidRDefault="00836512" w:rsidP="00836512">
      <w:pPr>
        <w:spacing w:line="480" w:lineRule="auto"/>
        <w:ind w:firstLine="720"/>
        <w:rPr>
          <w:lang w:val="en-US"/>
        </w:rPr>
      </w:pPr>
      <w:r>
        <w:rPr>
          <w:lang w:val="en-US"/>
        </w:rPr>
        <w:t xml:space="preserve">This female individual was 18 to 24 years old at the time of death and is represented by T19, a permanent incisor. Isotopic data between 2.4 to 12.6 years show the least amount of variability in comparison to all other adult individuals in this study. There is a slight decline in </w:t>
      </w:r>
      <w:r>
        <w:t>δ</w:t>
      </w:r>
      <w:r>
        <w:rPr>
          <w:vertAlign w:val="superscript"/>
          <w:lang w:val="en-US"/>
        </w:rPr>
        <w:t>15</w:t>
      </w:r>
      <w:r>
        <w:rPr>
          <w:lang w:val="en-US"/>
        </w:rPr>
        <w:t xml:space="preserve">N values from 5.1 to 6.3 years by 0.5‰ accompanied by a minor increase in </w:t>
      </w:r>
      <w:r>
        <w:t>δ</w:t>
      </w:r>
      <w:r>
        <w:rPr>
          <w:vertAlign w:val="superscript"/>
          <w:lang w:val="en-US"/>
        </w:rPr>
        <w:t>13</w:t>
      </w:r>
      <w:r>
        <w:rPr>
          <w:lang w:val="en-US"/>
        </w:rPr>
        <w:t xml:space="preserve">C by 0.2‰ (Fig. 5.19). Due to the overall consistency in the isotope profile of this individual, it is likely that weaning was completed sometime before 2.4 years – prior to available stable isotope data. The slight decline in </w:t>
      </w:r>
      <w:r>
        <w:t>δ</w:t>
      </w:r>
      <w:r>
        <w:rPr>
          <w:vertAlign w:val="superscript"/>
          <w:lang w:val="en-US"/>
        </w:rPr>
        <w:t>15</w:t>
      </w:r>
      <w:r>
        <w:rPr>
          <w:lang w:val="en-US"/>
        </w:rPr>
        <w:t xml:space="preserve">N values may have been reflective of a brief alteration in protein consumption or possibly a stress episode associated with accelerated growth as seen in other subadult and adult individuals.  </w:t>
      </w:r>
    </w:p>
    <w:p w14:paraId="03CFF93E" w14:textId="77777777" w:rsidR="00836512" w:rsidRDefault="00836512" w:rsidP="00836512">
      <w:pPr>
        <w:spacing w:line="480" w:lineRule="auto"/>
        <w:rPr>
          <w:color w:val="000000" w:themeColor="text1"/>
          <w:lang w:val="en-US"/>
        </w:rPr>
      </w:pPr>
    </w:p>
    <w:p w14:paraId="5C997C70" w14:textId="77777777" w:rsidR="00836512" w:rsidRDefault="00836512" w:rsidP="00836512">
      <w:pPr>
        <w:jc w:val="center"/>
        <w:rPr>
          <w:rFonts w:eastAsiaTheme="minorHAnsi"/>
          <w:sz w:val="20"/>
          <w:szCs w:val="20"/>
          <w:lang w:val="en-US"/>
        </w:rPr>
      </w:pPr>
    </w:p>
    <w:p w14:paraId="0747C861" w14:textId="77777777" w:rsidR="00836512" w:rsidRDefault="00836512" w:rsidP="00836512">
      <w:pPr>
        <w:rPr>
          <w:rFonts w:asciiTheme="minorHAnsi" w:eastAsiaTheme="minorHAnsi" w:hAnsiTheme="minorHAnsi" w:cstheme="minorBidi"/>
          <w:lang w:val="en-US"/>
        </w:rPr>
      </w:pPr>
    </w:p>
    <w:p w14:paraId="6F93F425" w14:textId="685ECAE0" w:rsidR="00836512" w:rsidRDefault="00836512" w:rsidP="00912314">
      <w:pPr>
        <w:jc w:val="center"/>
        <w:rPr>
          <w:rFonts w:asciiTheme="minorHAnsi" w:eastAsiaTheme="minorHAnsi" w:hAnsiTheme="minorHAnsi" w:cstheme="minorBidi"/>
          <w:lang w:val="en-US"/>
        </w:rPr>
      </w:pPr>
      <w:r>
        <w:rPr>
          <w:noProof/>
          <w:lang w:eastAsia="en-CA"/>
        </w:rPr>
        <w:lastRenderedPageBreak/>
        <w:drawing>
          <wp:anchor distT="0" distB="0" distL="114300" distR="114300" simplePos="0" relativeHeight="251743232" behindDoc="0" locked="0" layoutInCell="1" allowOverlap="1" wp14:anchorId="3E80BB78" wp14:editId="3B5CB461">
            <wp:simplePos x="0" y="0"/>
            <wp:positionH relativeFrom="column">
              <wp:posOffset>2905760</wp:posOffset>
            </wp:positionH>
            <wp:positionV relativeFrom="paragraph">
              <wp:posOffset>384810</wp:posOffset>
            </wp:positionV>
            <wp:extent cx="1485900" cy="1778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197C482B" wp14:editId="3C6E23C3">
            <wp:extent cx="4388400" cy="2862000"/>
            <wp:effectExtent l="0" t="0" r="0" b="0"/>
            <wp:docPr id="46" name="Chart 46">
              <a:extLst xmlns:a="http://schemas.openxmlformats.org/drawingml/2006/main">
                <a:ext uri="{FF2B5EF4-FFF2-40B4-BE49-F238E27FC236}">
                  <a16:creationId xmlns:a16="http://schemas.microsoft.com/office/drawing/2014/main" id="{72E9F622-00BA-A247-99FD-D12F89F06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0A3232" w14:textId="65B5AD33" w:rsidR="00836512" w:rsidRPr="00475487" w:rsidRDefault="00836512" w:rsidP="00912314">
      <w:pPr>
        <w:spacing w:line="480" w:lineRule="auto"/>
        <w:jc w:val="center"/>
        <w:rPr>
          <w:rFonts w:eastAsiaTheme="minorHAnsi"/>
          <w:lang w:val="en-US"/>
        </w:rPr>
      </w:pPr>
      <w:r w:rsidRPr="00475487">
        <w:rPr>
          <w:rFonts w:eastAsiaTheme="minorHAnsi"/>
          <w:b/>
          <w:lang w:val="en-US"/>
        </w:rPr>
        <w:t>Figure 5.20:</w:t>
      </w:r>
      <w:r w:rsidRPr="00475487">
        <w:rPr>
          <w:rFonts w:eastAsiaTheme="minorHAnsi"/>
          <w:lang w:val="en-US"/>
        </w:rPr>
        <w:t xml:space="preserve"> Botr 1968 GDA 68 R1 F1 L5 (T20), male. Age at death: </w:t>
      </w:r>
      <w:r w:rsidR="00CB4EA6">
        <w:rPr>
          <w:rFonts w:eastAsiaTheme="minorHAnsi"/>
          <w:lang w:val="en-US"/>
        </w:rPr>
        <w:t>16 – 20</w:t>
      </w:r>
      <w:r w:rsidRPr="00475487">
        <w:rPr>
          <w:rFonts w:eastAsiaTheme="minorHAnsi"/>
          <w:lang w:val="en-US"/>
        </w:rPr>
        <w:t xml:space="preserve"> years.</w:t>
      </w:r>
    </w:p>
    <w:p w14:paraId="14345A4B" w14:textId="77777777" w:rsidR="00836512" w:rsidRDefault="00836512" w:rsidP="00836512">
      <w:pPr>
        <w:jc w:val="center"/>
        <w:rPr>
          <w:rFonts w:eastAsiaTheme="minorHAnsi"/>
          <w:sz w:val="20"/>
          <w:szCs w:val="20"/>
          <w:lang w:val="en-US"/>
        </w:rPr>
      </w:pPr>
    </w:p>
    <w:p w14:paraId="1F998228" w14:textId="35978199" w:rsidR="00836512" w:rsidRPr="004533C9" w:rsidRDefault="00836512" w:rsidP="004533C9">
      <w:pPr>
        <w:spacing w:line="480" w:lineRule="auto"/>
        <w:ind w:firstLine="720"/>
        <w:rPr>
          <w:lang w:val="en-US"/>
        </w:rPr>
      </w:pPr>
      <w:r>
        <w:rPr>
          <w:lang w:val="en-US"/>
        </w:rPr>
        <w:t>T20, a permanent</w:t>
      </w:r>
      <w:r w:rsidR="00750C4F">
        <w:rPr>
          <w:lang w:val="en-US"/>
        </w:rPr>
        <w:t xml:space="preserve"> first</w:t>
      </w:r>
      <w:r>
        <w:rPr>
          <w:lang w:val="en-US"/>
        </w:rPr>
        <w:t xml:space="preserve"> molar, represents this 35 – 49 year old male individual. Declining stable isotope values between </w:t>
      </w:r>
      <w:r w:rsidR="00733D4B">
        <w:rPr>
          <w:lang w:val="en-US"/>
        </w:rPr>
        <w:t>2.5 to 5</w:t>
      </w:r>
      <w:r>
        <w:rPr>
          <w:lang w:val="en-US"/>
        </w:rPr>
        <w:t xml:space="preserve"> years followed by steady isotopic measures suggest that this individual was fully weaned between three to five years of age</w:t>
      </w:r>
      <w:r w:rsidR="00482623">
        <w:rPr>
          <w:lang w:val="en-US"/>
        </w:rPr>
        <w:t xml:space="preserve"> (Fig. 5.20)</w:t>
      </w:r>
      <w:r>
        <w:rPr>
          <w:lang w:val="en-US"/>
        </w:rPr>
        <w:t xml:space="preserve">. Although this appears to be a delayed age for weaning cessation, the drop in </w:t>
      </w:r>
      <w:r>
        <w:t>δ</w:t>
      </w:r>
      <w:r>
        <w:rPr>
          <w:vertAlign w:val="superscript"/>
          <w:lang w:val="en-US"/>
        </w:rPr>
        <w:t>15</w:t>
      </w:r>
      <w:r>
        <w:rPr>
          <w:lang w:val="en-US"/>
        </w:rPr>
        <w:t xml:space="preserve">N values by 2.7‰ resembles the 2 – 3‰ offset expected with weaning. Furthermore, if these values were associated with physiological or nutritional stress then the decline would only be notable in </w:t>
      </w:r>
      <w:r>
        <w:t>δ</w:t>
      </w:r>
      <w:r>
        <w:rPr>
          <w:vertAlign w:val="superscript"/>
          <w:lang w:val="en-US"/>
        </w:rPr>
        <w:t>15</w:t>
      </w:r>
      <w:r>
        <w:rPr>
          <w:lang w:val="en-US"/>
        </w:rPr>
        <w:t xml:space="preserve">N values, which is not the case here. Between 6.5 and 8.4 years both </w:t>
      </w:r>
      <w:r>
        <w:t>δ</w:t>
      </w:r>
      <w:r>
        <w:rPr>
          <w:vertAlign w:val="superscript"/>
          <w:lang w:val="en-US"/>
        </w:rPr>
        <w:t>15</w:t>
      </w:r>
      <w:r>
        <w:rPr>
          <w:lang w:val="en-US"/>
        </w:rPr>
        <w:t xml:space="preserve">N and </w:t>
      </w:r>
      <w:r>
        <w:t>δ</w:t>
      </w:r>
      <w:r>
        <w:rPr>
          <w:vertAlign w:val="superscript"/>
          <w:lang w:val="en-US"/>
        </w:rPr>
        <w:t>13</w:t>
      </w:r>
      <w:r>
        <w:rPr>
          <w:lang w:val="en-US"/>
        </w:rPr>
        <w:t xml:space="preserve">C increase </w:t>
      </w:r>
      <w:r>
        <w:t xml:space="preserve">due to </w:t>
      </w:r>
      <w:r>
        <w:rPr>
          <w:lang w:val="en-US"/>
        </w:rPr>
        <w:t xml:space="preserve">protein consumption from higher trophic level foods, after which </w:t>
      </w:r>
      <w:r>
        <w:t>δ</w:t>
      </w:r>
      <w:r>
        <w:rPr>
          <w:vertAlign w:val="superscript"/>
          <w:lang w:val="en-US"/>
        </w:rPr>
        <w:t>15</w:t>
      </w:r>
      <w:r>
        <w:rPr>
          <w:lang w:val="en-US"/>
        </w:rPr>
        <w:t xml:space="preserve">N continues to increase while </w:t>
      </w:r>
      <w:r>
        <w:t>δ</w:t>
      </w:r>
      <w:r>
        <w:rPr>
          <w:vertAlign w:val="superscript"/>
          <w:lang w:val="en-US"/>
        </w:rPr>
        <w:t>13</w:t>
      </w:r>
      <w:r>
        <w:rPr>
          <w:lang w:val="en-US"/>
        </w:rPr>
        <w:t xml:space="preserve">C drops by ~1‰. This is followed by a decline in </w:t>
      </w:r>
      <w:r>
        <w:t>δ</w:t>
      </w:r>
      <w:r>
        <w:rPr>
          <w:vertAlign w:val="superscript"/>
          <w:lang w:val="en-US"/>
        </w:rPr>
        <w:t>15</w:t>
      </w:r>
      <w:r>
        <w:rPr>
          <w:lang w:val="en-US"/>
        </w:rPr>
        <w:t xml:space="preserve">N and rise in </w:t>
      </w:r>
      <w:r>
        <w:t>δ</w:t>
      </w:r>
      <w:r>
        <w:rPr>
          <w:vertAlign w:val="superscript"/>
          <w:lang w:val="en-US"/>
        </w:rPr>
        <w:t>13</w:t>
      </w:r>
      <w:r>
        <w:rPr>
          <w:lang w:val="en-US"/>
        </w:rPr>
        <w:t>C values. Inverse relationships between stable nitrogen and carbon values are often indicative of physiological stress as presented by other individuals in this study.</w:t>
      </w:r>
    </w:p>
    <w:p w14:paraId="5B688784" w14:textId="32302C51" w:rsidR="00836512" w:rsidRDefault="00836512" w:rsidP="00482623">
      <w:pPr>
        <w:jc w:val="center"/>
        <w:rPr>
          <w:rFonts w:asciiTheme="minorHAnsi" w:eastAsiaTheme="minorHAnsi" w:hAnsiTheme="minorHAnsi" w:cstheme="minorBidi"/>
          <w:lang w:val="en-US"/>
        </w:rPr>
      </w:pPr>
      <w:r>
        <w:rPr>
          <w:rFonts w:asciiTheme="minorHAnsi" w:eastAsiaTheme="minorHAnsi" w:hAnsiTheme="minorHAnsi" w:cstheme="minorBidi"/>
          <w:noProof/>
          <w:lang w:eastAsia="en-CA"/>
        </w:rPr>
        <w:lastRenderedPageBreak/>
        <w:drawing>
          <wp:inline distT="0" distB="0" distL="0" distR="0" wp14:anchorId="4FE95317" wp14:editId="464723AB">
            <wp:extent cx="4388400" cy="2862000"/>
            <wp:effectExtent l="0" t="0" r="0" b="0"/>
            <wp:docPr id="44" name="Chart 44">
              <a:extLst xmlns:a="http://schemas.openxmlformats.org/drawingml/2006/main">
                <a:ext uri="{FF2B5EF4-FFF2-40B4-BE49-F238E27FC236}">
                  <a16:creationId xmlns:a16="http://schemas.microsoft.com/office/drawing/2014/main" id="{9EB48281-19C5-2A43-B4CF-C9E327377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23B87B" w14:textId="77777777" w:rsidR="00836512" w:rsidRPr="00475487" w:rsidRDefault="00836512" w:rsidP="00836512">
      <w:pPr>
        <w:jc w:val="center"/>
        <w:rPr>
          <w:rFonts w:eastAsiaTheme="minorHAnsi"/>
          <w:lang w:val="en-US"/>
        </w:rPr>
      </w:pPr>
      <w:r w:rsidRPr="00475487">
        <w:rPr>
          <w:rFonts w:eastAsiaTheme="minorHAnsi"/>
          <w:b/>
          <w:lang w:val="it-IT"/>
        </w:rPr>
        <w:t>Figure 5.21:</w:t>
      </w:r>
      <w:r w:rsidRPr="00475487">
        <w:rPr>
          <w:rFonts w:eastAsiaTheme="minorHAnsi"/>
          <w:lang w:val="it-IT"/>
        </w:rPr>
        <w:t xml:space="preserve"> Padreterno Settore II Tomba 11 Schletro in Conessione (T21), female. </w:t>
      </w:r>
      <w:r w:rsidRPr="00475487">
        <w:rPr>
          <w:rFonts w:eastAsiaTheme="minorHAnsi"/>
          <w:lang w:val="en-US"/>
        </w:rPr>
        <w:t xml:space="preserve">38 years </w:t>
      </w:r>
      <w:r w:rsidRPr="00475487">
        <w:rPr>
          <w:rFonts w:eastAsiaTheme="minorHAnsi"/>
          <w:lang w:val="en-US"/>
        </w:rPr>
        <w:sym w:font="Symbol" w:char="F0B1"/>
      </w:r>
      <w:r w:rsidRPr="00475487">
        <w:rPr>
          <w:rFonts w:eastAsiaTheme="minorHAnsi"/>
          <w:lang w:val="en-US"/>
        </w:rPr>
        <w:t xml:space="preserve"> 10.9 years.</w:t>
      </w:r>
    </w:p>
    <w:p w14:paraId="7969253D" w14:textId="77777777" w:rsidR="00836512" w:rsidRDefault="00836512" w:rsidP="00836512">
      <w:pPr>
        <w:jc w:val="center"/>
        <w:rPr>
          <w:rFonts w:eastAsiaTheme="minorHAnsi"/>
          <w:sz w:val="20"/>
          <w:szCs w:val="20"/>
          <w:lang w:val="en-US"/>
        </w:rPr>
      </w:pPr>
    </w:p>
    <w:p w14:paraId="51C69E34" w14:textId="77777777" w:rsidR="00836512" w:rsidRDefault="00836512" w:rsidP="00836512">
      <w:pPr>
        <w:jc w:val="center"/>
        <w:rPr>
          <w:rFonts w:eastAsiaTheme="minorHAnsi"/>
          <w:sz w:val="20"/>
          <w:szCs w:val="20"/>
          <w:lang w:val="en-US"/>
        </w:rPr>
      </w:pPr>
    </w:p>
    <w:p w14:paraId="4BB01345" w14:textId="77777777" w:rsidR="00836512" w:rsidRDefault="00836512" w:rsidP="00836512">
      <w:pPr>
        <w:spacing w:line="480" w:lineRule="auto"/>
        <w:ind w:firstLine="720"/>
        <w:rPr>
          <w:lang w:val="en-US"/>
        </w:rPr>
      </w:pPr>
      <w:r>
        <w:rPr>
          <w:lang w:val="en-US"/>
        </w:rPr>
        <w:t xml:space="preserve">The permanent first molar, T21, presents early stable isotopic data for this female individual who was 40 – 49 years old at the time of death. Declining </w:t>
      </w:r>
      <w:r>
        <w:t>δ</w:t>
      </w:r>
      <w:r>
        <w:rPr>
          <w:vertAlign w:val="superscript"/>
          <w:lang w:val="en-US"/>
        </w:rPr>
        <w:t>15</w:t>
      </w:r>
      <w:r>
        <w:rPr>
          <w:lang w:val="en-US"/>
        </w:rPr>
        <w:t xml:space="preserve">N values from 2.6 to 3.7 years followed by a gradual increase until 8.4 years, indicate that this adult was fully weaned by 3.7 years of age (Fig. 5.21). The decreasing stable nitrogen values represent the tail-end of the weaning process due to the small offset (1.1‰). Additionally, the rise in </w:t>
      </w:r>
      <w:r>
        <w:t>δ</w:t>
      </w:r>
      <w:r>
        <w:rPr>
          <w:vertAlign w:val="superscript"/>
          <w:lang w:val="en-US"/>
        </w:rPr>
        <w:t>15</w:t>
      </w:r>
      <w:r>
        <w:rPr>
          <w:lang w:val="en-US"/>
        </w:rPr>
        <w:t xml:space="preserve">N values demonstrates the consumption of a post-weaning diet that remained consistent after 8.4 years of age. As expected for dietary variation, the </w:t>
      </w:r>
      <w:r>
        <w:t>δ</w:t>
      </w:r>
      <w:r>
        <w:rPr>
          <w:vertAlign w:val="superscript"/>
          <w:lang w:val="en-US"/>
        </w:rPr>
        <w:t>13</w:t>
      </w:r>
      <w:r>
        <w:rPr>
          <w:lang w:val="en-US"/>
        </w:rPr>
        <w:t xml:space="preserve">C values generally mirror the </w:t>
      </w:r>
      <w:r>
        <w:t>δ</w:t>
      </w:r>
      <w:r>
        <w:rPr>
          <w:vertAlign w:val="superscript"/>
          <w:lang w:val="en-US"/>
        </w:rPr>
        <w:t>15</w:t>
      </w:r>
      <w:r>
        <w:rPr>
          <w:lang w:val="en-US"/>
        </w:rPr>
        <w:t>N values, but at a smaller scale (i.e., the trophic level effect for carbon is only ~ 1 ‰).</w:t>
      </w:r>
    </w:p>
    <w:p w14:paraId="3CE02ADD" w14:textId="77777777" w:rsidR="00836512" w:rsidRDefault="00836512" w:rsidP="00836512">
      <w:pPr>
        <w:spacing w:line="480" w:lineRule="auto"/>
        <w:rPr>
          <w:lang w:val="en-US"/>
        </w:rPr>
      </w:pPr>
    </w:p>
    <w:p w14:paraId="7ED9303B" w14:textId="77777777" w:rsidR="00836512" w:rsidRDefault="00836512" w:rsidP="00836512">
      <w:pPr>
        <w:jc w:val="center"/>
        <w:rPr>
          <w:rFonts w:eastAsiaTheme="minorHAnsi"/>
          <w:sz w:val="20"/>
          <w:szCs w:val="20"/>
          <w:lang w:val="en-US"/>
        </w:rPr>
      </w:pPr>
    </w:p>
    <w:p w14:paraId="6D1C405E" w14:textId="77777777" w:rsidR="00836512" w:rsidRDefault="00836512" w:rsidP="00836512">
      <w:pPr>
        <w:jc w:val="center"/>
        <w:rPr>
          <w:rFonts w:asciiTheme="minorHAnsi" w:eastAsiaTheme="minorHAnsi" w:hAnsiTheme="minorHAnsi" w:cstheme="minorBidi"/>
          <w:lang w:val="en-US"/>
        </w:rPr>
      </w:pPr>
    </w:p>
    <w:p w14:paraId="6FDE3694" w14:textId="6B09D210" w:rsidR="00836512" w:rsidRDefault="00836512" w:rsidP="00836512">
      <w:pPr>
        <w:jc w:val="center"/>
        <w:rPr>
          <w:rFonts w:asciiTheme="minorHAnsi" w:eastAsiaTheme="minorHAnsi" w:hAnsiTheme="minorHAnsi" w:cstheme="minorBidi"/>
          <w:lang w:val="en-US"/>
        </w:rPr>
      </w:pPr>
      <w:r>
        <w:rPr>
          <w:noProof/>
          <w:lang w:eastAsia="en-CA"/>
        </w:rPr>
        <w:lastRenderedPageBreak/>
        <w:drawing>
          <wp:anchor distT="0" distB="0" distL="114300" distR="114300" simplePos="0" relativeHeight="251744256" behindDoc="0" locked="0" layoutInCell="1" allowOverlap="1" wp14:anchorId="6BA4B020" wp14:editId="2AB7DF9A">
            <wp:simplePos x="0" y="0"/>
            <wp:positionH relativeFrom="column">
              <wp:posOffset>3042285</wp:posOffset>
            </wp:positionH>
            <wp:positionV relativeFrom="paragraph">
              <wp:posOffset>350520</wp:posOffset>
            </wp:positionV>
            <wp:extent cx="1485900" cy="1778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7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n-CA"/>
        </w:rPr>
        <w:drawing>
          <wp:inline distT="0" distB="0" distL="0" distR="0" wp14:anchorId="45257F68" wp14:editId="142161EE">
            <wp:extent cx="4388400" cy="2862000"/>
            <wp:effectExtent l="0" t="0" r="0" b="0"/>
            <wp:docPr id="43" name="Chart 43">
              <a:extLst xmlns:a="http://schemas.openxmlformats.org/drawingml/2006/main">
                <a:ext uri="{FF2B5EF4-FFF2-40B4-BE49-F238E27FC236}">
                  <a16:creationId xmlns:a16="http://schemas.microsoft.com/office/drawing/2014/main" id="{C7C41407-D8FF-DC44-80C4-093D542A1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AE0C347" w14:textId="77777777" w:rsidR="00836512" w:rsidRDefault="00836512" w:rsidP="00836512">
      <w:pPr>
        <w:jc w:val="center"/>
        <w:rPr>
          <w:rFonts w:asciiTheme="minorHAnsi" w:eastAsiaTheme="minorHAnsi" w:hAnsiTheme="minorHAnsi" w:cstheme="minorBidi"/>
          <w:lang w:val="en-US"/>
        </w:rPr>
      </w:pPr>
    </w:p>
    <w:p w14:paraId="5BB049D7" w14:textId="77777777" w:rsidR="00836512" w:rsidRPr="00475487" w:rsidRDefault="00836512" w:rsidP="00482623">
      <w:pPr>
        <w:spacing w:line="480" w:lineRule="auto"/>
        <w:jc w:val="center"/>
        <w:rPr>
          <w:rFonts w:eastAsiaTheme="minorHAnsi"/>
          <w:lang w:val="en-US"/>
        </w:rPr>
      </w:pPr>
      <w:r w:rsidRPr="00475487">
        <w:rPr>
          <w:rFonts w:eastAsiaTheme="minorHAnsi"/>
          <w:b/>
          <w:lang w:val="en-US"/>
        </w:rPr>
        <w:t>Figure 5.22:</w:t>
      </w:r>
      <w:r w:rsidRPr="00475487">
        <w:rPr>
          <w:rFonts w:eastAsiaTheme="minorHAnsi"/>
          <w:lang w:val="en-US"/>
        </w:rPr>
        <w:t xml:space="preserve"> Botr 1971 Area NB, Grave 3 (T22), sex unknown. Age at death: 21 &lt; years.</w:t>
      </w:r>
    </w:p>
    <w:p w14:paraId="490509D0" w14:textId="77777777" w:rsidR="00836512" w:rsidRDefault="00836512" w:rsidP="00482623">
      <w:pPr>
        <w:rPr>
          <w:rFonts w:eastAsiaTheme="minorHAnsi"/>
          <w:lang w:val="en-US"/>
        </w:rPr>
      </w:pPr>
    </w:p>
    <w:p w14:paraId="61565590" w14:textId="3D697F7A" w:rsidR="00836512" w:rsidRDefault="00836512" w:rsidP="00836512">
      <w:pPr>
        <w:spacing w:line="480" w:lineRule="auto"/>
        <w:ind w:firstLine="720"/>
        <w:rPr>
          <w:lang w:val="en-US"/>
        </w:rPr>
      </w:pPr>
      <w:r>
        <w:rPr>
          <w:lang w:val="en-US"/>
        </w:rPr>
        <w:t xml:space="preserve">T22, a permanent </w:t>
      </w:r>
      <w:r w:rsidR="00750C4F">
        <w:rPr>
          <w:lang w:val="en-US"/>
        </w:rPr>
        <w:t xml:space="preserve">first </w:t>
      </w:r>
      <w:r>
        <w:rPr>
          <w:lang w:val="en-US"/>
        </w:rPr>
        <w:t xml:space="preserve">molar, represents this individual who was 21 - 22 years of age at the time of death. Decreasing </w:t>
      </w:r>
      <w:r>
        <w:t>δ</w:t>
      </w:r>
      <w:r>
        <w:rPr>
          <w:vertAlign w:val="superscript"/>
          <w:lang w:val="en-US"/>
        </w:rPr>
        <w:t>15</w:t>
      </w:r>
      <w:r>
        <w:rPr>
          <w:lang w:val="en-US"/>
        </w:rPr>
        <w:t xml:space="preserve">N and </w:t>
      </w:r>
      <w:r>
        <w:t>δ</w:t>
      </w:r>
      <w:r>
        <w:rPr>
          <w:vertAlign w:val="superscript"/>
          <w:lang w:val="en-US"/>
        </w:rPr>
        <w:t>13</w:t>
      </w:r>
      <w:r>
        <w:rPr>
          <w:lang w:val="en-US"/>
        </w:rPr>
        <w:t xml:space="preserve">C values up until 4.4 years suggest that weaning ceased around this age. As the initial </w:t>
      </w:r>
      <w:r>
        <w:t>δ</w:t>
      </w:r>
      <w:r>
        <w:rPr>
          <w:vertAlign w:val="superscript"/>
          <w:lang w:val="en-US"/>
        </w:rPr>
        <w:t>15</w:t>
      </w:r>
      <w:r>
        <w:rPr>
          <w:lang w:val="en-US"/>
        </w:rPr>
        <w:t xml:space="preserve">N value (9.42‰) is relatively lower than the initial values noted for subadults, it is also possible that accelerated growth during this period could also </w:t>
      </w:r>
      <w:r w:rsidR="001159C9">
        <w:rPr>
          <w:lang w:val="en-US"/>
        </w:rPr>
        <w:t xml:space="preserve">have </w:t>
      </w:r>
      <w:r>
        <w:rPr>
          <w:lang w:val="en-US"/>
        </w:rPr>
        <w:t xml:space="preserve">contributed to this decline. Following this, stable nitrogen isotope values steadily increased until the tooth was completely formed; meanwhile </w:t>
      </w:r>
      <w:r>
        <w:t>δ</w:t>
      </w:r>
      <w:r>
        <w:rPr>
          <w:vertAlign w:val="superscript"/>
          <w:lang w:val="en-US"/>
        </w:rPr>
        <w:t>13</w:t>
      </w:r>
      <w:r>
        <w:rPr>
          <w:lang w:val="en-US"/>
        </w:rPr>
        <w:t xml:space="preserve">C values increased after weaning ceased and then decrease by 1‰ around 6 years of age. These altered </w:t>
      </w:r>
      <w:r>
        <w:t>δ</w:t>
      </w:r>
      <w:r>
        <w:rPr>
          <w:vertAlign w:val="superscript"/>
          <w:lang w:val="en-US"/>
        </w:rPr>
        <w:t>13</w:t>
      </w:r>
      <w:r>
        <w:rPr>
          <w:lang w:val="en-US"/>
        </w:rPr>
        <w:t xml:space="preserve">C values are most likely linked to variability in a plant-based diet, while protein consumption continued to be a consistent nitrogen source (Fuller et al. 2006). </w:t>
      </w:r>
    </w:p>
    <w:p w14:paraId="0FEAA5BE" w14:textId="37E52B70" w:rsidR="00B13223" w:rsidRDefault="00B13223" w:rsidP="00836512">
      <w:pPr>
        <w:spacing w:line="480" w:lineRule="auto"/>
        <w:ind w:firstLine="720"/>
        <w:rPr>
          <w:lang w:val="en-US"/>
        </w:rPr>
      </w:pPr>
    </w:p>
    <w:p w14:paraId="6DC0311D" w14:textId="0129260B" w:rsidR="00B13223" w:rsidRDefault="00B13223" w:rsidP="00836512">
      <w:pPr>
        <w:spacing w:line="480" w:lineRule="auto"/>
        <w:ind w:firstLine="720"/>
        <w:rPr>
          <w:lang w:val="en-US"/>
        </w:rPr>
      </w:pPr>
    </w:p>
    <w:p w14:paraId="481D6FD2" w14:textId="49C61118" w:rsidR="00836512" w:rsidRDefault="00836512" w:rsidP="00836512">
      <w:pPr>
        <w:rPr>
          <w:lang w:val="en-US"/>
        </w:rPr>
      </w:pPr>
    </w:p>
    <w:p w14:paraId="4E8AAB79" w14:textId="77777777" w:rsidR="00BF38A8" w:rsidRDefault="00BF38A8" w:rsidP="00836512">
      <w:pPr>
        <w:rPr>
          <w:rFonts w:eastAsiaTheme="minorHAnsi"/>
          <w:lang w:val="en-US"/>
        </w:rPr>
      </w:pPr>
    </w:p>
    <w:p w14:paraId="2C57A475" w14:textId="77777777" w:rsidR="00836512" w:rsidRPr="00482623" w:rsidRDefault="00836512" w:rsidP="00836512">
      <w:pPr>
        <w:rPr>
          <w:rFonts w:eastAsiaTheme="minorHAnsi"/>
          <w:lang w:val="en-US"/>
        </w:rPr>
      </w:pPr>
      <w:r w:rsidRPr="00482623">
        <w:rPr>
          <w:rFonts w:eastAsiaTheme="minorHAnsi"/>
          <w:lang w:val="en-US"/>
        </w:rPr>
        <w:lastRenderedPageBreak/>
        <w:t xml:space="preserve">5.3.4 </w:t>
      </w:r>
      <w:r w:rsidRPr="00482623">
        <w:rPr>
          <w:rFonts w:eastAsiaTheme="minorHAnsi"/>
          <w:iCs/>
          <w:lang w:val="en-US"/>
        </w:rPr>
        <w:t>General Trends of Adult Dentine Data</w:t>
      </w:r>
    </w:p>
    <w:p w14:paraId="394CD5D3" w14:textId="77777777" w:rsidR="00836512" w:rsidRDefault="00836512" w:rsidP="00836512">
      <w:pPr>
        <w:jc w:val="center"/>
        <w:rPr>
          <w:rFonts w:eastAsiaTheme="minorHAnsi"/>
          <w:lang w:val="en-US"/>
        </w:rPr>
      </w:pPr>
    </w:p>
    <w:p w14:paraId="53B3D7C4" w14:textId="77777777" w:rsidR="00836512" w:rsidRDefault="00836512" w:rsidP="00836512">
      <w:pPr>
        <w:jc w:val="center"/>
        <w:rPr>
          <w:rFonts w:eastAsiaTheme="minorHAnsi"/>
          <w:lang w:val="en-US"/>
        </w:rPr>
      </w:pPr>
    </w:p>
    <w:p w14:paraId="5CAE536F" w14:textId="525FDA7A" w:rsidR="00836512" w:rsidRDefault="00836512" w:rsidP="00482623">
      <w:pPr>
        <w:spacing w:line="480" w:lineRule="auto"/>
        <w:ind w:firstLine="720"/>
        <w:rPr>
          <w:rFonts w:eastAsiaTheme="minorHAnsi"/>
          <w:lang w:val="en-US"/>
        </w:rPr>
      </w:pPr>
      <w:r>
        <w:rPr>
          <w:rFonts w:eastAsiaTheme="minorHAnsi"/>
          <w:lang w:val="en-US"/>
        </w:rPr>
        <w:t xml:space="preserve">From the charts, one prominent trend can be discerned. Although there is variability between these individuals, there is repeated evidence of decreased stable nitrogen isotope values associated with the demands of growth and development. This is shadowed by the likely consumption of a post-weaning diet resulting in the gradual increase of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The stable carbon isotope data are also presented alongside the nitrogen isotope profiles. Overall, in comparison to nitrogen isotope data there is less variation in carbon isotope histories. Some individuals (T13, T15, T16, T20 and T22) show stable carbon isotope values following a similar pattern to nitrogen isotope values however from 8 – 10.5 years onwards the relationship seems to inverse. Meanwhile, for other individuals (T17, T18, T19) the nitrogen and carbon isotope values share an inverse relationship throughout the time period analyzed. Evidence of catabolic events possibly caused by physiological stress is also noted for six individuals (T13, T15, T16, T17, T18 and T20) through elevated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countered with decreasing </w:t>
      </w:r>
      <w:r>
        <w:rPr>
          <w:rFonts w:eastAsiaTheme="minorHAnsi"/>
          <w:lang w:val="en-US"/>
        </w:rPr>
        <w:sym w:font="Symbol" w:char="F064"/>
      </w:r>
      <w:r>
        <w:rPr>
          <w:rFonts w:eastAsiaTheme="minorHAnsi"/>
          <w:vertAlign w:val="superscript"/>
          <w:lang w:val="en-US"/>
        </w:rPr>
        <w:t>13</w:t>
      </w:r>
      <w:r>
        <w:rPr>
          <w:rFonts w:eastAsiaTheme="minorHAnsi"/>
          <w:lang w:val="en-US"/>
        </w:rPr>
        <w:t>C values. It is important to note that all of these individuals demonstrate isotope values from 2 – 3 years of age and onwards; thus, these carbon values most likely reflect the final stages of the weaning process and a post-weaning diet. Further explanations for all these observed trends will be discussed in the next chapter.</w:t>
      </w:r>
    </w:p>
    <w:p w14:paraId="64A5C06E" w14:textId="45D42A08" w:rsidR="00482623" w:rsidRDefault="00482623" w:rsidP="00482623">
      <w:pPr>
        <w:spacing w:line="480" w:lineRule="auto"/>
        <w:ind w:firstLine="720"/>
        <w:rPr>
          <w:rFonts w:eastAsiaTheme="minorHAnsi"/>
          <w:lang w:val="en-US"/>
        </w:rPr>
      </w:pPr>
    </w:p>
    <w:p w14:paraId="775D4839" w14:textId="50A8B24F" w:rsidR="00482623" w:rsidRDefault="00482623" w:rsidP="00482623">
      <w:pPr>
        <w:spacing w:line="480" w:lineRule="auto"/>
        <w:ind w:firstLine="720"/>
        <w:rPr>
          <w:rFonts w:eastAsiaTheme="minorHAnsi"/>
          <w:lang w:val="en-US"/>
        </w:rPr>
      </w:pPr>
    </w:p>
    <w:p w14:paraId="52B6B4A0" w14:textId="77777777" w:rsidR="00482623" w:rsidRPr="00482623" w:rsidRDefault="00482623" w:rsidP="004533C9">
      <w:pPr>
        <w:spacing w:line="480" w:lineRule="auto"/>
        <w:rPr>
          <w:rFonts w:eastAsiaTheme="minorHAnsi"/>
          <w:lang w:val="en-US"/>
        </w:rPr>
      </w:pPr>
    </w:p>
    <w:p w14:paraId="74078E5D" w14:textId="5E171D50" w:rsidR="00836512" w:rsidRDefault="008036FD" w:rsidP="00836512">
      <w:pPr>
        <w:rPr>
          <w:rFonts w:asciiTheme="minorHAnsi" w:eastAsiaTheme="minorHAnsi" w:hAnsiTheme="minorHAnsi" w:cstheme="minorBidi"/>
          <w:lang w:val="en-US"/>
        </w:rPr>
      </w:pPr>
      <w:r>
        <w:rPr>
          <w:rFonts w:asciiTheme="minorHAnsi" w:eastAsiaTheme="minorHAnsi" w:hAnsiTheme="minorHAnsi" w:cstheme="minorBidi"/>
          <w:noProof/>
          <w:lang w:val="en-US"/>
        </w:rPr>
        <w:lastRenderedPageBreak/>
        <mc:AlternateContent>
          <mc:Choice Requires="wps">
            <w:drawing>
              <wp:anchor distT="0" distB="0" distL="114300" distR="114300" simplePos="0" relativeHeight="251756544" behindDoc="0" locked="0" layoutInCell="1" allowOverlap="1" wp14:anchorId="68A9425C" wp14:editId="685BF595">
                <wp:simplePos x="0" y="0"/>
                <wp:positionH relativeFrom="column">
                  <wp:posOffset>4752975</wp:posOffset>
                </wp:positionH>
                <wp:positionV relativeFrom="paragraph">
                  <wp:posOffset>1913842</wp:posOffset>
                </wp:positionV>
                <wp:extent cx="313765" cy="30480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313765" cy="304800"/>
                        </a:xfrm>
                        <a:prstGeom prst="rect">
                          <a:avLst/>
                        </a:prstGeom>
                        <a:solidFill>
                          <a:schemeClr val="lt1"/>
                        </a:solidFill>
                        <a:ln w="6350">
                          <a:noFill/>
                        </a:ln>
                      </wps:spPr>
                      <wps:txbx>
                        <w:txbxContent>
                          <w:p w14:paraId="11A509BC" w14:textId="5BAACF54" w:rsidR="00BD4967" w:rsidRPr="00E911B0" w:rsidRDefault="00BD4967" w:rsidP="0079060E">
                            <w:pPr>
                              <w:jc w:val="center"/>
                              <w:rPr>
                                <w:lang w:val="en-US"/>
                              </w:rPr>
                            </w:pPr>
                            <w:r>
                              <w:t>B</w:t>
                            </w:r>
                            <w:r w:rsidRPr="0079060E">
                              <w:rPr>
                                <w:b/>
                                <w:lang w:val="en-US"/>
                              </w:rPr>
                              <w:t xml:space="preserve"> </w:t>
                            </w:r>
                            <w:r w:rsidRPr="00A748B2">
                              <w:rPr>
                                <w:b/>
                                <w:lang w:val="en-US"/>
                              </w:rPr>
                              <w:t>Figure 4.5</w:t>
                            </w:r>
                            <w:r w:rsidRPr="00A748B2">
                              <w:rPr>
                                <w:lang w:val="en-US"/>
                              </w:rPr>
                              <w:t xml:space="preserve"> </w:t>
                            </w:r>
                            <w:r w:rsidRPr="00A748B2">
                              <w:rPr>
                                <w:b/>
                                <w:lang w:val="en-US"/>
                              </w:rPr>
                              <w:t>a)</w:t>
                            </w:r>
                            <w:r w:rsidRPr="00A748B2">
                              <w:rPr>
                                <w:lang w:val="en-US"/>
                              </w:rPr>
                              <w:t xml:space="preserve"> </w:t>
                            </w:r>
                            <w:r>
                              <w:rPr>
                                <w:lang w:val="en-US"/>
                              </w:rPr>
                              <w:t>Modified d</w:t>
                            </w:r>
                            <w:r w:rsidRPr="00A748B2">
                              <w:rPr>
                                <w:lang w:val="en-US"/>
                              </w:rPr>
                              <w:t>iagram</w:t>
                            </w:r>
                            <w:r>
                              <w:rPr>
                                <w:lang w:val="en-US"/>
                              </w:rPr>
                              <w:t xml:space="preserve"> from Beaumont and Montgomery (2015a)</w:t>
                            </w:r>
                            <w:r w:rsidRPr="00A748B2">
                              <w:rPr>
                                <w:lang w:val="en-US"/>
                              </w:rPr>
                              <w:t xml:space="preserve"> illustrating the ages at which dentine development reach </w:t>
                            </w:r>
                            <w:r>
                              <w:rPr>
                                <w:lang w:val="en-US"/>
                              </w:rPr>
                              <w:t>crown initiation</w:t>
                            </w:r>
                            <w:r w:rsidRPr="00A748B2">
                              <w:rPr>
                                <w:lang w:val="en-US"/>
                              </w:rPr>
                              <w:t>,</w:t>
                            </w:r>
                            <w:r>
                              <w:rPr>
                                <w:lang w:val="en-US"/>
                              </w:rPr>
                              <w:t xml:space="preserve"> crown completion</w:t>
                            </w:r>
                            <w:r w:rsidRPr="00A748B2">
                              <w:rPr>
                                <w:lang w:val="en-US"/>
                              </w:rPr>
                              <w:t xml:space="preserve"> and </w:t>
                            </w:r>
                            <w:r>
                              <w:rPr>
                                <w:lang w:val="en-US"/>
                              </w:rPr>
                              <w:t>apical completion,</w:t>
                            </w:r>
                            <w:r w:rsidRPr="00A748B2">
                              <w:rPr>
                                <w:lang w:val="en-US"/>
                              </w:rPr>
                              <w:t xml:space="preserve"> for upper permanent first molar. </w:t>
                            </w:r>
                            <w:r w:rsidRPr="00A748B2">
                              <w:rPr>
                                <w:b/>
                                <w:lang w:val="en-US"/>
                              </w:rPr>
                              <w:t>b)</w:t>
                            </w:r>
                            <w:r w:rsidRPr="00A748B2">
                              <w:rPr>
                                <w:lang w:val="en-US"/>
                              </w:rPr>
                              <w:t xml:space="preserve"> Sectioning of demineralized mandibular permanent first molar for individual No label #3 (box 6)</w:t>
                            </w:r>
                            <w:r>
                              <w:rPr>
                                <w:lang w:val="en-US"/>
                              </w:rPr>
                              <w:t xml:space="preserve"> from this study.</w:t>
                            </w:r>
                          </w:p>
                          <w:p w14:paraId="0373302A" w14:textId="77777777" w:rsidR="00BD4967" w:rsidRDefault="00BD4967" w:rsidP="00790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9425C" id="Text Box 11" o:spid="_x0000_s1027" type="#_x0000_t202" style="position:absolute;margin-left:374.25pt;margin-top:150.7pt;width:24.7pt;height:24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" fillcolor="white [3201]" stroked="f" strokeweight=".5pt">
                <v:textbox>
                  <w:txbxContent>
                    <w:p w14:paraId="11A509BC" w14:textId="5BAACF54" w:rsidR="00BD4967" w:rsidRPr="00E911B0" w:rsidRDefault="00BD4967" w:rsidP="0079060E">
                      <w:pPr>
                        <w:jc w:val="center"/>
                        <w:rPr>
                          <w:lang w:val="en-US"/>
                        </w:rPr>
                      </w:pPr>
                      <w:r>
                        <w:t>B</w:t>
                      </w:r>
                      <w:r w:rsidRPr="0079060E">
                        <w:rPr>
                          <w:b/>
                          <w:lang w:val="en-US"/>
                        </w:rPr>
                        <w:t xml:space="preserve"> </w:t>
                      </w:r>
                      <w:r w:rsidRPr="00A748B2">
                        <w:rPr>
                          <w:b/>
                          <w:lang w:val="en-US"/>
                        </w:rPr>
                        <w:t>Figure 4.5</w:t>
                      </w:r>
                      <w:r w:rsidRPr="00A748B2">
                        <w:rPr>
                          <w:lang w:val="en-US"/>
                        </w:rPr>
                        <w:t xml:space="preserve"> </w:t>
                      </w:r>
                      <w:r w:rsidRPr="00A748B2">
                        <w:rPr>
                          <w:b/>
                          <w:lang w:val="en-US"/>
                        </w:rPr>
                        <w:t>a)</w:t>
                      </w:r>
                      <w:r w:rsidRPr="00A748B2">
                        <w:rPr>
                          <w:lang w:val="en-US"/>
                        </w:rPr>
                        <w:t xml:space="preserve"> </w:t>
                      </w:r>
                      <w:r>
                        <w:rPr>
                          <w:lang w:val="en-US"/>
                        </w:rPr>
                        <w:t>Modified d</w:t>
                      </w:r>
                      <w:r w:rsidRPr="00A748B2">
                        <w:rPr>
                          <w:lang w:val="en-US"/>
                        </w:rPr>
                        <w:t>iagram</w:t>
                      </w:r>
                      <w:r>
                        <w:rPr>
                          <w:lang w:val="en-US"/>
                        </w:rPr>
                        <w:t xml:space="preserve"> from Beaumont and Montgomery (2015a)</w:t>
                      </w:r>
                      <w:r w:rsidRPr="00A748B2">
                        <w:rPr>
                          <w:lang w:val="en-US"/>
                        </w:rPr>
                        <w:t xml:space="preserve"> illustrating the ages at which dentine development reach </w:t>
                      </w:r>
                      <w:r>
                        <w:rPr>
                          <w:lang w:val="en-US"/>
                        </w:rPr>
                        <w:t>crown initiation</w:t>
                      </w:r>
                      <w:r w:rsidRPr="00A748B2">
                        <w:rPr>
                          <w:lang w:val="en-US"/>
                        </w:rPr>
                        <w:t>,</w:t>
                      </w:r>
                      <w:r>
                        <w:rPr>
                          <w:lang w:val="en-US"/>
                        </w:rPr>
                        <w:t xml:space="preserve"> crown completion</w:t>
                      </w:r>
                      <w:r w:rsidRPr="00A748B2">
                        <w:rPr>
                          <w:lang w:val="en-US"/>
                        </w:rPr>
                        <w:t xml:space="preserve"> and </w:t>
                      </w:r>
                      <w:r>
                        <w:rPr>
                          <w:lang w:val="en-US"/>
                        </w:rPr>
                        <w:t>apical completion,</w:t>
                      </w:r>
                      <w:r w:rsidRPr="00A748B2">
                        <w:rPr>
                          <w:lang w:val="en-US"/>
                        </w:rPr>
                        <w:t xml:space="preserve"> for upper permanent first molar. </w:t>
                      </w:r>
                      <w:r w:rsidRPr="00A748B2">
                        <w:rPr>
                          <w:b/>
                          <w:lang w:val="en-US"/>
                        </w:rPr>
                        <w:t>b)</w:t>
                      </w:r>
                      <w:r w:rsidRPr="00A748B2">
                        <w:rPr>
                          <w:lang w:val="en-US"/>
                        </w:rPr>
                        <w:t xml:space="preserve"> Sectioning of demineralized mandibular permanent first molar for individual No label #3 (box 6)</w:t>
                      </w:r>
                      <w:r>
                        <w:rPr>
                          <w:lang w:val="en-US"/>
                        </w:rPr>
                        <w:t xml:space="preserve"> from this study.</w:t>
                      </w:r>
                    </w:p>
                    <w:p w14:paraId="0373302A" w14:textId="77777777" w:rsidR="00BD4967" w:rsidRDefault="00BD4967" w:rsidP="0079060E"/>
                  </w:txbxContent>
                </v:textbox>
              </v:shape>
            </w:pict>
          </mc:Fallback>
        </mc:AlternateContent>
      </w:r>
      <w:r>
        <w:rPr>
          <w:rFonts w:asciiTheme="minorHAnsi" w:eastAsiaTheme="minorHAnsi" w:hAnsiTheme="minorHAnsi" w:cstheme="minorBidi"/>
          <w:noProof/>
          <w:lang w:val="en-US"/>
        </w:rPr>
        <mc:AlternateContent>
          <mc:Choice Requires="wps">
            <w:drawing>
              <wp:anchor distT="0" distB="0" distL="114300" distR="114300" simplePos="0" relativeHeight="251754496" behindDoc="0" locked="0" layoutInCell="1" allowOverlap="1" wp14:anchorId="73D527D3" wp14:editId="1C6677BA">
                <wp:simplePos x="0" y="0"/>
                <wp:positionH relativeFrom="column">
                  <wp:posOffset>4896680</wp:posOffset>
                </wp:positionH>
                <wp:positionV relativeFrom="paragraph">
                  <wp:posOffset>842694</wp:posOffset>
                </wp:positionV>
                <wp:extent cx="313765" cy="304800"/>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313765" cy="304800"/>
                        </a:xfrm>
                        <a:prstGeom prst="rect">
                          <a:avLst/>
                        </a:prstGeom>
                        <a:solidFill>
                          <a:schemeClr val="lt1"/>
                        </a:solidFill>
                        <a:ln w="6350">
                          <a:noFill/>
                        </a:ln>
                      </wps:spPr>
                      <wps:txbx>
                        <w:txbxContent>
                          <w:p w14:paraId="15F2B4FB" w14:textId="1B15B915" w:rsidR="00BD4967" w:rsidRPr="00E911B0" w:rsidRDefault="00BD4967" w:rsidP="0079060E">
                            <w:pPr>
                              <w:jc w:val="center"/>
                              <w:rPr>
                                <w:lang w:val="en-US"/>
                              </w:rPr>
                            </w:pPr>
                            <w:r>
                              <w:t>A</w:t>
                            </w:r>
                            <w:r w:rsidRPr="0079060E">
                              <w:rPr>
                                <w:b/>
                                <w:lang w:val="en-US"/>
                              </w:rPr>
                              <w:t xml:space="preserve"> </w:t>
                            </w:r>
                            <w:r w:rsidRPr="00A748B2">
                              <w:rPr>
                                <w:b/>
                                <w:lang w:val="en-US"/>
                              </w:rPr>
                              <w:t>Figure 4.5</w:t>
                            </w:r>
                            <w:r w:rsidRPr="00A748B2">
                              <w:rPr>
                                <w:lang w:val="en-US"/>
                              </w:rPr>
                              <w:t xml:space="preserve"> </w:t>
                            </w:r>
                            <w:r w:rsidRPr="00A748B2">
                              <w:rPr>
                                <w:b/>
                                <w:lang w:val="en-US"/>
                              </w:rPr>
                              <w:t>a)</w:t>
                            </w:r>
                            <w:r w:rsidRPr="00A748B2">
                              <w:rPr>
                                <w:lang w:val="en-US"/>
                              </w:rPr>
                              <w:t xml:space="preserve"> </w:t>
                            </w:r>
                            <w:r>
                              <w:rPr>
                                <w:lang w:val="en-US"/>
                              </w:rPr>
                              <w:t>Modified d</w:t>
                            </w:r>
                            <w:r w:rsidRPr="00A748B2">
                              <w:rPr>
                                <w:lang w:val="en-US"/>
                              </w:rPr>
                              <w:t>iagram</w:t>
                            </w:r>
                            <w:r>
                              <w:rPr>
                                <w:lang w:val="en-US"/>
                              </w:rPr>
                              <w:t xml:space="preserve"> from Beaumont and Montgomery (2015a)</w:t>
                            </w:r>
                            <w:r w:rsidRPr="00A748B2">
                              <w:rPr>
                                <w:lang w:val="en-US"/>
                              </w:rPr>
                              <w:t xml:space="preserve"> illustrating the ages at which dentine development reach </w:t>
                            </w:r>
                            <w:r>
                              <w:rPr>
                                <w:lang w:val="en-US"/>
                              </w:rPr>
                              <w:t>crown initiation</w:t>
                            </w:r>
                            <w:r w:rsidRPr="00A748B2">
                              <w:rPr>
                                <w:lang w:val="en-US"/>
                              </w:rPr>
                              <w:t>,</w:t>
                            </w:r>
                            <w:r>
                              <w:rPr>
                                <w:lang w:val="en-US"/>
                              </w:rPr>
                              <w:t xml:space="preserve"> crown completion</w:t>
                            </w:r>
                            <w:r w:rsidRPr="00A748B2">
                              <w:rPr>
                                <w:lang w:val="en-US"/>
                              </w:rPr>
                              <w:t xml:space="preserve"> and </w:t>
                            </w:r>
                            <w:r>
                              <w:rPr>
                                <w:lang w:val="en-US"/>
                              </w:rPr>
                              <w:t>apical completion,</w:t>
                            </w:r>
                            <w:r w:rsidRPr="00A748B2">
                              <w:rPr>
                                <w:lang w:val="en-US"/>
                              </w:rPr>
                              <w:t xml:space="preserve"> for upper permanent first molar. </w:t>
                            </w:r>
                            <w:r w:rsidRPr="00A748B2">
                              <w:rPr>
                                <w:b/>
                                <w:lang w:val="en-US"/>
                              </w:rPr>
                              <w:t>b)</w:t>
                            </w:r>
                            <w:r w:rsidRPr="00A748B2">
                              <w:rPr>
                                <w:lang w:val="en-US"/>
                              </w:rPr>
                              <w:t xml:space="preserve"> Sectioning of demineralized mandibular permanent first molar for individual No label #3 (box 6)</w:t>
                            </w:r>
                            <w:r>
                              <w:rPr>
                                <w:lang w:val="en-US"/>
                              </w:rPr>
                              <w:t xml:space="preserve"> from this study.</w:t>
                            </w:r>
                          </w:p>
                          <w:p w14:paraId="549F0AC7" w14:textId="00B1E0A8" w:rsidR="00BD4967" w:rsidRDefault="00BD4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527D3" id="Text Box 9" o:spid="_x0000_s1028" type="#_x0000_t202" style="position:absolute;margin-left:385.55pt;margin-top:66.35pt;width:24.7pt;height:24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" fillcolor="white [3201]" stroked="f" strokeweight=".5pt">
                <v:textbox>
                  <w:txbxContent>
                    <w:p w14:paraId="15F2B4FB" w14:textId="1B15B915" w:rsidR="00BD4967" w:rsidRPr="00E911B0" w:rsidRDefault="00BD4967" w:rsidP="0079060E">
                      <w:pPr>
                        <w:jc w:val="center"/>
                        <w:rPr>
                          <w:lang w:val="en-US"/>
                        </w:rPr>
                      </w:pPr>
                      <w:r>
                        <w:t>A</w:t>
                      </w:r>
                      <w:r w:rsidRPr="0079060E">
                        <w:rPr>
                          <w:b/>
                          <w:lang w:val="en-US"/>
                        </w:rPr>
                        <w:t xml:space="preserve"> </w:t>
                      </w:r>
                      <w:r w:rsidRPr="00A748B2">
                        <w:rPr>
                          <w:b/>
                          <w:lang w:val="en-US"/>
                        </w:rPr>
                        <w:t>Figure 4.5</w:t>
                      </w:r>
                      <w:r w:rsidRPr="00A748B2">
                        <w:rPr>
                          <w:lang w:val="en-US"/>
                        </w:rPr>
                        <w:t xml:space="preserve"> </w:t>
                      </w:r>
                      <w:r w:rsidRPr="00A748B2">
                        <w:rPr>
                          <w:b/>
                          <w:lang w:val="en-US"/>
                        </w:rPr>
                        <w:t>a)</w:t>
                      </w:r>
                      <w:r w:rsidRPr="00A748B2">
                        <w:rPr>
                          <w:lang w:val="en-US"/>
                        </w:rPr>
                        <w:t xml:space="preserve"> </w:t>
                      </w:r>
                      <w:r>
                        <w:rPr>
                          <w:lang w:val="en-US"/>
                        </w:rPr>
                        <w:t>Modified d</w:t>
                      </w:r>
                      <w:r w:rsidRPr="00A748B2">
                        <w:rPr>
                          <w:lang w:val="en-US"/>
                        </w:rPr>
                        <w:t>iagram</w:t>
                      </w:r>
                      <w:r>
                        <w:rPr>
                          <w:lang w:val="en-US"/>
                        </w:rPr>
                        <w:t xml:space="preserve"> from Beaumont and Montgomery (2015a)</w:t>
                      </w:r>
                      <w:r w:rsidRPr="00A748B2">
                        <w:rPr>
                          <w:lang w:val="en-US"/>
                        </w:rPr>
                        <w:t xml:space="preserve"> illustrating the ages at which dentine development reach </w:t>
                      </w:r>
                      <w:r>
                        <w:rPr>
                          <w:lang w:val="en-US"/>
                        </w:rPr>
                        <w:t>crown initiation</w:t>
                      </w:r>
                      <w:r w:rsidRPr="00A748B2">
                        <w:rPr>
                          <w:lang w:val="en-US"/>
                        </w:rPr>
                        <w:t>,</w:t>
                      </w:r>
                      <w:r>
                        <w:rPr>
                          <w:lang w:val="en-US"/>
                        </w:rPr>
                        <w:t xml:space="preserve"> crown completion</w:t>
                      </w:r>
                      <w:r w:rsidRPr="00A748B2">
                        <w:rPr>
                          <w:lang w:val="en-US"/>
                        </w:rPr>
                        <w:t xml:space="preserve"> and </w:t>
                      </w:r>
                      <w:r>
                        <w:rPr>
                          <w:lang w:val="en-US"/>
                        </w:rPr>
                        <w:t>apical completion,</w:t>
                      </w:r>
                      <w:r w:rsidRPr="00A748B2">
                        <w:rPr>
                          <w:lang w:val="en-US"/>
                        </w:rPr>
                        <w:t xml:space="preserve"> for upper permanent first molar. </w:t>
                      </w:r>
                      <w:r w:rsidRPr="00A748B2">
                        <w:rPr>
                          <w:b/>
                          <w:lang w:val="en-US"/>
                        </w:rPr>
                        <w:t>b)</w:t>
                      </w:r>
                      <w:r w:rsidRPr="00A748B2">
                        <w:rPr>
                          <w:lang w:val="en-US"/>
                        </w:rPr>
                        <w:t xml:space="preserve"> Sectioning of demineralized mandibular permanent first molar for individual No label #3 (box 6)</w:t>
                      </w:r>
                      <w:r>
                        <w:rPr>
                          <w:lang w:val="en-US"/>
                        </w:rPr>
                        <w:t xml:space="preserve"> from this study.</w:t>
                      </w:r>
                    </w:p>
                    <w:p w14:paraId="549F0AC7" w14:textId="00B1E0A8" w:rsidR="00BD4967" w:rsidRDefault="00BD4967"/>
                  </w:txbxContent>
                </v:textbox>
              </v:shape>
            </w:pict>
          </mc:Fallback>
        </mc:AlternateContent>
      </w:r>
      <w:r>
        <w:rPr>
          <w:noProof/>
        </w:rPr>
        <w:drawing>
          <wp:inline distT="0" distB="0" distL="0" distR="0" wp14:anchorId="0E823528" wp14:editId="1F9ACF53">
            <wp:extent cx="5548630" cy="4563745"/>
            <wp:effectExtent l="0" t="0" r="1270" b="0"/>
            <wp:docPr id="1" name="Chart 1">
              <a:extLst xmlns:a="http://schemas.openxmlformats.org/drawingml/2006/main">
                <a:ext uri="{FF2B5EF4-FFF2-40B4-BE49-F238E27FC236}">
                  <a16:creationId xmlns:a16="http://schemas.microsoft.com/office/drawing/2014/main" id="{8E708D6E-13B3-234D-AC8E-9D7E7DBBF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836512">
        <w:rPr>
          <w:rFonts w:asciiTheme="minorHAnsi" w:eastAsiaTheme="minorHAnsi" w:hAnsiTheme="minorHAnsi" w:cstheme="minorBidi"/>
          <w:noProof/>
          <w:lang w:eastAsia="en-CA"/>
        </w:rPr>
        <mc:AlternateContent>
          <mc:Choice Requires="wps">
            <w:drawing>
              <wp:anchor distT="0" distB="0" distL="114300" distR="114300" simplePos="0" relativeHeight="251752448" behindDoc="0" locked="0" layoutInCell="1" allowOverlap="1" wp14:anchorId="7C7FA2BA" wp14:editId="46A42B71">
                <wp:simplePos x="0" y="0"/>
                <wp:positionH relativeFrom="column">
                  <wp:posOffset>25296495</wp:posOffset>
                </wp:positionH>
                <wp:positionV relativeFrom="paragraph">
                  <wp:posOffset>3369945</wp:posOffset>
                </wp:positionV>
                <wp:extent cx="1777365" cy="195516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44414D" w14:textId="77777777" w:rsidR="00BD4967" w:rsidRDefault="00BD4967" w:rsidP="00836512">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FA2BA" id="Text Box 129" o:spid="_x0000_s1029" type="#_x0000_t202" style="position:absolute;margin-left:1991.85pt;margin-top:265.35pt;width:139.95pt;height:15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" filled="f" stroked="f" strokeweight=".5pt">
                <v:textbox>
                  <w:txbxContent>
                    <w:p w14:paraId="6944414D" w14:textId="77777777" w:rsidR="00BD4967" w:rsidRDefault="00BD4967" w:rsidP="00836512">
                      <w:pPr>
                        <w:rPr>
                          <w:lang w:val="en-US"/>
                        </w:rPr>
                      </w:pPr>
                      <w:r>
                        <w:rPr>
                          <w:lang w:val="en-US"/>
                        </w:rPr>
                        <w:t>A</w:t>
                      </w:r>
                    </w:p>
                  </w:txbxContent>
                </v:textbox>
              </v:shape>
            </w:pict>
          </mc:Fallback>
        </mc:AlternateContent>
      </w:r>
      <w:r w:rsidR="00836512">
        <w:rPr>
          <w:rFonts w:asciiTheme="minorHAnsi" w:eastAsiaTheme="minorHAnsi" w:hAnsiTheme="minorHAnsi" w:cstheme="minorBidi"/>
          <w:noProof/>
          <w:lang w:eastAsia="en-CA"/>
        </w:rPr>
        <mc:AlternateContent>
          <mc:Choice Requires="wps">
            <w:drawing>
              <wp:anchor distT="0" distB="0" distL="114300" distR="114300" simplePos="0" relativeHeight="251753472" behindDoc="0" locked="0" layoutInCell="1" allowOverlap="1" wp14:anchorId="4792C2B0" wp14:editId="52882E3A">
                <wp:simplePos x="0" y="0"/>
                <wp:positionH relativeFrom="column">
                  <wp:posOffset>27082750</wp:posOffset>
                </wp:positionH>
                <wp:positionV relativeFrom="paragraph">
                  <wp:posOffset>8120380</wp:posOffset>
                </wp:positionV>
                <wp:extent cx="2547620" cy="3317875"/>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331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8A28F8" w14:textId="77777777" w:rsidR="00BD4967" w:rsidRDefault="00BD4967" w:rsidP="00836512">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2C2B0" id="Text Box 128" o:spid="_x0000_s1030" type="#_x0000_t202" style="position:absolute;margin-left:2132.5pt;margin-top:639.4pt;width:200.6pt;height:26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" filled="f" stroked="f" strokeweight=".5pt">
                <v:textbox>
                  <w:txbxContent>
                    <w:p w14:paraId="7A8A28F8" w14:textId="77777777" w:rsidR="00BD4967" w:rsidRDefault="00BD4967" w:rsidP="00836512">
                      <w:pPr>
                        <w:rPr>
                          <w:lang w:val="en-US"/>
                        </w:rPr>
                      </w:pPr>
                      <w:r>
                        <w:rPr>
                          <w:lang w:val="en-US"/>
                        </w:rPr>
                        <w:t>B</w:t>
                      </w:r>
                    </w:p>
                  </w:txbxContent>
                </v:textbox>
              </v:shape>
            </w:pict>
          </mc:Fallback>
        </mc:AlternateContent>
      </w:r>
    </w:p>
    <w:p w14:paraId="3B677A77" w14:textId="77777777" w:rsidR="008036FD" w:rsidRDefault="008036FD" w:rsidP="008036FD">
      <w:pPr>
        <w:rPr>
          <w:rFonts w:asciiTheme="minorHAnsi" w:eastAsiaTheme="minorHAnsi" w:hAnsiTheme="minorHAnsi" w:cstheme="minorBidi"/>
          <w:lang w:val="en-US"/>
        </w:rPr>
      </w:pPr>
    </w:p>
    <w:p w14:paraId="3882C048" w14:textId="37CC806C" w:rsidR="00836512" w:rsidRDefault="00836512" w:rsidP="008036FD">
      <w:pPr>
        <w:jc w:val="center"/>
        <w:rPr>
          <w:rFonts w:eastAsiaTheme="minorHAnsi"/>
          <w:lang w:val="en-US"/>
        </w:rPr>
      </w:pPr>
      <w:r>
        <w:rPr>
          <w:rFonts w:eastAsiaTheme="minorHAnsi"/>
          <w:b/>
          <w:lang w:val="en-US"/>
        </w:rPr>
        <w:t>Figure 5.23:</w:t>
      </w:r>
      <w:r>
        <w:rPr>
          <w:rFonts w:eastAsiaTheme="minorHAnsi"/>
          <w:lang w:val="en-US"/>
        </w:rPr>
        <w:t xml:space="preserve"> Comparison of all adult individual nitrogen histories. Group A is characterized by individuals with overall higher nitrogen isotope values and group B is characterized by individuals with overall lower nitrogen values. Nitrogen isotope values are plotted against the approximate mean ages (in years) for each tooth section.</w:t>
      </w:r>
    </w:p>
    <w:p w14:paraId="0B175C22" w14:textId="77777777" w:rsidR="00836512" w:rsidRDefault="00836512" w:rsidP="00836512">
      <w:pPr>
        <w:jc w:val="center"/>
        <w:rPr>
          <w:rFonts w:asciiTheme="minorHAnsi" w:eastAsiaTheme="minorHAnsi" w:hAnsiTheme="minorHAnsi" w:cstheme="minorBidi"/>
          <w:lang w:val="en-US"/>
        </w:rPr>
      </w:pPr>
    </w:p>
    <w:p w14:paraId="1A362CE4" w14:textId="77777777" w:rsidR="00836512" w:rsidRDefault="00836512" w:rsidP="00482623">
      <w:pPr>
        <w:rPr>
          <w:rFonts w:asciiTheme="minorHAnsi" w:eastAsiaTheme="minorHAnsi" w:hAnsiTheme="minorHAnsi" w:cstheme="minorBidi"/>
          <w:lang w:val="en-US"/>
        </w:rPr>
      </w:pPr>
    </w:p>
    <w:p w14:paraId="2B64E492" w14:textId="0B373C24" w:rsidR="00836512" w:rsidRDefault="00836512" w:rsidP="00836512">
      <w:pPr>
        <w:spacing w:line="480" w:lineRule="auto"/>
        <w:ind w:firstLine="720"/>
        <w:rPr>
          <w:rFonts w:eastAsiaTheme="minorHAnsi"/>
          <w:color w:val="000000" w:themeColor="text1"/>
          <w:lang w:val="en-US"/>
        </w:rPr>
      </w:pPr>
      <w:r>
        <w:rPr>
          <w:rFonts w:eastAsiaTheme="minorHAnsi"/>
          <w:lang w:val="en-US"/>
        </w:rPr>
        <w:t xml:space="preserve">The comparison between all adult individuals in Figure 5.23 demonstrates the variability in the nitrogen isotope values between individuals included in this study. Specifically, two prominent groupings can be identified in this chart. Group A includes T15, T17, T18, T19, T20 and T21and is distinguished by the overall high values of </w:t>
      </w:r>
      <w:r>
        <w:rPr>
          <w:rFonts w:eastAsiaTheme="minorHAnsi"/>
          <w:lang w:val="en-US"/>
        </w:rPr>
        <w:sym w:font="Symbol" w:char="F064"/>
      </w:r>
      <w:r>
        <w:rPr>
          <w:rFonts w:eastAsiaTheme="minorHAnsi"/>
          <w:vertAlign w:val="superscript"/>
          <w:lang w:val="en-US"/>
        </w:rPr>
        <w:t>15</w:t>
      </w:r>
      <w:r>
        <w:rPr>
          <w:rFonts w:eastAsiaTheme="minorHAnsi"/>
          <w:lang w:val="en-US"/>
        </w:rPr>
        <w:t xml:space="preserve">N. Meanwhile, Group B includes T13, T16 </w:t>
      </w:r>
      <w:r w:rsidRPr="008036FD">
        <w:rPr>
          <w:rFonts w:eastAsiaTheme="minorHAnsi"/>
          <w:lang w:val="en-US"/>
        </w:rPr>
        <w:t>and T22 and</w:t>
      </w:r>
      <w:r>
        <w:rPr>
          <w:rFonts w:eastAsiaTheme="minorHAnsi"/>
          <w:lang w:val="en-US"/>
        </w:rPr>
        <w:t xml:space="preserve"> is characterized by significantly lower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w:t>
      </w:r>
      <w:r>
        <w:rPr>
          <w:rFonts w:eastAsiaTheme="minorHAnsi"/>
          <w:color w:val="000000" w:themeColor="text1"/>
          <w:lang w:val="en-US"/>
        </w:rPr>
        <w:t>Statistical analysis of covariance (refer to</w:t>
      </w:r>
      <w:r w:rsidR="00CE7909">
        <w:rPr>
          <w:rFonts w:eastAsiaTheme="minorHAnsi"/>
          <w:color w:val="000000" w:themeColor="text1"/>
          <w:lang w:val="en-US"/>
        </w:rPr>
        <w:t xml:space="preserve"> Table B1 in</w:t>
      </w:r>
      <w:r>
        <w:rPr>
          <w:rFonts w:eastAsiaTheme="minorHAnsi"/>
          <w:color w:val="000000" w:themeColor="text1"/>
          <w:lang w:val="en-US"/>
        </w:rPr>
        <w:t xml:space="preserve"> Appendix </w:t>
      </w:r>
      <w:r w:rsidR="002659FE">
        <w:rPr>
          <w:rFonts w:eastAsiaTheme="minorHAnsi"/>
          <w:color w:val="000000" w:themeColor="text1"/>
          <w:lang w:val="en-US"/>
        </w:rPr>
        <w:t>B</w:t>
      </w:r>
      <w:r>
        <w:rPr>
          <w:rFonts w:eastAsiaTheme="minorHAnsi"/>
          <w:color w:val="000000" w:themeColor="text1"/>
          <w:lang w:val="en-US"/>
        </w:rPr>
        <w:t xml:space="preserve">) </w:t>
      </w:r>
      <w:r>
        <w:rPr>
          <w:rFonts w:eastAsiaTheme="minorHAnsi"/>
          <w:color w:val="000000" w:themeColor="text1"/>
          <w:lang w:val="en-US"/>
        </w:rPr>
        <w:lastRenderedPageBreak/>
        <w:t>demonstrates a significant difference i</w:t>
      </w:r>
      <w:r w:rsidR="00180D96">
        <w:rPr>
          <w:rFonts w:eastAsiaTheme="minorHAnsi"/>
          <w:color w:val="000000" w:themeColor="text1"/>
          <w:lang w:val="en-US"/>
        </w:rPr>
        <w:t>n</w:t>
      </w:r>
      <w:r>
        <w:rPr>
          <w:rFonts w:eastAsiaTheme="minorHAnsi"/>
          <w:color w:val="000000" w:themeColor="text1"/>
          <w:lang w:val="en-US"/>
        </w:rPr>
        <w:t xml:space="preserve"> variance for group A and B (ANCOVA </w:t>
      </w:r>
      <w:r>
        <w:rPr>
          <w:rFonts w:eastAsiaTheme="minorHAnsi"/>
          <w:i/>
          <w:color w:val="000000" w:themeColor="text1"/>
          <w:lang w:val="en-US"/>
        </w:rPr>
        <w:t>F = 73.76, p &lt; 0.0001</w:t>
      </w:r>
      <w:r>
        <w:rPr>
          <w:rFonts w:eastAsiaTheme="minorHAnsi"/>
          <w:color w:val="000000" w:themeColor="text1"/>
          <w:lang w:val="en-US"/>
        </w:rPr>
        <w:t xml:space="preserve">). </w:t>
      </w:r>
      <w:r>
        <w:rPr>
          <w:rFonts w:eastAsiaTheme="minorHAnsi"/>
          <w:lang w:val="en-US"/>
        </w:rPr>
        <w:t>Group A includes both males and females from all 3 sites (Botromagno, Parco San Stefano and Padreterno). Meanwhile, group B includes two males and one individual with unknown sex, from the Botromagno site.</w:t>
      </w:r>
      <w:r>
        <w:rPr>
          <w:rFonts w:eastAsiaTheme="minorHAnsi"/>
          <w:color w:val="FF0000"/>
          <w:lang w:val="en-US"/>
        </w:rPr>
        <w:t xml:space="preserve"> </w:t>
      </w:r>
    </w:p>
    <w:p w14:paraId="58A1824A" w14:textId="77777777" w:rsidR="00836512" w:rsidRDefault="00836512" w:rsidP="00482623">
      <w:pPr>
        <w:rPr>
          <w:rFonts w:eastAsiaTheme="minorHAnsi"/>
          <w:lang w:val="en-US"/>
        </w:rPr>
      </w:pPr>
    </w:p>
    <w:p w14:paraId="47103523" w14:textId="075D810A" w:rsidR="00836512" w:rsidRDefault="00836512" w:rsidP="00836512">
      <w:pPr>
        <w:jc w:val="center"/>
        <w:rPr>
          <w:rFonts w:eastAsiaTheme="minorHAnsi"/>
          <w:lang w:val="en-US"/>
        </w:rPr>
      </w:pPr>
      <w:r>
        <w:rPr>
          <w:rFonts w:eastAsiaTheme="minorHAnsi"/>
          <w:b/>
          <w:lang w:val="en-US"/>
        </w:rPr>
        <w:t>Table 5.</w:t>
      </w:r>
      <w:r w:rsidR="00FE38DB">
        <w:rPr>
          <w:rFonts w:eastAsiaTheme="minorHAnsi"/>
          <w:b/>
          <w:lang w:val="en-US"/>
        </w:rPr>
        <w:t>4</w:t>
      </w:r>
      <w:r>
        <w:rPr>
          <w:rFonts w:eastAsiaTheme="minorHAnsi"/>
          <w:b/>
          <w:lang w:val="en-US"/>
        </w:rPr>
        <w:t>:</w:t>
      </w:r>
      <w:r>
        <w:rPr>
          <w:rFonts w:eastAsiaTheme="minorHAnsi"/>
          <w:lang w:val="en-US"/>
        </w:rPr>
        <w:t xml:space="preserve"> Mean stable nitrogen and carbon isotope data for adult males (n=5) and females (n=3).</w:t>
      </w:r>
    </w:p>
    <w:p w14:paraId="53D35AE7" w14:textId="77777777" w:rsidR="00836512" w:rsidRDefault="00836512" w:rsidP="00836512">
      <w:pPr>
        <w:spacing w:line="480" w:lineRule="auto"/>
        <w:rPr>
          <w:rFonts w:eastAsiaTheme="minorHAnsi"/>
          <w:lang w:val="en-US"/>
        </w:rPr>
      </w:pPr>
    </w:p>
    <w:tbl>
      <w:tblPr>
        <w:tblStyle w:val="TableGrid1"/>
        <w:tblW w:w="8648" w:type="dxa"/>
        <w:tblInd w:w="-289" w:type="dxa"/>
        <w:tblLook w:val="04A0" w:firstRow="1" w:lastRow="0" w:firstColumn="1" w:lastColumn="0" w:noHBand="0" w:noVBand="1"/>
      </w:tblPr>
      <w:tblGrid>
        <w:gridCol w:w="925"/>
        <w:gridCol w:w="777"/>
        <w:gridCol w:w="1134"/>
        <w:gridCol w:w="850"/>
        <w:gridCol w:w="993"/>
        <w:gridCol w:w="992"/>
        <w:gridCol w:w="992"/>
        <w:gridCol w:w="992"/>
        <w:gridCol w:w="993"/>
      </w:tblGrid>
      <w:tr w:rsidR="00836512" w14:paraId="3BA35F98" w14:textId="77777777" w:rsidTr="0083456F">
        <w:tc>
          <w:tcPr>
            <w:tcW w:w="1702" w:type="dxa"/>
            <w:gridSpan w:val="2"/>
            <w:tcBorders>
              <w:top w:val="single" w:sz="4" w:space="0" w:color="auto"/>
              <w:left w:val="single" w:sz="4" w:space="0" w:color="auto"/>
              <w:bottom w:val="single" w:sz="4" w:space="0" w:color="auto"/>
              <w:right w:val="single" w:sz="4" w:space="0" w:color="auto"/>
            </w:tcBorders>
          </w:tcPr>
          <w:p w14:paraId="6E532BED" w14:textId="77777777" w:rsidR="00836512" w:rsidRDefault="00836512">
            <w:pPr>
              <w:jc w:val="center"/>
              <w:rPr>
                <w:rFonts w:eastAsiaTheme="minorHAnsi"/>
                <w:sz w:val="20"/>
                <w:szCs w:val="2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07C92567" w14:textId="77777777" w:rsidR="00836512" w:rsidRDefault="00836512">
            <w:pPr>
              <w:jc w:val="center"/>
              <w:rPr>
                <w:rFonts w:eastAsiaTheme="minorHAnsi"/>
                <w:sz w:val="20"/>
                <w:szCs w:val="20"/>
                <w:lang w:val="en-US"/>
              </w:rPr>
            </w:pPr>
            <w:r>
              <w:rPr>
                <w:rFonts w:eastAsiaTheme="minorHAnsi"/>
                <w:sz w:val="20"/>
                <w:szCs w:val="20"/>
                <w:lang w:val="en-US"/>
              </w:rPr>
              <w:t>28 months – 3 years</w:t>
            </w:r>
          </w:p>
        </w:tc>
        <w:tc>
          <w:tcPr>
            <w:tcW w:w="850" w:type="dxa"/>
            <w:tcBorders>
              <w:top w:val="single" w:sz="4" w:space="0" w:color="auto"/>
              <w:left w:val="single" w:sz="4" w:space="0" w:color="auto"/>
              <w:bottom w:val="single" w:sz="4" w:space="0" w:color="auto"/>
              <w:right w:val="single" w:sz="4" w:space="0" w:color="auto"/>
            </w:tcBorders>
            <w:hideMark/>
          </w:tcPr>
          <w:p w14:paraId="4AAC8F19" w14:textId="77777777" w:rsidR="00836512" w:rsidRDefault="00836512">
            <w:pPr>
              <w:jc w:val="center"/>
              <w:rPr>
                <w:rFonts w:eastAsiaTheme="minorHAnsi"/>
                <w:sz w:val="20"/>
                <w:szCs w:val="20"/>
                <w:lang w:val="en-US"/>
              </w:rPr>
            </w:pPr>
            <w:r>
              <w:rPr>
                <w:rFonts w:eastAsiaTheme="minorHAnsi"/>
                <w:sz w:val="20"/>
                <w:szCs w:val="20"/>
                <w:lang w:val="en-US"/>
              </w:rPr>
              <w:t>3 - 4 years</w:t>
            </w:r>
          </w:p>
        </w:tc>
        <w:tc>
          <w:tcPr>
            <w:tcW w:w="993" w:type="dxa"/>
            <w:tcBorders>
              <w:top w:val="single" w:sz="4" w:space="0" w:color="auto"/>
              <w:left w:val="single" w:sz="4" w:space="0" w:color="auto"/>
              <w:bottom w:val="single" w:sz="4" w:space="0" w:color="auto"/>
              <w:right w:val="single" w:sz="4" w:space="0" w:color="auto"/>
            </w:tcBorders>
            <w:hideMark/>
          </w:tcPr>
          <w:p w14:paraId="58FA9224" w14:textId="77777777" w:rsidR="00836512" w:rsidRDefault="00836512">
            <w:pPr>
              <w:jc w:val="center"/>
              <w:rPr>
                <w:rFonts w:eastAsiaTheme="minorHAnsi"/>
                <w:sz w:val="20"/>
                <w:szCs w:val="20"/>
                <w:lang w:val="en-US"/>
              </w:rPr>
            </w:pPr>
            <w:r>
              <w:rPr>
                <w:rFonts w:eastAsiaTheme="minorHAnsi"/>
                <w:sz w:val="20"/>
                <w:szCs w:val="20"/>
                <w:lang w:val="en-US"/>
              </w:rPr>
              <w:t>4 -5 years</w:t>
            </w:r>
          </w:p>
        </w:tc>
        <w:tc>
          <w:tcPr>
            <w:tcW w:w="992" w:type="dxa"/>
            <w:tcBorders>
              <w:top w:val="single" w:sz="4" w:space="0" w:color="auto"/>
              <w:left w:val="single" w:sz="4" w:space="0" w:color="auto"/>
              <w:bottom w:val="single" w:sz="4" w:space="0" w:color="auto"/>
              <w:right w:val="single" w:sz="4" w:space="0" w:color="auto"/>
            </w:tcBorders>
            <w:hideMark/>
          </w:tcPr>
          <w:p w14:paraId="1FC543AD" w14:textId="77777777" w:rsidR="00836512" w:rsidRDefault="00836512">
            <w:pPr>
              <w:jc w:val="center"/>
              <w:rPr>
                <w:rFonts w:eastAsiaTheme="minorHAnsi"/>
                <w:sz w:val="20"/>
                <w:szCs w:val="20"/>
                <w:lang w:val="en-US"/>
              </w:rPr>
            </w:pPr>
            <w:r>
              <w:rPr>
                <w:rFonts w:eastAsiaTheme="minorHAnsi"/>
                <w:sz w:val="20"/>
                <w:szCs w:val="20"/>
                <w:lang w:val="en-US"/>
              </w:rPr>
              <w:t>5 -7 years</w:t>
            </w:r>
          </w:p>
        </w:tc>
        <w:tc>
          <w:tcPr>
            <w:tcW w:w="992" w:type="dxa"/>
            <w:tcBorders>
              <w:top w:val="single" w:sz="4" w:space="0" w:color="auto"/>
              <w:left w:val="single" w:sz="4" w:space="0" w:color="auto"/>
              <w:bottom w:val="single" w:sz="4" w:space="0" w:color="auto"/>
              <w:right w:val="single" w:sz="4" w:space="0" w:color="auto"/>
            </w:tcBorders>
            <w:hideMark/>
          </w:tcPr>
          <w:p w14:paraId="6DC1FA18" w14:textId="77777777" w:rsidR="00836512" w:rsidRDefault="00836512">
            <w:pPr>
              <w:jc w:val="center"/>
              <w:rPr>
                <w:rFonts w:eastAsiaTheme="minorHAnsi"/>
                <w:sz w:val="20"/>
                <w:szCs w:val="20"/>
                <w:lang w:val="en-US"/>
              </w:rPr>
            </w:pPr>
            <w:r>
              <w:rPr>
                <w:rFonts w:eastAsiaTheme="minorHAnsi"/>
                <w:sz w:val="20"/>
                <w:szCs w:val="20"/>
                <w:lang w:val="en-US"/>
              </w:rPr>
              <w:t>7 – 9 years</w:t>
            </w:r>
          </w:p>
        </w:tc>
        <w:tc>
          <w:tcPr>
            <w:tcW w:w="992" w:type="dxa"/>
            <w:tcBorders>
              <w:top w:val="single" w:sz="4" w:space="0" w:color="auto"/>
              <w:left w:val="single" w:sz="4" w:space="0" w:color="auto"/>
              <w:bottom w:val="single" w:sz="4" w:space="0" w:color="auto"/>
              <w:right w:val="single" w:sz="4" w:space="0" w:color="auto"/>
            </w:tcBorders>
            <w:hideMark/>
          </w:tcPr>
          <w:p w14:paraId="45A4580A" w14:textId="77777777" w:rsidR="00836512" w:rsidRDefault="00836512">
            <w:pPr>
              <w:jc w:val="center"/>
              <w:rPr>
                <w:rFonts w:eastAsiaTheme="minorHAnsi"/>
                <w:sz w:val="20"/>
                <w:szCs w:val="20"/>
                <w:lang w:val="en-US"/>
              </w:rPr>
            </w:pPr>
            <w:r>
              <w:rPr>
                <w:rFonts w:eastAsiaTheme="minorHAnsi"/>
                <w:sz w:val="20"/>
                <w:szCs w:val="20"/>
                <w:lang w:val="en-US"/>
              </w:rPr>
              <w:t>9 -11 years</w:t>
            </w:r>
          </w:p>
        </w:tc>
        <w:tc>
          <w:tcPr>
            <w:tcW w:w="993" w:type="dxa"/>
            <w:tcBorders>
              <w:top w:val="single" w:sz="4" w:space="0" w:color="auto"/>
              <w:left w:val="single" w:sz="4" w:space="0" w:color="auto"/>
              <w:bottom w:val="single" w:sz="4" w:space="0" w:color="auto"/>
              <w:right w:val="single" w:sz="4" w:space="0" w:color="auto"/>
            </w:tcBorders>
            <w:hideMark/>
          </w:tcPr>
          <w:p w14:paraId="4CD25212" w14:textId="77777777" w:rsidR="00836512" w:rsidRDefault="00836512">
            <w:pPr>
              <w:jc w:val="center"/>
              <w:rPr>
                <w:rFonts w:eastAsiaTheme="minorHAnsi"/>
                <w:sz w:val="20"/>
                <w:szCs w:val="20"/>
                <w:lang w:val="en-US"/>
              </w:rPr>
            </w:pPr>
            <w:r>
              <w:rPr>
                <w:rFonts w:eastAsiaTheme="minorHAnsi"/>
                <w:sz w:val="20"/>
                <w:szCs w:val="20"/>
                <w:lang w:val="en-US"/>
              </w:rPr>
              <w:t>11 -13 years</w:t>
            </w:r>
          </w:p>
        </w:tc>
      </w:tr>
      <w:tr w:rsidR="00836512" w14:paraId="3BBB1150" w14:textId="77777777" w:rsidTr="0083456F">
        <w:trPr>
          <w:trHeight w:val="321"/>
        </w:trPr>
        <w:tc>
          <w:tcPr>
            <w:tcW w:w="925" w:type="dxa"/>
            <w:vMerge w:val="restart"/>
            <w:tcBorders>
              <w:top w:val="single" w:sz="4" w:space="0" w:color="auto"/>
              <w:left w:val="single" w:sz="4" w:space="0" w:color="auto"/>
              <w:bottom w:val="single" w:sz="4" w:space="0" w:color="auto"/>
              <w:right w:val="single" w:sz="4" w:space="0" w:color="auto"/>
            </w:tcBorders>
            <w:hideMark/>
          </w:tcPr>
          <w:p w14:paraId="05972902" w14:textId="77777777" w:rsidR="00836512" w:rsidRDefault="00836512">
            <w:pPr>
              <w:jc w:val="center"/>
              <w:rPr>
                <w:rFonts w:eastAsiaTheme="minorHAnsi"/>
                <w:sz w:val="20"/>
                <w:szCs w:val="20"/>
                <w:lang w:val="en-US"/>
              </w:rPr>
            </w:pPr>
            <w:r>
              <w:rPr>
                <w:rFonts w:eastAsiaTheme="minorHAnsi"/>
                <w:sz w:val="20"/>
                <w:szCs w:val="20"/>
                <w:lang w:val="en-US"/>
              </w:rPr>
              <w:t>Male (n=5)</w:t>
            </w:r>
          </w:p>
        </w:tc>
        <w:tc>
          <w:tcPr>
            <w:tcW w:w="777" w:type="dxa"/>
            <w:tcBorders>
              <w:top w:val="single" w:sz="4" w:space="0" w:color="auto"/>
              <w:left w:val="single" w:sz="4" w:space="0" w:color="auto"/>
              <w:bottom w:val="single" w:sz="4" w:space="0" w:color="auto"/>
              <w:right w:val="single" w:sz="4" w:space="0" w:color="auto"/>
            </w:tcBorders>
            <w:hideMark/>
          </w:tcPr>
          <w:p w14:paraId="130CDC97" w14:textId="77777777" w:rsidR="00836512" w:rsidRDefault="00836512">
            <w:pPr>
              <w:jc w:val="center"/>
              <w:rPr>
                <w:rFonts w:eastAsiaTheme="minorHAnsi"/>
                <w:sz w:val="20"/>
                <w:szCs w:val="20"/>
                <w:lang w:val="en-US"/>
              </w:rPr>
            </w:pPr>
            <w:r>
              <w:rPr>
                <w:rFonts w:eastAsiaTheme="minorHAnsi"/>
                <w:sz w:val="20"/>
                <w:szCs w:val="20"/>
                <w:lang w:val="en-US"/>
              </w:rPr>
              <w:t xml:space="preserve">Mean </w:t>
            </w:r>
            <w:r>
              <w:rPr>
                <w:rFonts w:eastAsiaTheme="minorHAnsi"/>
                <w:sz w:val="20"/>
                <w:szCs w:val="20"/>
                <w:lang w:val="en-US"/>
              </w:rPr>
              <w:sym w:font="Symbol" w:char="F064"/>
            </w:r>
            <w:r>
              <w:rPr>
                <w:rFonts w:eastAsiaTheme="minorHAnsi"/>
                <w:sz w:val="20"/>
                <w:szCs w:val="20"/>
                <w:vertAlign w:val="superscript"/>
                <w:lang w:val="en-US"/>
              </w:rPr>
              <w:t>15</w:t>
            </w:r>
            <w:r>
              <w:rPr>
                <w:rFonts w:eastAsiaTheme="minorHAnsi"/>
                <w:sz w:val="20"/>
                <w:szCs w:val="20"/>
                <w:lang w:val="en-US"/>
              </w:rPr>
              <w:t>N</w:t>
            </w:r>
          </w:p>
        </w:tc>
        <w:tc>
          <w:tcPr>
            <w:tcW w:w="1134" w:type="dxa"/>
            <w:tcBorders>
              <w:top w:val="single" w:sz="4" w:space="0" w:color="auto"/>
              <w:left w:val="single" w:sz="4" w:space="0" w:color="auto"/>
              <w:bottom w:val="single" w:sz="4" w:space="0" w:color="auto"/>
              <w:right w:val="single" w:sz="4" w:space="0" w:color="auto"/>
            </w:tcBorders>
            <w:hideMark/>
          </w:tcPr>
          <w:p w14:paraId="6F773C6F" w14:textId="77777777" w:rsidR="00836512" w:rsidRDefault="00836512">
            <w:pPr>
              <w:jc w:val="center"/>
              <w:rPr>
                <w:rFonts w:eastAsiaTheme="minorHAnsi"/>
                <w:sz w:val="20"/>
                <w:szCs w:val="20"/>
                <w:lang w:val="en-US"/>
              </w:rPr>
            </w:pPr>
            <w:r>
              <w:rPr>
                <w:rFonts w:eastAsiaTheme="minorHAnsi"/>
                <w:sz w:val="20"/>
                <w:szCs w:val="20"/>
                <w:lang w:val="en-US"/>
              </w:rPr>
              <w:t>10.5</w:t>
            </w:r>
          </w:p>
          <w:p w14:paraId="4C565546" w14:textId="77777777" w:rsidR="00836512" w:rsidRDefault="00836512">
            <w:pPr>
              <w:jc w:val="center"/>
              <w:rPr>
                <w:rFonts w:eastAsiaTheme="minorHAnsi"/>
                <w:sz w:val="20"/>
                <w:szCs w:val="20"/>
                <w:lang w:val="en-US"/>
              </w:rPr>
            </w:pPr>
            <w:r>
              <w:rPr>
                <w:rFonts w:eastAsiaTheme="minorHAnsi"/>
                <w:sz w:val="20"/>
                <w:szCs w:val="20"/>
                <w:lang w:val="en-US"/>
              </w:rPr>
              <w:t>(n=4)</w:t>
            </w:r>
          </w:p>
        </w:tc>
        <w:tc>
          <w:tcPr>
            <w:tcW w:w="850" w:type="dxa"/>
            <w:tcBorders>
              <w:top w:val="single" w:sz="4" w:space="0" w:color="auto"/>
              <w:left w:val="single" w:sz="4" w:space="0" w:color="auto"/>
              <w:bottom w:val="single" w:sz="4" w:space="0" w:color="auto"/>
              <w:right w:val="single" w:sz="4" w:space="0" w:color="auto"/>
            </w:tcBorders>
            <w:hideMark/>
          </w:tcPr>
          <w:p w14:paraId="27124E73" w14:textId="77777777" w:rsidR="00836512" w:rsidRDefault="00836512">
            <w:pPr>
              <w:jc w:val="center"/>
              <w:rPr>
                <w:rFonts w:eastAsiaTheme="minorHAnsi"/>
                <w:sz w:val="20"/>
                <w:szCs w:val="20"/>
                <w:lang w:val="en-US"/>
              </w:rPr>
            </w:pPr>
            <w:r>
              <w:rPr>
                <w:rFonts w:eastAsiaTheme="minorHAnsi"/>
                <w:sz w:val="20"/>
                <w:szCs w:val="20"/>
                <w:lang w:val="en-US"/>
              </w:rPr>
              <w:t>9.8</w:t>
            </w:r>
          </w:p>
          <w:p w14:paraId="04585A76" w14:textId="77777777" w:rsidR="00836512" w:rsidRDefault="00836512">
            <w:pPr>
              <w:jc w:val="center"/>
              <w:rPr>
                <w:rFonts w:eastAsiaTheme="minorHAnsi"/>
                <w:sz w:val="20"/>
                <w:szCs w:val="20"/>
                <w:lang w:val="en-US"/>
              </w:rPr>
            </w:pPr>
            <w:r>
              <w:rPr>
                <w:rFonts w:eastAsiaTheme="minorHAnsi"/>
                <w:sz w:val="20"/>
                <w:szCs w:val="20"/>
                <w:lang w:val="en-US"/>
              </w:rPr>
              <w:t>(n=2)</w:t>
            </w:r>
          </w:p>
        </w:tc>
        <w:tc>
          <w:tcPr>
            <w:tcW w:w="993" w:type="dxa"/>
            <w:tcBorders>
              <w:top w:val="single" w:sz="4" w:space="0" w:color="auto"/>
              <w:left w:val="single" w:sz="4" w:space="0" w:color="auto"/>
              <w:bottom w:val="single" w:sz="4" w:space="0" w:color="auto"/>
              <w:right w:val="single" w:sz="4" w:space="0" w:color="auto"/>
            </w:tcBorders>
            <w:hideMark/>
          </w:tcPr>
          <w:p w14:paraId="4C931BAF" w14:textId="77777777" w:rsidR="00836512" w:rsidRDefault="00836512">
            <w:pPr>
              <w:jc w:val="center"/>
              <w:rPr>
                <w:rFonts w:eastAsiaTheme="minorHAnsi"/>
                <w:sz w:val="20"/>
                <w:szCs w:val="20"/>
                <w:lang w:val="en-US"/>
              </w:rPr>
            </w:pPr>
            <w:r>
              <w:rPr>
                <w:rFonts w:eastAsiaTheme="minorHAnsi"/>
                <w:sz w:val="20"/>
                <w:szCs w:val="20"/>
                <w:lang w:val="en-US"/>
              </w:rPr>
              <w:t>8.94</w:t>
            </w:r>
          </w:p>
          <w:p w14:paraId="4299F8F8" w14:textId="77777777" w:rsidR="00836512" w:rsidRDefault="00836512">
            <w:pPr>
              <w:jc w:val="center"/>
              <w:rPr>
                <w:rFonts w:eastAsiaTheme="minorHAnsi"/>
                <w:sz w:val="20"/>
                <w:szCs w:val="20"/>
                <w:lang w:val="en-US"/>
              </w:rPr>
            </w:pPr>
            <w:r>
              <w:rPr>
                <w:rFonts w:eastAsiaTheme="minorHAnsi"/>
                <w:sz w:val="20"/>
                <w:szCs w:val="20"/>
                <w:lang w:val="en-US"/>
              </w:rPr>
              <w:t>(n=5)</w:t>
            </w:r>
          </w:p>
        </w:tc>
        <w:tc>
          <w:tcPr>
            <w:tcW w:w="992" w:type="dxa"/>
            <w:tcBorders>
              <w:top w:val="single" w:sz="4" w:space="0" w:color="auto"/>
              <w:left w:val="single" w:sz="4" w:space="0" w:color="auto"/>
              <w:bottom w:val="single" w:sz="4" w:space="0" w:color="auto"/>
              <w:right w:val="single" w:sz="4" w:space="0" w:color="auto"/>
            </w:tcBorders>
            <w:hideMark/>
          </w:tcPr>
          <w:p w14:paraId="27F10741" w14:textId="77777777" w:rsidR="00836512" w:rsidRDefault="00836512">
            <w:pPr>
              <w:jc w:val="center"/>
              <w:rPr>
                <w:rFonts w:eastAsiaTheme="minorHAnsi"/>
                <w:sz w:val="20"/>
                <w:szCs w:val="20"/>
                <w:lang w:val="en-US"/>
              </w:rPr>
            </w:pPr>
            <w:r>
              <w:rPr>
                <w:rFonts w:eastAsiaTheme="minorHAnsi"/>
                <w:sz w:val="20"/>
                <w:szCs w:val="20"/>
                <w:lang w:val="en-US"/>
              </w:rPr>
              <w:t>8.6</w:t>
            </w:r>
          </w:p>
          <w:p w14:paraId="64B01530" w14:textId="77777777" w:rsidR="00836512" w:rsidRDefault="00836512">
            <w:pPr>
              <w:jc w:val="center"/>
              <w:rPr>
                <w:rFonts w:eastAsiaTheme="minorHAnsi"/>
                <w:sz w:val="20"/>
                <w:szCs w:val="20"/>
                <w:lang w:val="en-US"/>
              </w:rPr>
            </w:pPr>
            <w:r>
              <w:rPr>
                <w:rFonts w:eastAsiaTheme="minorHAnsi"/>
                <w:sz w:val="20"/>
                <w:szCs w:val="20"/>
                <w:lang w:val="en-US"/>
              </w:rPr>
              <w:t>(n=5)</w:t>
            </w:r>
          </w:p>
        </w:tc>
        <w:tc>
          <w:tcPr>
            <w:tcW w:w="992" w:type="dxa"/>
            <w:tcBorders>
              <w:top w:val="single" w:sz="4" w:space="0" w:color="auto"/>
              <w:left w:val="single" w:sz="4" w:space="0" w:color="auto"/>
              <w:bottom w:val="single" w:sz="4" w:space="0" w:color="auto"/>
              <w:right w:val="single" w:sz="4" w:space="0" w:color="auto"/>
            </w:tcBorders>
            <w:hideMark/>
          </w:tcPr>
          <w:p w14:paraId="5229C4B4" w14:textId="77777777" w:rsidR="00836512" w:rsidRDefault="00836512">
            <w:pPr>
              <w:jc w:val="center"/>
              <w:rPr>
                <w:rFonts w:eastAsiaTheme="minorHAnsi"/>
                <w:sz w:val="20"/>
                <w:szCs w:val="20"/>
                <w:lang w:val="en-US"/>
              </w:rPr>
            </w:pPr>
            <w:r>
              <w:rPr>
                <w:rFonts w:eastAsiaTheme="minorHAnsi"/>
                <w:sz w:val="20"/>
                <w:szCs w:val="20"/>
                <w:lang w:val="en-US"/>
              </w:rPr>
              <w:t>9.2</w:t>
            </w:r>
          </w:p>
          <w:p w14:paraId="276C074E" w14:textId="77777777" w:rsidR="00836512" w:rsidRDefault="00836512">
            <w:pPr>
              <w:jc w:val="center"/>
              <w:rPr>
                <w:rFonts w:eastAsiaTheme="minorHAnsi"/>
                <w:sz w:val="20"/>
                <w:szCs w:val="20"/>
                <w:lang w:val="en-US"/>
              </w:rPr>
            </w:pPr>
            <w:r>
              <w:rPr>
                <w:rFonts w:eastAsiaTheme="minorHAnsi"/>
                <w:sz w:val="20"/>
                <w:szCs w:val="20"/>
                <w:lang w:val="en-US"/>
              </w:rPr>
              <w:t>(n=5)</w:t>
            </w:r>
          </w:p>
        </w:tc>
        <w:tc>
          <w:tcPr>
            <w:tcW w:w="992" w:type="dxa"/>
            <w:tcBorders>
              <w:top w:val="single" w:sz="4" w:space="0" w:color="auto"/>
              <w:left w:val="single" w:sz="4" w:space="0" w:color="auto"/>
              <w:bottom w:val="single" w:sz="4" w:space="0" w:color="auto"/>
              <w:right w:val="single" w:sz="4" w:space="0" w:color="auto"/>
            </w:tcBorders>
            <w:hideMark/>
          </w:tcPr>
          <w:p w14:paraId="766113F9" w14:textId="77777777" w:rsidR="00836512" w:rsidRDefault="00836512">
            <w:pPr>
              <w:jc w:val="center"/>
              <w:rPr>
                <w:rFonts w:eastAsiaTheme="minorHAnsi"/>
                <w:sz w:val="20"/>
                <w:szCs w:val="20"/>
                <w:lang w:val="en-US"/>
              </w:rPr>
            </w:pPr>
            <w:r>
              <w:rPr>
                <w:rFonts w:eastAsiaTheme="minorHAnsi"/>
                <w:sz w:val="20"/>
                <w:szCs w:val="20"/>
                <w:lang w:val="en-US"/>
              </w:rPr>
              <w:t>9.5</w:t>
            </w:r>
          </w:p>
          <w:p w14:paraId="05483318" w14:textId="77777777" w:rsidR="00836512" w:rsidRDefault="00836512">
            <w:pPr>
              <w:jc w:val="center"/>
              <w:rPr>
                <w:rFonts w:eastAsiaTheme="minorHAnsi"/>
                <w:sz w:val="20"/>
                <w:szCs w:val="20"/>
                <w:lang w:val="en-US"/>
              </w:rPr>
            </w:pPr>
            <w:r>
              <w:rPr>
                <w:rFonts w:eastAsiaTheme="minorHAnsi"/>
                <w:sz w:val="20"/>
                <w:szCs w:val="20"/>
                <w:lang w:val="en-US"/>
              </w:rPr>
              <w:t>(n=5)</w:t>
            </w:r>
          </w:p>
        </w:tc>
        <w:tc>
          <w:tcPr>
            <w:tcW w:w="993" w:type="dxa"/>
            <w:tcBorders>
              <w:top w:val="single" w:sz="4" w:space="0" w:color="auto"/>
              <w:left w:val="single" w:sz="4" w:space="0" w:color="auto"/>
              <w:bottom w:val="single" w:sz="4" w:space="0" w:color="auto"/>
              <w:right w:val="single" w:sz="4" w:space="0" w:color="auto"/>
            </w:tcBorders>
            <w:hideMark/>
          </w:tcPr>
          <w:p w14:paraId="3DDCC81B" w14:textId="77777777" w:rsidR="00836512" w:rsidRDefault="00836512">
            <w:pPr>
              <w:jc w:val="center"/>
              <w:rPr>
                <w:rFonts w:eastAsiaTheme="minorHAnsi"/>
                <w:sz w:val="20"/>
                <w:szCs w:val="20"/>
                <w:lang w:val="en-US"/>
              </w:rPr>
            </w:pPr>
            <w:r>
              <w:rPr>
                <w:rFonts w:eastAsiaTheme="minorHAnsi"/>
                <w:sz w:val="20"/>
                <w:szCs w:val="20"/>
                <w:lang w:val="en-US"/>
              </w:rPr>
              <w:t>9.8</w:t>
            </w:r>
          </w:p>
          <w:p w14:paraId="59F589FA" w14:textId="77777777" w:rsidR="00836512" w:rsidRDefault="00836512">
            <w:pPr>
              <w:jc w:val="center"/>
              <w:rPr>
                <w:rFonts w:eastAsiaTheme="minorHAnsi"/>
                <w:sz w:val="20"/>
                <w:szCs w:val="20"/>
                <w:lang w:val="en-US"/>
              </w:rPr>
            </w:pPr>
            <w:r>
              <w:rPr>
                <w:rFonts w:eastAsiaTheme="minorHAnsi"/>
                <w:sz w:val="20"/>
                <w:szCs w:val="20"/>
                <w:lang w:val="en-US"/>
              </w:rPr>
              <w:t>(n=5)</w:t>
            </w:r>
          </w:p>
        </w:tc>
      </w:tr>
      <w:tr w:rsidR="00836512" w14:paraId="4BB79A9F" w14:textId="77777777" w:rsidTr="0083456F">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40D92" w14:textId="77777777" w:rsidR="00836512" w:rsidRDefault="00836512">
            <w:pPr>
              <w:rPr>
                <w:rFonts w:eastAsiaTheme="minorHAnsi"/>
                <w:sz w:val="20"/>
                <w:szCs w:val="20"/>
                <w:lang w:val="en-US"/>
              </w:rPr>
            </w:pPr>
          </w:p>
        </w:tc>
        <w:tc>
          <w:tcPr>
            <w:tcW w:w="777" w:type="dxa"/>
            <w:tcBorders>
              <w:top w:val="single" w:sz="4" w:space="0" w:color="auto"/>
              <w:left w:val="single" w:sz="4" w:space="0" w:color="auto"/>
              <w:bottom w:val="single" w:sz="4" w:space="0" w:color="auto"/>
              <w:right w:val="single" w:sz="4" w:space="0" w:color="auto"/>
            </w:tcBorders>
            <w:hideMark/>
          </w:tcPr>
          <w:p w14:paraId="54D955E8" w14:textId="77777777" w:rsidR="00836512" w:rsidRDefault="00836512">
            <w:pPr>
              <w:jc w:val="center"/>
              <w:rPr>
                <w:rFonts w:eastAsiaTheme="minorHAnsi"/>
                <w:sz w:val="20"/>
                <w:szCs w:val="20"/>
                <w:lang w:val="en-US"/>
              </w:rPr>
            </w:pPr>
            <w:r>
              <w:rPr>
                <w:rFonts w:eastAsiaTheme="minorHAnsi"/>
                <w:sz w:val="20"/>
                <w:szCs w:val="20"/>
                <w:lang w:val="en-US"/>
              </w:rPr>
              <w:t xml:space="preserve">Mean </w:t>
            </w:r>
            <w:r>
              <w:rPr>
                <w:rFonts w:eastAsiaTheme="minorHAnsi"/>
                <w:sz w:val="20"/>
                <w:szCs w:val="20"/>
                <w:lang w:val="en-US"/>
              </w:rPr>
              <w:sym w:font="Symbol" w:char="F064"/>
            </w:r>
            <w:r>
              <w:rPr>
                <w:rFonts w:eastAsiaTheme="minorHAnsi"/>
                <w:sz w:val="20"/>
                <w:szCs w:val="20"/>
                <w:vertAlign w:val="superscript"/>
                <w:lang w:val="en-US"/>
              </w:rPr>
              <w:t>13</w:t>
            </w:r>
            <w:r>
              <w:rPr>
                <w:rFonts w:eastAsiaTheme="minorHAnsi"/>
                <w:sz w:val="20"/>
                <w:szCs w:val="20"/>
                <w:lang w:val="en-US"/>
              </w:rPr>
              <w:t>C</w:t>
            </w:r>
          </w:p>
        </w:tc>
        <w:tc>
          <w:tcPr>
            <w:tcW w:w="1134" w:type="dxa"/>
            <w:tcBorders>
              <w:top w:val="single" w:sz="4" w:space="0" w:color="auto"/>
              <w:left w:val="single" w:sz="4" w:space="0" w:color="auto"/>
              <w:bottom w:val="single" w:sz="4" w:space="0" w:color="auto"/>
              <w:right w:val="single" w:sz="4" w:space="0" w:color="auto"/>
            </w:tcBorders>
            <w:hideMark/>
          </w:tcPr>
          <w:p w14:paraId="30C18424" w14:textId="77777777" w:rsidR="00836512" w:rsidRDefault="00836512">
            <w:pPr>
              <w:jc w:val="center"/>
              <w:rPr>
                <w:rFonts w:eastAsiaTheme="minorHAnsi"/>
                <w:sz w:val="20"/>
                <w:szCs w:val="20"/>
                <w:lang w:val="en-US"/>
              </w:rPr>
            </w:pPr>
            <w:r>
              <w:rPr>
                <w:rFonts w:eastAsiaTheme="minorHAnsi"/>
                <w:sz w:val="20"/>
                <w:szCs w:val="20"/>
                <w:lang w:val="en-US"/>
              </w:rPr>
              <w:t>-19.1</w:t>
            </w:r>
          </w:p>
          <w:p w14:paraId="0AF73146" w14:textId="77777777" w:rsidR="00836512" w:rsidRDefault="00836512">
            <w:pPr>
              <w:jc w:val="center"/>
              <w:rPr>
                <w:rFonts w:eastAsiaTheme="minorHAnsi"/>
                <w:sz w:val="20"/>
                <w:szCs w:val="20"/>
                <w:lang w:val="en-US"/>
              </w:rPr>
            </w:pPr>
            <w:r>
              <w:rPr>
                <w:rFonts w:eastAsiaTheme="minorHAnsi"/>
                <w:sz w:val="20"/>
                <w:szCs w:val="20"/>
                <w:lang w:val="en-US"/>
              </w:rPr>
              <w:t>(n=4)</w:t>
            </w:r>
          </w:p>
        </w:tc>
        <w:tc>
          <w:tcPr>
            <w:tcW w:w="850" w:type="dxa"/>
            <w:tcBorders>
              <w:top w:val="single" w:sz="4" w:space="0" w:color="auto"/>
              <w:left w:val="single" w:sz="4" w:space="0" w:color="auto"/>
              <w:bottom w:val="single" w:sz="4" w:space="0" w:color="auto"/>
              <w:right w:val="single" w:sz="4" w:space="0" w:color="auto"/>
            </w:tcBorders>
            <w:hideMark/>
          </w:tcPr>
          <w:p w14:paraId="4829F5E3" w14:textId="77777777" w:rsidR="00836512" w:rsidRDefault="00836512">
            <w:pPr>
              <w:jc w:val="center"/>
              <w:rPr>
                <w:rFonts w:eastAsiaTheme="minorHAnsi"/>
                <w:sz w:val="20"/>
                <w:szCs w:val="20"/>
                <w:lang w:val="en-US"/>
              </w:rPr>
            </w:pPr>
            <w:r>
              <w:rPr>
                <w:rFonts w:eastAsiaTheme="minorHAnsi"/>
                <w:sz w:val="20"/>
                <w:szCs w:val="20"/>
                <w:lang w:val="en-US"/>
              </w:rPr>
              <w:t>-19.5</w:t>
            </w:r>
          </w:p>
          <w:p w14:paraId="0CCAECCB" w14:textId="77777777" w:rsidR="00836512" w:rsidRDefault="00836512">
            <w:pPr>
              <w:jc w:val="center"/>
              <w:rPr>
                <w:rFonts w:eastAsiaTheme="minorHAnsi"/>
                <w:sz w:val="20"/>
                <w:szCs w:val="20"/>
                <w:lang w:val="en-US"/>
              </w:rPr>
            </w:pPr>
            <w:r>
              <w:rPr>
                <w:rFonts w:eastAsiaTheme="minorHAnsi"/>
                <w:sz w:val="20"/>
                <w:szCs w:val="20"/>
                <w:lang w:val="en-US"/>
              </w:rPr>
              <w:t>(n=2)</w:t>
            </w:r>
          </w:p>
        </w:tc>
        <w:tc>
          <w:tcPr>
            <w:tcW w:w="993" w:type="dxa"/>
            <w:tcBorders>
              <w:top w:val="single" w:sz="4" w:space="0" w:color="auto"/>
              <w:left w:val="single" w:sz="4" w:space="0" w:color="auto"/>
              <w:bottom w:val="single" w:sz="4" w:space="0" w:color="auto"/>
              <w:right w:val="single" w:sz="4" w:space="0" w:color="auto"/>
            </w:tcBorders>
            <w:hideMark/>
          </w:tcPr>
          <w:p w14:paraId="5FEAEDBA" w14:textId="77777777" w:rsidR="00836512" w:rsidRDefault="00836512">
            <w:pPr>
              <w:jc w:val="center"/>
              <w:rPr>
                <w:rFonts w:eastAsiaTheme="minorHAnsi"/>
                <w:sz w:val="20"/>
                <w:szCs w:val="20"/>
                <w:lang w:val="en-US"/>
              </w:rPr>
            </w:pPr>
            <w:r>
              <w:rPr>
                <w:rFonts w:eastAsiaTheme="minorHAnsi"/>
                <w:sz w:val="20"/>
                <w:szCs w:val="20"/>
                <w:lang w:val="en-US"/>
              </w:rPr>
              <w:t>-19.4</w:t>
            </w:r>
          </w:p>
          <w:p w14:paraId="52AEEB6F" w14:textId="77777777" w:rsidR="00836512" w:rsidRDefault="00836512">
            <w:pPr>
              <w:jc w:val="center"/>
              <w:rPr>
                <w:rFonts w:eastAsiaTheme="minorHAnsi"/>
                <w:sz w:val="20"/>
                <w:szCs w:val="20"/>
                <w:lang w:val="en-US"/>
              </w:rPr>
            </w:pPr>
            <w:r>
              <w:rPr>
                <w:rFonts w:eastAsiaTheme="minorHAnsi"/>
                <w:sz w:val="20"/>
                <w:szCs w:val="20"/>
                <w:lang w:val="en-US"/>
              </w:rPr>
              <w:t>(n=5)</w:t>
            </w:r>
          </w:p>
        </w:tc>
        <w:tc>
          <w:tcPr>
            <w:tcW w:w="992" w:type="dxa"/>
            <w:tcBorders>
              <w:top w:val="single" w:sz="4" w:space="0" w:color="auto"/>
              <w:left w:val="single" w:sz="4" w:space="0" w:color="auto"/>
              <w:bottom w:val="single" w:sz="4" w:space="0" w:color="auto"/>
              <w:right w:val="single" w:sz="4" w:space="0" w:color="auto"/>
            </w:tcBorders>
            <w:hideMark/>
          </w:tcPr>
          <w:p w14:paraId="1B8AECA0" w14:textId="77777777" w:rsidR="00836512" w:rsidRDefault="00836512">
            <w:pPr>
              <w:jc w:val="center"/>
              <w:rPr>
                <w:rFonts w:eastAsiaTheme="minorHAnsi"/>
                <w:sz w:val="20"/>
                <w:szCs w:val="20"/>
                <w:lang w:val="en-US"/>
              </w:rPr>
            </w:pPr>
            <w:r>
              <w:rPr>
                <w:rFonts w:eastAsiaTheme="minorHAnsi"/>
                <w:sz w:val="20"/>
                <w:szCs w:val="20"/>
                <w:lang w:val="en-US"/>
              </w:rPr>
              <w:t>-19.3</w:t>
            </w:r>
          </w:p>
          <w:p w14:paraId="3BA46DCC" w14:textId="77777777" w:rsidR="00836512" w:rsidRDefault="00836512">
            <w:pPr>
              <w:jc w:val="center"/>
              <w:rPr>
                <w:rFonts w:eastAsiaTheme="minorHAnsi"/>
                <w:sz w:val="20"/>
                <w:szCs w:val="20"/>
                <w:lang w:val="en-US"/>
              </w:rPr>
            </w:pPr>
            <w:r>
              <w:rPr>
                <w:rFonts w:eastAsiaTheme="minorHAnsi"/>
                <w:sz w:val="20"/>
                <w:szCs w:val="20"/>
                <w:lang w:val="en-US"/>
              </w:rPr>
              <w:t>(n=5)</w:t>
            </w:r>
          </w:p>
        </w:tc>
        <w:tc>
          <w:tcPr>
            <w:tcW w:w="992" w:type="dxa"/>
            <w:tcBorders>
              <w:top w:val="single" w:sz="4" w:space="0" w:color="auto"/>
              <w:left w:val="single" w:sz="4" w:space="0" w:color="auto"/>
              <w:bottom w:val="single" w:sz="4" w:space="0" w:color="auto"/>
              <w:right w:val="single" w:sz="4" w:space="0" w:color="auto"/>
            </w:tcBorders>
            <w:hideMark/>
          </w:tcPr>
          <w:p w14:paraId="2E150360" w14:textId="77777777" w:rsidR="00836512" w:rsidRDefault="00836512">
            <w:pPr>
              <w:jc w:val="center"/>
              <w:rPr>
                <w:rFonts w:eastAsiaTheme="minorHAnsi"/>
                <w:sz w:val="20"/>
                <w:szCs w:val="20"/>
                <w:lang w:val="en-US"/>
              </w:rPr>
            </w:pPr>
            <w:r>
              <w:rPr>
                <w:rFonts w:eastAsiaTheme="minorHAnsi"/>
                <w:sz w:val="20"/>
                <w:szCs w:val="20"/>
                <w:lang w:val="en-US"/>
              </w:rPr>
              <w:t>-19.2</w:t>
            </w:r>
          </w:p>
          <w:p w14:paraId="772F52A9" w14:textId="77777777" w:rsidR="00836512" w:rsidRDefault="00836512">
            <w:pPr>
              <w:jc w:val="center"/>
              <w:rPr>
                <w:rFonts w:eastAsiaTheme="minorHAnsi"/>
                <w:sz w:val="20"/>
                <w:szCs w:val="20"/>
                <w:lang w:val="en-US"/>
              </w:rPr>
            </w:pPr>
            <w:r>
              <w:rPr>
                <w:rFonts w:eastAsiaTheme="minorHAnsi"/>
                <w:sz w:val="20"/>
                <w:szCs w:val="20"/>
                <w:lang w:val="en-US"/>
              </w:rPr>
              <w:t>(n=5)</w:t>
            </w:r>
          </w:p>
        </w:tc>
        <w:tc>
          <w:tcPr>
            <w:tcW w:w="992" w:type="dxa"/>
            <w:tcBorders>
              <w:top w:val="single" w:sz="4" w:space="0" w:color="auto"/>
              <w:left w:val="single" w:sz="4" w:space="0" w:color="auto"/>
              <w:bottom w:val="single" w:sz="4" w:space="0" w:color="auto"/>
              <w:right w:val="single" w:sz="4" w:space="0" w:color="auto"/>
            </w:tcBorders>
            <w:hideMark/>
          </w:tcPr>
          <w:p w14:paraId="6D8326F6" w14:textId="77777777" w:rsidR="00836512" w:rsidRDefault="00836512">
            <w:pPr>
              <w:jc w:val="center"/>
              <w:rPr>
                <w:rFonts w:eastAsiaTheme="minorHAnsi"/>
                <w:sz w:val="20"/>
                <w:szCs w:val="20"/>
                <w:lang w:val="en-US"/>
              </w:rPr>
            </w:pPr>
            <w:r>
              <w:rPr>
                <w:rFonts w:eastAsiaTheme="minorHAnsi"/>
                <w:sz w:val="20"/>
                <w:szCs w:val="20"/>
                <w:lang w:val="en-US"/>
              </w:rPr>
              <w:t>-19.4</w:t>
            </w:r>
          </w:p>
          <w:p w14:paraId="5B7A9816" w14:textId="77777777" w:rsidR="00836512" w:rsidRDefault="00836512">
            <w:pPr>
              <w:ind w:right="-33"/>
              <w:jc w:val="center"/>
              <w:rPr>
                <w:rFonts w:eastAsiaTheme="minorHAnsi"/>
                <w:sz w:val="20"/>
                <w:szCs w:val="20"/>
                <w:lang w:val="en-US"/>
              </w:rPr>
            </w:pPr>
            <w:r>
              <w:rPr>
                <w:rFonts w:eastAsiaTheme="minorHAnsi"/>
                <w:sz w:val="20"/>
                <w:szCs w:val="20"/>
                <w:lang w:val="en-US"/>
              </w:rPr>
              <w:t>(n=5)</w:t>
            </w:r>
          </w:p>
        </w:tc>
        <w:tc>
          <w:tcPr>
            <w:tcW w:w="993" w:type="dxa"/>
            <w:tcBorders>
              <w:top w:val="single" w:sz="4" w:space="0" w:color="auto"/>
              <w:left w:val="single" w:sz="4" w:space="0" w:color="auto"/>
              <w:bottom w:val="single" w:sz="4" w:space="0" w:color="auto"/>
              <w:right w:val="single" w:sz="4" w:space="0" w:color="auto"/>
            </w:tcBorders>
            <w:hideMark/>
          </w:tcPr>
          <w:p w14:paraId="0929736A" w14:textId="77777777" w:rsidR="00836512" w:rsidRDefault="00836512">
            <w:pPr>
              <w:jc w:val="center"/>
              <w:rPr>
                <w:rFonts w:eastAsiaTheme="minorHAnsi"/>
                <w:sz w:val="20"/>
                <w:szCs w:val="20"/>
                <w:lang w:val="en-US"/>
              </w:rPr>
            </w:pPr>
            <w:r>
              <w:rPr>
                <w:rFonts w:eastAsiaTheme="minorHAnsi"/>
                <w:sz w:val="20"/>
                <w:szCs w:val="20"/>
                <w:lang w:val="en-US"/>
              </w:rPr>
              <w:t>-19.6</w:t>
            </w:r>
          </w:p>
          <w:p w14:paraId="163D60CF" w14:textId="77777777" w:rsidR="00836512" w:rsidRDefault="00836512">
            <w:pPr>
              <w:jc w:val="center"/>
              <w:rPr>
                <w:rFonts w:eastAsiaTheme="minorHAnsi"/>
                <w:sz w:val="20"/>
                <w:szCs w:val="20"/>
                <w:lang w:val="en-US"/>
              </w:rPr>
            </w:pPr>
            <w:r>
              <w:rPr>
                <w:rFonts w:eastAsiaTheme="minorHAnsi"/>
                <w:sz w:val="20"/>
                <w:szCs w:val="20"/>
                <w:lang w:val="en-US"/>
              </w:rPr>
              <w:t>(n=5)</w:t>
            </w:r>
          </w:p>
        </w:tc>
      </w:tr>
      <w:tr w:rsidR="00836512" w14:paraId="253BE7F4" w14:textId="77777777" w:rsidTr="0083456F">
        <w:trPr>
          <w:trHeight w:val="71"/>
        </w:trPr>
        <w:tc>
          <w:tcPr>
            <w:tcW w:w="925" w:type="dxa"/>
            <w:vMerge w:val="restart"/>
            <w:tcBorders>
              <w:top w:val="single" w:sz="4" w:space="0" w:color="auto"/>
              <w:left w:val="single" w:sz="4" w:space="0" w:color="auto"/>
              <w:bottom w:val="single" w:sz="4" w:space="0" w:color="auto"/>
              <w:right w:val="single" w:sz="4" w:space="0" w:color="auto"/>
            </w:tcBorders>
            <w:hideMark/>
          </w:tcPr>
          <w:p w14:paraId="5DB3B328" w14:textId="77777777" w:rsidR="00836512" w:rsidRDefault="00836512">
            <w:pPr>
              <w:jc w:val="center"/>
              <w:rPr>
                <w:rFonts w:eastAsiaTheme="minorHAnsi"/>
                <w:sz w:val="20"/>
                <w:szCs w:val="20"/>
                <w:lang w:val="en-US"/>
              </w:rPr>
            </w:pPr>
            <w:r>
              <w:rPr>
                <w:rFonts w:eastAsiaTheme="minorHAnsi"/>
                <w:sz w:val="20"/>
                <w:szCs w:val="20"/>
                <w:lang w:val="en-US"/>
              </w:rPr>
              <w:t>Female</w:t>
            </w:r>
          </w:p>
          <w:p w14:paraId="51ECE6DD"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777" w:type="dxa"/>
            <w:tcBorders>
              <w:top w:val="single" w:sz="4" w:space="0" w:color="auto"/>
              <w:left w:val="single" w:sz="4" w:space="0" w:color="auto"/>
              <w:bottom w:val="single" w:sz="4" w:space="0" w:color="auto"/>
              <w:right w:val="single" w:sz="4" w:space="0" w:color="auto"/>
            </w:tcBorders>
            <w:hideMark/>
          </w:tcPr>
          <w:p w14:paraId="08618441" w14:textId="77777777" w:rsidR="00836512" w:rsidRDefault="00836512">
            <w:pPr>
              <w:jc w:val="center"/>
              <w:rPr>
                <w:rFonts w:eastAsiaTheme="minorHAnsi"/>
                <w:sz w:val="20"/>
                <w:szCs w:val="20"/>
                <w:lang w:val="en-US"/>
              </w:rPr>
            </w:pPr>
            <w:r>
              <w:rPr>
                <w:rFonts w:eastAsiaTheme="minorHAnsi"/>
                <w:sz w:val="20"/>
                <w:szCs w:val="20"/>
                <w:lang w:val="en-US"/>
              </w:rPr>
              <w:t xml:space="preserve">Mean </w:t>
            </w:r>
            <w:r>
              <w:rPr>
                <w:rFonts w:eastAsiaTheme="minorHAnsi"/>
                <w:sz w:val="20"/>
                <w:szCs w:val="20"/>
                <w:lang w:val="en-US"/>
              </w:rPr>
              <w:sym w:font="Symbol" w:char="F064"/>
            </w:r>
            <w:r>
              <w:rPr>
                <w:rFonts w:eastAsiaTheme="minorHAnsi"/>
                <w:sz w:val="20"/>
                <w:szCs w:val="20"/>
                <w:vertAlign w:val="superscript"/>
                <w:lang w:val="en-US"/>
              </w:rPr>
              <w:t>15</w:t>
            </w:r>
            <w:r>
              <w:rPr>
                <w:rFonts w:eastAsiaTheme="minorHAnsi"/>
                <w:sz w:val="20"/>
                <w:szCs w:val="20"/>
                <w:lang w:val="en-US"/>
              </w:rPr>
              <w:t>N</w:t>
            </w:r>
          </w:p>
        </w:tc>
        <w:tc>
          <w:tcPr>
            <w:tcW w:w="1134" w:type="dxa"/>
            <w:tcBorders>
              <w:top w:val="single" w:sz="4" w:space="0" w:color="auto"/>
              <w:left w:val="single" w:sz="4" w:space="0" w:color="auto"/>
              <w:bottom w:val="single" w:sz="4" w:space="0" w:color="auto"/>
              <w:right w:val="single" w:sz="4" w:space="0" w:color="auto"/>
            </w:tcBorders>
            <w:hideMark/>
          </w:tcPr>
          <w:p w14:paraId="201B6E88" w14:textId="77777777" w:rsidR="00836512" w:rsidRDefault="00836512">
            <w:pPr>
              <w:jc w:val="center"/>
              <w:rPr>
                <w:rFonts w:eastAsiaTheme="minorHAnsi"/>
                <w:sz w:val="20"/>
                <w:szCs w:val="20"/>
                <w:lang w:val="en-US"/>
              </w:rPr>
            </w:pPr>
            <w:r>
              <w:rPr>
                <w:rFonts w:eastAsiaTheme="minorHAnsi"/>
                <w:sz w:val="20"/>
                <w:szCs w:val="20"/>
                <w:lang w:val="en-US"/>
              </w:rPr>
              <w:t>9.8</w:t>
            </w:r>
          </w:p>
          <w:p w14:paraId="576C24BB" w14:textId="77777777" w:rsidR="00836512" w:rsidRDefault="00836512">
            <w:pPr>
              <w:jc w:val="center"/>
              <w:rPr>
                <w:rFonts w:eastAsiaTheme="minorHAnsi"/>
                <w:sz w:val="20"/>
                <w:szCs w:val="20"/>
                <w:lang w:val="en-US"/>
              </w:rPr>
            </w:pPr>
            <w:r>
              <w:rPr>
                <w:rFonts w:eastAsiaTheme="minorHAnsi"/>
                <w:sz w:val="20"/>
                <w:szCs w:val="20"/>
                <w:lang w:val="en-US"/>
              </w:rPr>
              <w:t>(n=2)</w:t>
            </w:r>
          </w:p>
        </w:tc>
        <w:tc>
          <w:tcPr>
            <w:tcW w:w="850" w:type="dxa"/>
            <w:tcBorders>
              <w:top w:val="single" w:sz="4" w:space="0" w:color="auto"/>
              <w:left w:val="single" w:sz="4" w:space="0" w:color="auto"/>
              <w:bottom w:val="single" w:sz="4" w:space="0" w:color="auto"/>
              <w:right w:val="single" w:sz="4" w:space="0" w:color="auto"/>
            </w:tcBorders>
            <w:hideMark/>
          </w:tcPr>
          <w:p w14:paraId="6ACA0527" w14:textId="77777777" w:rsidR="00836512" w:rsidRDefault="00836512">
            <w:pPr>
              <w:jc w:val="center"/>
              <w:rPr>
                <w:rFonts w:eastAsiaTheme="minorHAnsi"/>
                <w:sz w:val="20"/>
                <w:szCs w:val="20"/>
                <w:lang w:val="en-US"/>
              </w:rPr>
            </w:pPr>
            <w:r>
              <w:rPr>
                <w:rFonts w:eastAsiaTheme="minorHAnsi"/>
                <w:sz w:val="20"/>
                <w:szCs w:val="20"/>
                <w:lang w:val="en-US"/>
              </w:rPr>
              <w:t>9.3</w:t>
            </w:r>
          </w:p>
          <w:p w14:paraId="6334A699" w14:textId="77777777" w:rsidR="00836512" w:rsidRDefault="00836512">
            <w:pPr>
              <w:jc w:val="center"/>
              <w:rPr>
                <w:rFonts w:eastAsiaTheme="minorHAnsi"/>
                <w:sz w:val="20"/>
                <w:szCs w:val="20"/>
                <w:lang w:val="en-US"/>
              </w:rPr>
            </w:pPr>
            <w:r>
              <w:rPr>
                <w:rFonts w:eastAsiaTheme="minorHAnsi"/>
                <w:sz w:val="20"/>
                <w:szCs w:val="20"/>
                <w:lang w:val="en-US"/>
              </w:rPr>
              <w:t>(n=2)</w:t>
            </w:r>
          </w:p>
        </w:tc>
        <w:tc>
          <w:tcPr>
            <w:tcW w:w="993" w:type="dxa"/>
            <w:tcBorders>
              <w:top w:val="single" w:sz="4" w:space="0" w:color="auto"/>
              <w:left w:val="single" w:sz="4" w:space="0" w:color="auto"/>
              <w:bottom w:val="single" w:sz="4" w:space="0" w:color="auto"/>
              <w:right w:val="single" w:sz="4" w:space="0" w:color="auto"/>
            </w:tcBorders>
            <w:hideMark/>
          </w:tcPr>
          <w:p w14:paraId="75E8181E" w14:textId="77777777" w:rsidR="00836512" w:rsidRDefault="00836512">
            <w:pPr>
              <w:jc w:val="center"/>
              <w:rPr>
                <w:rFonts w:eastAsiaTheme="minorHAnsi"/>
                <w:sz w:val="20"/>
                <w:szCs w:val="20"/>
                <w:lang w:val="en-US"/>
              </w:rPr>
            </w:pPr>
            <w:r>
              <w:rPr>
                <w:rFonts w:eastAsiaTheme="minorHAnsi"/>
                <w:sz w:val="20"/>
                <w:szCs w:val="20"/>
                <w:lang w:val="en-US"/>
              </w:rPr>
              <w:t>8.9</w:t>
            </w:r>
          </w:p>
          <w:p w14:paraId="63F21D40" w14:textId="77777777" w:rsidR="00836512" w:rsidRDefault="00836512">
            <w:pPr>
              <w:jc w:val="center"/>
              <w:rPr>
                <w:rFonts w:eastAsiaTheme="minorHAnsi"/>
                <w:sz w:val="20"/>
                <w:szCs w:val="20"/>
                <w:lang w:val="en-US"/>
              </w:rPr>
            </w:pPr>
            <w:r>
              <w:rPr>
                <w:rFonts w:eastAsiaTheme="minorHAnsi"/>
                <w:sz w:val="20"/>
                <w:szCs w:val="20"/>
                <w:lang w:val="en-US"/>
              </w:rPr>
              <w:t>(n=2)</w:t>
            </w:r>
          </w:p>
        </w:tc>
        <w:tc>
          <w:tcPr>
            <w:tcW w:w="992" w:type="dxa"/>
            <w:tcBorders>
              <w:top w:val="single" w:sz="4" w:space="0" w:color="auto"/>
              <w:left w:val="single" w:sz="4" w:space="0" w:color="auto"/>
              <w:bottom w:val="single" w:sz="4" w:space="0" w:color="auto"/>
              <w:right w:val="single" w:sz="4" w:space="0" w:color="auto"/>
            </w:tcBorders>
            <w:hideMark/>
          </w:tcPr>
          <w:p w14:paraId="5A58FEE2" w14:textId="77777777" w:rsidR="00836512" w:rsidRDefault="00836512">
            <w:pPr>
              <w:jc w:val="center"/>
              <w:rPr>
                <w:rFonts w:eastAsiaTheme="minorHAnsi"/>
                <w:sz w:val="20"/>
                <w:szCs w:val="20"/>
                <w:lang w:val="en-US"/>
              </w:rPr>
            </w:pPr>
            <w:r>
              <w:rPr>
                <w:rFonts w:eastAsiaTheme="minorHAnsi"/>
                <w:sz w:val="20"/>
                <w:szCs w:val="20"/>
                <w:lang w:val="en-US"/>
              </w:rPr>
              <w:t>9.9</w:t>
            </w:r>
          </w:p>
          <w:p w14:paraId="23370DC1"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992" w:type="dxa"/>
            <w:tcBorders>
              <w:top w:val="single" w:sz="4" w:space="0" w:color="auto"/>
              <w:left w:val="single" w:sz="4" w:space="0" w:color="auto"/>
              <w:bottom w:val="single" w:sz="4" w:space="0" w:color="auto"/>
              <w:right w:val="single" w:sz="4" w:space="0" w:color="auto"/>
            </w:tcBorders>
            <w:hideMark/>
          </w:tcPr>
          <w:p w14:paraId="12175CF0" w14:textId="77777777" w:rsidR="00836512" w:rsidRDefault="00836512">
            <w:pPr>
              <w:jc w:val="center"/>
              <w:rPr>
                <w:rFonts w:eastAsiaTheme="minorHAnsi"/>
                <w:sz w:val="20"/>
                <w:szCs w:val="20"/>
                <w:lang w:val="en-US"/>
              </w:rPr>
            </w:pPr>
            <w:r>
              <w:rPr>
                <w:rFonts w:eastAsiaTheme="minorHAnsi"/>
                <w:sz w:val="20"/>
                <w:szCs w:val="20"/>
                <w:lang w:val="en-US"/>
              </w:rPr>
              <w:t>10.2</w:t>
            </w:r>
          </w:p>
          <w:p w14:paraId="25552307"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992" w:type="dxa"/>
            <w:tcBorders>
              <w:top w:val="single" w:sz="4" w:space="0" w:color="auto"/>
              <w:left w:val="single" w:sz="4" w:space="0" w:color="auto"/>
              <w:bottom w:val="single" w:sz="4" w:space="0" w:color="auto"/>
              <w:right w:val="single" w:sz="4" w:space="0" w:color="auto"/>
            </w:tcBorders>
            <w:hideMark/>
          </w:tcPr>
          <w:p w14:paraId="4E2D9417" w14:textId="77777777" w:rsidR="00836512" w:rsidRDefault="00836512">
            <w:pPr>
              <w:jc w:val="center"/>
              <w:rPr>
                <w:rFonts w:eastAsiaTheme="minorHAnsi"/>
                <w:sz w:val="20"/>
                <w:szCs w:val="20"/>
                <w:lang w:val="en-US"/>
              </w:rPr>
            </w:pPr>
            <w:r>
              <w:rPr>
                <w:rFonts w:eastAsiaTheme="minorHAnsi"/>
                <w:sz w:val="20"/>
                <w:szCs w:val="20"/>
                <w:lang w:val="en-US"/>
              </w:rPr>
              <w:t>10.3</w:t>
            </w:r>
          </w:p>
          <w:p w14:paraId="45971A4F"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993" w:type="dxa"/>
            <w:tcBorders>
              <w:top w:val="single" w:sz="4" w:space="0" w:color="auto"/>
              <w:left w:val="single" w:sz="4" w:space="0" w:color="auto"/>
              <w:bottom w:val="single" w:sz="4" w:space="0" w:color="auto"/>
              <w:right w:val="single" w:sz="4" w:space="0" w:color="auto"/>
            </w:tcBorders>
            <w:hideMark/>
          </w:tcPr>
          <w:p w14:paraId="50D92E60" w14:textId="77777777" w:rsidR="00836512" w:rsidRDefault="00836512">
            <w:pPr>
              <w:jc w:val="center"/>
              <w:rPr>
                <w:rFonts w:eastAsiaTheme="minorHAnsi"/>
                <w:sz w:val="20"/>
                <w:szCs w:val="20"/>
                <w:lang w:val="en-US"/>
              </w:rPr>
            </w:pPr>
            <w:r>
              <w:rPr>
                <w:rFonts w:eastAsiaTheme="minorHAnsi"/>
                <w:sz w:val="20"/>
                <w:szCs w:val="20"/>
                <w:lang w:val="en-US"/>
              </w:rPr>
              <w:t>10.6</w:t>
            </w:r>
          </w:p>
          <w:p w14:paraId="36D5055F" w14:textId="77777777" w:rsidR="00836512" w:rsidRDefault="00836512">
            <w:pPr>
              <w:jc w:val="center"/>
              <w:rPr>
                <w:rFonts w:eastAsiaTheme="minorHAnsi"/>
                <w:sz w:val="20"/>
                <w:szCs w:val="20"/>
                <w:lang w:val="en-US"/>
              </w:rPr>
            </w:pPr>
            <w:r>
              <w:rPr>
                <w:rFonts w:eastAsiaTheme="minorHAnsi"/>
                <w:sz w:val="20"/>
                <w:szCs w:val="20"/>
                <w:lang w:val="en-US"/>
              </w:rPr>
              <w:t>(n=2)</w:t>
            </w:r>
          </w:p>
        </w:tc>
      </w:tr>
      <w:tr w:rsidR="00836512" w14:paraId="0DF31053" w14:textId="77777777" w:rsidTr="0083456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E3856" w14:textId="77777777" w:rsidR="00836512" w:rsidRDefault="00836512">
            <w:pPr>
              <w:rPr>
                <w:rFonts w:eastAsiaTheme="minorHAnsi"/>
                <w:sz w:val="20"/>
                <w:szCs w:val="20"/>
                <w:lang w:val="en-US"/>
              </w:rPr>
            </w:pPr>
          </w:p>
        </w:tc>
        <w:tc>
          <w:tcPr>
            <w:tcW w:w="777" w:type="dxa"/>
            <w:tcBorders>
              <w:top w:val="single" w:sz="4" w:space="0" w:color="auto"/>
              <w:left w:val="single" w:sz="4" w:space="0" w:color="auto"/>
              <w:bottom w:val="single" w:sz="4" w:space="0" w:color="auto"/>
              <w:right w:val="single" w:sz="4" w:space="0" w:color="auto"/>
            </w:tcBorders>
            <w:hideMark/>
          </w:tcPr>
          <w:p w14:paraId="1C03F3AA" w14:textId="77777777" w:rsidR="00836512" w:rsidRDefault="00836512">
            <w:pPr>
              <w:jc w:val="center"/>
              <w:rPr>
                <w:rFonts w:eastAsiaTheme="minorHAnsi"/>
                <w:sz w:val="20"/>
                <w:szCs w:val="20"/>
                <w:lang w:val="en-US"/>
              </w:rPr>
            </w:pPr>
            <w:r>
              <w:rPr>
                <w:rFonts w:eastAsiaTheme="minorHAnsi"/>
                <w:sz w:val="20"/>
                <w:szCs w:val="20"/>
                <w:lang w:val="en-US"/>
              </w:rPr>
              <w:t xml:space="preserve">Mean </w:t>
            </w:r>
            <w:r>
              <w:rPr>
                <w:rFonts w:eastAsiaTheme="minorHAnsi"/>
                <w:sz w:val="20"/>
                <w:szCs w:val="20"/>
                <w:lang w:val="en-US"/>
              </w:rPr>
              <w:sym w:font="Symbol" w:char="F064"/>
            </w:r>
            <w:r>
              <w:rPr>
                <w:rFonts w:eastAsiaTheme="minorHAnsi"/>
                <w:sz w:val="20"/>
                <w:szCs w:val="20"/>
                <w:vertAlign w:val="superscript"/>
                <w:lang w:val="en-US"/>
              </w:rPr>
              <w:t>13</w:t>
            </w:r>
            <w:r>
              <w:rPr>
                <w:rFonts w:eastAsiaTheme="minorHAnsi"/>
                <w:sz w:val="20"/>
                <w:szCs w:val="20"/>
                <w:lang w:val="en-US"/>
              </w:rPr>
              <w:t>C</w:t>
            </w:r>
          </w:p>
        </w:tc>
        <w:tc>
          <w:tcPr>
            <w:tcW w:w="1134" w:type="dxa"/>
            <w:tcBorders>
              <w:top w:val="single" w:sz="4" w:space="0" w:color="auto"/>
              <w:left w:val="single" w:sz="4" w:space="0" w:color="auto"/>
              <w:bottom w:val="single" w:sz="4" w:space="0" w:color="auto"/>
              <w:right w:val="single" w:sz="4" w:space="0" w:color="auto"/>
            </w:tcBorders>
            <w:hideMark/>
          </w:tcPr>
          <w:p w14:paraId="5EA791FB" w14:textId="77777777" w:rsidR="00836512" w:rsidRDefault="00836512">
            <w:pPr>
              <w:jc w:val="center"/>
              <w:rPr>
                <w:rFonts w:eastAsiaTheme="minorHAnsi"/>
                <w:sz w:val="20"/>
                <w:szCs w:val="20"/>
                <w:lang w:val="en-US"/>
              </w:rPr>
            </w:pPr>
            <w:r>
              <w:rPr>
                <w:rFonts w:eastAsiaTheme="minorHAnsi"/>
                <w:sz w:val="20"/>
                <w:szCs w:val="20"/>
                <w:lang w:val="en-US"/>
              </w:rPr>
              <w:t>-19.5</w:t>
            </w:r>
          </w:p>
          <w:p w14:paraId="5D982020" w14:textId="77777777" w:rsidR="00836512" w:rsidRDefault="00836512">
            <w:pPr>
              <w:jc w:val="center"/>
              <w:rPr>
                <w:rFonts w:eastAsiaTheme="minorHAnsi"/>
                <w:sz w:val="20"/>
                <w:szCs w:val="20"/>
                <w:lang w:val="en-US"/>
              </w:rPr>
            </w:pPr>
            <w:r>
              <w:rPr>
                <w:rFonts w:eastAsiaTheme="minorHAnsi"/>
                <w:sz w:val="20"/>
                <w:szCs w:val="20"/>
                <w:lang w:val="en-US"/>
              </w:rPr>
              <w:t>(n=2)</w:t>
            </w:r>
          </w:p>
        </w:tc>
        <w:tc>
          <w:tcPr>
            <w:tcW w:w="850" w:type="dxa"/>
            <w:tcBorders>
              <w:top w:val="single" w:sz="4" w:space="0" w:color="auto"/>
              <w:left w:val="single" w:sz="4" w:space="0" w:color="auto"/>
              <w:bottom w:val="single" w:sz="4" w:space="0" w:color="auto"/>
              <w:right w:val="single" w:sz="4" w:space="0" w:color="auto"/>
            </w:tcBorders>
            <w:hideMark/>
          </w:tcPr>
          <w:p w14:paraId="30155294" w14:textId="77777777" w:rsidR="00836512" w:rsidRDefault="00836512">
            <w:pPr>
              <w:jc w:val="center"/>
              <w:rPr>
                <w:rFonts w:eastAsiaTheme="minorHAnsi"/>
                <w:sz w:val="20"/>
                <w:szCs w:val="20"/>
                <w:lang w:val="en-US"/>
              </w:rPr>
            </w:pPr>
            <w:r>
              <w:rPr>
                <w:rFonts w:eastAsiaTheme="minorHAnsi"/>
                <w:sz w:val="20"/>
                <w:szCs w:val="20"/>
                <w:lang w:val="en-US"/>
              </w:rPr>
              <w:t>-19.5</w:t>
            </w:r>
          </w:p>
          <w:p w14:paraId="3D0DC145" w14:textId="77777777" w:rsidR="00836512" w:rsidRDefault="00836512">
            <w:pPr>
              <w:jc w:val="center"/>
              <w:rPr>
                <w:rFonts w:eastAsiaTheme="minorHAnsi"/>
                <w:sz w:val="20"/>
                <w:szCs w:val="20"/>
                <w:lang w:val="en-US"/>
              </w:rPr>
            </w:pPr>
            <w:r>
              <w:rPr>
                <w:rFonts w:eastAsiaTheme="minorHAnsi"/>
                <w:sz w:val="20"/>
                <w:szCs w:val="20"/>
                <w:lang w:val="en-US"/>
              </w:rPr>
              <w:t>(n=2)</w:t>
            </w:r>
          </w:p>
        </w:tc>
        <w:tc>
          <w:tcPr>
            <w:tcW w:w="993" w:type="dxa"/>
            <w:tcBorders>
              <w:top w:val="single" w:sz="4" w:space="0" w:color="auto"/>
              <w:left w:val="single" w:sz="4" w:space="0" w:color="auto"/>
              <w:bottom w:val="single" w:sz="4" w:space="0" w:color="auto"/>
              <w:right w:val="single" w:sz="4" w:space="0" w:color="auto"/>
            </w:tcBorders>
            <w:hideMark/>
          </w:tcPr>
          <w:p w14:paraId="53BC552C" w14:textId="77777777" w:rsidR="00836512" w:rsidRDefault="00836512">
            <w:pPr>
              <w:jc w:val="center"/>
              <w:rPr>
                <w:rFonts w:eastAsiaTheme="minorHAnsi"/>
                <w:sz w:val="20"/>
                <w:szCs w:val="20"/>
                <w:lang w:val="en-US"/>
              </w:rPr>
            </w:pPr>
            <w:r>
              <w:rPr>
                <w:rFonts w:eastAsiaTheme="minorHAnsi"/>
                <w:sz w:val="20"/>
                <w:szCs w:val="20"/>
                <w:lang w:val="en-US"/>
              </w:rPr>
              <w:t>-19.3</w:t>
            </w:r>
          </w:p>
          <w:p w14:paraId="7B1C6268" w14:textId="77777777" w:rsidR="00836512" w:rsidRDefault="00836512">
            <w:pPr>
              <w:jc w:val="center"/>
              <w:rPr>
                <w:rFonts w:eastAsiaTheme="minorHAnsi"/>
                <w:sz w:val="20"/>
                <w:szCs w:val="20"/>
                <w:lang w:val="en-US"/>
              </w:rPr>
            </w:pPr>
            <w:r>
              <w:rPr>
                <w:rFonts w:eastAsiaTheme="minorHAnsi"/>
                <w:sz w:val="20"/>
                <w:szCs w:val="20"/>
                <w:lang w:val="en-US"/>
              </w:rPr>
              <w:t>(n=2)</w:t>
            </w:r>
          </w:p>
        </w:tc>
        <w:tc>
          <w:tcPr>
            <w:tcW w:w="992" w:type="dxa"/>
            <w:tcBorders>
              <w:top w:val="single" w:sz="4" w:space="0" w:color="auto"/>
              <w:left w:val="single" w:sz="4" w:space="0" w:color="auto"/>
              <w:bottom w:val="single" w:sz="4" w:space="0" w:color="auto"/>
              <w:right w:val="single" w:sz="4" w:space="0" w:color="auto"/>
            </w:tcBorders>
            <w:hideMark/>
          </w:tcPr>
          <w:p w14:paraId="0AF81F6E" w14:textId="77777777" w:rsidR="00836512" w:rsidRDefault="00836512">
            <w:pPr>
              <w:jc w:val="center"/>
              <w:rPr>
                <w:rFonts w:eastAsiaTheme="minorHAnsi"/>
                <w:sz w:val="20"/>
                <w:szCs w:val="20"/>
                <w:lang w:val="en-US"/>
              </w:rPr>
            </w:pPr>
            <w:r>
              <w:rPr>
                <w:rFonts w:eastAsiaTheme="minorHAnsi"/>
                <w:sz w:val="20"/>
                <w:szCs w:val="20"/>
                <w:lang w:val="en-US"/>
              </w:rPr>
              <w:t>-19.0</w:t>
            </w:r>
          </w:p>
          <w:p w14:paraId="6BDA64F2"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992" w:type="dxa"/>
            <w:tcBorders>
              <w:top w:val="single" w:sz="4" w:space="0" w:color="auto"/>
              <w:left w:val="single" w:sz="4" w:space="0" w:color="auto"/>
              <w:bottom w:val="single" w:sz="4" w:space="0" w:color="auto"/>
              <w:right w:val="single" w:sz="4" w:space="0" w:color="auto"/>
            </w:tcBorders>
            <w:hideMark/>
          </w:tcPr>
          <w:p w14:paraId="345F9BA4" w14:textId="77777777" w:rsidR="00836512" w:rsidRDefault="00836512">
            <w:pPr>
              <w:jc w:val="center"/>
              <w:rPr>
                <w:rFonts w:eastAsiaTheme="minorHAnsi"/>
                <w:sz w:val="20"/>
                <w:szCs w:val="20"/>
                <w:lang w:val="en-US"/>
              </w:rPr>
            </w:pPr>
            <w:r>
              <w:rPr>
                <w:rFonts w:eastAsiaTheme="minorHAnsi"/>
                <w:sz w:val="20"/>
                <w:szCs w:val="20"/>
                <w:lang w:val="en-US"/>
              </w:rPr>
              <w:t>-19.2</w:t>
            </w:r>
          </w:p>
          <w:p w14:paraId="52E2A2A4"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992" w:type="dxa"/>
            <w:tcBorders>
              <w:top w:val="single" w:sz="4" w:space="0" w:color="auto"/>
              <w:left w:val="single" w:sz="4" w:space="0" w:color="auto"/>
              <w:bottom w:val="single" w:sz="4" w:space="0" w:color="auto"/>
              <w:right w:val="single" w:sz="4" w:space="0" w:color="auto"/>
            </w:tcBorders>
            <w:hideMark/>
          </w:tcPr>
          <w:p w14:paraId="5B865308" w14:textId="77777777" w:rsidR="00836512" w:rsidRDefault="00836512">
            <w:pPr>
              <w:jc w:val="center"/>
              <w:rPr>
                <w:rFonts w:eastAsiaTheme="minorHAnsi"/>
                <w:sz w:val="20"/>
                <w:szCs w:val="20"/>
                <w:lang w:val="en-US"/>
              </w:rPr>
            </w:pPr>
            <w:r>
              <w:rPr>
                <w:rFonts w:eastAsiaTheme="minorHAnsi"/>
                <w:sz w:val="20"/>
                <w:szCs w:val="20"/>
                <w:lang w:val="en-US"/>
              </w:rPr>
              <w:t>-19.5</w:t>
            </w:r>
          </w:p>
          <w:p w14:paraId="4B2C317F"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993" w:type="dxa"/>
            <w:tcBorders>
              <w:top w:val="single" w:sz="4" w:space="0" w:color="auto"/>
              <w:left w:val="single" w:sz="4" w:space="0" w:color="auto"/>
              <w:bottom w:val="single" w:sz="4" w:space="0" w:color="auto"/>
              <w:right w:val="single" w:sz="4" w:space="0" w:color="auto"/>
            </w:tcBorders>
            <w:hideMark/>
          </w:tcPr>
          <w:p w14:paraId="7973BBEF" w14:textId="77777777" w:rsidR="00836512" w:rsidRDefault="00836512">
            <w:pPr>
              <w:jc w:val="center"/>
              <w:rPr>
                <w:rFonts w:eastAsiaTheme="minorHAnsi"/>
                <w:sz w:val="20"/>
                <w:szCs w:val="20"/>
                <w:lang w:val="en-US"/>
              </w:rPr>
            </w:pPr>
            <w:r>
              <w:rPr>
                <w:rFonts w:eastAsiaTheme="minorHAnsi"/>
                <w:sz w:val="20"/>
                <w:szCs w:val="20"/>
                <w:lang w:val="en-US"/>
              </w:rPr>
              <w:t>-19.2</w:t>
            </w:r>
          </w:p>
          <w:p w14:paraId="67FDC81E" w14:textId="77777777" w:rsidR="00836512" w:rsidRDefault="00836512">
            <w:pPr>
              <w:jc w:val="center"/>
              <w:rPr>
                <w:rFonts w:eastAsiaTheme="minorHAnsi"/>
                <w:sz w:val="20"/>
                <w:szCs w:val="20"/>
                <w:lang w:val="en-US"/>
              </w:rPr>
            </w:pPr>
            <w:r>
              <w:rPr>
                <w:rFonts w:eastAsiaTheme="minorHAnsi"/>
                <w:sz w:val="20"/>
                <w:szCs w:val="20"/>
                <w:lang w:val="en-US"/>
              </w:rPr>
              <w:t>(n=2)</w:t>
            </w:r>
          </w:p>
        </w:tc>
      </w:tr>
    </w:tbl>
    <w:p w14:paraId="66257CAB" w14:textId="472CA355" w:rsidR="00482623" w:rsidRDefault="00482623" w:rsidP="00836512">
      <w:pPr>
        <w:spacing w:line="480" w:lineRule="auto"/>
        <w:rPr>
          <w:rFonts w:eastAsiaTheme="minorHAnsi"/>
          <w:lang w:val="en-US"/>
        </w:rPr>
      </w:pPr>
    </w:p>
    <w:p w14:paraId="1682CD59" w14:textId="330C7E2A" w:rsidR="00482623" w:rsidRDefault="00482623" w:rsidP="00836512">
      <w:pPr>
        <w:spacing w:line="480" w:lineRule="auto"/>
        <w:rPr>
          <w:rFonts w:eastAsiaTheme="minorHAnsi"/>
          <w:lang w:val="en-US"/>
        </w:rPr>
      </w:pPr>
    </w:p>
    <w:p w14:paraId="0150D8E5" w14:textId="159D6F2F" w:rsidR="00482623" w:rsidRDefault="00482623" w:rsidP="00836512">
      <w:pPr>
        <w:spacing w:line="480" w:lineRule="auto"/>
        <w:rPr>
          <w:rFonts w:eastAsiaTheme="minorHAnsi"/>
          <w:lang w:val="en-US"/>
        </w:rPr>
      </w:pPr>
    </w:p>
    <w:p w14:paraId="53BF1512" w14:textId="64984551" w:rsidR="00482623" w:rsidRDefault="00482623" w:rsidP="00836512">
      <w:pPr>
        <w:spacing w:line="480" w:lineRule="auto"/>
        <w:rPr>
          <w:rFonts w:eastAsiaTheme="minorHAnsi"/>
          <w:lang w:val="en-US"/>
        </w:rPr>
      </w:pPr>
    </w:p>
    <w:p w14:paraId="40A81AA1" w14:textId="0C12630A" w:rsidR="00482623" w:rsidRDefault="00482623" w:rsidP="00836512">
      <w:pPr>
        <w:spacing w:line="480" w:lineRule="auto"/>
        <w:rPr>
          <w:rFonts w:eastAsiaTheme="minorHAnsi"/>
          <w:lang w:val="en-US"/>
        </w:rPr>
      </w:pPr>
    </w:p>
    <w:p w14:paraId="386E343A" w14:textId="76D65462" w:rsidR="00482623" w:rsidRDefault="00482623" w:rsidP="00836512">
      <w:pPr>
        <w:spacing w:line="480" w:lineRule="auto"/>
        <w:rPr>
          <w:rFonts w:eastAsiaTheme="minorHAnsi"/>
          <w:lang w:val="en-US"/>
        </w:rPr>
      </w:pPr>
    </w:p>
    <w:p w14:paraId="1770201A" w14:textId="438C3985" w:rsidR="00482623" w:rsidRDefault="00482623" w:rsidP="00836512">
      <w:pPr>
        <w:spacing w:line="480" w:lineRule="auto"/>
        <w:rPr>
          <w:rFonts w:eastAsiaTheme="minorHAnsi"/>
          <w:lang w:val="en-US"/>
        </w:rPr>
      </w:pPr>
    </w:p>
    <w:p w14:paraId="7587865E" w14:textId="6B3AC94B" w:rsidR="00482623" w:rsidRDefault="00482623" w:rsidP="00836512">
      <w:pPr>
        <w:spacing w:line="480" w:lineRule="auto"/>
        <w:rPr>
          <w:rFonts w:eastAsiaTheme="minorHAnsi"/>
          <w:lang w:val="en-US"/>
        </w:rPr>
      </w:pPr>
    </w:p>
    <w:p w14:paraId="494939E8" w14:textId="193F5645" w:rsidR="00482623" w:rsidRDefault="00482623" w:rsidP="00836512">
      <w:pPr>
        <w:spacing w:line="480" w:lineRule="auto"/>
        <w:rPr>
          <w:rFonts w:eastAsiaTheme="minorHAnsi"/>
          <w:lang w:val="en-US"/>
        </w:rPr>
      </w:pPr>
    </w:p>
    <w:p w14:paraId="3C4F48AC" w14:textId="1C9B2E6D" w:rsidR="00482623" w:rsidRDefault="00482623" w:rsidP="00836512">
      <w:pPr>
        <w:spacing w:line="480" w:lineRule="auto"/>
        <w:rPr>
          <w:rFonts w:eastAsiaTheme="minorHAnsi"/>
          <w:lang w:val="en-US"/>
        </w:rPr>
      </w:pPr>
    </w:p>
    <w:p w14:paraId="0850D721" w14:textId="77777777" w:rsidR="004533C9" w:rsidRDefault="004533C9" w:rsidP="00836512">
      <w:pPr>
        <w:spacing w:line="480" w:lineRule="auto"/>
        <w:rPr>
          <w:rFonts w:eastAsiaTheme="minorHAnsi"/>
          <w:lang w:val="en-US"/>
        </w:rPr>
      </w:pPr>
    </w:p>
    <w:p w14:paraId="59D2F0C0" w14:textId="02E34025" w:rsidR="00836512" w:rsidRDefault="00836512" w:rsidP="00836512">
      <w:pPr>
        <w:spacing w:line="480" w:lineRule="auto"/>
        <w:rPr>
          <w:rFonts w:eastAsiaTheme="minorHAnsi"/>
          <w:lang w:val="en-US"/>
        </w:rPr>
      </w:pPr>
      <w:r>
        <w:rPr>
          <w:noProof/>
          <w:lang w:eastAsia="en-CA"/>
        </w:rPr>
        <w:lastRenderedPageBreak/>
        <mc:AlternateContent>
          <mc:Choice Requires="cx1">
            <w:drawing>
              <wp:anchor distT="0" distB="0" distL="114300" distR="114300" simplePos="0" relativeHeight="251657214" behindDoc="0" locked="0" layoutInCell="1" allowOverlap="1" wp14:anchorId="6443C35C" wp14:editId="57DCDFF6">
                <wp:simplePos x="0" y="0"/>
                <wp:positionH relativeFrom="column">
                  <wp:posOffset>29251</wp:posOffset>
                </wp:positionH>
                <wp:positionV relativeFrom="page">
                  <wp:posOffset>1353185</wp:posOffset>
                </wp:positionV>
                <wp:extent cx="5200650" cy="3314700"/>
                <wp:effectExtent l="0" t="0" r="6350" b="0"/>
                <wp:wrapNone/>
                <wp:docPr id="127" name="Chart 127">
                  <a:extLst xmlns:a="http://schemas.openxmlformats.org/drawingml/2006/main">
                    <a:ext uri="{FF2B5EF4-FFF2-40B4-BE49-F238E27FC236}">
                      <a16:creationId xmlns:a16="http://schemas.microsoft.com/office/drawing/2014/main" id="{60F14560-6BCA-AC4F-ADCA-F50BE09F460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57214" behindDoc="0" locked="0" layoutInCell="1" allowOverlap="1" wp14:anchorId="6443C35C" wp14:editId="57DCDFF6">
                <wp:simplePos x="0" y="0"/>
                <wp:positionH relativeFrom="column">
                  <wp:posOffset>29251</wp:posOffset>
                </wp:positionH>
                <wp:positionV relativeFrom="page">
                  <wp:posOffset>1353185</wp:posOffset>
                </wp:positionV>
                <wp:extent cx="5200650" cy="3314700"/>
                <wp:effectExtent l="0" t="0" r="6350" b="0"/>
                <wp:wrapNone/>
                <wp:docPr id="127" name="Chart 127">
                  <a:extLst xmlns:a="http://schemas.openxmlformats.org/drawingml/2006/main">
                    <a:ext uri="{FF2B5EF4-FFF2-40B4-BE49-F238E27FC236}">
                      <a16:creationId xmlns:a16="http://schemas.microsoft.com/office/drawing/2014/main" id="{60F14560-6BCA-AC4F-ADCA-F50BE09F460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7" name="Chart 127">
                          <a:extLst>
                            <a:ext uri="{FF2B5EF4-FFF2-40B4-BE49-F238E27FC236}">
                              <a16:creationId xmlns:a16="http://schemas.microsoft.com/office/drawing/2014/main" id="{60F14560-6BCA-AC4F-ADCA-F50BE09F4607}"/>
                            </a:ext>
                          </a:extLst>
                        </pic:cNvPr>
                        <pic:cNvPicPr>
                          <a:picLocks noGrp="1" noRot="1" noChangeAspect="1" noMove="1" noResize="1" noEditPoints="1" noAdjustHandles="1" noChangeArrowheads="1" noChangeShapeType="1"/>
                        </pic:cNvPicPr>
                      </pic:nvPicPr>
                      <pic:blipFill>
                        <a:blip r:embed="rId58"/>
                        <a:stretch>
                          <a:fillRect/>
                        </a:stretch>
                      </pic:blipFill>
                      <pic:spPr>
                        <a:xfrm>
                          <a:off x="0" y="0"/>
                          <a:ext cx="5200650" cy="331470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0C6ACC85" w14:textId="77777777" w:rsidR="00836512" w:rsidRDefault="00836512" w:rsidP="00836512">
      <w:pPr>
        <w:spacing w:line="480" w:lineRule="auto"/>
        <w:rPr>
          <w:rFonts w:eastAsiaTheme="minorHAnsi"/>
          <w:lang w:val="en-US"/>
        </w:rPr>
      </w:pPr>
    </w:p>
    <w:p w14:paraId="7834CAD4" w14:textId="77777777" w:rsidR="00836512" w:rsidRDefault="00836512" w:rsidP="00836512">
      <w:pPr>
        <w:rPr>
          <w:rFonts w:asciiTheme="minorHAnsi" w:eastAsiaTheme="minorHAnsi" w:hAnsiTheme="minorHAnsi" w:cstheme="minorBidi"/>
          <w:lang w:val="en-US"/>
        </w:rPr>
      </w:pPr>
    </w:p>
    <w:p w14:paraId="1C560FEB" w14:textId="77777777" w:rsidR="00836512" w:rsidRDefault="00836512" w:rsidP="00836512">
      <w:pPr>
        <w:rPr>
          <w:rFonts w:asciiTheme="minorHAnsi" w:eastAsiaTheme="minorHAnsi" w:hAnsiTheme="minorHAnsi" w:cstheme="minorBidi"/>
          <w:lang w:val="en-US"/>
        </w:rPr>
      </w:pPr>
    </w:p>
    <w:p w14:paraId="2CAD693D" w14:textId="77777777" w:rsidR="00836512" w:rsidRDefault="00836512" w:rsidP="00836512">
      <w:pPr>
        <w:rPr>
          <w:rFonts w:asciiTheme="minorHAnsi" w:eastAsiaTheme="minorHAnsi" w:hAnsiTheme="minorHAnsi" w:cstheme="minorBidi"/>
          <w:lang w:val="en-US"/>
        </w:rPr>
      </w:pPr>
    </w:p>
    <w:p w14:paraId="13AB0BD9" w14:textId="77777777" w:rsidR="00836512" w:rsidRDefault="00836512" w:rsidP="00836512">
      <w:pPr>
        <w:rPr>
          <w:rFonts w:asciiTheme="minorHAnsi" w:eastAsiaTheme="minorHAnsi" w:hAnsiTheme="minorHAnsi" w:cstheme="minorBidi"/>
          <w:lang w:val="en-US"/>
        </w:rPr>
      </w:pPr>
    </w:p>
    <w:p w14:paraId="23F250A3" w14:textId="77777777" w:rsidR="00836512" w:rsidRDefault="00836512" w:rsidP="00836512">
      <w:pPr>
        <w:rPr>
          <w:rFonts w:asciiTheme="minorHAnsi" w:eastAsiaTheme="minorHAnsi" w:hAnsiTheme="minorHAnsi" w:cstheme="minorBidi"/>
          <w:lang w:val="en-US"/>
        </w:rPr>
      </w:pPr>
    </w:p>
    <w:p w14:paraId="220C37A9" w14:textId="77777777" w:rsidR="00836512" w:rsidRDefault="00836512" w:rsidP="00836512">
      <w:pPr>
        <w:rPr>
          <w:rFonts w:asciiTheme="minorHAnsi" w:eastAsiaTheme="minorHAnsi" w:hAnsiTheme="minorHAnsi" w:cstheme="minorBidi"/>
          <w:lang w:val="en-US"/>
        </w:rPr>
      </w:pPr>
    </w:p>
    <w:p w14:paraId="49C01BF2" w14:textId="77777777" w:rsidR="00836512" w:rsidRDefault="00836512" w:rsidP="00836512">
      <w:pPr>
        <w:rPr>
          <w:rFonts w:asciiTheme="minorHAnsi" w:eastAsiaTheme="minorHAnsi" w:hAnsiTheme="minorHAnsi" w:cstheme="minorBidi"/>
          <w:lang w:val="en-US"/>
        </w:rPr>
      </w:pPr>
    </w:p>
    <w:p w14:paraId="69FCECAD" w14:textId="77777777" w:rsidR="00836512" w:rsidRDefault="00836512" w:rsidP="00836512">
      <w:pPr>
        <w:rPr>
          <w:rFonts w:asciiTheme="minorHAnsi" w:eastAsiaTheme="minorHAnsi" w:hAnsiTheme="minorHAnsi" w:cstheme="minorBidi"/>
          <w:lang w:val="en-US"/>
        </w:rPr>
      </w:pPr>
    </w:p>
    <w:p w14:paraId="271099EB" w14:textId="77777777" w:rsidR="00836512" w:rsidRDefault="00836512" w:rsidP="00836512">
      <w:pPr>
        <w:rPr>
          <w:rFonts w:asciiTheme="minorHAnsi" w:eastAsiaTheme="minorHAnsi" w:hAnsiTheme="minorHAnsi" w:cstheme="minorBidi"/>
          <w:lang w:val="en-US"/>
        </w:rPr>
      </w:pPr>
    </w:p>
    <w:p w14:paraId="42ED8385" w14:textId="77777777" w:rsidR="00836512" w:rsidRDefault="00836512" w:rsidP="00836512">
      <w:pPr>
        <w:rPr>
          <w:rFonts w:asciiTheme="minorHAnsi" w:eastAsiaTheme="minorHAnsi" w:hAnsiTheme="minorHAnsi" w:cstheme="minorBidi"/>
          <w:lang w:val="en-US"/>
        </w:rPr>
      </w:pPr>
    </w:p>
    <w:p w14:paraId="2CDB532B" w14:textId="77777777" w:rsidR="00836512" w:rsidRDefault="00836512" w:rsidP="00836512">
      <w:pPr>
        <w:rPr>
          <w:rFonts w:asciiTheme="minorHAnsi" w:eastAsiaTheme="minorHAnsi" w:hAnsiTheme="minorHAnsi" w:cstheme="minorBidi"/>
          <w:lang w:val="en-US"/>
        </w:rPr>
      </w:pPr>
    </w:p>
    <w:p w14:paraId="751267E4" w14:textId="77777777" w:rsidR="00836512" w:rsidRDefault="00836512" w:rsidP="00836512">
      <w:pPr>
        <w:rPr>
          <w:rFonts w:asciiTheme="minorHAnsi" w:eastAsiaTheme="minorHAnsi" w:hAnsiTheme="minorHAnsi" w:cstheme="minorBidi"/>
          <w:lang w:val="en-US"/>
        </w:rPr>
      </w:pPr>
    </w:p>
    <w:p w14:paraId="01E105E6" w14:textId="77777777" w:rsidR="00836512" w:rsidRDefault="00836512" w:rsidP="00836512">
      <w:pPr>
        <w:rPr>
          <w:rFonts w:asciiTheme="minorHAnsi" w:eastAsiaTheme="minorHAnsi" w:hAnsiTheme="minorHAnsi" w:cstheme="minorBidi"/>
          <w:lang w:val="en-US"/>
        </w:rPr>
      </w:pPr>
    </w:p>
    <w:p w14:paraId="30AC0AA5" w14:textId="77777777" w:rsidR="00836512" w:rsidRDefault="00836512" w:rsidP="00836512">
      <w:pPr>
        <w:rPr>
          <w:rFonts w:asciiTheme="minorHAnsi" w:eastAsiaTheme="minorHAnsi" w:hAnsiTheme="minorHAnsi" w:cstheme="minorBidi"/>
          <w:lang w:val="en-US"/>
        </w:rPr>
      </w:pPr>
    </w:p>
    <w:p w14:paraId="378A16D7" w14:textId="0AFE5FA9" w:rsidR="00836512" w:rsidRDefault="00836512" w:rsidP="00836512">
      <w:pPr>
        <w:rPr>
          <w:rFonts w:asciiTheme="minorHAnsi" w:eastAsiaTheme="minorHAnsi" w:hAnsiTheme="minorHAnsi" w:cstheme="minorBidi"/>
          <w:lang w:val="en-US"/>
        </w:rPr>
      </w:pPr>
      <w:r>
        <w:rPr>
          <w:noProof/>
          <w:lang w:eastAsia="en-CA"/>
        </w:rPr>
        <mc:AlternateContent>
          <mc:Choice Requires="cx1">
            <w:drawing>
              <wp:inline distT="0" distB="0" distL="0" distR="0" wp14:anchorId="4A95A1C1" wp14:editId="18739995">
                <wp:extent cx="5202000" cy="3319200"/>
                <wp:effectExtent l="0" t="0" r="5080" b="8255"/>
                <wp:docPr id="38" name="Chart 38">
                  <a:extLst xmlns:a="http://schemas.openxmlformats.org/drawingml/2006/main">
                    <a:ext uri="{FF2B5EF4-FFF2-40B4-BE49-F238E27FC236}">
                      <a16:creationId xmlns:a16="http://schemas.microsoft.com/office/drawing/2014/main" id="{DAF30FD1-A92B-8340-B860-20D4782104B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9"/>
                  </a:graphicData>
                </a:graphic>
              </wp:inline>
            </w:drawing>
          </mc:Choice>
          <mc:Fallback>
            <w:drawing>
              <wp:inline distT="0" distB="0" distL="0" distR="0" wp14:anchorId="4A95A1C1" wp14:editId="18739995">
                <wp:extent cx="5202000" cy="3319200"/>
                <wp:effectExtent l="0" t="0" r="5080" b="8255"/>
                <wp:docPr id="38" name="Chart 38">
                  <a:extLst xmlns:a="http://schemas.openxmlformats.org/drawingml/2006/main">
                    <a:ext uri="{FF2B5EF4-FFF2-40B4-BE49-F238E27FC236}">
                      <a16:creationId xmlns:a16="http://schemas.microsoft.com/office/drawing/2014/main" id="{DAF30FD1-A92B-8340-B860-20D4782104B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8" name="Chart 38">
                          <a:extLst>
                            <a:ext uri="{FF2B5EF4-FFF2-40B4-BE49-F238E27FC236}">
                              <a16:creationId xmlns:a16="http://schemas.microsoft.com/office/drawing/2014/main" id="{DAF30FD1-A92B-8340-B860-20D4782104B5}"/>
                            </a:ext>
                          </a:extLst>
                        </pic:cNvPr>
                        <pic:cNvPicPr>
                          <a:picLocks noGrp="1" noRot="1" noChangeAspect="1" noMove="1" noResize="1" noEditPoints="1" noAdjustHandles="1" noChangeArrowheads="1" noChangeShapeType="1"/>
                        </pic:cNvPicPr>
                      </pic:nvPicPr>
                      <pic:blipFill>
                        <a:blip r:embed="rId60"/>
                        <a:stretch>
                          <a:fillRect/>
                        </a:stretch>
                      </pic:blipFill>
                      <pic:spPr>
                        <a:xfrm>
                          <a:off x="0" y="0"/>
                          <a:ext cx="5201920" cy="3319145"/>
                        </a:xfrm>
                        <a:prstGeom prst="rect">
                          <a:avLst/>
                        </a:prstGeom>
                      </pic:spPr>
                    </pic:pic>
                  </a:graphicData>
                </a:graphic>
              </wp:inline>
            </w:drawing>
          </mc:Fallback>
        </mc:AlternateContent>
      </w:r>
    </w:p>
    <w:p w14:paraId="479AF798" w14:textId="77777777" w:rsidR="00836512" w:rsidRDefault="00836512" w:rsidP="00836512">
      <w:pPr>
        <w:rPr>
          <w:rFonts w:asciiTheme="minorHAnsi" w:eastAsiaTheme="minorHAnsi" w:hAnsiTheme="minorHAnsi" w:cstheme="minorBidi"/>
          <w:lang w:val="en-US"/>
        </w:rPr>
      </w:pPr>
    </w:p>
    <w:p w14:paraId="1F19529F" w14:textId="77777777" w:rsidR="00836512" w:rsidRDefault="00836512" w:rsidP="00836512">
      <w:pPr>
        <w:jc w:val="center"/>
        <w:rPr>
          <w:rFonts w:eastAsiaTheme="minorHAnsi"/>
          <w:lang w:val="en-US"/>
        </w:rPr>
      </w:pPr>
      <w:r>
        <w:rPr>
          <w:rFonts w:eastAsiaTheme="minorHAnsi"/>
          <w:b/>
          <w:lang w:val="en-US"/>
        </w:rPr>
        <w:t>Figure 5.24:</w:t>
      </w:r>
      <w:r>
        <w:rPr>
          <w:rFonts w:asciiTheme="minorHAnsi" w:eastAsiaTheme="minorHAnsi" w:hAnsiTheme="minorHAnsi" w:cstheme="minorBidi"/>
          <w:lang w:val="en-US"/>
        </w:rPr>
        <w:t xml:space="preserve"> </w:t>
      </w:r>
      <w:r>
        <w:rPr>
          <w:rFonts w:eastAsiaTheme="minorHAnsi"/>
          <w:lang w:val="en-US"/>
        </w:rPr>
        <w:t xml:space="preserve">Box and whisker plot comparing the </w:t>
      </w:r>
      <w:r>
        <w:rPr>
          <w:rFonts w:eastAsiaTheme="minorHAnsi"/>
          <w:lang w:val="en-US"/>
        </w:rPr>
        <w:sym w:font="Symbol" w:char="F064"/>
      </w:r>
      <w:r>
        <w:rPr>
          <w:rFonts w:eastAsiaTheme="minorHAnsi"/>
          <w:vertAlign w:val="superscript"/>
          <w:lang w:val="en-US"/>
        </w:rPr>
        <w:t>15</w:t>
      </w:r>
      <w:r>
        <w:rPr>
          <w:rFonts w:eastAsiaTheme="minorHAnsi"/>
          <w:lang w:val="en-US"/>
        </w:rPr>
        <w:t xml:space="preserve">N (top chart) and </w:t>
      </w:r>
      <w:r>
        <w:rPr>
          <w:rFonts w:eastAsiaTheme="minorHAnsi"/>
          <w:lang w:val="en-US"/>
        </w:rPr>
        <w:sym w:font="Symbol" w:char="F064"/>
      </w:r>
      <w:r>
        <w:rPr>
          <w:rFonts w:eastAsiaTheme="minorHAnsi"/>
          <w:vertAlign w:val="superscript"/>
          <w:lang w:val="en-US"/>
        </w:rPr>
        <w:t>13</w:t>
      </w:r>
      <w:r>
        <w:rPr>
          <w:rFonts w:eastAsiaTheme="minorHAnsi"/>
          <w:lang w:val="en-US"/>
        </w:rPr>
        <w:t>C (bottom chart) results between males and females for each age category.</w:t>
      </w:r>
    </w:p>
    <w:p w14:paraId="29834D6B" w14:textId="77777777" w:rsidR="00836512" w:rsidRDefault="00836512" w:rsidP="00836512">
      <w:pPr>
        <w:jc w:val="center"/>
        <w:rPr>
          <w:rFonts w:eastAsiaTheme="minorHAnsi"/>
          <w:lang w:val="en-US"/>
        </w:rPr>
      </w:pPr>
    </w:p>
    <w:p w14:paraId="2D3DC96E" w14:textId="77777777" w:rsidR="00836512" w:rsidRDefault="00836512" w:rsidP="00482623">
      <w:pPr>
        <w:rPr>
          <w:rFonts w:eastAsiaTheme="minorHAnsi"/>
          <w:sz w:val="20"/>
          <w:szCs w:val="20"/>
          <w:lang w:val="en-US"/>
        </w:rPr>
      </w:pPr>
    </w:p>
    <w:p w14:paraId="36654658" w14:textId="25D7B329" w:rsidR="00836512" w:rsidRDefault="00836512" w:rsidP="00836512">
      <w:pPr>
        <w:spacing w:line="480" w:lineRule="auto"/>
        <w:rPr>
          <w:rFonts w:eastAsiaTheme="minorHAnsi"/>
          <w:strike/>
          <w:lang w:val="en-US"/>
        </w:rPr>
      </w:pPr>
      <w:r>
        <w:rPr>
          <w:rFonts w:asciiTheme="minorHAnsi" w:eastAsiaTheme="minorHAnsi" w:hAnsiTheme="minorHAnsi" w:cstheme="minorBidi"/>
          <w:lang w:val="en-US"/>
        </w:rPr>
        <w:lastRenderedPageBreak/>
        <w:tab/>
      </w:r>
      <w:r>
        <w:rPr>
          <w:rFonts w:eastAsiaTheme="minorHAnsi"/>
          <w:lang w:val="en-US"/>
        </w:rPr>
        <w:t>Table 5.</w:t>
      </w:r>
      <w:r w:rsidR="00750C4F">
        <w:rPr>
          <w:rFonts w:eastAsiaTheme="minorHAnsi"/>
          <w:lang w:val="en-US"/>
        </w:rPr>
        <w:t>4</w:t>
      </w:r>
      <w:r>
        <w:rPr>
          <w:rFonts w:eastAsiaTheme="minorHAnsi"/>
          <w:lang w:val="en-US"/>
        </w:rPr>
        <w:t xml:space="preserve"> and Figure 5.24 display the stable isotope results for adult males and females. </w:t>
      </w:r>
      <w:r w:rsidR="00AE60A9">
        <w:rPr>
          <w:rFonts w:eastAsiaTheme="minorHAnsi"/>
          <w:lang w:val="en-US"/>
        </w:rPr>
        <w:t xml:space="preserve">Sample </w:t>
      </w:r>
      <w:r>
        <w:rPr>
          <w:rFonts w:eastAsiaTheme="minorHAnsi"/>
          <w:lang w:val="en-US"/>
        </w:rPr>
        <w:t xml:space="preserve">T22 had to be omitted from this analysis due to the poorly preserved skeletal material producing uncertainty of sex. Females demonstrate lower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from 28 months to 4 years by ~ 0.7‰, which is a relatively small difference and may be the result of measurement error. Conversely, males demonstrate lower </w:t>
      </w:r>
      <w:r>
        <w:rPr>
          <w:rFonts w:eastAsiaTheme="minorHAnsi"/>
          <w:lang w:val="en-US"/>
        </w:rPr>
        <w:sym w:font="Symbol" w:char="F064"/>
      </w:r>
      <w:r>
        <w:rPr>
          <w:rFonts w:eastAsiaTheme="minorHAnsi"/>
          <w:vertAlign w:val="superscript"/>
          <w:lang w:val="en-US"/>
        </w:rPr>
        <w:t>15</w:t>
      </w:r>
      <w:r>
        <w:rPr>
          <w:rFonts w:eastAsiaTheme="minorHAnsi"/>
          <w:lang w:val="en-US"/>
        </w:rPr>
        <w:t>N values from 5 years and onwards by ~1‰. Statistical analysis of covariance also found a significant difference in the variance between males and females (</w:t>
      </w:r>
      <w:r w:rsidR="00CE7909">
        <w:rPr>
          <w:rFonts w:eastAsiaTheme="minorHAnsi"/>
          <w:lang w:val="en-US"/>
        </w:rPr>
        <w:t xml:space="preserve">in Table B2, Appendix B, </w:t>
      </w:r>
      <w:r>
        <w:rPr>
          <w:rFonts w:eastAsiaTheme="minorHAnsi"/>
          <w:lang w:val="en-US"/>
        </w:rPr>
        <w:t xml:space="preserve">ANCOVA </w:t>
      </w:r>
      <w:r>
        <w:rPr>
          <w:rFonts w:eastAsiaTheme="minorHAnsi"/>
          <w:i/>
          <w:lang w:val="en-US"/>
        </w:rPr>
        <w:t>F=4.359, p=0.041</w:t>
      </w:r>
      <w:r>
        <w:rPr>
          <w:rFonts w:eastAsiaTheme="minorHAnsi"/>
          <w:lang w:val="en-US"/>
        </w:rPr>
        <w:t>). As this is most likely after weaning, these values may indicate possible differences in dietary protein consumption between males and fema</w:t>
      </w:r>
      <w:r w:rsidRPr="000F1183">
        <w:rPr>
          <w:rFonts w:eastAsiaTheme="minorHAnsi"/>
          <w:lang w:val="en-US"/>
        </w:rPr>
        <w:t>les</w:t>
      </w:r>
      <w:r w:rsidRPr="000F1183">
        <w:rPr>
          <w:rFonts w:eastAsiaTheme="minorHAnsi"/>
          <w:color w:val="000000" w:themeColor="text1"/>
          <w:lang w:val="en-US"/>
        </w:rPr>
        <w:t xml:space="preserve">. </w:t>
      </w:r>
      <w:r w:rsidRPr="000F1183">
        <w:rPr>
          <w:rFonts w:eastAsiaTheme="minorHAnsi"/>
          <w:lang w:val="en-US"/>
        </w:rPr>
        <w:t>However, it should be noted that as there are only 3 females and 5 males</w:t>
      </w:r>
      <w:r w:rsidR="000C4FAD" w:rsidRPr="000F1183">
        <w:rPr>
          <w:rFonts w:eastAsiaTheme="minorHAnsi"/>
          <w:lang w:val="en-US"/>
        </w:rPr>
        <w:t>,</w:t>
      </w:r>
      <w:r w:rsidRPr="000F1183">
        <w:rPr>
          <w:rFonts w:eastAsiaTheme="minorHAnsi"/>
          <w:lang w:val="en-US"/>
        </w:rPr>
        <w:t xml:space="preserve"> this sample is </w:t>
      </w:r>
      <w:r w:rsidR="000C4FAD" w:rsidRPr="000F1183">
        <w:rPr>
          <w:rFonts w:eastAsiaTheme="minorHAnsi"/>
          <w:lang w:val="en-US"/>
        </w:rPr>
        <w:t xml:space="preserve">not </w:t>
      </w:r>
      <w:r w:rsidRPr="000F1183">
        <w:rPr>
          <w:rFonts w:eastAsiaTheme="minorHAnsi"/>
          <w:lang w:val="en-US"/>
        </w:rPr>
        <w:t>representative of all adults in the Iron Age</w:t>
      </w:r>
      <w:r w:rsidR="000C4FAD" w:rsidRPr="000F1183">
        <w:rPr>
          <w:rFonts w:eastAsiaTheme="minorHAnsi"/>
          <w:lang w:val="en-US"/>
        </w:rPr>
        <w:t xml:space="preserve"> population</w:t>
      </w:r>
      <w:r w:rsidRPr="000F1183">
        <w:rPr>
          <w:rFonts w:eastAsiaTheme="minorHAnsi"/>
          <w:lang w:val="en-US"/>
        </w:rPr>
        <w:t xml:space="preserve">, especially for those age groups where there are </w:t>
      </w:r>
      <w:r w:rsidR="0057146E" w:rsidRPr="000F1183">
        <w:rPr>
          <w:rFonts w:eastAsiaTheme="minorHAnsi"/>
          <w:lang w:val="en-US"/>
        </w:rPr>
        <w:t xml:space="preserve">values for </w:t>
      </w:r>
      <w:r w:rsidRPr="000F1183">
        <w:rPr>
          <w:rFonts w:eastAsiaTheme="minorHAnsi"/>
          <w:lang w:val="en-US"/>
        </w:rPr>
        <w:t>only 2 individuals. The</w:t>
      </w:r>
      <w:r>
        <w:rPr>
          <w:rFonts w:eastAsiaTheme="minorHAnsi"/>
          <w:lang w:val="en-US"/>
        </w:rPr>
        <w:t xml:space="preserve"> </w:t>
      </w:r>
      <w:r>
        <w:rPr>
          <w:rFonts w:eastAsiaTheme="minorHAnsi"/>
          <w:lang w:val="en-US"/>
        </w:rPr>
        <w:sym w:font="Symbol" w:char="F064"/>
      </w:r>
      <w:r>
        <w:rPr>
          <w:rFonts w:eastAsiaTheme="minorHAnsi"/>
          <w:vertAlign w:val="superscript"/>
          <w:lang w:val="en-US"/>
        </w:rPr>
        <w:t>13</w:t>
      </w:r>
      <w:r>
        <w:rPr>
          <w:rFonts w:eastAsiaTheme="minorHAnsi"/>
          <w:lang w:val="en-US"/>
        </w:rPr>
        <w:t xml:space="preserve">C values between males and females are comparable throughout the age groups </w:t>
      </w:r>
      <w:r w:rsidR="00CE7909">
        <w:rPr>
          <w:rFonts w:eastAsiaTheme="minorHAnsi"/>
          <w:lang w:val="en-US"/>
        </w:rPr>
        <w:t xml:space="preserve">(in Table B3, Appendix B, </w:t>
      </w:r>
      <w:r>
        <w:rPr>
          <w:rFonts w:eastAsiaTheme="minorHAnsi"/>
          <w:lang w:val="en-US"/>
        </w:rPr>
        <w:t xml:space="preserve">ANCOVA </w:t>
      </w:r>
      <w:r>
        <w:rPr>
          <w:rFonts w:eastAsiaTheme="minorHAnsi"/>
          <w:i/>
          <w:lang w:val="en-US"/>
        </w:rPr>
        <w:t>F=0.296, p=0.588</w:t>
      </w:r>
      <w:r>
        <w:rPr>
          <w:rFonts w:eastAsiaTheme="minorHAnsi"/>
          <w:lang w:val="en-US"/>
        </w:rPr>
        <w:t>), suggesting little to no difference in the sources of carbon in the diet. This source was</w:t>
      </w:r>
      <w:r>
        <w:rPr>
          <w:rFonts w:eastAsiaTheme="minorHAnsi"/>
          <w:color w:val="000000" w:themeColor="text1"/>
          <w:lang w:val="en-US"/>
        </w:rPr>
        <w:t xml:space="preserve"> most likely C</w:t>
      </w:r>
      <w:r>
        <w:rPr>
          <w:rFonts w:eastAsiaTheme="minorHAnsi"/>
          <w:color w:val="000000" w:themeColor="text1"/>
          <w:vertAlign w:val="subscript"/>
          <w:lang w:val="en-US"/>
        </w:rPr>
        <w:t>3</w:t>
      </w:r>
      <w:r>
        <w:rPr>
          <w:rFonts w:eastAsiaTheme="minorHAnsi"/>
          <w:color w:val="000000" w:themeColor="text1"/>
          <w:lang w:val="en-US"/>
        </w:rPr>
        <w:t xml:space="preserve"> plants, or the consumption of animals (and their by-products) ingesting these plants as the carbon isotope data fall within the associated -22‰ to -16‰ range. </w:t>
      </w:r>
    </w:p>
    <w:p w14:paraId="66487F73" w14:textId="77777777" w:rsidR="00836512" w:rsidRDefault="00836512" w:rsidP="00836512">
      <w:pPr>
        <w:rPr>
          <w:rFonts w:asciiTheme="minorHAnsi" w:eastAsiaTheme="minorHAnsi" w:hAnsiTheme="minorHAnsi" w:cstheme="minorBidi"/>
          <w:lang w:val="en-US"/>
        </w:rPr>
      </w:pPr>
    </w:p>
    <w:p w14:paraId="064E44AF" w14:textId="77777777" w:rsidR="00836512" w:rsidRPr="00482623" w:rsidRDefault="00836512" w:rsidP="00836512">
      <w:pPr>
        <w:rPr>
          <w:rFonts w:eastAsiaTheme="minorHAnsi"/>
          <w:lang w:val="en-US"/>
        </w:rPr>
      </w:pPr>
      <w:r w:rsidRPr="00482623">
        <w:rPr>
          <w:rFonts w:eastAsiaTheme="minorHAnsi"/>
          <w:lang w:val="en-US"/>
        </w:rPr>
        <w:t>5.3.5 Subadult Bone Collagen</w:t>
      </w:r>
    </w:p>
    <w:p w14:paraId="03ADA241" w14:textId="77777777" w:rsidR="00836512" w:rsidRDefault="00836512" w:rsidP="00836512">
      <w:pPr>
        <w:rPr>
          <w:rFonts w:asciiTheme="minorHAnsi" w:eastAsiaTheme="minorHAnsi" w:hAnsiTheme="minorHAnsi" w:cstheme="minorBidi"/>
          <w:lang w:val="en-US"/>
        </w:rPr>
      </w:pPr>
      <w:r>
        <w:rPr>
          <w:rFonts w:asciiTheme="minorHAnsi" w:eastAsiaTheme="minorHAnsi" w:hAnsiTheme="minorHAnsi" w:cstheme="minorBidi"/>
          <w:lang w:val="en-US"/>
        </w:rPr>
        <w:t xml:space="preserve"> </w:t>
      </w:r>
    </w:p>
    <w:p w14:paraId="37363F53" w14:textId="77777777" w:rsidR="00836512" w:rsidRDefault="00836512" w:rsidP="00836512">
      <w:pPr>
        <w:rPr>
          <w:rFonts w:asciiTheme="minorHAnsi" w:eastAsiaTheme="minorHAnsi" w:hAnsiTheme="minorHAnsi" w:cstheme="minorBidi"/>
          <w:lang w:val="en-US"/>
        </w:rPr>
      </w:pPr>
    </w:p>
    <w:p w14:paraId="1CDF8C1A" w14:textId="2EC360B2" w:rsidR="00836512" w:rsidRDefault="00836512" w:rsidP="00836512">
      <w:pPr>
        <w:spacing w:line="480" w:lineRule="auto"/>
        <w:rPr>
          <w:rFonts w:eastAsiaTheme="minorHAnsi"/>
          <w:lang w:val="en-US"/>
        </w:rPr>
      </w:pPr>
      <w:r>
        <w:rPr>
          <w:rFonts w:asciiTheme="minorHAnsi" w:eastAsiaTheme="minorHAnsi" w:hAnsiTheme="minorHAnsi" w:cstheme="minorBidi"/>
          <w:lang w:val="en-US"/>
        </w:rPr>
        <w:tab/>
      </w:r>
      <w:r>
        <w:rPr>
          <w:rFonts w:eastAsiaTheme="minorHAnsi"/>
          <w:lang w:val="en-US"/>
        </w:rPr>
        <w:t xml:space="preserve">Rib and femur isotope data for the same 11 subadult individuals with dentine data displayed in </w:t>
      </w:r>
      <w:r w:rsidR="00C80A2E">
        <w:rPr>
          <w:rFonts w:eastAsiaTheme="minorHAnsi"/>
          <w:lang w:val="en-US"/>
        </w:rPr>
        <w:t>S</w:t>
      </w:r>
      <w:r>
        <w:rPr>
          <w:rFonts w:eastAsiaTheme="minorHAnsi"/>
          <w:lang w:val="en-US"/>
        </w:rPr>
        <w:t>ection 5.3.1 are presented in the Table 5.</w:t>
      </w:r>
      <w:r w:rsidR="00750C4F">
        <w:rPr>
          <w:rFonts w:eastAsiaTheme="minorHAnsi"/>
          <w:lang w:val="en-US"/>
        </w:rPr>
        <w:t>3</w:t>
      </w:r>
      <w:r>
        <w:rPr>
          <w:rFonts w:eastAsiaTheme="minorHAnsi"/>
          <w:lang w:val="en-US"/>
        </w:rPr>
        <w:t xml:space="preserve">; all samples are included except F4 (femoral sample for 1968 DB 1 Contents of Sarcophagus), which had to be omitted </w:t>
      </w:r>
      <w:r>
        <w:rPr>
          <w:rFonts w:eastAsiaTheme="minorHAnsi"/>
          <w:lang w:val="en-US"/>
        </w:rPr>
        <w:lastRenderedPageBreak/>
        <w:t>due to possible diagenetic alteration, and only rib values are available and included for 1972 Area NA Burial 1 of A-1</w:t>
      </w:r>
      <w:r>
        <w:rPr>
          <w:rFonts w:eastAsiaTheme="minorHAnsi"/>
          <w:color w:val="000000" w:themeColor="text1"/>
          <w:lang w:val="en-US"/>
        </w:rPr>
        <w:t>.</w:t>
      </w:r>
      <w:r>
        <w:rPr>
          <w:rFonts w:eastAsiaTheme="minorHAnsi"/>
          <w:lang w:val="en-US"/>
        </w:rPr>
        <w:t xml:space="preserve"> Additionally, individual ‘No Label #2’ is not included in this part of the analysis due to poorly preserved skeletal material. Delta</w:t>
      </w:r>
      <w:r>
        <w:rPr>
          <w:rFonts w:eastAsiaTheme="minorHAnsi"/>
          <w:vertAlign w:val="superscript"/>
          <w:lang w:val="en-US"/>
        </w:rPr>
        <w:t>15</w:t>
      </w:r>
      <w:r>
        <w:rPr>
          <w:rFonts w:eastAsiaTheme="minorHAnsi"/>
          <w:lang w:val="en-US"/>
        </w:rPr>
        <w:t xml:space="preserve">N values range from 8.7 – 13.7‰ with a mean value of 10.8‰. </w:t>
      </w:r>
      <w:r>
        <w:rPr>
          <w:rFonts w:eastAsiaTheme="minorHAnsi"/>
          <w:lang w:val="en-US"/>
        </w:rPr>
        <w:sym w:font="Symbol" w:char="F064"/>
      </w:r>
      <w:r>
        <w:rPr>
          <w:rFonts w:eastAsiaTheme="minorHAnsi"/>
          <w:vertAlign w:val="superscript"/>
          <w:lang w:val="en-US"/>
        </w:rPr>
        <w:t>13</w:t>
      </w:r>
      <w:r>
        <w:rPr>
          <w:rFonts w:eastAsiaTheme="minorHAnsi"/>
          <w:lang w:val="en-US"/>
        </w:rPr>
        <w:t xml:space="preserve">C values range from -19.8‰ to -18.2‰ with a mean value of -19.3‰. </w:t>
      </w:r>
    </w:p>
    <w:p w14:paraId="18616010" w14:textId="77777777" w:rsidR="004533C9" w:rsidRDefault="004533C9" w:rsidP="004533C9">
      <w:pPr>
        <w:rPr>
          <w:rFonts w:eastAsiaTheme="minorHAnsi"/>
          <w:lang w:val="en-US"/>
        </w:rPr>
      </w:pPr>
    </w:p>
    <w:p w14:paraId="470E7B37" w14:textId="0964626B" w:rsidR="00836512" w:rsidRDefault="00836512" w:rsidP="00836512">
      <w:pPr>
        <w:jc w:val="center"/>
        <w:rPr>
          <w:rFonts w:eastAsiaTheme="minorHAnsi"/>
          <w:lang w:val="en-US"/>
        </w:rPr>
      </w:pPr>
      <w:r>
        <w:rPr>
          <w:rFonts w:eastAsiaTheme="minorHAnsi"/>
          <w:b/>
          <w:lang w:val="en-US"/>
        </w:rPr>
        <w:t>Table 5.</w:t>
      </w:r>
      <w:r w:rsidR="00FE38DB">
        <w:rPr>
          <w:rFonts w:eastAsiaTheme="minorHAnsi"/>
          <w:b/>
          <w:lang w:val="en-US"/>
        </w:rPr>
        <w:t>3</w:t>
      </w:r>
      <w:r>
        <w:rPr>
          <w:rFonts w:eastAsiaTheme="minorHAnsi"/>
          <w:b/>
          <w:lang w:val="en-US"/>
        </w:rPr>
        <w:t>:</w:t>
      </w:r>
      <w:r>
        <w:rPr>
          <w:rFonts w:eastAsiaTheme="minorHAnsi"/>
          <w:lang w:val="en-US"/>
        </w:rPr>
        <w:t xml:space="preserve"> Stable carbon and nitrogen isotope data of subadult bone samples. </w:t>
      </w:r>
    </w:p>
    <w:p w14:paraId="5A0440A0" w14:textId="77777777" w:rsidR="00482623" w:rsidRDefault="00482623" w:rsidP="00836512">
      <w:pPr>
        <w:jc w:val="center"/>
        <w:rPr>
          <w:rFonts w:eastAsiaTheme="minorHAnsi"/>
          <w:lang w:val="en-US"/>
        </w:rPr>
      </w:pPr>
    </w:p>
    <w:p w14:paraId="1199C88C" w14:textId="77777777" w:rsidR="00836512" w:rsidRDefault="00836512" w:rsidP="00836512">
      <w:pPr>
        <w:rPr>
          <w:rFonts w:asciiTheme="minorHAnsi" w:eastAsiaTheme="minorHAnsi" w:hAnsiTheme="minorHAnsi" w:cstheme="minorBidi"/>
          <w:lang w:val="en-US"/>
        </w:rPr>
      </w:pPr>
    </w:p>
    <w:tbl>
      <w:tblPr>
        <w:tblStyle w:val="TableGrid1"/>
        <w:tblW w:w="0" w:type="auto"/>
        <w:tblLook w:val="04A0" w:firstRow="1" w:lastRow="0" w:firstColumn="1" w:lastColumn="0" w:noHBand="0" w:noVBand="1"/>
      </w:tblPr>
      <w:tblGrid>
        <w:gridCol w:w="2122"/>
        <w:gridCol w:w="1275"/>
        <w:gridCol w:w="1134"/>
        <w:gridCol w:w="1314"/>
        <w:gridCol w:w="1415"/>
        <w:gridCol w:w="1397"/>
      </w:tblGrid>
      <w:tr w:rsidR="00836512" w14:paraId="37867826" w14:textId="77777777" w:rsidTr="004533C9">
        <w:tc>
          <w:tcPr>
            <w:tcW w:w="2122" w:type="dxa"/>
            <w:tcBorders>
              <w:top w:val="single" w:sz="4" w:space="0" w:color="auto"/>
              <w:left w:val="single" w:sz="4" w:space="0" w:color="auto"/>
              <w:bottom w:val="single" w:sz="4" w:space="0" w:color="auto"/>
              <w:right w:val="single" w:sz="4" w:space="0" w:color="auto"/>
            </w:tcBorders>
            <w:hideMark/>
          </w:tcPr>
          <w:p w14:paraId="53AF54FC" w14:textId="77777777" w:rsidR="00836512" w:rsidRDefault="00836512">
            <w:pPr>
              <w:jc w:val="center"/>
              <w:rPr>
                <w:rFonts w:eastAsiaTheme="minorHAnsi"/>
                <w:b/>
                <w:sz w:val="20"/>
                <w:szCs w:val="20"/>
                <w:lang w:val="en-US"/>
              </w:rPr>
            </w:pPr>
            <w:r>
              <w:rPr>
                <w:rFonts w:eastAsiaTheme="minorHAnsi"/>
                <w:b/>
                <w:sz w:val="20"/>
                <w:szCs w:val="20"/>
                <w:lang w:val="en-US"/>
              </w:rPr>
              <w:t>Sample/Site ID</w:t>
            </w:r>
          </w:p>
        </w:tc>
        <w:tc>
          <w:tcPr>
            <w:tcW w:w="1275" w:type="dxa"/>
            <w:tcBorders>
              <w:top w:val="single" w:sz="4" w:space="0" w:color="auto"/>
              <w:left w:val="single" w:sz="4" w:space="0" w:color="auto"/>
              <w:bottom w:val="single" w:sz="4" w:space="0" w:color="auto"/>
              <w:right w:val="single" w:sz="4" w:space="0" w:color="auto"/>
            </w:tcBorders>
            <w:hideMark/>
          </w:tcPr>
          <w:p w14:paraId="085C353F" w14:textId="77777777" w:rsidR="00836512" w:rsidRDefault="00836512">
            <w:pPr>
              <w:jc w:val="center"/>
              <w:rPr>
                <w:rFonts w:eastAsiaTheme="minorHAnsi"/>
                <w:b/>
                <w:sz w:val="20"/>
                <w:szCs w:val="20"/>
                <w:lang w:val="en-US"/>
              </w:rPr>
            </w:pPr>
            <w:r>
              <w:rPr>
                <w:rFonts w:eastAsiaTheme="minorHAnsi"/>
                <w:b/>
                <w:sz w:val="20"/>
                <w:szCs w:val="20"/>
                <w:lang w:val="en-US"/>
              </w:rPr>
              <w:t>ID</w:t>
            </w:r>
          </w:p>
        </w:tc>
        <w:tc>
          <w:tcPr>
            <w:tcW w:w="1134" w:type="dxa"/>
            <w:tcBorders>
              <w:top w:val="single" w:sz="4" w:space="0" w:color="auto"/>
              <w:left w:val="single" w:sz="4" w:space="0" w:color="auto"/>
              <w:bottom w:val="single" w:sz="4" w:space="0" w:color="auto"/>
              <w:right w:val="single" w:sz="4" w:space="0" w:color="auto"/>
            </w:tcBorders>
            <w:hideMark/>
          </w:tcPr>
          <w:p w14:paraId="5473625D" w14:textId="77777777" w:rsidR="00836512" w:rsidRDefault="00836512">
            <w:pPr>
              <w:jc w:val="center"/>
              <w:rPr>
                <w:rFonts w:eastAsiaTheme="minorHAnsi"/>
                <w:b/>
                <w:sz w:val="20"/>
                <w:szCs w:val="20"/>
                <w:lang w:val="en-US"/>
              </w:rPr>
            </w:pPr>
            <w:r>
              <w:rPr>
                <w:rFonts w:eastAsiaTheme="minorHAnsi"/>
                <w:b/>
                <w:sz w:val="20"/>
                <w:szCs w:val="20"/>
                <w:lang w:val="en-US"/>
              </w:rPr>
              <w:t>Age (years)</w:t>
            </w:r>
          </w:p>
        </w:tc>
        <w:tc>
          <w:tcPr>
            <w:tcW w:w="1314" w:type="dxa"/>
            <w:tcBorders>
              <w:top w:val="single" w:sz="4" w:space="0" w:color="auto"/>
              <w:left w:val="single" w:sz="4" w:space="0" w:color="auto"/>
              <w:bottom w:val="single" w:sz="4" w:space="0" w:color="auto"/>
              <w:right w:val="single" w:sz="4" w:space="0" w:color="auto"/>
            </w:tcBorders>
            <w:hideMark/>
          </w:tcPr>
          <w:p w14:paraId="699177A1" w14:textId="77777777" w:rsidR="00836512" w:rsidRDefault="00836512">
            <w:pPr>
              <w:jc w:val="center"/>
              <w:rPr>
                <w:rFonts w:eastAsiaTheme="minorHAnsi"/>
                <w:b/>
                <w:sz w:val="22"/>
                <w:szCs w:val="22"/>
                <w:lang w:val="en-US"/>
              </w:rPr>
            </w:pPr>
            <w:r>
              <w:rPr>
                <w:rFonts w:eastAsiaTheme="minorHAnsi"/>
                <w:b/>
                <w:sz w:val="22"/>
                <w:szCs w:val="22"/>
                <w:lang w:val="en-US"/>
              </w:rPr>
              <w:sym w:font="Symbol" w:char="F064"/>
            </w:r>
            <w:r>
              <w:rPr>
                <w:rFonts w:eastAsiaTheme="minorHAnsi"/>
                <w:b/>
                <w:sz w:val="22"/>
                <w:szCs w:val="22"/>
                <w:vertAlign w:val="superscript"/>
                <w:lang w:val="en-US"/>
              </w:rPr>
              <w:t>13</w:t>
            </w:r>
            <w:r>
              <w:rPr>
                <w:rFonts w:eastAsiaTheme="minorHAnsi"/>
                <w:b/>
                <w:sz w:val="22"/>
                <w:szCs w:val="22"/>
                <w:lang w:val="en-US"/>
              </w:rPr>
              <w:t xml:space="preserve">C </w:t>
            </w:r>
          </w:p>
          <w:p w14:paraId="0CA74045" w14:textId="77777777" w:rsidR="00836512" w:rsidRDefault="00836512">
            <w:pPr>
              <w:jc w:val="center"/>
              <w:rPr>
                <w:rFonts w:eastAsiaTheme="minorHAnsi"/>
                <w:b/>
                <w:sz w:val="22"/>
                <w:szCs w:val="22"/>
                <w:lang w:val="en-US"/>
              </w:rPr>
            </w:pPr>
            <w:r>
              <w:rPr>
                <w:rFonts w:eastAsiaTheme="minorHAnsi"/>
                <w:b/>
                <w:sz w:val="22"/>
                <w:szCs w:val="22"/>
                <w:lang w:val="en-US"/>
              </w:rPr>
              <w:t>(</w:t>
            </w:r>
            <w:r>
              <w:rPr>
                <w:rFonts w:eastAsiaTheme="minorHAnsi"/>
                <w:sz w:val="22"/>
                <w:szCs w:val="22"/>
                <w:lang w:val="en-US"/>
              </w:rPr>
              <w:t>‰) VPDB</w:t>
            </w:r>
          </w:p>
        </w:tc>
        <w:tc>
          <w:tcPr>
            <w:tcW w:w="1415" w:type="dxa"/>
            <w:tcBorders>
              <w:top w:val="single" w:sz="4" w:space="0" w:color="auto"/>
              <w:left w:val="single" w:sz="4" w:space="0" w:color="auto"/>
              <w:bottom w:val="single" w:sz="4" w:space="0" w:color="auto"/>
              <w:right w:val="single" w:sz="4" w:space="0" w:color="auto"/>
            </w:tcBorders>
            <w:hideMark/>
          </w:tcPr>
          <w:p w14:paraId="0759564F" w14:textId="77777777" w:rsidR="00836512" w:rsidRDefault="00836512">
            <w:pPr>
              <w:jc w:val="center"/>
              <w:rPr>
                <w:rFonts w:eastAsiaTheme="minorHAnsi"/>
                <w:b/>
                <w:sz w:val="22"/>
                <w:szCs w:val="22"/>
                <w:lang w:val="en-US"/>
              </w:rPr>
            </w:pPr>
            <w:r>
              <w:rPr>
                <w:rFonts w:eastAsiaTheme="minorHAnsi"/>
                <w:b/>
                <w:sz w:val="22"/>
                <w:szCs w:val="22"/>
                <w:lang w:val="en-US"/>
              </w:rPr>
              <w:sym w:font="Symbol" w:char="F064"/>
            </w:r>
            <w:r>
              <w:rPr>
                <w:rFonts w:eastAsiaTheme="minorHAnsi"/>
                <w:b/>
                <w:sz w:val="22"/>
                <w:szCs w:val="22"/>
                <w:vertAlign w:val="superscript"/>
                <w:lang w:val="en-US"/>
              </w:rPr>
              <w:t>15</w:t>
            </w:r>
            <w:r>
              <w:rPr>
                <w:rFonts w:eastAsiaTheme="minorHAnsi"/>
                <w:b/>
                <w:sz w:val="22"/>
                <w:szCs w:val="22"/>
                <w:lang w:val="en-US"/>
              </w:rPr>
              <w:t xml:space="preserve">N </w:t>
            </w:r>
          </w:p>
          <w:p w14:paraId="0950D3DE" w14:textId="77777777" w:rsidR="00836512" w:rsidRDefault="00836512">
            <w:pPr>
              <w:jc w:val="center"/>
              <w:rPr>
                <w:rFonts w:eastAsiaTheme="minorHAnsi"/>
                <w:b/>
                <w:sz w:val="22"/>
                <w:szCs w:val="22"/>
                <w:lang w:val="en-US"/>
              </w:rPr>
            </w:pPr>
            <w:r>
              <w:rPr>
                <w:rFonts w:eastAsiaTheme="minorHAnsi"/>
                <w:b/>
                <w:sz w:val="22"/>
                <w:szCs w:val="22"/>
                <w:lang w:val="en-US"/>
              </w:rPr>
              <w:t>(</w:t>
            </w:r>
            <w:r>
              <w:rPr>
                <w:rFonts w:eastAsiaTheme="minorHAnsi"/>
                <w:sz w:val="22"/>
                <w:szCs w:val="22"/>
                <w:lang w:val="en-US"/>
              </w:rPr>
              <w:t>‰) AIR</w:t>
            </w:r>
          </w:p>
        </w:tc>
        <w:tc>
          <w:tcPr>
            <w:tcW w:w="1397" w:type="dxa"/>
            <w:tcBorders>
              <w:top w:val="single" w:sz="4" w:space="0" w:color="auto"/>
              <w:left w:val="single" w:sz="4" w:space="0" w:color="auto"/>
              <w:bottom w:val="single" w:sz="4" w:space="0" w:color="auto"/>
              <w:right w:val="single" w:sz="4" w:space="0" w:color="auto"/>
            </w:tcBorders>
            <w:hideMark/>
          </w:tcPr>
          <w:p w14:paraId="7CDCA3D7" w14:textId="77777777" w:rsidR="00836512" w:rsidRDefault="00836512">
            <w:pPr>
              <w:jc w:val="center"/>
              <w:rPr>
                <w:rFonts w:eastAsiaTheme="minorHAnsi"/>
                <w:b/>
                <w:sz w:val="20"/>
                <w:szCs w:val="20"/>
                <w:lang w:val="en-US"/>
              </w:rPr>
            </w:pPr>
            <w:r>
              <w:rPr>
                <w:rFonts w:eastAsiaTheme="minorHAnsi"/>
                <w:b/>
                <w:sz w:val="20"/>
                <w:szCs w:val="20"/>
                <w:lang w:val="en-US"/>
              </w:rPr>
              <w:t>C:N</w:t>
            </w:r>
          </w:p>
        </w:tc>
      </w:tr>
      <w:tr w:rsidR="00836512" w14:paraId="10DA062E" w14:textId="77777777" w:rsidTr="004533C9">
        <w:tc>
          <w:tcPr>
            <w:tcW w:w="2122" w:type="dxa"/>
            <w:vMerge w:val="restart"/>
            <w:tcBorders>
              <w:top w:val="single" w:sz="4" w:space="0" w:color="auto"/>
              <w:left w:val="single" w:sz="4" w:space="0" w:color="auto"/>
              <w:bottom w:val="single" w:sz="4" w:space="0" w:color="auto"/>
              <w:right w:val="single" w:sz="4" w:space="0" w:color="auto"/>
            </w:tcBorders>
            <w:hideMark/>
          </w:tcPr>
          <w:p w14:paraId="3CBC2C30" w14:textId="77777777" w:rsidR="00836512" w:rsidRDefault="00836512">
            <w:pPr>
              <w:jc w:val="center"/>
              <w:rPr>
                <w:rFonts w:eastAsiaTheme="minorHAnsi"/>
                <w:color w:val="000000"/>
                <w:sz w:val="20"/>
                <w:szCs w:val="20"/>
                <w:lang w:val="it-IT"/>
              </w:rPr>
            </w:pPr>
            <w:r>
              <w:rPr>
                <w:rFonts w:eastAsiaTheme="minorHAnsi"/>
                <w:color w:val="000000"/>
                <w:sz w:val="20"/>
                <w:szCs w:val="20"/>
                <w:lang w:val="it-IT"/>
              </w:rPr>
              <w:t>Botromagno</w:t>
            </w:r>
          </w:p>
          <w:p w14:paraId="19F7F3DF" w14:textId="77777777" w:rsidR="00836512" w:rsidRDefault="00836512">
            <w:pPr>
              <w:jc w:val="center"/>
              <w:rPr>
                <w:rFonts w:eastAsiaTheme="minorHAnsi"/>
                <w:color w:val="000000"/>
                <w:sz w:val="20"/>
                <w:szCs w:val="20"/>
                <w:lang w:val="it-IT"/>
              </w:rPr>
            </w:pPr>
            <w:r>
              <w:rPr>
                <w:rFonts w:eastAsiaTheme="minorHAnsi"/>
                <w:color w:val="000000"/>
                <w:sz w:val="20"/>
                <w:szCs w:val="20"/>
                <w:lang w:val="it-IT"/>
              </w:rPr>
              <w:t>21/12/71 Tomba di bambino Ind. 1 (T4)</w:t>
            </w:r>
          </w:p>
        </w:tc>
        <w:tc>
          <w:tcPr>
            <w:tcW w:w="1275" w:type="dxa"/>
            <w:tcBorders>
              <w:top w:val="single" w:sz="4" w:space="0" w:color="auto"/>
              <w:left w:val="single" w:sz="4" w:space="0" w:color="auto"/>
              <w:bottom w:val="single" w:sz="4" w:space="0" w:color="auto"/>
              <w:right w:val="single" w:sz="4" w:space="0" w:color="auto"/>
            </w:tcBorders>
            <w:hideMark/>
          </w:tcPr>
          <w:p w14:paraId="585381F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Femur (F1)</w:t>
            </w:r>
          </w:p>
        </w:tc>
        <w:tc>
          <w:tcPr>
            <w:tcW w:w="1134" w:type="dxa"/>
            <w:tcBorders>
              <w:top w:val="single" w:sz="4" w:space="0" w:color="auto"/>
              <w:left w:val="single" w:sz="4" w:space="0" w:color="auto"/>
              <w:bottom w:val="single" w:sz="4" w:space="0" w:color="auto"/>
              <w:right w:val="single" w:sz="4" w:space="0" w:color="auto"/>
            </w:tcBorders>
            <w:hideMark/>
          </w:tcPr>
          <w:p w14:paraId="16AD8CF1" w14:textId="77777777" w:rsidR="00836512" w:rsidRDefault="00836512">
            <w:pPr>
              <w:jc w:val="center"/>
              <w:rPr>
                <w:rFonts w:eastAsiaTheme="minorHAnsi"/>
                <w:sz w:val="20"/>
                <w:szCs w:val="20"/>
                <w:lang w:val="en-US"/>
              </w:rPr>
            </w:pPr>
            <w:r>
              <w:rPr>
                <w:rFonts w:eastAsiaTheme="minorHAnsi"/>
                <w:sz w:val="20"/>
                <w:szCs w:val="20"/>
                <w:lang w:val="en-US"/>
              </w:rPr>
              <w:t>2.0</w:t>
            </w:r>
          </w:p>
        </w:tc>
        <w:tc>
          <w:tcPr>
            <w:tcW w:w="1314" w:type="dxa"/>
            <w:tcBorders>
              <w:top w:val="single" w:sz="4" w:space="0" w:color="auto"/>
              <w:left w:val="single" w:sz="4" w:space="0" w:color="auto"/>
              <w:bottom w:val="single" w:sz="4" w:space="0" w:color="auto"/>
              <w:right w:val="single" w:sz="4" w:space="0" w:color="auto"/>
            </w:tcBorders>
            <w:hideMark/>
          </w:tcPr>
          <w:p w14:paraId="1B04B379" w14:textId="77777777" w:rsidR="00836512" w:rsidRDefault="00836512">
            <w:pPr>
              <w:jc w:val="center"/>
              <w:rPr>
                <w:rFonts w:eastAsiaTheme="minorHAnsi"/>
                <w:sz w:val="20"/>
                <w:szCs w:val="20"/>
                <w:lang w:val="en-US"/>
              </w:rPr>
            </w:pPr>
            <w:r>
              <w:rPr>
                <w:rFonts w:eastAsiaTheme="minorHAnsi"/>
                <w:sz w:val="20"/>
                <w:szCs w:val="20"/>
                <w:lang w:val="en-US"/>
              </w:rPr>
              <w:t>-18.9</w:t>
            </w:r>
          </w:p>
        </w:tc>
        <w:tc>
          <w:tcPr>
            <w:tcW w:w="1415" w:type="dxa"/>
            <w:tcBorders>
              <w:top w:val="single" w:sz="4" w:space="0" w:color="auto"/>
              <w:left w:val="single" w:sz="4" w:space="0" w:color="auto"/>
              <w:bottom w:val="single" w:sz="4" w:space="0" w:color="auto"/>
              <w:right w:val="single" w:sz="4" w:space="0" w:color="auto"/>
            </w:tcBorders>
            <w:hideMark/>
          </w:tcPr>
          <w:p w14:paraId="1E65EC18" w14:textId="77777777" w:rsidR="00836512" w:rsidRDefault="00836512">
            <w:pPr>
              <w:jc w:val="center"/>
              <w:rPr>
                <w:rFonts w:eastAsiaTheme="minorHAnsi"/>
                <w:sz w:val="20"/>
                <w:szCs w:val="20"/>
                <w:lang w:val="en-US"/>
              </w:rPr>
            </w:pPr>
            <w:r>
              <w:rPr>
                <w:rFonts w:eastAsiaTheme="minorHAnsi"/>
                <w:sz w:val="20"/>
                <w:szCs w:val="20"/>
                <w:lang w:val="en-US"/>
              </w:rPr>
              <w:t>11.3</w:t>
            </w:r>
          </w:p>
        </w:tc>
        <w:tc>
          <w:tcPr>
            <w:tcW w:w="1397" w:type="dxa"/>
            <w:tcBorders>
              <w:top w:val="single" w:sz="4" w:space="0" w:color="auto"/>
              <w:left w:val="single" w:sz="4" w:space="0" w:color="auto"/>
              <w:bottom w:val="single" w:sz="4" w:space="0" w:color="auto"/>
              <w:right w:val="single" w:sz="4" w:space="0" w:color="auto"/>
            </w:tcBorders>
            <w:hideMark/>
          </w:tcPr>
          <w:p w14:paraId="471F24F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26C0A205" w14:textId="77777777" w:rsidTr="004533C9">
        <w:tc>
          <w:tcPr>
            <w:tcW w:w="2122" w:type="dxa"/>
            <w:vMerge/>
            <w:tcBorders>
              <w:top w:val="single" w:sz="4" w:space="0" w:color="auto"/>
              <w:left w:val="single" w:sz="4" w:space="0" w:color="auto"/>
              <w:bottom w:val="single" w:sz="4" w:space="0" w:color="auto"/>
              <w:right w:val="single" w:sz="4" w:space="0" w:color="auto"/>
            </w:tcBorders>
            <w:vAlign w:val="center"/>
            <w:hideMark/>
          </w:tcPr>
          <w:p w14:paraId="172BBC26" w14:textId="77777777" w:rsidR="00836512" w:rsidRDefault="00836512">
            <w:pPr>
              <w:rPr>
                <w:rFonts w:eastAsiaTheme="minorHAnsi"/>
                <w:color w:val="000000"/>
                <w:sz w:val="20"/>
                <w:szCs w:val="20"/>
                <w:lang w:val="it-IT"/>
              </w:rPr>
            </w:pPr>
          </w:p>
        </w:tc>
        <w:tc>
          <w:tcPr>
            <w:tcW w:w="1275" w:type="dxa"/>
            <w:tcBorders>
              <w:top w:val="single" w:sz="4" w:space="0" w:color="auto"/>
              <w:left w:val="single" w:sz="4" w:space="0" w:color="auto"/>
              <w:bottom w:val="single" w:sz="4" w:space="0" w:color="auto"/>
              <w:right w:val="single" w:sz="4" w:space="0" w:color="auto"/>
            </w:tcBorders>
            <w:hideMark/>
          </w:tcPr>
          <w:p w14:paraId="03DDC27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(R8)</w:t>
            </w:r>
          </w:p>
        </w:tc>
        <w:tc>
          <w:tcPr>
            <w:tcW w:w="1134" w:type="dxa"/>
            <w:tcBorders>
              <w:top w:val="single" w:sz="4" w:space="0" w:color="auto"/>
              <w:left w:val="single" w:sz="4" w:space="0" w:color="auto"/>
              <w:bottom w:val="single" w:sz="4" w:space="0" w:color="auto"/>
              <w:right w:val="single" w:sz="4" w:space="0" w:color="auto"/>
            </w:tcBorders>
            <w:hideMark/>
          </w:tcPr>
          <w:p w14:paraId="6D792B36" w14:textId="77777777" w:rsidR="00836512" w:rsidRDefault="00836512">
            <w:pPr>
              <w:jc w:val="center"/>
              <w:rPr>
                <w:rFonts w:eastAsiaTheme="minorHAnsi"/>
                <w:sz w:val="20"/>
                <w:szCs w:val="20"/>
                <w:lang w:val="en-US"/>
              </w:rPr>
            </w:pPr>
            <w:r>
              <w:rPr>
                <w:rFonts w:eastAsiaTheme="minorHAnsi"/>
                <w:sz w:val="20"/>
                <w:szCs w:val="20"/>
                <w:lang w:val="en-US"/>
              </w:rPr>
              <w:t>2.0</w:t>
            </w:r>
          </w:p>
        </w:tc>
        <w:tc>
          <w:tcPr>
            <w:tcW w:w="1314" w:type="dxa"/>
            <w:tcBorders>
              <w:top w:val="single" w:sz="4" w:space="0" w:color="auto"/>
              <w:left w:val="single" w:sz="4" w:space="0" w:color="auto"/>
              <w:bottom w:val="single" w:sz="4" w:space="0" w:color="auto"/>
              <w:right w:val="single" w:sz="4" w:space="0" w:color="auto"/>
            </w:tcBorders>
            <w:hideMark/>
          </w:tcPr>
          <w:p w14:paraId="5C7B9F5E" w14:textId="77777777" w:rsidR="00836512" w:rsidRDefault="00836512">
            <w:pPr>
              <w:jc w:val="center"/>
              <w:rPr>
                <w:rFonts w:eastAsiaTheme="minorHAnsi"/>
                <w:sz w:val="20"/>
                <w:szCs w:val="20"/>
                <w:lang w:val="en-US"/>
              </w:rPr>
            </w:pPr>
            <w:r>
              <w:rPr>
                <w:rFonts w:eastAsiaTheme="minorHAnsi"/>
                <w:sz w:val="20"/>
                <w:szCs w:val="20"/>
                <w:lang w:val="en-US"/>
              </w:rPr>
              <w:t>-18.8</w:t>
            </w:r>
          </w:p>
        </w:tc>
        <w:tc>
          <w:tcPr>
            <w:tcW w:w="1415" w:type="dxa"/>
            <w:tcBorders>
              <w:top w:val="single" w:sz="4" w:space="0" w:color="auto"/>
              <w:left w:val="single" w:sz="4" w:space="0" w:color="auto"/>
              <w:bottom w:val="single" w:sz="4" w:space="0" w:color="auto"/>
              <w:right w:val="single" w:sz="4" w:space="0" w:color="auto"/>
            </w:tcBorders>
            <w:hideMark/>
          </w:tcPr>
          <w:p w14:paraId="0D9DB098" w14:textId="77777777" w:rsidR="00836512" w:rsidRDefault="00836512">
            <w:pPr>
              <w:jc w:val="center"/>
              <w:rPr>
                <w:rFonts w:eastAsiaTheme="minorHAnsi"/>
                <w:sz w:val="20"/>
                <w:szCs w:val="20"/>
                <w:lang w:val="en-US"/>
              </w:rPr>
            </w:pPr>
            <w:r>
              <w:rPr>
                <w:rFonts w:eastAsiaTheme="minorHAnsi"/>
                <w:sz w:val="20"/>
                <w:szCs w:val="20"/>
                <w:lang w:val="en-US"/>
              </w:rPr>
              <w:t>11.0</w:t>
            </w:r>
          </w:p>
        </w:tc>
        <w:tc>
          <w:tcPr>
            <w:tcW w:w="1397" w:type="dxa"/>
            <w:tcBorders>
              <w:top w:val="single" w:sz="4" w:space="0" w:color="auto"/>
              <w:left w:val="single" w:sz="4" w:space="0" w:color="auto"/>
              <w:bottom w:val="single" w:sz="4" w:space="0" w:color="auto"/>
              <w:right w:val="single" w:sz="4" w:space="0" w:color="auto"/>
            </w:tcBorders>
            <w:hideMark/>
          </w:tcPr>
          <w:p w14:paraId="758C69B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3.4</w:t>
            </w:r>
          </w:p>
        </w:tc>
      </w:tr>
      <w:tr w:rsidR="00836512" w14:paraId="2FB53FB4" w14:textId="77777777" w:rsidTr="004533C9">
        <w:tc>
          <w:tcPr>
            <w:tcW w:w="2122" w:type="dxa"/>
            <w:vMerge w:val="restart"/>
            <w:tcBorders>
              <w:top w:val="single" w:sz="4" w:space="0" w:color="auto"/>
              <w:left w:val="single" w:sz="4" w:space="0" w:color="auto"/>
              <w:bottom w:val="single" w:sz="4" w:space="0" w:color="auto"/>
              <w:right w:val="single" w:sz="4" w:space="0" w:color="auto"/>
            </w:tcBorders>
            <w:hideMark/>
          </w:tcPr>
          <w:p w14:paraId="47145C21" w14:textId="77777777" w:rsidR="00836512" w:rsidRDefault="00836512">
            <w:pPr>
              <w:jc w:val="center"/>
              <w:rPr>
                <w:rFonts w:eastAsiaTheme="minorHAnsi"/>
                <w:color w:val="000000"/>
                <w:sz w:val="20"/>
                <w:szCs w:val="20"/>
                <w:lang w:val="it-IT"/>
              </w:rPr>
            </w:pPr>
            <w:r>
              <w:rPr>
                <w:rFonts w:eastAsiaTheme="minorHAnsi"/>
                <w:color w:val="000000"/>
                <w:sz w:val="20"/>
                <w:szCs w:val="20"/>
                <w:lang w:val="it-IT"/>
              </w:rPr>
              <w:t>Botromagno</w:t>
            </w:r>
          </w:p>
          <w:p w14:paraId="731F2E4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GS70 F25 (T5)</w:t>
            </w:r>
          </w:p>
        </w:tc>
        <w:tc>
          <w:tcPr>
            <w:tcW w:w="1275" w:type="dxa"/>
            <w:tcBorders>
              <w:top w:val="single" w:sz="4" w:space="0" w:color="auto"/>
              <w:left w:val="single" w:sz="4" w:space="0" w:color="auto"/>
              <w:bottom w:val="single" w:sz="4" w:space="0" w:color="auto"/>
              <w:right w:val="single" w:sz="4" w:space="0" w:color="auto"/>
            </w:tcBorders>
            <w:hideMark/>
          </w:tcPr>
          <w:p w14:paraId="0E40821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Femur (F2)</w:t>
            </w:r>
          </w:p>
        </w:tc>
        <w:tc>
          <w:tcPr>
            <w:tcW w:w="1134" w:type="dxa"/>
            <w:tcBorders>
              <w:top w:val="single" w:sz="4" w:space="0" w:color="auto"/>
              <w:left w:val="single" w:sz="4" w:space="0" w:color="auto"/>
              <w:bottom w:val="single" w:sz="4" w:space="0" w:color="auto"/>
              <w:right w:val="single" w:sz="4" w:space="0" w:color="auto"/>
            </w:tcBorders>
            <w:hideMark/>
          </w:tcPr>
          <w:p w14:paraId="5BCC5E49" w14:textId="77777777" w:rsidR="00836512" w:rsidRDefault="00836512">
            <w:pPr>
              <w:jc w:val="center"/>
              <w:rPr>
                <w:rFonts w:eastAsiaTheme="minorHAnsi"/>
                <w:sz w:val="20"/>
                <w:szCs w:val="20"/>
                <w:lang w:val="en-US"/>
              </w:rPr>
            </w:pPr>
            <w:r>
              <w:rPr>
                <w:rFonts w:eastAsiaTheme="minorHAnsi"/>
                <w:sz w:val="20"/>
                <w:szCs w:val="20"/>
                <w:lang w:val="en-US"/>
              </w:rPr>
              <w:t>4.0</w:t>
            </w:r>
          </w:p>
        </w:tc>
        <w:tc>
          <w:tcPr>
            <w:tcW w:w="1314" w:type="dxa"/>
            <w:tcBorders>
              <w:top w:val="single" w:sz="4" w:space="0" w:color="auto"/>
              <w:left w:val="single" w:sz="4" w:space="0" w:color="auto"/>
              <w:bottom w:val="single" w:sz="4" w:space="0" w:color="auto"/>
              <w:right w:val="single" w:sz="4" w:space="0" w:color="auto"/>
            </w:tcBorders>
            <w:hideMark/>
          </w:tcPr>
          <w:p w14:paraId="4A4A08DC" w14:textId="77777777" w:rsidR="00836512" w:rsidRDefault="00836512">
            <w:pPr>
              <w:jc w:val="center"/>
              <w:rPr>
                <w:rFonts w:eastAsiaTheme="minorHAnsi"/>
                <w:sz w:val="20"/>
                <w:szCs w:val="20"/>
                <w:lang w:val="en-US"/>
              </w:rPr>
            </w:pPr>
            <w:r>
              <w:rPr>
                <w:rFonts w:eastAsiaTheme="minorHAnsi"/>
                <w:sz w:val="20"/>
                <w:szCs w:val="20"/>
                <w:lang w:val="en-US"/>
              </w:rPr>
              <w:t>-19.0</w:t>
            </w:r>
          </w:p>
        </w:tc>
        <w:tc>
          <w:tcPr>
            <w:tcW w:w="1415" w:type="dxa"/>
            <w:tcBorders>
              <w:top w:val="single" w:sz="4" w:space="0" w:color="auto"/>
              <w:left w:val="single" w:sz="4" w:space="0" w:color="auto"/>
              <w:bottom w:val="single" w:sz="4" w:space="0" w:color="auto"/>
              <w:right w:val="single" w:sz="4" w:space="0" w:color="auto"/>
            </w:tcBorders>
            <w:hideMark/>
          </w:tcPr>
          <w:p w14:paraId="1542C0CF" w14:textId="77777777" w:rsidR="00836512" w:rsidRDefault="00836512">
            <w:pPr>
              <w:jc w:val="center"/>
              <w:rPr>
                <w:rFonts w:eastAsiaTheme="minorHAnsi"/>
                <w:sz w:val="20"/>
                <w:szCs w:val="20"/>
                <w:lang w:val="en-US"/>
              </w:rPr>
            </w:pPr>
            <w:r>
              <w:rPr>
                <w:rFonts w:eastAsiaTheme="minorHAnsi"/>
                <w:sz w:val="20"/>
                <w:szCs w:val="20"/>
                <w:lang w:val="en-US"/>
              </w:rPr>
              <w:t>10.6</w:t>
            </w:r>
          </w:p>
        </w:tc>
        <w:tc>
          <w:tcPr>
            <w:tcW w:w="1397" w:type="dxa"/>
            <w:tcBorders>
              <w:top w:val="single" w:sz="4" w:space="0" w:color="auto"/>
              <w:left w:val="single" w:sz="4" w:space="0" w:color="auto"/>
              <w:bottom w:val="single" w:sz="4" w:space="0" w:color="auto"/>
              <w:right w:val="single" w:sz="4" w:space="0" w:color="auto"/>
            </w:tcBorders>
            <w:hideMark/>
          </w:tcPr>
          <w:p w14:paraId="3CEB735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3.6</w:t>
            </w:r>
          </w:p>
        </w:tc>
      </w:tr>
      <w:tr w:rsidR="00836512" w14:paraId="1154E595" w14:textId="77777777" w:rsidTr="004533C9">
        <w:tc>
          <w:tcPr>
            <w:tcW w:w="2122" w:type="dxa"/>
            <w:vMerge/>
            <w:tcBorders>
              <w:top w:val="single" w:sz="4" w:space="0" w:color="auto"/>
              <w:left w:val="single" w:sz="4" w:space="0" w:color="auto"/>
              <w:bottom w:val="single" w:sz="4" w:space="0" w:color="auto"/>
              <w:right w:val="single" w:sz="4" w:space="0" w:color="auto"/>
            </w:tcBorders>
            <w:vAlign w:val="center"/>
            <w:hideMark/>
          </w:tcPr>
          <w:p w14:paraId="5759A778" w14:textId="77777777" w:rsidR="00836512" w:rsidRDefault="00836512">
            <w:pPr>
              <w:rPr>
                <w:rFonts w:eastAsiaTheme="minorHAnsi"/>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257A809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(R9)</w:t>
            </w:r>
          </w:p>
        </w:tc>
        <w:tc>
          <w:tcPr>
            <w:tcW w:w="1134" w:type="dxa"/>
            <w:tcBorders>
              <w:top w:val="single" w:sz="4" w:space="0" w:color="auto"/>
              <w:left w:val="single" w:sz="4" w:space="0" w:color="auto"/>
              <w:bottom w:val="single" w:sz="4" w:space="0" w:color="auto"/>
              <w:right w:val="single" w:sz="4" w:space="0" w:color="auto"/>
            </w:tcBorders>
            <w:hideMark/>
          </w:tcPr>
          <w:p w14:paraId="67A3B3BC" w14:textId="77777777" w:rsidR="00836512" w:rsidRDefault="00836512">
            <w:pPr>
              <w:jc w:val="center"/>
              <w:rPr>
                <w:rFonts w:eastAsiaTheme="minorHAnsi"/>
                <w:sz w:val="20"/>
                <w:szCs w:val="20"/>
                <w:lang w:val="en-US"/>
              </w:rPr>
            </w:pPr>
            <w:r>
              <w:rPr>
                <w:rFonts w:eastAsiaTheme="minorHAnsi"/>
                <w:sz w:val="20"/>
                <w:szCs w:val="20"/>
                <w:lang w:val="en-US"/>
              </w:rPr>
              <w:t>4.0</w:t>
            </w:r>
          </w:p>
        </w:tc>
        <w:tc>
          <w:tcPr>
            <w:tcW w:w="1314" w:type="dxa"/>
            <w:tcBorders>
              <w:top w:val="single" w:sz="4" w:space="0" w:color="auto"/>
              <w:left w:val="single" w:sz="4" w:space="0" w:color="auto"/>
              <w:bottom w:val="single" w:sz="4" w:space="0" w:color="auto"/>
              <w:right w:val="single" w:sz="4" w:space="0" w:color="auto"/>
            </w:tcBorders>
            <w:hideMark/>
          </w:tcPr>
          <w:p w14:paraId="0E332AD0" w14:textId="77777777" w:rsidR="00836512" w:rsidRDefault="00836512">
            <w:pPr>
              <w:jc w:val="center"/>
              <w:rPr>
                <w:rFonts w:eastAsiaTheme="minorHAnsi"/>
                <w:sz w:val="20"/>
                <w:szCs w:val="20"/>
                <w:lang w:val="en-US"/>
              </w:rPr>
            </w:pPr>
            <w:r>
              <w:rPr>
                <w:rFonts w:eastAsiaTheme="minorHAnsi"/>
                <w:sz w:val="20"/>
                <w:szCs w:val="20"/>
                <w:lang w:val="en-US"/>
              </w:rPr>
              <w:t>-19.6</w:t>
            </w:r>
          </w:p>
        </w:tc>
        <w:tc>
          <w:tcPr>
            <w:tcW w:w="1415" w:type="dxa"/>
            <w:tcBorders>
              <w:top w:val="single" w:sz="4" w:space="0" w:color="auto"/>
              <w:left w:val="single" w:sz="4" w:space="0" w:color="auto"/>
              <w:bottom w:val="single" w:sz="4" w:space="0" w:color="auto"/>
              <w:right w:val="single" w:sz="4" w:space="0" w:color="auto"/>
            </w:tcBorders>
            <w:hideMark/>
          </w:tcPr>
          <w:p w14:paraId="5BFE162C" w14:textId="77777777" w:rsidR="00836512" w:rsidRDefault="00836512">
            <w:pPr>
              <w:jc w:val="center"/>
              <w:rPr>
                <w:rFonts w:eastAsiaTheme="minorHAnsi"/>
                <w:sz w:val="20"/>
                <w:szCs w:val="20"/>
                <w:lang w:val="en-US"/>
              </w:rPr>
            </w:pPr>
            <w:r>
              <w:rPr>
                <w:rFonts w:eastAsiaTheme="minorHAnsi"/>
                <w:sz w:val="20"/>
                <w:szCs w:val="20"/>
                <w:lang w:val="en-US"/>
              </w:rPr>
              <w:t>10.6</w:t>
            </w:r>
          </w:p>
        </w:tc>
        <w:tc>
          <w:tcPr>
            <w:tcW w:w="1397" w:type="dxa"/>
            <w:tcBorders>
              <w:top w:val="single" w:sz="4" w:space="0" w:color="auto"/>
              <w:left w:val="single" w:sz="4" w:space="0" w:color="auto"/>
              <w:bottom w:val="single" w:sz="4" w:space="0" w:color="auto"/>
              <w:right w:val="single" w:sz="4" w:space="0" w:color="auto"/>
            </w:tcBorders>
            <w:hideMark/>
          </w:tcPr>
          <w:p w14:paraId="3DA5810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7398360" w14:textId="77777777" w:rsidTr="004533C9">
        <w:tc>
          <w:tcPr>
            <w:tcW w:w="2122" w:type="dxa"/>
            <w:vMerge w:val="restart"/>
            <w:tcBorders>
              <w:top w:val="single" w:sz="4" w:space="0" w:color="auto"/>
              <w:left w:val="single" w:sz="4" w:space="0" w:color="auto"/>
              <w:bottom w:val="single" w:sz="4" w:space="0" w:color="auto"/>
              <w:right w:val="single" w:sz="4" w:space="0" w:color="auto"/>
            </w:tcBorders>
            <w:hideMark/>
          </w:tcPr>
          <w:p w14:paraId="00F84366" w14:textId="77777777" w:rsidR="00836512" w:rsidRDefault="00836512">
            <w:pPr>
              <w:jc w:val="center"/>
              <w:rPr>
                <w:rFonts w:eastAsiaTheme="minorHAnsi"/>
                <w:color w:val="000000"/>
                <w:sz w:val="20"/>
                <w:szCs w:val="20"/>
                <w:lang w:val="it-IT"/>
              </w:rPr>
            </w:pPr>
            <w:r>
              <w:rPr>
                <w:rFonts w:eastAsiaTheme="minorHAnsi"/>
                <w:color w:val="000000"/>
                <w:sz w:val="20"/>
                <w:szCs w:val="20"/>
                <w:lang w:val="it-IT"/>
              </w:rPr>
              <w:t>Botromagno</w:t>
            </w:r>
          </w:p>
          <w:p w14:paraId="4F3E515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G67/I p3 e2 S4 = Tomb 4 (T1)</w:t>
            </w:r>
          </w:p>
        </w:tc>
        <w:tc>
          <w:tcPr>
            <w:tcW w:w="1275" w:type="dxa"/>
            <w:tcBorders>
              <w:top w:val="single" w:sz="4" w:space="0" w:color="auto"/>
              <w:left w:val="single" w:sz="4" w:space="0" w:color="auto"/>
              <w:bottom w:val="single" w:sz="4" w:space="0" w:color="auto"/>
              <w:right w:val="single" w:sz="4" w:space="0" w:color="auto"/>
            </w:tcBorders>
            <w:hideMark/>
          </w:tcPr>
          <w:p w14:paraId="24C3FDD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Femur (F3)</w:t>
            </w:r>
          </w:p>
        </w:tc>
        <w:tc>
          <w:tcPr>
            <w:tcW w:w="1134" w:type="dxa"/>
            <w:tcBorders>
              <w:top w:val="single" w:sz="4" w:space="0" w:color="auto"/>
              <w:left w:val="single" w:sz="4" w:space="0" w:color="auto"/>
              <w:bottom w:val="single" w:sz="4" w:space="0" w:color="auto"/>
              <w:right w:val="single" w:sz="4" w:space="0" w:color="auto"/>
            </w:tcBorders>
            <w:hideMark/>
          </w:tcPr>
          <w:p w14:paraId="0DED974B" w14:textId="77777777" w:rsidR="00836512" w:rsidRDefault="00836512">
            <w:pPr>
              <w:jc w:val="center"/>
              <w:rPr>
                <w:rFonts w:eastAsiaTheme="minorHAnsi"/>
                <w:sz w:val="20"/>
                <w:szCs w:val="20"/>
                <w:lang w:val="en-US"/>
              </w:rPr>
            </w:pPr>
            <w:r>
              <w:rPr>
                <w:rFonts w:eastAsiaTheme="minorHAnsi"/>
                <w:sz w:val="20"/>
                <w:szCs w:val="20"/>
                <w:lang w:val="en-US"/>
              </w:rPr>
              <w:t>4.0</w:t>
            </w:r>
          </w:p>
        </w:tc>
        <w:tc>
          <w:tcPr>
            <w:tcW w:w="1314" w:type="dxa"/>
            <w:tcBorders>
              <w:top w:val="single" w:sz="4" w:space="0" w:color="auto"/>
              <w:left w:val="single" w:sz="4" w:space="0" w:color="auto"/>
              <w:bottom w:val="single" w:sz="4" w:space="0" w:color="auto"/>
              <w:right w:val="single" w:sz="4" w:space="0" w:color="auto"/>
            </w:tcBorders>
            <w:hideMark/>
          </w:tcPr>
          <w:p w14:paraId="6ED1D396" w14:textId="77777777" w:rsidR="00836512" w:rsidRDefault="00836512">
            <w:pPr>
              <w:jc w:val="center"/>
              <w:rPr>
                <w:rFonts w:eastAsiaTheme="minorHAnsi"/>
                <w:sz w:val="20"/>
                <w:szCs w:val="20"/>
                <w:lang w:val="en-US"/>
              </w:rPr>
            </w:pPr>
            <w:r>
              <w:rPr>
                <w:rFonts w:eastAsiaTheme="minorHAnsi"/>
                <w:sz w:val="20"/>
                <w:szCs w:val="20"/>
                <w:lang w:val="en-US"/>
              </w:rPr>
              <w:t>-18.6</w:t>
            </w:r>
          </w:p>
        </w:tc>
        <w:tc>
          <w:tcPr>
            <w:tcW w:w="1415" w:type="dxa"/>
            <w:tcBorders>
              <w:top w:val="single" w:sz="4" w:space="0" w:color="auto"/>
              <w:left w:val="single" w:sz="4" w:space="0" w:color="auto"/>
              <w:bottom w:val="single" w:sz="4" w:space="0" w:color="auto"/>
              <w:right w:val="single" w:sz="4" w:space="0" w:color="auto"/>
            </w:tcBorders>
            <w:hideMark/>
          </w:tcPr>
          <w:p w14:paraId="02AF1C4E" w14:textId="77777777" w:rsidR="00836512" w:rsidRDefault="00836512">
            <w:pPr>
              <w:jc w:val="center"/>
              <w:rPr>
                <w:rFonts w:eastAsiaTheme="minorHAnsi"/>
                <w:sz w:val="20"/>
                <w:szCs w:val="20"/>
                <w:lang w:val="en-US"/>
              </w:rPr>
            </w:pPr>
            <w:r>
              <w:rPr>
                <w:rFonts w:eastAsiaTheme="minorHAnsi"/>
                <w:sz w:val="20"/>
                <w:szCs w:val="20"/>
                <w:lang w:val="en-US"/>
              </w:rPr>
              <w:t>11.5</w:t>
            </w:r>
          </w:p>
        </w:tc>
        <w:tc>
          <w:tcPr>
            <w:tcW w:w="1397" w:type="dxa"/>
            <w:tcBorders>
              <w:top w:val="single" w:sz="4" w:space="0" w:color="auto"/>
              <w:left w:val="single" w:sz="4" w:space="0" w:color="auto"/>
              <w:bottom w:val="single" w:sz="4" w:space="0" w:color="auto"/>
              <w:right w:val="single" w:sz="4" w:space="0" w:color="auto"/>
            </w:tcBorders>
            <w:hideMark/>
          </w:tcPr>
          <w:p w14:paraId="12DD84B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5E7DB577" w14:textId="77777777" w:rsidTr="004533C9">
        <w:tc>
          <w:tcPr>
            <w:tcW w:w="2122" w:type="dxa"/>
            <w:vMerge/>
            <w:tcBorders>
              <w:top w:val="single" w:sz="4" w:space="0" w:color="auto"/>
              <w:left w:val="single" w:sz="4" w:space="0" w:color="auto"/>
              <w:bottom w:val="single" w:sz="4" w:space="0" w:color="auto"/>
              <w:right w:val="single" w:sz="4" w:space="0" w:color="auto"/>
            </w:tcBorders>
            <w:vAlign w:val="center"/>
            <w:hideMark/>
          </w:tcPr>
          <w:p w14:paraId="5471E65F" w14:textId="77777777" w:rsidR="00836512" w:rsidRDefault="00836512">
            <w:pPr>
              <w:rPr>
                <w:rFonts w:eastAsiaTheme="minorHAnsi"/>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309FA4F4"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(R5)</w:t>
            </w:r>
          </w:p>
        </w:tc>
        <w:tc>
          <w:tcPr>
            <w:tcW w:w="1134" w:type="dxa"/>
            <w:tcBorders>
              <w:top w:val="single" w:sz="4" w:space="0" w:color="auto"/>
              <w:left w:val="single" w:sz="4" w:space="0" w:color="auto"/>
              <w:bottom w:val="single" w:sz="4" w:space="0" w:color="auto"/>
              <w:right w:val="single" w:sz="4" w:space="0" w:color="auto"/>
            </w:tcBorders>
            <w:hideMark/>
          </w:tcPr>
          <w:p w14:paraId="7787E154" w14:textId="77777777" w:rsidR="00836512" w:rsidRDefault="00836512">
            <w:pPr>
              <w:jc w:val="center"/>
              <w:rPr>
                <w:rFonts w:eastAsiaTheme="minorHAnsi"/>
                <w:sz w:val="20"/>
                <w:szCs w:val="20"/>
                <w:lang w:val="en-US"/>
              </w:rPr>
            </w:pPr>
            <w:r>
              <w:rPr>
                <w:rFonts w:eastAsiaTheme="minorHAnsi"/>
                <w:sz w:val="20"/>
                <w:szCs w:val="20"/>
                <w:lang w:val="en-US"/>
              </w:rPr>
              <w:t>4.0</w:t>
            </w:r>
          </w:p>
        </w:tc>
        <w:tc>
          <w:tcPr>
            <w:tcW w:w="1314" w:type="dxa"/>
            <w:tcBorders>
              <w:top w:val="single" w:sz="4" w:space="0" w:color="auto"/>
              <w:left w:val="single" w:sz="4" w:space="0" w:color="auto"/>
              <w:bottom w:val="single" w:sz="4" w:space="0" w:color="auto"/>
              <w:right w:val="single" w:sz="4" w:space="0" w:color="auto"/>
            </w:tcBorders>
            <w:hideMark/>
          </w:tcPr>
          <w:p w14:paraId="32DC58AA" w14:textId="77777777" w:rsidR="00836512" w:rsidRDefault="00836512">
            <w:pPr>
              <w:jc w:val="center"/>
              <w:rPr>
                <w:rFonts w:eastAsiaTheme="minorHAnsi"/>
                <w:sz w:val="20"/>
                <w:szCs w:val="20"/>
                <w:lang w:val="en-US"/>
              </w:rPr>
            </w:pPr>
            <w:r>
              <w:rPr>
                <w:rFonts w:eastAsiaTheme="minorHAnsi"/>
                <w:sz w:val="20"/>
                <w:szCs w:val="20"/>
                <w:lang w:val="en-US"/>
              </w:rPr>
              <w:t>-19.1</w:t>
            </w:r>
          </w:p>
        </w:tc>
        <w:tc>
          <w:tcPr>
            <w:tcW w:w="1415" w:type="dxa"/>
            <w:tcBorders>
              <w:top w:val="single" w:sz="4" w:space="0" w:color="auto"/>
              <w:left w:val="single" w:sz="4" w:space="0" w:color="auto"/>
              <w:bottom w:val="single" w:sz="4" w:space="0" w:color="auto"/>
              <w:right w:val="single" w:sz="4" w:space="0" w:color="auto"/>
            </w:tcBorders>
            <w:hideMark/>
          </w:tcPr>
          <w:p w14:paraId="4A42430E" w14:textId="77777777" w:rsidR="00836512" w:rsidRDefault="00836512">
            <w:pPr>
              <w:jc w:val="center"/>
              <w:rPr>
                <w:rFonts w:eastAsiaTheme="minorHAnsi"/>
                <w:sz w:val="20"/>
                <w:szCs w:val="20"/>
                <w:lang w:val="en-US"/>
              </w:rPr>
            </w:pPr>
            <w:r>
              <w:rPr>
                <w:rFonts w:eastAsiaTheme="minorHAnsi"/>
                <w:sz w:val="20"/>
                <w:szCs w:val="20"/>
                <w:lang w:val="en-US"/>
              </w:rPr>
              <w:t>9.8</w:t>
            </w:r>
          </w:p>
        </w:tc>
        <w:tc>
          <w:tcPr>
            <w:tcW w:w="1397" w:type="dxa"/>
            <w:tcBorders>
              <w:top w:val="single" w:sz="4" w:space="0" w:color="auto"/>
              <w:left w:val="single" w:sz="4" w:space="0" w:color="auto"/>
              <w:bottom w:val="single" w:sz="4" w:space="0" w:color="auto"/>
              <w:right w:val="single" w:sz="4" w:space="0" w:color="auto"/>
            </w:tcBorders>
            <w:hideMark/>
          </w:tcPr>
          <w:p w14:paraId="6B134CFF"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57A091D0" w14:textId="77777777" w:rsidTr="004533C9">
        <w:tc>
          <w:tcPr>
            <w:tcW w:w="2122" w:type="dxa"/>
            <w:tcBorders>
              <w:top w:val="single" w:sz="4" w:space="0" w:color="auto"/>
              <w:left w:val="single" w:sz="4" w:space="0" w:color="auto"/>
              <w:bottom w:val="single" w:sz="4" w:space="0" w:color="auto"/>
              <w:right w:val="single" w:sz="4" w:space="0" w:color="auto"/>
            </w:tcBorders>
            <w:hideMark/>
          </w:tcPr>
          <w:p w14:paraId="17A7868D" w14:textId="77777777" w:rsidR="00836512" w:rsidRPr="0079060E" w:rsidRDefault="00836512">
            <w:pPr>
              <w:jc w:val="center"/>
              <w:rPr>
                <w:rFonts w:eastAsiaTheme="minorHAnsi"/>
                <w:color w:val="000000"/>
                <w:sz w:val="20"/>
                <w:szCs w:val="20"/>
              </w:rPr>
            </w:pPr>
            <w:r w:rsidRPr="0079060E">
              <w:rPr>
                <w:rFonts w:eastAsiaTheme="minorHAnsi"/>
                <w:color w:val="000000"/>
                <w:sz w:val="20"/>
                <w:szCs w:val="20"/>
              </w:rPr>
              <w:t>Botromagno</w:t>
            </w:r>
          </w:p>
          <w:p w14:paraId="10E18D6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1968 DB 1 Contents of Sarcophagus (T6)</w:t>
            </w:r>
          </w:p>
        </w:tc>
        <w:tc>
          <w:tcPr>
            <w:tcW w:w="1275" w:type="dxa"/>
            <w:tcBorders>
              <w:top w:val="single" w:sz="4" w:space="0" w:color="auto"/>
              <w:left w:val="single" w:sz="4" w:space="0" w:color="auto"/>
              <w:bottom w:val="single" w:sz="4" w:space="0" w:color="auto"/>
              <w:right w:val="single" w:sz="4" w:space="0" w:color="auto"/>
            </w:tcBorders>
            <w:hideMark/>
          </w:tcPr>
          <w:p w14:paraId="37FAEC35"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(R10)</w:t>
            </w:r>
          </w:p>
        </w:tc>
        <w:tc>
          <w:tcPr>
            <w:tcW w:w="1134" w:type="dxa"/>
            <w:tcBorders>
              <w:top w:val="single" w:sz="4" w:space="0" w:color="auto"/>
              <w:left w:val="single" w:sz="4" w:space="0" w:color="auto"/>
              <w:bottom w:val="single" w:sz="4" w:space="0" w:color="auto"/>
              <w:right w:val="single" w:sz="4" w:space="0" w:color="auto"/>
            </w:tcBorders>
            <w:hideMark/>
          </w:tcPr>
          <w:p w14:paraId="304478C8" w14:textId="77777777" w:rsidR="00836512" w:rsidRDefault="00836512">
            <w:pPr>
              <w:jc w:val="center"/>
              <w:rPr>
                <w:rFonts w:eastAsiaTheme="minorHAnsi"/>
                <w:sz w:val="20"/>
                <w:szCs w:val="20"/>
                <w:lang w:val="en-US"/>
              </w:rPr>
            </w:pPr>
            <w:r>
              <w:rPr>
                <w:rFonts w:eastAsiaTheme="minorHAnsi"/>
                <w:sz w:val="20"/>
                <w:szCs w:val="20"/>
                <w:lang w:val="en-US"/>
              </w:rPr>
              <w:t>4.5</w:t>
            </w:r>
          </w:p>
        </w:tc>
        <w:tc>
          <w:tcPr>
            <w:tcW w:w="1314" w:type="dxa"/>
            <w:tcBorders>
              <w:top w:val="single" w:sz="4" w:space="0" w:color="auto"/>
              <w:left w:val="single" w:sz="4" w:space="0" w:color="auto"/>
              <w:bottom w:val="single" w:sz="4" w:space="0" w:color="auto"/>
              <w:right w:val="single" w:sz="4" w:space="0" w:color="auto"/>
            </w:tcBorders>
            <w:hideMark/>
          </w:tcPr>
          <w:p w14:paraId="4DDA6E17" w14:textId="77777777" w:rsidR="00836512" w:rsidRDefault="00836512">
            <w:pPr>
              <w:jc w:val="center"/>
              <w:rPr>
                <w:rFonts w:eastAsiaTheme="minorHAnsi"/>
                <w:sz w:val="20"/>
                <w:szCs w:val="20"/>
                <w:lang w:val="en-US"/>
              </w:rPr>
            </w:pPr>
            <w:r>
              <w:rPr>
                <w:rFonts w:eastAsiaTheme="minorHAnsi"/>
                <w:sz w:val="20"/>
                <w:szCs w:val="20"/>
                <w:lang w:val="en-US"/>
              </w:rPr>
              <w:t>-19.5</w:t>
            </w:r>
          </w:p>
        </w:tc>
        <w:tc>
          <w:tcPr>
            <w:tcW w:w="1415" w:type="dxa"/>
            <w:tcBorders>
              <w:top w:val="single" w:sz="4" w:space="0" w:color="auto"/>
              <w:left w:val="single" w:sz="4" w:space="0" w:color="auto"/>
              <w:bottom w:val="single" w:sz="4" w:space="0" w:color="auto"/>
              <w:right w:val="single" w:sz="4" w:space="0" w:color="auto"/>
            </w:tcBorders>
            <w:hideMark/>
          </w:tcPr>
          <w:p w14:paraId="4FBE559A" w14:textId="77777777" w:rsidR="00836512" w:rsidRDefault="00836512">
            <w:pPr>
              <w:jc w:val="center"/>
              <w:rPr>
                <w:rFonts w:eastAsiaTheme="minorHAnsi"/>
                <w:sz w:val="20"/>
                <w:szCs w:val="20"/>
                <w:lang w:val="en-US"/>
              </w:rPr>
            </w:pPr>
            <w:r>
              <w:rPr>
                <w:rFonts w:eastAsiaTheme="minorHAnsi"/>
                <w:sz w:val="20"/>
                <w:szCs w:val="20"/>
                <w:lang w:val="en-US"/>
              </w:rPr>
              <w:t>11.7</w:t>
            </w:r>
          </w:p>
        </w:tc>
        <w:tc>
          <w:tcPr>
            <w:tcW w:w="1397" w:type="dxa"/>
            <w:tcBorders>
              <w:top w:val="single" w:sz="4" w:space="0" w:color="auto"/>
              <w:left w:val="single" w:sz="4" w:space="0" w:color="auto"/>
              <w:bottom w:val="single" w:sz="4" w:space="0" w:color="auto"/>
              <w:right w:val="single" w:sz="4" w:space="0" w:color="auto"/>
            </w:tcBorders>
            <w:hideMark/>
          </w:tcPr>
          <w:p w14:paraId="53E6C85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F24F3EF" w14:textId="77777777" w:rsidTr="004533C9">
        <w:tc>
          <w:tcPr>
            <w:tcW w:w="2122" w:type="dxa"/>
            <w:vMerge w:val="restart"/>
            <w:tcBorders>
              <w:top w:val="single" w:sz="4" w:space="0" w:color="auto"/>
              <w:left w:val="single" w:sz="4" w:space="0" w:color="auto"/>
              <w:bottom w:val="single" w:sz="4" w:space="0" w:color="auto"/>
              <w:right w:val="single" w:sz="4" w:space="0" w:color="auto"/>
            </w:tcBorders>
            <w:hideMark/>
          </w:tcPr>
          <w:p w14:paraId="4606BB18" w14:textId="77777777" w:rsidR="00836512" w:rsidRPr="0079060E" w:rsidRDefault="00836512">
            <w:pPr>
              <w:jc w:val="center"/>
              <w:rPr>
                <w:rFonts w:eastAsiaTheme="minorHAnsi"/>
                <w:color w:val="000000"/>
                <w:sz w:val="20"/>
                <w:szCs w:val="20"/>
              </w:rPr>
            </w:pPr>
            <w:r w:rsidRPr="0079060E">
              <w:rPr>
                <w:rFonts w:eastAsiaTheme="minorHAnsi"/>
                <w:color w:val="000000"/>
                <w:sz w:val="20"/>
                <w:szCs w:val="20"/>
              </w:rPr>
              <w:t>Botromagno</w:t>
            </w:r>
          </w:p>
          <w:p w14:paraId="0B445C1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G67/I S5 small tomb (T7)</w:t>
            </w:r>
          </w:p>
        </w:tc>
        <w:tc>
          <w:tcPr>
            <w:tcW w:w="1275" w:type="dxa"/>
            <w:tcBorders>
              <w:top w:val="single" w:sz="4" w:space="0" w:color="auto"/>
              <w:left w:val="single" w:sz="4" w:space="0" w:color="auto"/>
              <w:bottom w:val="single" w:sz="4" w:space="0" w:color="auto"/>
              <w:right w:val="single" w:sz="4" w:space="0" w:color="auto"/>
            </w:tcBorders>
            <w:hideMark/>
          </w:tcPr>
          <w:p w14:paraId="588DA61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Femur (F5)</w:t>
            </w:r>
          </w:p>
        </w:tc>
        <w:tc>
          <w:tcPr>
            <w:tcW w:w="1134" w:type="dxa"/>
            <w:tcBorders>
              <w:top w:val="single" w:sz="4" w:space="0" w:color="auto"/>
              <w:left w:val="single" w:sz="4" w:space="0" w:color="auto"/>
              <w:bottom w:val="single" w:sz="4" w:space="0" w:color="auto"/>
              <w:right w:val="single" w:sz="4" w:space="0" w:color="auto"/>
            </w:tcBorders>
            <w:hideMark/>
          </w:tcPr>
          <w:p w14:paraId="4D288722" w14:textId="77777777" w:rsidR="00836512" w:rsidRDefault="00836512">
            <w:pPr>
              <w:jc w:val="center"/>
              <w:rPr>
                <w:rFonts w:eastAsiaTheme="minorHAnsi"/>
                <w:sz w:val="20"/>
                <w:szCs w:val="20"/>
                <w:lang w:val="en-US"/>
              </w:rPr>
            </w:pPr>
            <w:r>
              <w:rPr>
                <w:rFonts w:eastAsiaTheme="minorHAnsi"/>
                <w:sz w:val="20"/>
                <w:szCs w:val="20"/>
                <w:lang w:val="en-US"/>
              </w:rPr>
              <w:t>3.0</w:t>
            </w:r>
          </w:p>
        </w:tc>
        <w:tc>
          <w:tcPr>
            <w:tcW w:w="1314" w:type="dxa"/>
            <w:tcBorders>
              <w:top w:val="single" w:sz="4" w:space="0" w:color="auto"/>
              <w:left w:val="single" w:sz="4" w:space="0" w:color="auto"/>
              <w:bottom w:val="single" w:sz="4" w:space="0" w:color="auto"/>
              <w:right w:val="single" w:sz="4" w:space="0" w:color="auto"/>
            </w:tcBorders>
            <w:hideMark/>
          </w:tcPr>
          <w:p w14:paraId="26D4FC98" w14:textId="77777777" w:rsidR="00836512" w:rsidRDefault="00836512">
            <w:pPr>
              <w:jc w:val="center"/>
              <w:rPr>
                <w:rFonts w:eastAsiaTheme="minorHAnsi"/>
                <w:sz w:val="20"/>
                <w:szCs w:val="20"/>
                <w:lang w:val="en-US"/>
              </w:rPr>
            </w:pPr>
            <w:r>
              <w:rPr>
                <w:rFonts w:eastAsiaTheme="minorHAnsi"/>
                <w:sz w:val="20"/>
                <w:szCs w:val="20"/>
                <w:lang w:val="en-US"/>
              </w:rPr>
              <w:t>-19.1</w:t>
            </w:r>
          </w:p>
        </w:tc>
        <w:tc>
          <w:tcPr>
            <w:tcW w:w="1415" w:type="dxa"/>
            <w:tcBorders>
              <w:top w:val="single" w:sz="4" w:space="0" w:color="auto"/>
              <w:left w:val="single" w:sz="4" w:space="0" w:color="auto"/>
              <w:bottom w:val="single" w:sz="4" w:space="0" w:color="auto"/>
              <w:right w:val="single" w:sz="4" w:space="0" w:color="auto"/>
            </w:tcBorders>
            <w:hideMark/>
          </w:tcPr>
          <w:p w14:paraId="53EB1382" w14:textId="77777777" w:rsidR="00836512" w:rsidRDefault="00836512">
            <w:pPr>
              <w:jc w:val="center"/>
              <w:rPr>
                <w:rFonts w:eastAsiaTheme="minorHAnsi"/>
                <w:sz w:val="20"/>
                <w:szCs w:val="20"/>
                <w:lang w:val="en-US"/>
              </w:rPr>
            </w:pPr>
            <w:r>
              <w:rPr>
                <w:rFonts w:eastAsiaTheme="minorHAnsi"/>
                <w:sz w:val="20"/>
                <w:szCs w:val="20"/>
                <w:lang w:val="en-US"/>
              </w:rPr>
              <w:t>12.1</w:t>
            </w:r>
          </w:p>
        </w:tc>
        <w:tc>
          <w:tcPr>
            <w:tcW w:w="1397" w:type="dxa"/>
            <w:tcBorders>
              <w:top w:val="single" w:sz="4" w:space="0" w:color="auto"/>
              <w:left w:val="single" w:sz="4" w:space="0" w:color="auto"/>
              <w:bottom w:val="single" w:sz="4" w:space="0" w:color="auto"/>
              <w:right w:val="single" w:sz="4" w:space="0" w:color="auto"/>
            </w:tcBorders>
            <w:hideMark/>
          </w:tcPr>
          <w:p w14:paraId="7C58363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1C1E2F17" w14:textId="77777777" w:rsidTr="004533C9">
        <w:tc>
          <w:tcPr>
            <w:tcW w:w="2122" w:type="dxa"/>
            <w:vMerge/>
            <w:tcBorders>
              <w:top w:val="single" w:sz="4" w:space="0" w:color="auto"/>
              <w:left w:val="single" w:sz="4" w:space="0" w:color="auto"/>
              <w:bottom w:val="single" w:sz="4" w:space="0" w:color="auto"/>
              <w:right w:val="single" w:sz="4" w:space="0" w:color="auto"/>
            </w:tcBorders>
            <w:vAlign w:val="center"/>
            <w:hideMark/>
          </w:tcPr>
          <w:p w14:paraId="27AEFFC0" w14:textId="77777777" w:rsidR="00836512" w:rsidRDefault="00836512">
            <w:pPr>
              <w:rPr>
                <w:rFonts w:eastAsiaTheme="minorHAnsi"/>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7F96401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(R11)</w:t>
            </w:r>
          </w:p>
        </w:tc>
        <w:tc>
          <w:tcPr>
            <w:tcW w:w="1134" w:type="dxa"/>
            <w:tcBorders>
              <w:top w:val="single" w:sz="4" w:space="0" w:color="auto"/>
              <w:left w:val="single" w:sz="4" w:space="0" w:color="auto"/>
              <w:bottom w:val="single" w:sz="4" w:space="0" w:color="auto"/>
              <w:right w:val="single" w:sz="4" w:space="0" w:color="auto"/>
            </w:tcBorders>
            <w:hideMark/>
          </w:tcPr>
          <w:p w14:paraId="422690CC" w14:textId="77777777" w:rsidR="00836512" w:rsidRDefault="00836512">
            <w:pPr>
              <w:jc w:val="center"/>
              <w:rPr>
                <w:rFonts w:eastAsiaTheme="minorHAnsi"/>
                <w:sz w:val="20"/>
                <w:szCs w:val="20"/>
                <w:lang w:val="en-US"/>
              </w:rPr>
            </w:pPr>
            <w:r>
              <w:rPr>
                <w:rFonts w:eastAsiaTheme="minorHAnsi"/>
                <w:sz w:val="20"/>
                <w:szCs w:val="20"/>
                <w:lang w:val="en-US"/>
              </w:rPr>
              <w:t>3.0</w:t>
            </w:r>
          </w:p>
        </w:tc>
        <w:tc>
          <w:tcPr>
            <w:tcW w:w="1314" w:type="dxa"/>
            <w:tcBorders>
              <w:top w:val="single" w:sz="4" w:space="0" w:color="auto"/>
              <w:left w:val="single" w:sz="4" w:space="0" w:color="auto"/>
              <w:bottom w:val="single" w:sz="4" w:space="0" w:color="auto"/>
              <w:right w:val="single" w:sz="4" w:space="0" w:color="auto"/>
            </w:tcBorders>
            <w:hideMark/>
          </w:tcPr>
          <w:p w14:paraId="5C8DAA1D" w14:textId="77777777" w:rsidR="00836512" w:rsidRDefault="00836512">
            <w:pPr>
              <w:jc w:val="center"/>
              <w:rPr>
                <w:rFonts w:eastAsiaTheme="minorHAnsi"/>
                <w:sz w:val="20"/>
                <w:szCs w:val="20"/>
                <w:lang w:val="en-US"/>
              </w:rPr>
            </w:pPr>
            <w:r>
              <w:rPr>
                <w:rFonts w:eastAsiaTheme="minorHAnsi"/>
                <w:sz w:val="20"/>
                <w:szCs w:val="20"/>
                <w:lang w:val="en-US"/>
              </w:rPr>
              <w:t>-19.4</w:t>
            </w:r>
          </w:p>
        </w:tc>
        <w:tc>
          <w:tcPr>
            <w:tcW w:w="1415" w:type="dxa"/>
            <w:tcBorders>
              <w:top w:val="single" w:sz="4" w:space="0" w:color="auto"/>
              <w:left w:val="single" w:sz="4" w:space="0" w:color="auto"/>
              <w:bottom w:val="single" w:sz="4" w:space="0" w:color="auto"/>
              <w:right w:val="single" w:sz="4" w:space="0" w:color="auto"/>
            </w:tcBorders>
            <w:hideMark/>
          </w:tcPr>
          <w:p w14:paraId="41C409BB" w14:textId="77777777" w:rsidR="00836512" w:rsidRDefault="00836512">
            <w:pPr>
              <w:jc w:val="center"/>
              <w:rPr>
                <w:rFonts w:eastAsiaTheme="minorHAnsi"/>
                <w:sz w:val="20"/>
                <w:szCs w:val="20"/>
                <w:lang w:val="en-US"/>
              </w:rPr>
            </w:pPr>
            <w:r>
              <w:rPr>
                <w:rFonts w:eastAsiaTheme="minorHAnsi"/>
                <w:sz w:val="20"/>
                <w:szCs w:val="20"/>
                <w:lang w:val="en-US"/>
              </w:rPr>
              <w:t>11.5</w:t>
            </w:r>
          </w:p>
        </w:tc>
        <w:tc>
          <w:tcPr>
            <w:tcW w:w="1397" w:type="dxa"/>
            <w:tcBorders>
              <w:top w:val="single" w:sz="4" w:space="0" w:color="auto"/>
              <w:left w:val="single" w:sz="4" w:space="0" w:color="auto"/>
              <w:bottom w:val="single" w:sz="4" w:space="0" w:color="auto"/>
              <w:right w:val="single" w:sz="4" w:space="0" w:color="auto"/>
            </w:tcBorders>
            <w:hideMark/>
          </w:tcPr>
          <w:p w14:paraId="18B613B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423BCF7" w14:textId="77777777" w:rsidTr="004533C9">
        <w:tc>
          <w:tcPr>
            <w:tcW w:w="2122" w:type="dxa"/>
            <w:vMerge w:val="restart"/>
            <w:tcBorders>
              <w:top w:val="single" w:sz="4" w:space="0" w:color="auto"/>
              <w:left w:val="single" w:sz="4" w:space="0" w:color="auto"/>
              <w:bottom w:val="single" w:sz="4" w:space="0" w:color="auto"/>
              <w:right w:val="single" w:sz="4" w:space="0" w:color="auto"/>
            </w:tcBorders>
            <w:hideMark/>
          </w:tcPr>
          <w:p w14:paraId="4D014B43" w14:textId="77777777" w:rsidR="00836512" w:rsidRPr="0079060E" w:rsidRDefault="00836512">
            <w:pPr>
              <w:jc w:val="center"/>
              <w:rPr>
                <w:rFonts w:eastAsiaTheme="minorHAnsi"/>
                <w:color w:val="000000"/>
                <w:sz w:val="20"/>
                <w:szCs w:val="20"/>
              </w:rPr>
            </w:pPr>
            <w:r w:rsidRPr="0079060E">
              <w:rPr>
                <w:rFonts w:eastAsiaTheme="minorHAnsi"/>
                <w:color w:val="000000"/>
                <w:sz w:val="20"/>
                <w:szCs w:val="20"/>
              </w:rPr>
              <w:t>Botromagno</w:t>
            </w:r>
          </w:p>
          <w:p w14:paraId="45B1353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G67 Site C RZ3 Pit 3 Tomb infill (T12)</w:t>
            </w:r>
          </w:p>
        </w:tc>
        <w:tc>
          <w:tcPr>
            <w:tcW w:w="1275" w:type="dxa"/>
            <w:tcBorders>
              <w:top w:val="single" w:sz="4" w:space="0" w:color="auto"/>
              <w:left w:val="single" w:sz="4" w:space="0" w:color="auto"/>
              <w:bottom w:val="single" w:sz="4" w:space="0" w:color="auto"/>
              <w:right w:val="single" w:sz="4" w:space="0" w:color="auto"/>
            </w:tcBorders>
            <w:hideMark/>
          </w:tcPr>
          <w:p w14:paraId="3A542E3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Femur (F6)</w:t>
            </w:r>
          </w:p>
        </w:tc>
        <w:tc>
          <w:tcPr>
            <w:tcW w:w="1134" w:type="dxa"/>
            <w:tcBorders>
              <w:top w:val="single" w:sz="4" w:space="0" w:color="auto"/>
              <w:left w:val="single" w:sz="4" w:space="0" w:color="auto"/>
              <w:bottom w:val="single" w:sz="4" w:space="0" w:color="auto"/>
              <w:right w:val="single" w:sz="4" w:space="0" w:color="auto"/>
            </w:tcBorders>
            <w:hideMark/>
          </w:tcPr>
          <w:p w14:paraId="4A7DD1A4" w14:textId="77777777" w:rsidR="00836512" w:rsidRDefault="00836512">
            <w:pPr>
              <w:jc w:val="center"/>
              <w:rPr>
                <w:rFonts w:eastAsiaTheme="minorHAnsi"/>
                <w:sz w:val="20"/>
                <w:szCs w:val="20"/>
                <w:lang w:val="en-US"/>
              </w:rPr>
            </w:pPr>
            <w:r>
              <w:rPr>
                <w:rFonts w:eastAsiaTheme="minorHAnsi"/>
                <w:sz w:val="20"/>
                <w:szCs w:val="20"/>
                <w:lang w:val="en-US"/>
              </w:rPr>
              <w:t>9.0</w:t>
            </w:r>
          </w:p>
        </w:tc>
        <w:tc>
          <w:tcPr>
            <w:tcW w:w="1314" w:type="dxa"/>
            <w:tcBorders>
              <w:top w:val="single" w:sz="4" w:space="0" w:color="auto"/>
              <w:left w:val="single" w:sz="4" w:space="0" w:color="auto"/>
              <w:bottom w:val="single" w:sz="4" w:space="0" w:color="auto"/>
              <w:right w:val="single" w:sz="4" w:space="0" w:color="auto"/>
            </w:tcBorders>
            <w:hideMark/>
          </w:tcPr>
          <w:p w14:paraId="57E05C5D" w14:textId="77777777" w:rsidR="00836512" w:rsidRDefault="00836512">
            <w:pPr>
              <w:jc w:val="center"/>
              <w:rPr>
                <w:rFonts w:eastAsiaTheme="minorHAnsi"/>
                <w:sz w:val="20"/>
                <w:szCs w:val="20"/>
                <w:lang w:val="en-US"/>
              </w:rPr>
            </w:pPr>
            <w:r>
              <w:rPr>
                <w:rFonts w:eastAsiaTheme="minorHAnsi"/>
                <w:sz w:val="20"/>
                <w:szCs w:val="20"/>
                <w:lang w:val="en-US"/>
              </w:rPr>
              <w:t>-19.4</w:t>
            </w:r>
          </w:p>
        </w:tc>
        <w:tc>
          <w:tcPr>
            <w:tcW w:w="1415" w:type="dxa"/>
            <w:tcBorders>
              <w:top w:val="single" w:sz="4" w:space="0" w:color="auto"/>
              <w:left w:val="single" w:sz="4" w:space="0" w:color="auto"/>
              <w:bottom w:val="single" w:sz="4" w:space="0" w:color="auto"/>
              <w:right w:val="single" w:sz="4" w:space="0" w:color="auto"/>
            </w:tcBorders>
            <w:hideMark/>
          </w:tcPr>
          <w:p w14:paraId="5544492E" w14:textId="77777777" w:rsidR="00836512" w:rsidRDefault="00836512">
            <w:pPr>
              <w:jc w:val="center"/>
              <w:rPr>
                <w:rFonts w:eastAsiaTheme="minorHAnsi"/>
                <w:sz w:val="20"/>
                <w:szCs w:val="20"/>
                <w:lang w:val="en-US"/>
              </w:rPr>
            </w:pPr>
            <w:r>
              <w:rPr>
                <w:rFonts w:eastAsiaTheme="minorHAnsi"/>
                <w:sz w:val="20"/>
                <w:szCs w:val="20"/>
                <w:lang w:val="en-US"/>
              </w:rPr>
              <w:t>9.9</w:t>
            </w:r>
          </w:p>
        </w:tc>
        <w:tc>
          <w:tcPr>
            <w:tcW w:w="1397" w:type="dxa"/>
            <w:tcBorders>
              <w:top w:val="single" w:sz="4" w:space="0" w:color="auto"/>
              <w:left w:val="single" w:sz="4" w:space="0" w:color="auto"/>
              <w:bottom w:val="single" w:sz="4" w:space="0" w:color="auto"/>
              <w:right w:val="single" w:sz="4" w:space="0" w:color="auto"/>
            </w:tcBorders>
            <w:hideMark/>
          </w:tcPr>
          <w:p w14:paraId="37B84B0B"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3.4</w:t>
            </w:r>
          </w:p>
        </w:tc>
      </w:tr>
      <w:tr w:rsidR="00836512" w14:paraId="08874C17" w14:textId="77777777" w:rsidTr="004533C9">
        <w:tc>
          <w:tcPr>
            <w:tcW w:w="2122" w:type="dxa"/>
            <w:vMerge/>
            <w:tcBorders>
              <w:top w:val="single" w:sz="4" w:space="0" w:color="auto"/>
              <w:left w:val="single" w:sz="4" w:space="0" w:color="auto"/>
              <w:bottom w:val="single" w:sz="4" w:space="0" w:color="auto"/>
              <w:right w:val="single" w:sz="4" w:space="0" w:color="auto"/>
            </w:tcBorders>
            <w:vAlign w:val="center"/>
            <w:hideMark/>
          </w:tcPr>
          <w:p w14:paraId="5A150CA5" w14:textId="77777777" w:rsidR="00836512" w:rsidRDefault="00836512">
            <w:pPr>
              <w:rPr>
                <w:rFonts w:eastAsiaTheme="minorHAnsi"/>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749309A1"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(R6)</w:t>
            </w:r>
          </w:p>
        </w:tc>
        <w:tc>
          <w:tcPr>
            <w:tcW w:w="1134" w:type="dxa"/>
            <w:tcBorders>
              <w:top w:val="single" w:sz="4" w:space="0" w:color="auto"/>
              <w:left w:val="single" w:sz="4" w:space="0" w:color="auto"/>
              <w:bottom w:val="single" w:sz="4" w:space="0" w:color="auto"/>
              <w:right w:val="single" w:sz="4" w:space="0" w:color="auto"/>
            </w:tcBorders>
            <w:hideMark/>
          </w:tcPr>
          <w:p w14:paraId="47E550B6" w14:textId="77777777" w:rsidR="00836512" w:rsidRDefault="00836512">
            <w:pPr>
              <w:jc w:val="center"/>
              <w:rPr>
                <w:rFonts w:eastAsiaTheme="minorHAnsi"/>
                <w:sz w:val="20"/>
                <w:szCs w:val="20"/>
                <w:lang w:val="en-US"/>
              </w:rPr>
            </w:pPr>
            <w:r>
              <w:rPr>
                <w:rFonts w:eastAsiaTheme="minorHAnsi"/>
                <w:sz w:val="20"/>
                <w:szCs w:val="20"/>
                <w:lang w:val="en-US"/>
              </w:rPr>
              <w:t>9.0</w:t>
            </w:r>
          </w:p>
        </w:tc>
        <w:tc>
          <w:tcPr>
            <w:tcW w:w="1314" w:type="dxa"/>
            <w:tcBorders>
              <w:top w:val="single" w:sz="4" w:space="0" w:color="auto"/>
              <w:left w:val="single" w:sz="4" w:space="0" w:color="auto"/>
              <w:bottom w:val="single" w:sz="4" w:space="0" w:color="auto"/>
              <w:right w:val="single" w:sz="4" w:space="0" w:color="auto"/>
            </w:tcBorders>
            <w:hideMark/>
          </w:tcPr>
          <w:p w14:paraId="43562D42" w14:textId="77777777" w:rsidR="00836512" w:rsidRDefault="00836512">
            <w:pPr>
              <w:jc w:val="center"/>
              <w:rPr>
                <w:rFonts w:eastAsiaTheme="minorHAnsi"/>
                <w:sz w:val="20"/>
                <w:szCs w:val="20"/>
                <w:lang w:val="en-US"/>
              </w:rPr>
            </w:pPr>
            <w:r>
              <w:rPr>
                <w:rFonts w:eastAsiaTheme="minorHAnsi"/>
                <w:sz w:val="20"/>
                <w:szCs w:val="20"/>
                <w:lang w:val="en-US"/>
              </w:rPr>
              <w:t>-19.8</w:t>
            </w:r>
          </w:p>
        </w:tc>
        <w:tc>
          <w:tcPr>
            <w:tcW w:w="1415" w:type="dxa"/>
            <w:tcBorders>
              <w:top w:val="single" w:sz="4" w:space="0" w:color="auto"/>
              <w:left w:val="single" w:sz="4" w:space="0" w:color="auto"/>
              <w:bottom w:val="single" w:sz="4" w:space="0" w:color="auto"/>
              <w:right w:val="single" w:sz="4" w:space="0" w:color="auto"/>
            </w:tcBorders>
            <w:hideMark/>
          </w:tcPr>
          <w:p w14:paraId="5C132055" w14:textId="77777777" w:rsidR="00836512" w:rsidRDefault="00836512">
            <w:pPr>
              <w:jc w:val="center"/>
              <w:rPr>
                <w:rFonts w:eastAsiaTheme="minorHAnsi"/>
                <w:sz w:val="20"/>
                <w:szCs w:val="20"/>
                <w:lang w:val="en-US"/>
              </w:rPr>
            </w:pPr>
            <w:r>
              <w:rPr>
                <w:rFonts w:eastAsiaTheme="minorHAnsi"/>
                <w:sz w:val="20"/>
                <w:szCs w:val="20"/>
                <w:lang w:val="en-US"/>
              </w:rPr>
              <w:t>9.6</w:t>
            </w:r>
          </w:p>
        </w:tc>
        <w:tc>
          <w:tcPr>
            <w:tcW w:w="1397" w:type="dxa"/>
            <w:tcBorders>
              <w:top w:val="single" w:sz="4" w:space="0" w:color="auto"/>
              <w:left w:val="single" w:sz="4" w:space="0" w:color="auto"/>
              <w:bottom w:val="single" w:sz="4" w:space="0" w:color="auto"/>
              <w:right w:val="single" w:sz="4" w:space="0" w:color="auto"/>
            </w:tcBorders>
            <w:hideMark/>
          </w:tcPr>
          <w:p w14:paraId="64CC312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24B13157" w14:textId="77777777" w:rsidTr="004533C9">
        <w:tc>
          <w:tcPr>
            <w:tcW w:w="2122" w:type="dxa"/>
            <w:vMerge w:val="restart"/>
            <w:tcBorders>
              <w:top w:val="single" w:sz="4" w:space="0" w:color="auto"/>
              <w:left w:val="single" w:sz="4" w:space="0" w:color="auto"/>
              <w:bottom w:val="single" w:sz="4" w:space="0" w:color="auto"/>
              <w:right w:val="single" w:sz="4" w:space="0" w:color="auto"/>
            </w:tcBorders>
            <w:hideMark/>
          </w:tcPr>
          <w:p w14:paraId="497EBF6F" w14:textId="77777777" w:rsidR="00836512" w:rsidRPr="0079060E" w:rsidRDefault="00836512">
            <w:pPr>
              <w:jc w:val="center"/>
              <w:rPr>
                <w:rFonts w:eastAsiaTheme="minorHAnsi"/>
                <w:color w:val="000000"/>
                <w:sz w:val="20"/>
                <w:szCs w:val="20"/>
                <w:lang w:val="it-IT"/>
              </w:rPr>
            </w:pPr>
            <w:r w:rsidRPr="0079060E">
              <w:rPr>
                <w:rFonts w:eastAsiaTheme="minorHAnsi"/>
                <w:color w:val="000000"/>
                <w:sz w:val="20"/>
                <w:szCs w:val="20"/>
                <w:lang w:val="it-IT"/>
              </w:rPr>
              <w:t>Parco San Stefano</w:t>
            </w:r>
          </w:p>
          <w:p w14:paraId="1E82DE31" w14:textId="77777777" w:rsidR="00836512" w:rsidRPr="0079060E" w:rsidRDefault="00836512">
            <w:pPr>
              <w:jc w:val="center"/>
              <w:rPr>
                <w:rFonts w:eastAsiaTheme="minorHAnsi"/>
                <w:color w:val="000000"/>
                <w:sz w:val="20"/>
                <w:szCs w:val="20"/>
                <w:lang w:val="it-IT"/>
              </w:rPr>
            </w:pPr>
            <w:r w:rsidRPr="0079060E">
              <w:rPr>
                <w:rFonts w:eastAsiaTheme="minorHAnsi"/>
                <w:color w:val="000000"/>
                <w:sz w:val="20"/>
                <w:szCs w:val="20"/>
                <w:lang w:val="it-IT"/>
              </w:rPr>
              <w:t>22/5/67 Tomba 30 (T2)</w:t>
            </w:r>
          </w:p>
        </w:tc>
        <w:tc>
          <w:tcPr>
            <w:tcW w:w="1275" w:type="dxa"/>
            <w:tcBorders>
              <w:top w:val="single" w:sz="4" w:space="0" w:color="auto"/>
              <w:left w:val="single" w:sz="4" w:space="0" w:color="auto"/>
              <w:bottom w:val="single" w:sz="4" w:space="0" w:color="auto"/>
              <w:right w:val="single" w:sz="4" w:space="0" w:color="auto"/>
            </w:tcBorders>
            <w:hideMark/>
          </w:tcPr>
          <w:p w14:paraId="1D92C19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Femur (F7)</w:t>
            </w:r>
          </w:p>
        </w:tc>
        <w:tc>
          <w:tcPr>
            <w:tcW w:w="1134" w:type="dxa"/>
            <w:tcBorders>
              <w:top w:val="single" w:sz="4" w:space="0" w:color="auto"/>
              <w:left w:val="single" w:sz="4" w:space="0" w:color="auto"/>
              <w:bottom w:val="single" w:sz="4" w:space="0" w:color="auto"/>
              <w:right w:val="single" w:sz="4" w:space="0" w:color="auto"/>
            </w:tcBorders>
            <w:hideMark/>
          </w:tcPr>
          <w:p w14:paraId="221A6646" w14:textId="77777777" w:rsidR="00836512" w:rsidRDefault="00836512">
            <w:pPr>
              <w:jc w:val="center"/>
              <w:rPr>
                <w:rFonts w:eastAsiaTheme="minorHAnsi"/>
                <w:sz w:val="20"/>
                <w:szCs w:val="20"/>
                <w:lang w:val="en-US"/>
              </w:rPr>
            </w:pPr>
            <w:r>
              <w:rPr>
                <w:rFonts w:eastAsiaTheme="minorHAnsi"/>
                <w:sz w:val="20"/>
                <w:szCs w:val="20"/>
                <w:lang w:val="en-US"/>
              </w:rPr>
              <w:t>8.0</w:t>
            </w:r>
          </w:p>
        </w:tc>
        <w:tc>
          <w:tcPr>
            <w:tcW w:w="1314" w:type="dxa"/>
            <w:tcBorders>
              <w:top w:val="single" w:sz="4" w:space="0" w:color="auto"/>
              <w:left w:val="single" w:sz="4" w:space="0" w:color="auto"/>
              <w:bottom w:val="single" w:sz="4" w:space="0" w:color="auto"/>
              <w:right w:val="single" w:sz="4" w:space="0" w:color="auto"/>
            </w:tcBorders>
            <w:hideMark/>
          </w:tcPr>
          <w:p w14:paraId="69D254C8" w14:textId="77777777" w:rsidR="00836512" w:rsidRDefault="00836512">
            <w:pPr>
              <w:jc w:val="center"/>
              <w:rPr>
                <w:rFonts w:eastAsiaTheme="minorHAnsi"/>
                <w:sz w:val="20"/>
                <w:szCs w:val="20"/>
                <w:lang w:val="en-US"/>
              </w:rPr>
            </w:pPr>
            <w:r>
              <w:rPr>
                <w:rFonts w:eastAsiaTheme="minorHAnsi"/>
                <w:sz w:val="20"/>
                <w:szCs w:val="20"/>
                <w:lang w:val="en-US"/>
              </w:rPr>
              <w:t>-19.7</w:t>
            </w:r>
          </w:p>
        </w:tc>
        <w:tc>
          <w:tcPr>
            <w:tcW w:w="1415" w:type="dxa"/>
            <w:tcBorders>
              <w:top w:val="single" w:sz="4" w:space="0" w:color="auto"/>
              <w:left w:val="single" w:sz="4" w:space="0" w:color="auto"/>
              <w:bottom w:val="single" w:sz="4" w:space="0" w:color="auto"/>
              <w:right w:val="single" w:sz="4" w:space="0" w:color="auto"/>
            </w:tcBorders>
            <w:hideMark/>
          </w:tcPr>
          <w:p w14:paraId="450B7631" w14:textId="77777777" w:rsidR="00836512" w:rsidRDefault="00836512">
            <w:pPr>
              <w:jc w:val="center"/>
              <w:rPr>
                <w:rFonts w:eastAsiaTheme="minorHAnsi"/>
                <w:sz w:val="20"/>
                <w:szCs w:val="20"/>
                <w:lang w:val="en-US"/>
              </w:rPr>
            </w:pPr>
            <w:r>
              <w:rPr>
                <w:rFonts w:eastAsiaTheme="minorHAnsi"/>
                <w:sz w:val="20"/>
                <w:szCs w:val="20"/>
                <w:lang w:val="en-US"/>
              </w:rPr>
              <w:t>11.1</w:t>
            </w:r>
          </w:p>
        </w:tc>
        <w:tc>
          <w:tcPr>
            <w:tcW w:w="1397" w:type="dxa"/>
            <w:tcBorders>
              <w:top w:val="single" w:sz="4" w:space="0" w:color="auto"/>
              <w:left w:val="single" w:sz="4" w:space="0" w:color="auto"/>
              <w:bottom w:val="single" w:sz="4" w:space="0" w:color="auto"/>
              <w:right w:val="single" w:sz="4" w:space="0" w:color="auto"/>
            </w:tcBorders>
            <w:hideMark/>
          </w:tcPr>
          <w:p w14:paraId="63C2011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413325FD" w14:textId="77777777" w:rsidTr="004533C9">
        <w:tc>
          <w:tcPr>
            <w:tcW w:w="2122" w:type="dxa"/>
            <w:vMerge/>
            <w:tcBorders>
              <w:top w:val="single" w:sz="4" w:space="0" w:color="auto"/>
              <w:left w:val="single" w:sz="4" w:space="0" w:color="auto"/>
              <w:bottom w:val="single" w:sz="4" w:space="0" w:color="auto"/>
              <w:right w:val="single" w:sz="4" w:space="0" w:color="auto"/>
            </w:tcBorders>
            <w:vAlign w:val="center"/>
            <w:hideMark/>
          </w:tcPr>
          <w:p w14:paraId="3CBEA9DA" w14:textId="77777777" w:rsidR="00836512" w:rsidRDefault="00836512">
            <w:pPr>
              <w:rPr>
                <w:rFonts w:eastAsiaTheme="minorHAnsi"/>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7986E27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(R7)</w:t>
            </w:r>
          </w:p>
        </w:tc>
        <w:tc>
          <w:tcPr>
            <w:tcW w:w="1134" w:type="dxa"/>
            <w:tcBorders>
              <w:top w:val="single" w:sz="4" w:space="0" w:color="auto"/>
              <w:left w:val="single" w:sz="4" w:space="0" w:color="auto"/>
              <w:bottom w:val="single" w:sz="4" w:space="0" w:color="auto"/>
              <w:right w:val="single" w:sz="4" w:space="0" w:color="auto"/>
            </w:tcBorders>
            <w:hideMark/>
          </w:tcPr>
          <w:p w14:paraId="46AADA01" w14:textId="77777777" w:rsidR="00836512" w:rsidRDefault="00836512">
            <w:pPr>
              <w:jc w:val="center"/>
              <w:rPr>
                <w:rFonts w:eastAsiaTheme="minorHAnsi"/>
                <w:sz w:val="20"/>
                <w:szCs w:val="20"/>
                <w:lang w:val="en-US"/>
              </w:rPr>
            </w:pPr>
            <w:r>
              <w:rPr>
                <w:rFonts w:eastAsiaTheme="minorHAnsi"/>
                <w:sz w:val="20"/>
                <w:szCs w:val="20"/>
                <w:lang w:val="en-US"/>
              </w:rPr>
              <w:t>8.0</w:t>
            </w:r>
          </w:p>
        </w:tc>
        <w:tc>
          <w:tcPr>
            <w:tcW w:w="1314" w:type="dxa"/>
            <w:tcBorders>
              <w:top w:val="single" w:sz="4" w:space="0" w:color="auto"/>
              <w:left w:val="single" w:sz="4" w:space="0" w:color="auto"/>
              <w:bottom w:val="single" w:sz="4" w:space="0" w:color="auto"/>
              <w:right w:val="single" w:sz="4" w:space="0" w:color="auto"/>
            </w:tcBorders>
            <w:hideMark/>
          </w:tcPr>
          <w:p w14:paraId="237A2C0F" w14:textId="77777777" w:rsidR="00836512" w:rsidRDefault="00836512">
            <w:pPr>
              <w:jc w:val="center"/>
              <w:rPr>
                <w:rFonts w:eastAsiaTheme="minorHAnsi"/>
                <w:sz w:val="20"/>
                <w:szCs w:val="20"/>
                <w:lang w:val="en-US"/>
              </w:rPr>
            </w:pPr>
            <w:r>
              <w:rPr>
                <w:rFonts w:eastAsiaTheme="minorHAnsi"/>
                <w:sz w:val="20"/>
                <w:szCs w:val="20"/>
                <w:lang w:val="en-US"/>
              </w:rPr>
              <w:t>-19.5</w:t>
            </w:r>
          </w:p>
        </w:tc>
        <w:tc>
          <w:tcPr>
            <w:tcW w:w="1415" w:type="dxa"/>
            <w:tcBorders>
              <w:top w:val="single" w:sz="4" w:space="0" w:color="auto"/>
              <w:left w:val="single" w:sz="4" w:space="0" w:color="auto"/>
              <w:bottom w:val="single" w:sz="4" w:space="0" w:color="auto"/>
              <w:right w:val="single" w:sz="4" w:space="0" w:color="auto"/>
            </w:tcBorders>
            <w:hideMark/>
          </w:tcPr>
          <w:p w14:paraId="20F9112B" w14:textId="77777777" w:rsidR="00836512" w:rsidRDefault="00836512">
            <w:pPr>
              <w:jc w:val="center"/>
              <w:rPr>
                <w:rFonts w:eastAsiaTheme="minorHAnsi"/>
                <w:sz w:val="20"/>
                <w:szCs w:val="20"/>
                <w:lang w:val="en-US"/>
              </w:rPr>
            </w:pPr>
            <w:r>
              <w:rPr>
                <w:rFonts w:eastAsiaTheme="minorHAnsi"/>
                <w:sz w:val="20"/>
                <w:szCs w:val="20"/>
                <w:lang w:val="en-US"/>
              </w:rPr>
              <w:t>11.1</w:t>
            </w:r>
          </w:p>
        </w:tc>
        <w:tc>
          <w:tcPr>
            <w:tcW w:w="1397" w:type="dxa"/>
            <w:tcBorders>
              <w:top w:val="single" w:sz="4" w:space="0" w:color="auto"/>
              <w:left w:val="single" w:sz="4" w:space="0" w:color="auto"/>
              <w:bottom w:val="single" w:sz="4" w:space="0" w:color="auto"/>
              <w:right w:val="single" w:sz="4" w:space="0" w:color="auto"/>
            </w:tcBorders>
            <w:hideMark/>
          </w:tcPr>
          <w:p w14:paraId="0E1470A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6FEA24EC" w14:textId="77777777" w:rsidTr="004533C9">
        <w:tc>
          <w:tcPr>
            <w:tcW w:w="2122" w:type="dxa"/>
            <w:vMerge w:val="restart"/>
            <w:tcBorders>
              <w:top w:val="single" w:sz="4" w:space="0" w:color="auto"/>
              <w:left w:val="single" w:sz="4" w:space="0" w:color="auto"/>
              <w:bottom w:val="single" w:sz="4" w:space="0" w:color="auto"/>
              <w:right w:val="single" w:sz="4" w:space="0" w:color="auto"/>
            </w:tcBorders>
            <w:hideMark/>
          </w:tcPr>
          <w:p w14:paraId="62453AE4" w14:textId="77777777" w:rsidR="00836512" w:rsidRPr="0079060E" w:rsidRDefault="00836512">
            <w:pPr>
              <w:jc w:val="center"/>
              <w:rPr>
                <w:rFonts w:eastAsiaTheme="minorHAnsi"/>
                <w:color w:val="000000"/>
                <w:sz w:val="20"/>
                <w:szCs w:val="20"/>
              </w:rPr>
            </w:pPr>
            <w:r w:rsidRPr="0079060E">
              <w:rPr>
                <w:rFonts w:eastAsiaTheme="minorHAnsi"/>
                <w:color w:val="000000"/>
                <w:sz w:val="20"/>
                <w:szCs w:val="20"/>
              </w:rPr>
              <w:t>Botromagno</w:t>
            </w:r>
          </w:p>
          <w:p w14:paraId="14F130D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G67/II P4 S17 Infill 3 (T3)</w:t>
            </w:r>
          </w:p>
        </w:tc>
        <w:tc>
          <w:tcPr>
            <w:tcW w:w="1275" w:type="dxa"/>
            <w:tcBorders>
              <w:top w:val="single" w:sz="4" w:space="0" w:color="auto"/>
              <w:left w:val="single" w:sz="4" w:space="0" w:color="auto"/>
              <w:bottom w:val="single" w:sz="4" w:space="0" w:color="auto"/>
              <w:right w:val="single" w:sz="4" w:space="0" w:color="auto"/>
            </w:tcBorders>
            <w:hideMark/>
          </w:tcPr>
          <w:p w14:paraId="03EAA2A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Femur (F8)</w:t>
            </w:r>
          </w:p>
        </w:tc>
        <w:tc>
          <w:tcPr>
            <w:tcW w:w="1134" w:type="dxa"/>
            <w:tcBorders>
              <w:top w:val="single" w:sz="4" w:space="0" w:color="auto"/>
              <w:left w:val="single" w:sz="4" w:space="0" w:color="auto"/>
              <w:bottom w:val="single" w:sz="4" w:space="0" w:color="auto"/>
              <w:right w:val="single" w:sz="4" w:space="0" w:color="auto"/>
            </w:tcBorders>
            <w:hideMark/>
          </w:tcPr>
          <w:p w14:paraId="5B6EF3FA" w14:textId="77777777" w:rsidR="00836512" w:rsidRDefault="00836512">
            <w:pPr>
              <w:jc w:val="center"/>
              <w:rPr>
                <w:rFonts w:eastAsiaTheme="minorHAnsi"/>
                <w:sz w:val="20"/>
                <w:szCs w:val="20"/>
                <w:lang w:val="en-US"/>
              </w:rPr>
            </w:pPr>
            <w:r>
              <w:rPr>
                <w:rFonts w:eastAsiaTheme="minorHAnsi"/>
                <w:sz w:val="20"/>
                <w:szCs w:val="20"/>
                <w:lang w:val="en-US"/>
              </w:rPr>
              <w:t>7.5</w:t>
            </w:r>
          </w:p>
        </w:tc>
        <w:tc>
          <w:tcPr>
            <w:tcW w:w="1314" w:type="dxa"/>
            <w:tcBorders>
              <w:top w:val="single" w:sz="4" w:space="0" w:color="auto"/>
              <w:left w:val="single" w:sz="4" w:space="0" w:color="auto"/>
              <w:bottom w:val="single" w:sz="4" w:space="0" w:color="auto"/>
              <w:right w:val="single" w:sz="4" w:space="0" w:color="auto"/>
            </w:tcBorders>
            <w:hideMark/>
          </w:tcPr>
          <w:p w14:paraId="4A929BB5" w14:textId="77777777" w:rsidR="00836512" w:rsidRDefault="00836512">
            <w:pPr>
              <w:jc w:val="center"/>
              <w:rPr>
                <w:rFonts w:eastAsiaTheme="minorHAnsi"/>
                <w:sz w:val="20"/>
                <w:szCs w:val="20"/>
                <w:lang w:val="en-US"/>
              </w:rPr>
            </w:pPr>
            <w:r>
              <w:rPr>
                <w:rFonts w:eastAsiaTheme="minorHAnsi"/>
                <w:sz w:val="20"/>
                <w:szCs w:val="20"/>
                <w:lang w:val="en-US"/>
              </w:rPr>
              <w:t>-19.6</w:t>
            </w:r>
          </w:p>
        </w:tc>
        <w:tc>
          <w:tcPr>
            <w:tcW w:w="1415" w:type="dxa"/>
            <w:tcBorders>
              <w:top w:val="single" w:sz="4" w:space="0" w:color="auto"/>
              <w:left w:val="single" w:sz="4" w:space="0" w:color="auto"/>
              <w:bottom w:val="single" w:sz="4" w:space="0" w:color="auto"/>
              <w:right w:val="single" w:sz="4" w:space="0" w:color="auto"/>
            </w:tcBorders>
            <w:hideMark/>
          </w:tcPr>
          <w:p w14:paraId="756C3914" w14:textId="77777777" w:rsidR="00836512" w:rsidRDefault="00836512">
            <w:pPr>
              <w:jc w:val="center"/>
              <w:rPr>
                <w:rFonts w:eastAsiaTheme="minorHAnsi"/>
                <w:sz w:val="20"/>
                <w:szCs w:val="20"/>
                <w:lang w:val="en-US"/>
              </w:rPr>
            </w:pPr>
            <w:r>
              <w:rPr>
                <w:rFonts w:eastAsiaTheme="minorHAnsi"/>
                <w:sz w:val="20"/>
                <w:szCs w:val="20"/>
                <w:lang w:val="en-US"/>
              </w:rPr>
              <w:t>10.2</w:t>
            </w:r>
          </w:p>
        </w:tc>
        <w:tc>
          <w:tcPr>
            <w:tcW w:w="1397" w:type="dxa"/>
            <w:tcBorders>
              <w:top w:val="single" w:sz="4" w:space="0" w:color="auto"/>
              <w:left w:val="single" w:sz="4" w:space="0" w:color="auto"/>
              <w:bottom w:val="single" w:sz="4" w:space="0" w:color="auto"/>
              <w:right w:val="single" w:sz="4" w:space="0" w:color="auto"/>
            </w:tcBorders>
            <w:hideMark/>
          </w:tcPr>
          <w:p w14:paraId="53D6BBA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3.4</w:t>
            </w:r>
          </w:p>
        </w:tc>
      </w:tr>
      <w:tr w:rsidR="00836512" w14:paraId="03084D1E" w14:textId="77777777" w:rsidTr="004533C9">
        <w:tc>
          <w:tcPr>
            <w:tcW w:w="2122" w:type="dxa"/>
            <w:vMerge/>
            <w:tcBorders>
              <w:top w:val="single" w:sz="4" w:space="0" w:color="auto"/>
              <w:left w:val="single" w:sz="4" w:space="0" w:color="auto"/>
              <w:bottom w:val="single" w:sz="4" w:space="0" w:color="auto"/>
              <w:right w:val="single" w:sz="4" w:space="0" w:color="auto"/>
            </w:tcBorders>
            <w:vAlign w:val="center"/>
            <w:hideMark/>
          </w:tcPr>
          <w:p w14:paraId="04976C79" w14:textId="77777777" w:rsidR="00836512" w:rsidRDefault="00836512">
            <w:pPr>
              <w:rPr>
                <w:rFonts w:eastAsiaTheme="minorHAnsi"/>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4028FF73"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(R4)</w:t>
            </w:r>
          </w:p>
        </w:tc>
        <w:tc>
          <w:tcPr>
            <w:tcW w:w="1134" w:type="dxa"/>
            <w:tcBorders>
              <w:top w:val="single" w:sz="4" w:space="0" w:color="auto"/>
              <w:left w:val="single" w:sz="4" w:space="0" w:color="auto"/>
              <w:bottom w:val="single" w:sz="4" w:space="0" w:color="auto"/>
              <w:right w:val="single" w:sz="4" w:space="0" w:color="auto"/>
            </w:tcBorders>
            <w:hideMark/>
          </w:tcPr>
          <w:p w14:paraId="7FDCC008" w14:textId="77777777" w:rsidR="00836512" w:rsidRDefault="00836512">
            <w:pPr>
              <w:jc w:val="center"/>
              <w:rPr>
                <w:rFonts w:eastAsiaTheme="minorHAnsi"/>
                <w:sz w:val="20"/>
                <w:szCs w:val="20"/>
                <w:lang w:val="en-US"/>
              </w:rPr>
            </w:pPr>
            <w:r>
              <w:rPr>
                <w:rFonts w:eastAsiaTheme="minorHAnsi"/>
                <w:sz w:val="20"/>
                <w:szCs w:val="20"/>
                <w:lang w:val="en-US"/>
              </w:rPr>
              <w:t>7.5</w:t>
            </w:r>
          </w:p>
        </w:tc>
        <w:tc>
          <w:tcPr>
            <w:tcW w:w="1314" w:type="dxa"/>
            <w:tcBorders>
              <w:top w:val="single" w:sz="4" w:space="0" w:color="auto"/>
              <w:left w:val="single" w:sz="4" w:space="0" w:color="auto"/>
              <w:bottom w:val="single" w:sz="4" w:space="0" w:color="auto"/>
              <w:right w:val="single" w:sz="4" w:space="0" w:color="auto"/>
            </w:tcBorders>
            <w:hideMark/>
          </w:tcPr>
          <w:p w14:paraId="52BFEA44" w14:textId="77777777" w:rsidR="00836512" w:rsidRDefault="00836512">
            <w:pPr>
              <w:jc w:val="center"/>
              <w:rPr>
                <w:rFonts w:eastAsiaTheme="minorHAnsi"/>
                <w:sz w:val="20"/>
                <w:szCs w:val="20"/>
                <w:lang w:val="en-US"/>
              </w:rPr>
            </w:pPr>
            <w:r>
              <w:rPr>
                <w:rFonts w:eastAsiaTheme="minorHAnsi"/>
                <w:sz w:val="20"/>
                <w:szCs w:val="20"/>
                <w:lang w:val="en-US"/>
              </w:rPr>
              <w:t>-19.5</w:t>
            </w:r>
          </w:p>
        </w:tc>
        <w:tc>
          <w:tcPr>
            <w:tcW w:w="1415" w:type="dxa"/>
            <w:tcBorders>
              <w:top w:val="single" w:sz="4" w:space="0" w:color="auto"/>
              <w:left w:val="single" w:sz="4" w:space="0" w:color="auto"/>
              <w:bottom w:val="single" w:sz="4" w:space="0" w:color="auto"/>
              <w:right w:val="single" w:sz="4" w:space="0" w:color="auto"/>
            </w:tcBorders>
            <w:hideMark/>
          </w:tcPr>
          <w:p w14:paraId="278B1A2E" w14:textId="77777777" w:rsidR="00836512" w:rsidRDefault="00836512">
            <w:pPr>
              <w:jc w:val="center"/>
              <w:rPr>
                <w:rFonts w:eastAsiaTheme="minorHAnsi"/>
                <w:sz w:val="20"/>
                <w:szCs w:val="20"/>
                <w:lang w:val="en-US"/>
              </w:rPr>
            </w:pPr>
            <w:r>
              <w:rPr>
                <w:rFonts w:eastAsiaTheme="minorHAnsi"/>
                <w:sz w:val="20"/>
                <w:szCs w:val="20"/>
                <w:lang w:val="en-US"/>
              </w:rPr>
              <w:t>10.1</w:t>
            </w:r>
          </w:p>
        </w:tc>
        <w:tc>
          <w:tcPr>
            <w:tcW w:w="1397" w:type="dxa"/>
            <w:tcBorders>
              <w:top w:val="single" w:sz="4" w:space="0" w:color="auto"/>
              <w:left w:val="single" w:sz="4" w:space="0" w:color="auto"/>
              <w:bottom w:val="single" w:sz="4" w:space="0" w:color="auto"/>
              <w:right w:val="single" w:sz="4" w:space="0" w:color="auto"/>
            </w:tcBorders>
            <w:hideMark/>
          </w:tcPr>
          <w:p w14:paraId="1E782AA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18DFBB9D" w14:textId="77777777" w:rsidTr="004533C9">
        <w:tc>
          <w:tcPr>
            <w:tcW w:w="2122" w:type="dxa"/>
            <w:vMerge w:val="restart"/>
            <w:tcBorders>
              <w:top w:val="single" w:sz="4" w:space="0" w:color="auto"/>
              <w:left w:val="single" w:sz="4" w:space="0" w:color="auto"/>
              <w:bottom w:val="single" w:sz="4" w:space="0" w:color="auto"/>
              <w:right w:val="single" w:sz="4" w:space="0" w:color="auto"/>
            </w:tcBorders>
            <w:hideMark/>
          </w:tcPr>
          <w:p w14:paraId="70831737" w14:textId="77777777" w:rsidR="00836512" w:rsidRDefault="00836512">
            <w:pPr>
              <w:jc w:val="center"/>
              <w:rPr>
                <w:rFonts w:eastAsiaTheme="minorHAnsi"/>
                <w:color w:val="000000"/>
                <w:sz w:val="20"/>
                <w:szCs w:val="20"/>
                <w:lang w:val="it-IT"/>
              </w:rPr>
            </w:pPr>
            <w:r>
              <w:rPr>
                <w:rFonts w:eastAsiaTheme="minorHAnsi"/>
                <w:color w:val="000000"/>
                <w:sz w:val="20"/>
                <w:szCs w:val="20"/>
                <w:lang w:val="it-IT"/>
              </w:rPr>
              <w:t>Botromagno</w:t>
            </w:r>
          </w:p>
          <w:p w14:paraId="701E9656"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G67/I P15 S19 (T11)</w:t>
            </w:r>
          </w:p>
        </w:tc>
        <w:tc>
          <w:tcPr>
            <w:tcW w:w="1275" w:type="dxa"/>
            <w:tcBorders>
              <w:top w:val="single" w:sz="4" w:space="0" w:color="auto"/>
              <w:left w:val="single" w:sz="4" w:space="0" w:color="auto"/>
              <w:bottom w:val="single" w:sz="4" w:space="0" w:color="auto"/>
              <w:right w:val="single" w:sz="4" w:space="0" w:color="auto"/>
            </w:tcBorders>
            <w:hideMark/>
          </w:tcPr>
          <w:p w14:paraId="607A4DA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Femur (F9)</w:t>
            </w:r>
          </w:p>
        </w:tc>
        <w:tc>
          <w:tcPr>
            <w:tcW w:w="1134" w:type="dxa"/>
            <w:tcBorders>
              <w:top w:val="single" w:sz="4" w:space="0" w:color="auto"/>
              <w:left w:val="single" w:sz="4" w:space="0" w:color="auto"/>
              <w:bottom w:val="single" w:sz="4" w:space="0" w:color="auto"/>
              <w:right w:val="single" w:sz="4" w:space="0" w:color="auto"/>
            </w:tcBorders>
            <w:hideMark/>
          </w:tcPr>
          <w:p w14:paraId="4F02464D" w14:textId="77777777" w:rsidR="00836512" w:rsidRDefault="00836512">
            <w:pPr>
              <w:jc w:val="center"/>
              <w:rPr>
                <w:rFonts w:eastAsiaTheme="minorHAnsi"/>
                <w:sz w:val="20"/>
                <w:szCs w:val="20"/>
                <w:lang w:val="en-US"/>
              </w:rPr>
            </w:pPr>
            <w:r>
              <w:rPr>
                <w:rFonts w:eastAsiaTheme="minorHAnsi"/>
                <w:sz w:val="20"/>
                <w:szCs w:val="20"/>
                <w:lang w:val="en-US"/>
              </w:rPr>
              <w:t>7.5</w:t>
            </w:r>
          </w:p>
        </w:tc>
        <w:tc>
          <w:tcPr>
            <w:tcW w:w="1314" w:type="dxa"/>
            <w:tcBorders>
              <w:top w:val="single" w:sz="4" w:space="0" w:color="auto"/>
              <w:left w:val="single" w:sz="4" w:space="0" w:color="auto"/>
              <w:bottom w:val="single" w:sz="4" w:space="0" w:color="auto"/>
              <w:right w:val="single" w:sz="4" w:space="0" w:color="auto"/>
            </w:tcBorders>
            <w:hideMark/>
          </w:tcPr>
          <w:p w14:paraId="254FE61F" w14:textId="77777777" w:rsidR="00836512" w:rsidRDefault="00836512">
            <w:pPr>
              <w:jc w:val="center"/>
              <w:rPr>
                <w:rFonts w:eastAsiaTheme="minorHAnsi"/>
                <w:sz w:val="20"/>
                <w:szCs w:val="20"/>
                <w:lang w:val="en-US"/>
              </w:rPr>
            </w:pPr>
            <w:r>
              <w:rPr>
                <w:rFonts w:eastAsiaTheme="minorHAnsi"/>
                <w:sz w:val="20"/>
                <w:szCs w:val="20"/>
                <w:lang w:val="en-US"/>
              </w:rPr>
              <w:t>-19.1</w:t>
            </w:r>
          </w:p>
        </w:tc>
        <w:tc>
          <w:tcPr>
            <w:tcW w:w="1415" w:type="dxa"/>
            <w:tcBorders>
              <w:top w:val="single" w:sz="4" w:space="0" w:color="auto"/>
              <w:left w:val="single" w:sz="4" w:space="0" w:color="auto"/>
              <w:bottom w:val="single" w:sz="4" w:space="0" w:color="auto"/>
              <w:right w:val="single" w:sz="4" w:space="0" w:color="auto"/>
            </w:tcBorders>
            <w:hideMark/>
          </w:tcPr>
          <w:p w14:paraId="053BE731" w14:textId="77777777" w:rsidR="00836512" w:rsidRDefault="00836512">
            <w:pPr>
              <w:jc w:val="center"/>
              <w:rPr>
                <w:rFonts w:eastAsiaTheme="minorHAnsi"/>
                <w:sz w:val="20"/>
                <w:szCs w:val="20"/>
                <w:lang w:val="en-US"/>
              </w:rPr>
            </w:pPr>
            <w:r>
              <w:rPr>
                <w:rFonts w:eastAsiaTheme="minorHAnsi"/>
                <w:sz w:val="20"/>
                <w:szCs w:val="20"/>
                <w:lang w:val="en-US"/>
              </w:rPr>
              <w:t>8.7</w:t>
            </w:r>
          </w:p>
        </w:tc>
        <w:tc>
          <w:tcPr>
            <w:tcW w:w="1397" w:type="dxa"/>
            <w:tcBorders>
              <w:top w:val="single" w:sz="4" w:space="0" w:color="auto"/>
              <w:left w:val="single" w:sz="4" w:space="0" w:color="auto"/>
              <w:bottom w:val="single" w:sz="4" w:space="0" w:color="auto"/>
              <w:right w:val="single" w:sz="4" w:space="0" w:color="auto"/>
            </w:tcBorders>
            <w:hideMark/>
          </w:tcPr>
          <w:p w14:paraId="6620F18E"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316401D1" w14:textId="77777777" w:rsidTr="004533C9">
        <w:tc>
          <w:tcPr>
            <w:tcW w:w="2122" w:type="dxa"/>
            <w:vMerge/>
            <w:tcBorders>
              <w:top w:val="single" w:sz="4" w:space="0" w:color="auto"/>
              <w:left w:val="single" w:sz="4" w:space="0" w:color="auto"/>
              <w:bottom w:val="single" w:sz="4" w:space="0" w:color="auto"/>
              <w:right w:val="single" w:sz="4" w:space="0" w:color="auto"/>
            </w:tcBorders>
            <w:vAlign w:val="center"/>
            <w:hideMark/>
          </w:tcPr>
          <w:p w14:paraId="5A2D4682" w14:textId="77777777" w:rsidR="00836512" w:rsidRDefault="00836512">
            <w:pPr>
              <w:rPr>
                <w:rFonts w:eastAsiaTheme="minorHAnsi"/>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15F6C63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(R3)</w:t>
            </w:r>
          </w:p>
        </w:tc>
        <w:tc>
          <w:tcPr>
            <w:tcW w:w="1134" w:type="dxa"/>
            <w:tcBorders>
              <w:top w:val="single" w:sz="4" w:space="0" w:color="auto"/>
              <w:left w:val="single" w:sz="4" w:space="0" w:color="auto"/>
              <w:bottom w:val="single" w:sz="4" w:space="0" w:color="auto"/>
              <w:right w:val="single" w:sz="4" w:space="0" w:color="auto"/>
            </w:tcBorders>
            <w:hideMark/>
          </w:tcPr>
          <w:p w14:paraId="371EEF6B" w14:textId="77777777" w:rsidR="00836512" w:rsidRDefault="00836512">
            <w:pPr>
              <w:jc w:val="center"/>
              <w:rPr>
                <w:rFonts w:eastAsiaTheme="minorHAnsi"/>
                <w:sz w:val="20"/>
                <w:szCs w:val="20"/>
                <w:lang w:val="en-US"/>
              </w:rPr>
            </w:pPr>
            <w:r>
              <w:rPr>
                <w:rFonts w:eastAsiaTheme="minorHAnsi"/>
                <w:sz w:val="20"/>
                <w:szCs w:val="20"/>
                <w:lang w:val="en-US"/>
              </w:rPr>
              <w:t>7.5</w:t>
            </w:r>
          </w:p>
        </w:tc>
        <w:tc>
          <w:tcPr>
            <w:tcW w:w="1314" w:type="dxa"/>
            <w:tcBorders>
              <w:top w:val="single" w:sz="4" w:space="0" w:color="auto"/>
              <w:left w:val="single" w:sz="4" w:space="0" w:color="auto"/>
              <w:bottom w:val="single" w:sz="4" w:space="0" w:color="auto"/>
              <w:right w:val="single" w:sz="4" w:space="0" w:color="auto"/>
            </w:tcBorders>
            <w:hideMark/>
          </w:tcPr>
          <w:p w14:paraId="38D3A1A1" w14:textId="77777777" w:rsidR="00836512" w:rsidRDefault="00836512">
            <w:pPr>
              <w:jc w:val="center"/>
              <w:rPr>
                <w:rFonts w:eastAsiaTheme="minorHAnsi"/>
                <w:sz w:val="20"/>
                <w:szCs w:val="20"/>
                <w:lang w:val="en-US"/>
              </w:rPr>
            </w:pPr>
            <w:r>
              <w:rPr>
                <w:rFonts w:eastAsiaTheme="minorHAnsi"/>
                <w:sz w:val="20"/>
                <w:szCs w:val="20"/>
                <w:lang w:val="en-US"/>
              </w:rPr>
              <w:t>-19.5</w:t>
            </w:r>
          </w:p>
        </w:tc>
        <w:tc>
          <w:tcPr>
            <w:tcW w:w="1415" w:type="dxa"/>
            <w:tcBorders>
              <w:top w:val="single" w:sz="4" w:space="0" w:color="auto"/>
              <w:left w:val="single" w:sz="4" w:space="0" w:color="auto"/>
              <w:bottom w:val="single" w:sz="4" w:space="0" w:color="auto"/>
              <w:right w:val="single" w:sz="4" w:space="0" w:color="auto"/>
            </w:tcBorders>
            <w:hideMark/>
          </w:tcPr>
          <w:p w14:paraId="29EC7B73" w14:textId="77777777" w:rsidR="00836512" w:rsidRDefault="00836512">
            <w:pPr>
              <w:jc w:val="center"/>
              <w:rPr>
                <w:rFonts w:eastAsiaTheme="minorHAnsi"/>
                <w:sz w:val="20"/>
                <w:szCs w:val="20"/>
                <w:lang w:val="en-US"/>
              </w:rPr>
            </w:pPr>
            <w:r>
              <w:rPr>
                <w:rFonts w:eastAsiaTheme="minorHAnsi"/>
                <w:sz w:val="20"/>
                <w:szCs w:val="20"/>
                <w:lang w:val="en-US"/>
              </w:rPr>
              <w:t>9.0</w:t>
            </w:r>
          </w:p>
        </w:tc>
        <w:tc>
          <w:tcPr>
            <w:tcW w:w="1397" w:type="dxa"/>
            <w:tcBorders>
              <w:top w:val="single" w:sz="4" w:space="0" w:color="auto"/>
              <w:left w:val="single" w:sz="4" w:space="0" w:color="auto"/>
              <w:bottom w:val="single" w:sz="4" w:space="0" w:color="auto"/>
              <w:right w:val="single" w:sz="4" w:space="0" w:color="auto"/>
            </w:tcBorders>
            <w:hideMark/>
          </w:tcPr>
          <w:p w14:paraId="7048BC1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r w:rsidR="00836512" w14:paraId="55CD2321" w14:textId="77777777" w:rsidTr="004533C9">
        <w:tc>
          <w:tcPr>
            <w:tcW w:w="2122" w:type="dxa"/>
            <w:vMerge w:val="restart"/>
            <w:tcBorders>
              <w:top w:val="single" w:sz="4" w:space="0" w:color="auto"/>
              <w:left w:val="single" w:sz="4" w:space="0" w:color="auto"/>
              <w:bottom w:val="single" w:sz="4" w:space="0" w:color="auto"/>
              <w:right w:val="single" w:sz="4" w:space="0" w:color="auto"/>
            </w:tcBorders>
            <w:hideMark/>
          </w:tcPr>
          <w:p w14:paraId="64A66B64" w14:textId="77777777" w:rsidR="00836512" w:rsidRDefault="00836512">
            <w:pPr>
              <w:jc w:val="center"/>
              <w:rPr>
                <w:rFonts w:eastAsiaTheme="minorHAnsi"/>
                <w:color w:val="000000"/>
                <w:sz w:val="20"/>
                <w:szCs w:val="20"/>
                <w:lang w:val="it-IT"/>
              </w:rPr>
            </w:pPr>
            <w:r>
              <w:rPr>
                <w:rFonts w:eastAsiaTheme="minorHAnsi"/>
                <w:color w:val="000000"/>
                <w:sz w:val="20"/>
                <w:szCs w:val="20"/>
                <w:lang w:val="it-IT"/>
              </w:rPr>
              <w:t>Botromagno</w:t>
            </w:r>
          </w:p>
          <w:p w14:paraId="5F72CB92"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1967 G67/I SG-Tomb 6(2) Infill 1 (T8)</w:t>
            </w:r>
          </w:p>
        </w:tc>
        <w:tc>
          <w:tcPr>
            <w:tcW w:w="1275" w:type="dxa"/>
            <w:tcBorders>
              <w:top w:val="single" w:sz="4" w:space="0" w:color="auto"/>
              <w:left w:val="single" w:sz="4" w:space="0" w:color="auto"/>
              <w:bottom w:val="single" w:sz="4" w:space="0" w:color="auto"/>
              <w:right w:val="single" w:sz="4" w:space="0" w:color="auto"/>
            </w:tcBorders>
            <w:hideMark/>
          </w:tcPr>
          <w:p w14:paraId="51F87DA0"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Femur (F10)</w:t>
            </w:r>
          </w:p>
        </w:tc>
        <w:tc>
          <w:tcPr>
            <w:tcW w:w="1134" w:type="dxa"/>
            <w:tcBorders>
              <w:top w:val="single" w:sz="4" w:space="0" w:color="auto"/>
              <w:left w:val="single" w:sz="4" w:space="0" w:color="auto"/>
              <w:bottom w:val="single" w:sz="4" w:space="0" w:color="auto"/>
              <w:right w:val="single" w:sz="4" w:space="0" w:color="auto"/>
            </w:tcBorders>
            <w:hideMark/>
          </w:tcPr>
          <w:p w14:paraId="44F837F2" w14:textId="77777777" w:rsidR="00836512" w:rsidRDefault="00836512">
            <w:pPr>
              <w:jc w:val="center"/>
              <w:rPr>
                <w:rFonts w:eastAsiaTheme="minorHAnsi"/>
                <w:color w:val="000000" w:themeColor="text1"/>
                <w:sz w:val="20"/>
                <w:szCs w:val="20"/>
                <w:lang w:val="en-US"/>
              </w:rPr>
            </w:pPr>
            <w:r>
              <w:rPr>
                <w:rFonts w:eastAsiaTheme="minorHAnsi"/>
                <w:color w:val="000000" w:themeColor="text1"/>
                <w:sz w:val="20"/>
                <w:szCs w:val="20"/>
                <w:lang w:val="en-US"/>
              </w:rPr>
              <w:t>3.0</w:t>
            </w:r>
          </w:p>
        </w:tc>
        <w:tc>
          <w:tcPr>
            <w:tcW w:w="1314" w:type="dxa"/>
            <w:tcBorders>
              <w:top w:val="single" w:sz="4" w:space="0" w:color="auto"/>
              <w:left w:val="single" w:sz="4" w:space="0" w:color="auto"/>
              <w:bottom w:val="single" w:sz="4" w:space="0" w:color="auto"/>
              <w:right w:val="single" w:sz="4" w:space="0" w:color="auto"/>
            </w:tcBorders>
            <w:hideMark/>
          </w:tcPr>
          <w:p w14:paraId="01870A12" w14:textId="77777777" w:rsidR="00836512" w:rsidRDefault="00836512">
            <w:pPr>
              <w:jc w:val="center"/>
              <w:rPr>
                <w:rFonts w:eastAsiaTheme="minorHAnsi"/>
                <w:sz w:val="20"/>
                <w:szCs w:val="20"/>
                <w:lang w:val="en-US"/>
              </w:rPr>
            </w:pPr>
            <w:r>
              <w:rPr>
                <w:rFonts w:eastAsiaTheme="minorHAnsi"/>
                <w:sz w:val="20"/>
                <w:szCs w:val="20"/>
                <w:lang w:val="en-US"/>
              </w:rPr>
              <w:t>-18.2</w:t>
            </w:r>
          </w:p>
        </w:tc>
        <w:tc>
          <w:tcPr>
            <w:tcW w:w="1415" w:type="dxa"/>
            <w:tcBorders>
              <w:top w:val="single" w:sz="4" w:space="0" w:color="auto"/>
              <w:left w:val="single" w:sz="4" w:space="0" w:color="auto"/>
              <w:bottom w:val="single" w:sz="4" w:space="0" w:color="auto"/>
              <w:right w:val="single" w:sz="4" w:space="0" w:color="auto"/>
            </w:tcBorders>
            <w:hideMark/>
          </w:tcPr>
          <w:p w14:paraId="349A0F22" w14:textId="77777777" w:rsidR="00836512" w:rsidRDefault="00836512">
            <w:pPr>
              <w:jc w:val="center"/>
              <w:rPr>
                <w:rFonts w:eastAsiaTheme="minorHAnsi"/>
                <w:sz w:val="20"/>
                <w:szCs w:val="20"/>
                <w:lang w:val="en-US"/>
              </w:rPr>
            </w:pPr>
            <w:r>
              <w:rPr>
                <w:rFonts w:eastAsiaTheme="minorHAnsi"/>
                <w:sz w:val="20"/>
                <w:szCs w:val="20"/>
                <w:lang w:val="en-US"/>
              </w:rPr>
              <w:t>13.7</w:t>
            </w:r>
          </w:p>
        </w:tc>
        <w:tc>
          <w:tcPr>
            <w:tcW w:w="1397" w:type="dxa"/>
            <w:tcBorders>
              <w:top w:val="single" w:sz="4" w:space="0" w:color="auto"/>
              <w:left w:val="single" w:sz="4" w:space="0" w:color="auto"/>
              <w:bottom w:val="single" w:sz="4" w:space="0" w:color="auto"/>
              <w:right w:val="single" w:sz="4" w:space="0" w:color="auto"/>
            </w:tcBorders>
            <w:hideMark/>
          </w:tcPr>
          <w:p w14:paraId="154366D8"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045DCD61" w14:textId="77777777" w:rsidTr="004533C9">
        <w:tc>
          <w:tcPr>
            <w:tcW w:w="2122" w:type="dxa"/>
            <w:vMerge/>
            <w:tcBorders>
              <w:top w:val="single" w:sz="4" w:space="0" w:color="auto"/>
              <w:left w:val="single" w:sz="4" w:space="0" w:color="auto"/>
              <w:bottom w:val="single" w:sz="4" w:space="0" w:color="auto"/>
              <w:right w:val="single" w:sz="4" w:space="0" w:color="auto"/>
            </w:tcBorders>
            <w:vAlign w:val="center"/>
            <w:hideMark/>
          </w:tcPr>
          <w:p w14:paraId="39C98317" w14:textId="77777777" w:rsidR="00836512" w:rsidRDefault="00836512">
            <w:pPr>
              <w:rPr>
                <w:rFonts w:eastAsiaTheme="minorHAnsi"/>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02B6E047"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(R1)</w:t>
            </w:r>
          </w:p>
        </w:tc>
        <w:tc>
          <w:tcPr>
            <w:tcW w:w="1134" w:type="dxa"/>
            <w:tcBorders>
              <w:top w:val="single" w:sz="4" w:space="0" w:color="auto"/>
              <w:left w:val="single" w:sz="4" w:space="0" w:color="auto"/>
              <w:bottom w:val="single" w:sz="4" w:space="0" w:color="auto"/>
              <w:right w:val="single" w:sz="4" w:space="0" w:color="auto"/>
            </w:tcBorders>
            <w:hideMark/>
          </w:tcPr>
          <w:p w14:paraId="3CC6ABE1" w14:textId="77777777" w:rsidR="00836512" w:rsidRDefault="00836512">
            <w:pPr>
              <w:jc w:val="center"/>
              <w:rPr>
                <w:rFonts w:eastAsiaTheme="minorHAnsi"/>
                <w:color w:val="000000" w:themeColor="text1"/>
                <w:sz w:val="20"/>
                <w:szCs w:val="20"/>
                <w:lang w:val="en-US"/>
              </w:rPr>
            </w:pPr>
            <w:r>
              <w:rPr>
                <w:rFonts w:eastAsiaTheme="minorHAnsi"/>
                <w:color w:val="000000" w:themeColor="text1"/>
                <w:sz w:val="20"/>
                <w:szCs w:val="20"/>
                <w:lang w:val="en-US"/>
              </w:rPr>
              <w:t>3.0</w:t>
            </w:r>
          </w:p>
        </w:tc>
        <w:tc>
          <w:tcPr>
            <w:tcW w:w="1314" w:type="dxa"/>
            <w:tcBorders>
              <w:top w:val="single" w:sz="4" w:space="0" w:color="auto"/>
              <w:left w:val="single" w:sz="4" w:space="0" w:color="auto"/>
              <w:bottom w:val="single" w:sz="4" w:space="0" w:color="auto"/>
              <w:right w:val="single" w:sz="4" w:space="0" w:color="auto"/>
            </w:tcBorders>
            <w:hideMark/>
          </w:tcPr>
          <w:p w14:paraId="2CBCB766" w14:textId="77777777" w:rsidR="00836512" w:rsidRDefault="00836512">
            <w:pPr>
              <w:jc w:val="center"/>
              <w:rPr>
                <w:rFonts w:eastAsiaTheme="minorHAnsi"/>
                <w:sz w:val="20"/>
                <w:szCs w:val="20"/>
                <w:lang w:val="en-US"/>
              </w:rPr>
            </w:pPr>
            <w:r>
              <w:rPr>
                <w:rFonts w:eastAsiaTheme="minorHAnsi"/>
                <w:sz w:val="20"/>
                <w:szCs w:val="20"/>
                <w:lang w:val="en-US"/>
              </w:rPr>
              <w:t>-19.3</w:t>
            </w:r>
          </w:p>
        </w:tc>
        <w:tc>
          <w:tcPr>
            <w:tcW w:w="1415" w:type="dxa"/>
            <w:tcBorders>
              <w:top w:val="single" w:sz="4" w:space="0" w:color="auto"/>
              <w:left w:val="single" w:sz="4" w:space="0" w:color="auto"/>
              <w:bottom w:val="single" w:sz="4" w:space="0" w:color="auto"/>
              <w:right w:val="single" w:sz="4" w:space="0" w:color="auto"/>
            </w:tcBorders>
            <w:hideMark/>
          </w:tcPr>
          <w:p w14:paraId="5ED49AAC" w14:textId="77777777" w:rsidR="00836512" w:rsidRDefault="00836512">
            <w:pPr>
              <w:jc w:val="center"/>
              <w:rPr>
                <w:rFonts w:eastAsiaTheme="minorHAnsi"/>
                <w:sz w:val="20"/>
                <w:szCs w:val="20"/>
                <w:lang w:val="en-US"/>
              </w:rPr>
            </w:pPr>
            <w:r>
              <w:rPr>
                <w:rFonts w:eastAsiaTheme="minorHAnsi"/>
                <w:sz w:val="20"/>
                <w:szCs w:val="20"/>
                <w:lang w:val="en-US"/>
              </w:rPr>
              <w:t>12.3</w:t>
            </w:r>
          </w:p>
        </w:tc>
        <w:tc>
          <w:tcPr>
            <w:tcW w:w="1397" w:type="dxa"/>
            <w:tcBorders>
              <w:top w:val="single" w:sz="4" w:space="0" w:color="auto"/>
              <w:left w:val="single" w:sz="4" w:space="0" w:color="auto"/>
              <w:bottom w:val="single" w:sz="4" w:space="0" w:color="auto"/>
              <w:right w:val="single" w:sz="4" w:space="0" w:color="auto"/>
            </w:tcBorders>
            <w:hideMark/>
          </w:tcPr>
          <w:p w14:paraId="1D3E916D"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3.3</w:t>
            </w:r>
          </w:p>
        </w:tc>
      </w:tr>
      <w:tr w:rsidR="00836512" w14:paraId="71107992" w14:textId="77777777" w:rsidTr="004533C9">
        <w:tc>
          <w:tcPr>
            <w:tcW w:w="2122" w:type="dxa"/>
            <w:tcBorders>
              <w:top w:val="single" w:sz="4" w:space="0" w:color="auto"/>
              <w:left w:val="single" w:sz="4" w:space="0" w:color="auto"/>
              <w:bottom w:val="single" w:sz="4" w:space="0" w:color="auto"/>
              <w:right w:val="single" w:sz="4" w:space="0" w:color="auto"/>
            </w:tcBorders>
            <w:hideMark/>
          </w:tcPr>
          <w:p w14:paraId="1D9CC05B" w14:textId="77777777" w:rsidR="00836512" w:rsidRPr="0079060E" w:rsidRDefault="00836512">
            <w:pPr>
              <w:jc w:val="center"/>
              <w:rPr>
                <w:rFonts w:eastAsiaTheme="minorHAnsi"/>
                <w:color w:val="000000"/>
                <w:sz w:val="20"/>
                <w:szCs w:val="20"/>
              </w:rPr>
            </w:pPr>
            <w:r w:rsidRPr="0079060E">
              <w:rPr>
                <w:rFonts w:eastAsiaTheme="minorHAnsi"/>
                <w:color w:val="000000"/>
                <w:sz w:val="20"/>
                <w:szCs w:val="20"/>
              </w:rPr>
              <w:t>Botromagno</w:t>
            </w:r>
          </w:p>
          <w:p w14:paraId="218C2CCA"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1972 Area NA Burial 1 of A-1(T10)</w:t>
            </w:r>
          </w:p>
        </w:tc>
        <w:tc>
          <w:tcPr>
            <w:tcW w:w="1275" w:type="dxa"/>
            <w:tcBorders>
              <w:top w:val="single" w:sz="4" w:space="0" w:color="auto"/>
              <w:left w:val="single" w:sz="4" w:space="0" w:color="auto"/>
              <w:bottom w:val="single" w:sz="4" w:space="0" w:color="auto"/>
              <w:right w:val="single" w:sz="4" w:space="0" w:color="auto"/>
            </w:tcBorders>
            <w:hideMark/>
          </w:tcPr>
          <w:p w14:paraId="199F1109"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Rib (R2)</w:t>
            </w:r>
          </w:p>
        </w:tc>
        <w:tc>
          <w:tcPr>
            <w:tcW w:w="1134" w:type="dxa"/>
            <w:tcBorders>
              <w:top w:val="single" w:sz="4" w:space="0" w:color="auto"/>
              <w:left w:val="single" w:sz="4" w:space="0" w:color="auto"/>
              <w:bottom w:val="single" w:sz="4" w:space="0" w:color="auto"/>
              <w:right w:val="single" w:sz="4" w:space="0" w:color="auto"/>
            </w:tcBorders>
            <w:hideMark/>
          </w:tcPr>
          <w:p w14:paraId="065D3CF9" w14:textId="77777777" w:rsidR="00836512" w:rsidRDefault="00836512">
            <w:pPr>
              <w:jc w:val="center"/>
              <w:rPr>
                <w:rFonts w:eastAsiaTheme="minorHAnsi"/>
                <w:sz w:val="20"/>
                <w:szCs w:val="20"/>
                <w:lang w:val="en-US"/>
              </w:rPr>
            </w:pPr>
            <w:r>
              <w:rPr>
                <w:rFonts w:eastAsiaTheme="minorHAnsi"/>
                <w:sz w:val="20"/>
                <w:szCs w:val="20"/>
                <w:lang w:val="en-US"/>
              </w:rPr>
              <w:t>4.0</w:t>
            </w:r>
          </w:p>
        </w:tc>
        <w:tc>
          <w:tcPr>
            <w:tcW w:w="1314" w:type="dxa"/>
            <w:tcBorders>
              <w:top w:val="single" w:sz="4" w:space="0" w:color="auto"/>
              <w:left w:val="single" w:sz="4" w:space="0" w:color="auto"/>
              <w:bottom w:val="single" w:sz="4" w:space="0" w:color="auto"/>
              <w:right w:val="single" w:sz="4" w:space="0" w:color="auto"/>
            </w:tcBorders>
            <w:hideMark/>
          </w:tcPr>
          <w:p w14:paraId="41F8C07F" w14:textId="77777777" w:rsidR="00836512" w:rsidRDefault="00836512">
            <w:pPr>
              <w:jc w:val="center"/>
              <w:rPr>
                <w:rFonts w:eastAsiaTheme="minorHAnsi"/>
                <w:sz w:val="20"/>
                <w:szCs w:val="20"/>
                <w:lang w:val="en-US"/>
              </w:rPr>
            </w:pPr>
            <w:r>
              <w:rPr>
                <w:rFonts w:eastAsiaTheme="minorHAnsi"/>
                <w:sz w:val="20"/>
                <w:szCs w:val="20"/>
                <w:lang w:val="en-US"/>
              </w:rPr>
              <w:t>-19.5</w:t>
            </w:r>
          </w:p>
        </w:tc>
        <w:tc>
          <w:tcPr>
            <w:tcW w:w="1415" w:type="dxa"/>
            <w:tcBorders>
              <w:top w:val="single" w:sz="4" w:space="0" w:color="auto"/>
              <w:left w:val="single" w:sz="4" w:space="0" w:color="auto"/>
              <w:bottom w:val="single" w:sz="4" w:space="0" w:color="auto"/>
              <w:right w:val="single" w:sz="4" w:space="0" w:color="auto"/>
            </w:tcBorders>
            <w:hideMark/>
          </w:tcPr>
          <w:p w14:paraId="7EFDB022" w14:textId="77777777" w:rsidR="00836512" w:rsidRDefault="00836512">
            <w:pPr>
              <w:jc w:val="center"/>
              <w:rPr>
                <w:rFonts w:eastAsiaTheme="minorHAnsi"/>
                <w:sz w:val="20"/>
                <w:szCs w:val="20"/>
                <w:lang w:val="en-US"/>
              </w:rPr>
            </w:pPr>
            <w:r>
              <w:rPr>
                <w:rFonts w:eastAsiaTheme="minorHAnsi"/>
                <w:sz w:val="20"/>
                <w:szCs w:val="20"/>
                <w:lang w:val="en-US"/>
              </w:rPr>
              <w:t>9.3</w:t>
            </w:r>
          </w:p>
        </w:tc>
        <w:tc>
          <w:tcPr>
            <w:tcW w:w="1397" w:type="dxa"/>
            <w:tcBorders>
              <w:top w:val="single" w:sz="4" w:space="0" w:color="auto"/>
              <w:left w:val="single" w:sz="4" w:space="0" w:color="auto"/>
              <w:bottom w:val="single" w:sz="4" w:space="0" w:color="auto"/>
              <w:right w:val="single" w:sz="4" w:space="0" w:color="auto"/>
            </w:tcBorders>
            <w:hideMark/>
          </w:tcPr>
          <w:p w14:paraId="655B0D0C" w14:textId="77777777" w:rsidR="00836512" w:rsidRDefault="00836512">
            <w:pPr>
              <w:jc w:val="center"/>
              <w:rPr>
                <w:rFonts w:eastAsiaTheme="minorHAnsi"/>
                <w:color w:val="000000"/>
                <w:sz w:val="20"/>
                <w:szCs w:val="20"/>
                <w:lang w:val="en-US"/>
              </w:rPr>
            </w:pPr>
            <w:r>
              <w:rPr>
                <w:rFonts w:eastAsiaTheme="minorHAnsi"/>
                <w:color w:val="000000"/>
                <w:sz w:val="20"/>
                <w:szCs w:val="20"/>
                <w:lang w:val="en-US"/>
              </w:rPr>
              <w:t>3.2</w:t>
            </w:r>
          </w:p>
        </w:tc>
      </w:tr>
    </w:tbl>
    <w:p w14:paraId="5953ED83" w14:textId="77777777" w:rsidR="00836512" w:rsidRDefault="00836512" w:rsidP="004533C9">
      <w:pPr>
        <w:spacing w:line="480" w:lineRule="auto"/>
        <w:rPr>
          <w:rFonts w:asciiTheme="minorHAnsi" w:eastAsiaTheme="minorHAnsi" w:hAnsiTheme="minorHAnsi" w:cstheme="minorBidi"/>
          <w:b/>
          <w:highlight w:val="yellow"/>
          <w:lang w:val="en-US"/>
        </w:rPr>
      </w:pPr>
    </w:p>
    <w:p w14:paraId="03CB975B" w14:textId="49CE2AA3" w:rsidR="00836512" w:rsidRDefault="007000E5" w:rsidP="00836512">
      <w:pPr>
        <w:spacing w:line="480" w:lineRule="auto"/>
        <w:jc w:val="center"/>
        <w:rPr>
          <w:rFonts w:asciiTheme="minorHAnsi" w:eastAsiaTheme="minorHAnsi" w:hAnsiTheme="minorHAnsi" w:cstheme="minorBidi"/>
          <w:b/>
          <w:highlight w:val="yellow"/>
          <w:lang w:val="en-US"/>
        </w:rPr>
      </w:pPr>
      <w:r>
        <w:rPr>
          <w:noProof/>
          <w:lang w:eastAsia="en-CA"/>
        </w:rPr>
        <w:lastRenderedPageBreak/>
        <w:drawing>
          <wp:inline distT="0" distB="0" distL="0" distR="0" wp14:anchorId="05467BF2" wp14:editId="166D1A94">
            <wp:extent cx="4194468" cy="2937359"/>
            <wp:effectExtent l="12700" t="1270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124" t="2002" r="1795" b="2937"/>
                    <a:stretch/>
                  </pic:blipFill>
                  <pic:spPr bwMode="auto">
                    <a:xfrm>
                      <a:off x="0" y="0"/>
                      <a:ext cx="4207520" cy="294650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7A2C97" w14:textId="2114D88A" w:rsidR="00836512" w:rsidRDefault="009E4A3A" w:rsidP="00836512">
      <w:pPr>
        <w:jc w:val="center"/>
        <w:rPr>
          <w:rFonts w:eastAsiaTheme="minorHAnsi"/>
          <w:lang w:val="en-US"/>
        </w:rPr>
      </w:pPr>
      <w:r>
        <w:rPr>
          <w:noProof/>
          <w:lang w:eastAsia="en-CA"/>
        </w:rPr>
        <w:drawing>
          <wp:inline distT="0" distB="0" distL="0" distR="0" wp14:anchorId="37C3E320" wp14:editId="0407A2D4">
            <wp:extent cx="4194313" cy="2981325"/>
            <wp:effectExtent l="12700" t="12700" r="952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594" t="1563" r="1618" b="4622"/>
                    <a:stretch/>
                  </pic:blipFill>
                  <pic:spPr bwMode="auto">
                    <a:xfrm>
                      <a:off x="0" y="0"/>
                      <a:ext cx="4213403" cy="2994894"/>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0D6EFA" w14:textId="77777777" w:rsidR="00836512" w:rsidRDefault="00836512" w:rsidP="00836512">
      <w:pPr>
        <w:jc w:val="center"/>
        <w:rPr>
          <w:rFonts w:eastAsiaTheme="minorHAnsi"/>
          <w:lang w:val="en-US"/>
        </w:rPr>
      </w:pPr>
    </w:p>
    <w:p w14:paraId="746749A7" w14:textId="77777777" w:rsidR="00836512" w:rsidRDefault="00836512" w:rsidP="00836512">
      <w:pPr>
        <w:jc w:val="center"/>
        <w:rPr>
          <w:rFonts w:eastAsiaTheme="minorHAnsi"/>
          <w:lang w:val="en-US"/>
        </w:rPr>
      </w:pPr>
    </w:p>
    <w:p w14:paraId="3A2D5858" w14:textId="00B75B06" w:rsidR="00836512" w:rsidRDefault="00836512" w:rsidP="00996E12">
      <w:pPr>
        <w:jc w:val="center"/>
        <w:rPr>
          <w:rFonts w:eastAsiaTheme="minorHAnsi"/>
          <w:lang w:val="en-US"/>
        </w:rPr>
        <w:sectPr w:rsidR="00836512" w:rsidSect="001A193A">
          <w:pgSz w:w="12240" w:h="15840"/>
          <w:pgMar w:top="2155" w:right="1418" w:bottom="1418" w:left="2155" w:header="709" w:footer="709" w:gutter="0"/>
          <w:pgNumType w:start="1"/>
          <w:cols w:space="720"/>
        </w:sectPr>
      </w:pPr>
      <w:r>
        <w:rPr>
          <w:rFonts w:eastAsiaTheme="minorHAnsi"/>
          <w:b/>
          <w:lang w:val="en-US"/>
        </w:rPr>
        <w:t>Figure 5.25:</w:t>
      </w:r>
      <w:r>
        <w:rPr>
          <w:rFonts w:eastAsiaTheme="minorHAnsi"/>
          <w:lang w:val="en-US"/>
        </w:rPr>
        <w:t xml:space="preserve"> Comparison of Subadult rib and femur collagen </w:t>
      </w:r>
      <w:r>
        <w:rPr>
          <w:rFonts w:eastAsiaTheme="minorHAnsi"/>
          <w:lang w:val="en-US"/>
        </w:rPr>
        <w:sym w:font="Symbol" w:char="F064"/>
      </w:r>
      <w:r>
        <w:rPr>
          <w:rFonts w:eastAsiaTheme="minorHAnsi"/>
          <w:vertAlign w:val="superscript"/>
          <w:lang w:val="en-US"/>
        </w:rPr>
        <w:t>15</w:t>
      </w:r>
      <w:r>
        <w:rPr>
          <w:rFonts w:eastAsiaTheme="minorHAnsi"/>
          <w:lang w:val="en-US"/>
        </w:rPr>
        <w:t xml:space="preserve">N and </w:t>
      </w:r>
      <w:r>
        <w:rPr>
          <w:rFonts w:eastAsiaTheme="minorHAnsi"/>
          <w:lang w:val="en-US"/>
        </w:rPr>
        <w:sym w:font="Symbol" w:char="F064"/>
      </w:r>
      <w:r>
        <w:rPr>
          <w:rFonts w:eastAsiaTheme="minorHAnsi"/>
          <w:vertAlign w:val="superscript"/>
          <w:lang w:val="en-US"/>
        </w:rPr>
        <w:t>13</w:t>
      </w:r>
      <w:r>
        <w:rPr>
          <w:rFonts w:eastAsiaTheme="minorHAnsi"/>
          <w:lang w:val="en-US"/>
        </w:rPr>
        <w:t>C values for each individual plotted against age at death (n=9).</w:t>
      </w:r>
      <w:r w:rsidR="009E4A3A">
        <w:rPr>
          <w:rFonts w:eastAsiaTheme="minorHAnsi"/>
          <w:lang w:val="en-US"/>
        </w:rPr>
        <w:t xml:space="preserve"> The</w:t>
      </w:r>
      <w:r w:rsidR="00996E12">
        <w:rPr>
          <w:rFonts w:eastAsiaTheme="minorHAnsi"/>
          <w:lang w:val="en-US"/>
        </w:rPr>
        <w:t xml:space="preserve"> dotted lines between the rib and femur data points indicate values obtained from one individual</w:t>
      </w:r>
      <w:r w:rsidR="00846A2A">
        <w:rPr>
          <w:rFonts w:eastAsiaTheme="minorHAnsi"/>
          <w:lang w:val="en-US"/>
        </w:rPr>
        <w:t>.</w:t>
      </w:r>
    </w:p>
    <w:p w14:paraId="78A2ECC0" w14:textId="77777777" w:rsidR="00836512" w:rsidRDefault="00836512" w:rsidP="00996E12">
      <w:pPr>
        <w:rPr>
          <w:rFonts w:eastAsiaTheme="minorHAnsi"/>
          <w:lang w:val="en-US"/>
        </w:rPr>
      </w:pPr>
    </w:p>
    <w:p w14:paraId="1D617837" w14:textId="5F00F10D" w:rsidR="00836512" w:rsidRDefault="00836512" w:rsidP="00836512">
      <w:pPr>
        <w:spacing w:line="480" w:lineRule="auto"/>
        <w:ind w:firstLine="720"/>
        <w:rPr>
          <w:rFonts w:eastAsiaTheme="minorHAnsi"/>
          <w:lang w:val="en-US"/>
        </w:rPr>
      </w:pPr>
      <w:r>
        <w:rPr>
          <w:rFonts w:eastAsiaTheme="minorHAnsi"/>
          <w:lang w:val="en-US"/>
        </w:rPr>
        <w:t xml:space="preserve">Figure 5.25 plots </w:t>
      </w:r>
      <w:r>
        <w:rPr>
          <w:rFonts w:eastAsiaTheme="minorHAnsi"/>
          <w:lang w:val="en-US"/>
        </w:rPr>
        <w:sym w:font="Symbol" w:char="F064"/>
      </w:r>
      <w:r>
        <w:rPr>
          <w:rFonts w:eastAsiaTheme="minorHAnsi"/>
          <w:vertAlign w:val="superscript"/>
          <w:lang w:val="en-US"/>
        </w:rPr>
        <w:t>15</w:t>
      </w:r>
      <w:r>
        <w:rPr>
          <w:rFonts w:eastAsiaTheme="minorHAnsi"/>
          <w:lang w:val="en-US"/>
        </w:rPr>
        <w:t xml:space="preserve">N and </w:t>
      </w:r>
      <w:r>
        <w:rPr>
          <w:rFonts w:eastAsiaTheme="minorHAnsi"/>
          <w:lang w:val="en-US"/>
        </w:rPr>
        <w:sym w:font="Symbol" w:char="F064"/>
      </w:r>
      <w:r>
        <w:rPr>
          <w:rFonts w:eastAsiaTheme="minorHAnsi"/>
          <w:vertAlign w:val="superscript"/>
          <w:lang w:val="en-US"/>
        </w:rPr>
        <w:t>13</w:t>
      </w:r>
      <w:r>
        <w:rPr>
          <w:rFonts w:eastAsiaTheme="minorHAnsi"/>
          <w:lang w:val="en-US"/>
        </w:rPr>
        <w:t xml:space="preserve">C values against age at death, and compares rib isotope values with femur isotope values for 9 subadults. It can be seen that the rib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are consistently lower than femur values. Similarly, rib </w:t>
      </w:r>
      <w:r>
        <w:rPr>
          <w:rFonts w:eastAsiaTheme="minorHAnsi"/>
          <w:lang w:val="en-US"/>
        </w:rPr>
        <w:sym w:font="Symbol" w:char="F064"/>
      </w:r>
      <w:r>
        <w:rPr>
          <w:rFonts w:eastAsiaTheme="minorHAnsi"/>
          <w:vertAlign w:val="superscript"/>
          <w:lang w:val="en-US"/>
        </w:rPr>
        <w:t>13</w:t>
      </w:r>
      <w:r>
        <w:rPr>
          <w:rFonts w:eastAsiaTheme="minorHAnsi"/>
          <w:lang w:val="en-US"/>
        </w:rPr>
        <w:t>C values are consistently lower than femur values for all individuals except for F7/R7 (Tomba 30). Another trend noted in these charts is that prior to 5 years of age there is greater disparity between rib and femur nitrogen and carbon isotope values. However, after 5 years of age rib and femur values become very similar. This is most likely due to the differences in rib and femur bone turnover rate</w:t>
      </w:r>
      <w:r w:rsidR="00F85D9A">
        <w:rPr>
          <w:rFonts w:eastAsiaTheme="minorHAnsi"/>
          <w:lang w:val="en-US"/>
        </w:rPr>
        <w:t>s</w:t>
      </w:r>
      <w:r>
        <w:rPr>
          <w:rFonts w:eastAsiaTheme="minorHAnsi"/>
          <w:lang w:val="en-US"/>
        </w:rPr>
        <w:t xml:space="preserve">, with ribs having a faster turnover rate, so the femur values are showing slightly higher nitrogen because they still have bone formed during earlier stages such as breastfeeding. The difference between rib and femur values may decrease after 5 as a result of a homogenous diet as opposed to the variability seen during the breastfeeding and weaning process. A paired T-test indicated there was no significant statistical difference between rib and femur </w:t>
      </w:r>
      <w:r w:rsidR="00B5528D">
        <w:rPr>
          <w:rFonts w:eastAsiaTheme="minorHAnsi"/>
          <w:lang w:val="en-US"/>
        </w:rPr>
        <w:t xml:space="preserve">nitrogen </w:t>
      </w:r>
      <w:r>
        <w:rPr>
          <w:rFonts w:eastAsiaTheme="minorHAnsi"/>
          <w:lang w:val="en-US"/>
        </w:rPr>
        <w:t>isotope values (</w:t>
      </w:r>
      <w:r w:rsidR="002659FE">
        <w:rPr>
          <w:rFonts w:eastAsiaTheme="minorHAnsi"/>
          <w:lang w:val="en-US"/>
        </w:rPr>
        <w:t xml:space="preserve">refer to </w:t>
      </w:r>
      <w:r w:rsidR="00CE7909">
        <w:rPr>
          <w:rFonts w:eastAsiaTheme="minorHAnsi"/>
          <w:lang w:val="en-US"/>
        </w:rPr>
        <w:t xml:space="preserve">Table B4 in </w:t>
      </w:r>
      <w:r w:rsidR="002659FE">
        <w:rPr>
          <w:rFonts w:eastAsiaTheme="minorHAnsi"/>
          <w:lang w:val="en-US"/>
        </w:rPr>
        <w:t xml:space="preserve">Appendix B, </w:t>
      </w:r>
      <w:r>
        <w:rPr>
          <w:rFonts w:eastAsiaTheme="minorHAnsi"/>
          <w:i/>
          <w:lang w:val="en-US"/>
        </w:rPr>
        <w:t>t = -1.869, p = 0.099</w:t>
      </w:r>
      <w:r>
        <w:rPr>
          <w:rFonts w:eastAsiaTheme="minorHAnsi"/>
          <w:lang w:val="en-US"/>
        </w:rPr>
        <w:t xml:space="preserve">). Explanations regarding this trend will be explained in the next chapter. </w:t>
      </w:r>
    </w:p>
    <w:p w14:paraId="3F4D9033" w14:textId="77777777" w:rsidR="00836512" w:rsidRDefault="00836512" w:rsidP="00996E12">
      <w:pPr>
        <w:rPr>
          <w:rFonts w:eastAsiaTheme="minorHAnsi"/>
          <w:lang w:val="en-US"/>
        </w:rPr>
      </w:pPr>
    </w:p>
    <w:p w14:paraId="1DA1D38A" w14:textId="77777777" w:rsidR="00836512" w:rsidRDefault="00836512" w:rsidP="00996E12">
      <w:pPr>
        <w:spacing w:line="480" w:lineRule="auto"/>
        <w:rPr>
          <w:rFonts w:eastAsiaTheme="minorHAnsi"/>
          <w:b/>
          <w:lang w:val="en-US"/>
        </w:rPr>
      </w:pPr>
      <w:r>
        <w:rPr>
          <w:rFonts w:eastAsiaTheme="minorHAnsi"/>
          <w:b/>
          <w:lang w:val="en-US"/>
        </w:rPr>
        <w:t xml:space="preserve">5.4 Subadult Serial Dentine vs. Bulk Bone Collagen </w:t>
      </w:r>
    </w:p>
    <w:p w14:paraId="643D14E5" w14:textId="77777777" w:rsidR="00836512" w:rsidRDefault="00836512" w:rsidP="00996E12">
      <w:pPr>
        <w:rPr>
          <w:rFonts w:eastAsiaTheme="minorHAnsi"/>
          <w:lang w:val="en-US"/>
        </w:rPr>
      </w:pPr>
    </w:p>
    <w:p w14:paraId="16578523" w14:textId="77777777" w:rsidR="00836512" w:rsidRDefault="00836512" w:rsidP="00836512">
      <w:pPr>
        <w:spacing w:line="480" w:lineRule="auto"/>
        <w:ind w:firstLine="720"/>
        <w:rPr>
          <w:rFonts w:eastAsiaTheme="minorHAnsi"/>
          <w:lang w:val="en-US"/>
        </w:rPr>
      </w:pPr>
      <w:r>
        <w:rPr>
          <w:rFonts w:eastAsiaTheme="minorHAnsi"/>
          <w:lang w:val="en-US"/>
        </w:rPr>
        <w:t xml:space="preserve">The following series of graphs plot carbon and nitrogen data from dentine, ribs, and femur samples from the same subadult individuals to explore variability between signals obtained from dentine and bones samples. </w:t>
      </w:r>
    </w:p>
    <w:p w14:paraId="73DD9BF6" w14:textId="72A1502B" w:rsidR="00A30AAD" w:rsidRDefault="00A30AAD" w:rsidP="00996E12">
      <w:pPr>
        <w:spacing w:line="480" w:lineRule="auto"/>
        <w:rPr>
          <w:rFonts w:eastAsiaTheme="minorHAnsi"/>
          <w:lang w:val="en-US"/>
        </w:rPr>
      </w:pPr>
    </w:p>
    <w:p w14:paraId="318D6880" w14:textId="77777777" w:rsidR="009E777B" w:rsidRDefault="009E777B" w:rsidP="00996E12">
      <w:pPr>
        <w:spacing w:line="480" w:lineRule="auto"/>
        <w:rPr>
          <w:rFonts w:eastAsiaTheme="minorHAnsi"/>
          <w:lang w:val="en-US"/>
        </w:rPr>
      </w:pPr>
    </w:p>
    <w:p w14:paraId="53BA5A28" w14:textId="6D002CC3" w:rsidR="00836512" w:rsidRDefault="002E2569" w:rsidP="00996E12">
      <w:pPr>
        <w:spacing w:line="480" w:lineRule="auto"/>
        <w:rPr>
          <w:rFonts w:eastAsiaTheme="minorHAnsi"/>
          <w:lang w:val="en-US"/>
        </w:rPr>
      </w:pPr>
      <w:r>
        <w:rPr>
          <w:noProof/>
          <w:lang w:eastAsia="en-CA"/>
        </w:rPr>
        <w:lastRenderedPageBreak/>
        <w:drawing>
          <wp:anchor distT="0" distB="0" distL="114300" distR="114300" simplePos="0" relativeHeight="251710464" behindDoc="0" locked="0" layoutInCell="1" allowOverlap="1" wp14:anchorId="3734D5D0" wp14:editId="3D5EE061">
            <wp:simplePos x="0" y="0"/>
            <wp:positionH relativeFrom="column">
              <wp:posOffset>2621915</wp:posOffset>
            </wp:positionH>
            <wp:positionV relativeFrom="paragraph">
              <wp:posOffset>220980</wp:posOffset>
            </wp:positionV>
            <wp:extent cx="2674800" cy="1699895"/>
            <wp:effectExtent l="0" t="0" r="5080" b="1905"/>
            <wp:wrapNone/>
            <wp:docPr id="114" name="Chart 114">
              <a:extLst xmlns:a="http://schemas.openxmlformats.org/drawingml/2006/main">
                <a:ext uri="{FF2B5EF4-FFF2-40B4-BE49-F238E27FC236}">
                  <a16:creationId xmlns:a16="http://schemas.microsoft.com/office/drawing/2014/main" id="{459DAA80-C7C1-7E4B-A042-C5A6A8310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996E12">
        <w:rPr>
          <w:noProof/>
          <w:lang w:eastAsia="en-CA"/>
        </w:rPr>
        <w:drawing>
          <wp:anchor distT="0" distB="0" distL="114300" distR="114300" simplePos="0" relativeHeight="251709440" behindDoc="0" locked="0" layoutInCell="1" allowOverlap="1" wp14:anchorId="73C066CE" wp14:editId="6E5C444F">
            <wp:simplePos x="0" y="0"/>
            <wp:positionH relativeFrom="column">
              <wp:posOffset>-1098</wp:posOffset>
            </wp:positionH>
            <wp:positionV relativeFrom="paragraph">
              <wp:posOffset>221094</wp:posOffset>
            </wp:positionV>
            <wp:extent cx="2675255" cy="1700156"/>
            <wp:effectExtent l="0" t="0" r="0" b="1905"/>
            <wp:wrapNone/>
            <wp:docPr id="116" name="Chart 116">
              <a:extLst xmlns:a="http://schemas.openxmlformats.org/drawingml/2006/main">
                <a:ext uri="{FF2B5EF4-FFF2-40B4-BE49-F238E27FC236}">
                  <a16:creationId xmlns:a16="http://schemas.microsoft.com/office/drawing/2014/main" id="{E8D22907-0792-F542-BA5C-50D252ABB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14:paraId="2F2198AF" w14:textId="08EC5186" w:rsidR="00836512" w:rsidRDefault="00836512" w:rsidP="00836512">
      <w:pPr>
        <w:spacing w:line="480" w:lineRule="auto"/>
        <w:rPr>
          <w:rFonts w:eastAsiaTheme="minorHAnsi"/>
          <w:lang w:val="en-US"/>
        </w:rPr>
      </w:pPr>
    </w:p>
    <w:p w14:paraId="36EB377C" w14:textId="77777777" w:rsidR="00836512" w:rsidRDefault="00836512" w:rsidP="00836512">
      <w:pPr>
        <w:spacing w:line="480" w:lineRule="auto"/>
        <w:rPr>
          <w:rFonts w:eastAsiaTheme="minorHAnsi"/>
          <w:lang w:val="en-US"/>
        </w:rPr>
      </w:pPr>
    </w:p>
    <w:p w14:paraId="78BC5594" w14:textId="77777777" w:rsidR="00836512" w:rsidRDefault="00836512" w:rsidP="00836512">
      <w:pPr>
        <w:spacing w:line="480" w:lineRule="auto"/>
        <w:rPr>
          <w:rFonts w:eastAsiaTheme="minorHAnsi"/>
          <w:lang w:val="en-US"/>
        </w:rPr>
      </w:pPr>
    </w:p>
    <w:p w14:paraId="6C2BFE2E" w14:textId="77777777" w:rsidR="00836512" w:rsidRDefault="00836512" w:rsidP="00836512">
      <w:pPr>
        <w:jc w:val="center"/>
        <w:rPr>
          <w:rFonts w:eastAsiaTheme="minorHAnsi"/>
          <w:lang w:val="en-US"/>
        </w:rPr>
      </w:pPr>
    </w:p>
    <w:p w14:paraId="6EC32ECF" w14:textId="77777777" w:rsidR="00836512" w:rsidRDefault="00836512" w:rsidP="00836512">
      <w:pPr>
        <w:jc w:val="center"/>
        <w:rPr>
          <w:rFonts w:eastAsiaTheme="minorHAnsi"/>
          <w:sz w:val="20"/>
          <w:szCs w:val="20"/>
          <w:lang w:val="en-US"/>
        </w:rPr>
      </w:pPr>
    </w:p>
    <w:p w14:paraId="50E79E07" w14:textId="77777777" w:rsidR="00836512" w:rsidRDefault="00836512" w:rsidP="00836512">
      <w:pPr>
        <w:jc w:val="center"/>
        <w:rPr>
          <w:rFonts w:eastAsiaTheme="minorHAnsi"/>
          <w:sz w:val="20"/>
          <w:szCs w:val="20"/>
          <w:lang w:val="en-US"/>
        </w:rPr>
      </w:pPr>
    </w:p>
    <w:p w14:paraId="0F4D4659" w14:textId="77777777" w:rsidR="00836512" w:rsidRDefault="00836512" w:rsidP="002E2569">
      <w:pPr>
        <w:rPr>
          <w:rFonts w:eastAsiaTheme="minorHAnsi"/>
          <w:sz w:val="20"/>
          <w:szCs w:val="20"/>
          <w:lang w:val="en-US"/>
        </w:rPr>
      </w:pPr>
    </w:p>
    <w:p w14:paraId="22907B68" w14:textId="77777777" w:rsidR="00836512" w:rsidRDefault="00836512" w:rsidP="00836512">
      <w:pPr>
        <w:jc w:val="center"/>
        <w:rPr>
          <w:rFonts w:eastAsiaTheme="minorHAnsi"/>
          <w:sz w:val="20"/>
          <w:szCs w:val="20"/>
          <w:lang w:val="en-US"/>
        </w:rPr>
      </w:pPr>
    </w:p>
    <w:p w14:paraId="17A473A4" w14:textId="77777777" w:rsidR="00C40E2B" w:rsidRPr="00475487" w:rsidRDefault="00C40E2B" w:rsidP="00C40E2B">
      <w:pPr>
        <w:jc w:val="center"/>
        <w:rPr>
          <w:lang w:val="en-US"/>
        </w:rPr>
      </w:pPr>
      <w:r w:rsidRPr="00475487">
        <w:rPr>
          <w:rFonts w:eastAsiaTheme="minorHAnsi"/>
          <w:b/>
          <w:lang w:val="en-US"/>
        </w:rPr>
        <w:t>Figure 5.26:</w:t>
      </w:r>
      <w:r w:rsidRPr="00475487">
        <w:rPr>
          <w:rFonts w:eastAsiaTheme="minorHAnsi"/>
          <w:lang w:val="en-US"/>
        </w:rPr>
        <w:t xml:space="preserve"> G67/I p3 e2 S4=Tomb 4 (T1).</w:t>
      </w:r>
      <w:r w:rsidRPr="00475487">
        <w:rPr>
          <w:lang w:val="en-US"/>
        </w:rPr>
        <w:t xml:space="preserve"> Age at death: 4 years </w:t>
      </w:r>
      <w:r w:rsidRPr="00475487">
        <w:rPr>
          <w:lang w:val="en-US"/>
        </w:rPr>
        <w:sym w:font="Symbol" w:char="F0B1"/>
      </w:r>
      <w:r w:rsidRPr="00475487">
        <w:rPr>
          <w:lang w:val="en-US"/>
        </w:rPr>
        <w:t xml:space="preserve"> 12 months.</w:t>
      </w:r>
    </w:p>
    <w:p w14:paraId="3D5B4C27" w14:textId="77777777" w:rsidR="00836512" w:rsidRDefault="00836512" w:rsidP="00836512">
      <w:pPr>
        <w:jc w:val="center"/>
        <w:rPr>
          <w:sz w:val="20"/>
          <w:szCs w:val="20"/>
          <w:lang w:val="en-US"/>
        </w:rPr>
      </w:pPr>
    </w:p>
    <w:p w14:paraId="72855460" w14:textId="77777777" w:rsidR="00836512" w:rsidRDefault="00836512" w:rsidP="00836512">
      <w:pPr>
        <w:jc w:val="center"/>
        <w:rPr>
          <w:sz w:val="20"/>
          <w:szCs w:val="20"/>
          <w:lang w:val="en-US"/>
        </w:rPr>
      </w:pPr>
    </w:p>
    <w:p w14:paraId="0002C969" w14:textId="250C31F3" w:rsidR="00836512" w:rsidRDefault="00836512" w:rsidP="00836512">
      <w:pPr>
        <w:spacing w:line="480" w:lineRule="auto"/>
        <w:ind w:firstLine="720"/>
        <w:rPr>
          <w:lang w:val="en-US"/>
        </w:rPr>
      </w:pPr>
      <w:r>
        <w:rPr>
          <w:lang w:val="en-US"/>
        </w:rPr>
        <w:t xml:space="preserve">The deciduous molar (T1), femur (F3), and rib (R5), present stable isotope values for this single four-year old individual.  The rib </w:t>
      </w:r>
      <w:r>
        <w:t>δ</w:t>
      </w:r>
      <w:r>
        <w:rPr>
          <w:vertAlign w:val="superscript"/>
          <w:lang w:val="en-US"/>
        </w:rPr>
        <w:t>15</w:t>
      </w:r>
      <w:r>
        <w:rPr>
          <w:lang w:val="en-US"/>
        </w:rPr>
        <w:t xml:space="preserve">N value (9.8‰) is lower than the </w:t>
      </w:r>
      <w:r>
        <w:t>δ</w:t>
      </w:r>
      <w:r>
        <w:rPr>
          <w:vertAlign w:val="superscript"/>
          <w:lang w:val="en-US"/>
        </w:rPr>
        <w:t>15</w:t>
      </w:r>
      <w:r>
        <w:rPr>
          <w:lang w:val="en-US"/>
        </w:rPr>
        <w:t xml:space="preserve">N value (10.6‰) of the last serial dentine section, implying that either (1) the individual was weaning up until the time of death or had ceased weaning soon before death, or (2) that the drop in nitrogen reflects a decline associated with growth (Fig. 5.26). In contrast, the femur </w:t>
      </w:r>
      <w:r>
        <w:t>δ</w:t>
      </w:r>
      <w:r>
        <w:rPr>
          <w:vertAlign w:val="superscript"/>
          <w:lang w:val="en-US"/>
        </w:rPr>
        <w:t>15</w:t>
      </w:r>
      <w:r>
        <w:rPr>
          <w:lang w:val="en-US"/>
        </w:rPr>
        <w:t xml:space="preserve">N value (11.5‰) is higher than both the rib and final dentine section values.  Rib and femoral samples incorporate diet consumed over varying lengths of time; a rib represents diet from a few months prior to death, while femoral values represent diet consumed over a longer period prior to death. Consequently, the rib collagen data exhibit stable isotope values that correspond to a period closer to the time of death, while femoral collagen data display stable isotope values that include diet from earlier life stages (such as exclusive breastfeeding), resulting in overall higher </w:t>
      </w:r>
      <w:r>
        <w:t>δ</w:t>
      </w:r>
      <w:r>
        <w:rPr>
          <w:vertAlign w:val="superscript"/>
          <w:lang w:val="en-US"/>
        </w:rPr>
        <w:t>15</w:t>
      </w:r>
      <w:r>
        <w:rPr>
          <w:lang w:val="en-US"/>
        </w:rPr>
        <w:t xml:space="preserve">N values. </w:t>
      </w:r>
    </w:p>
    <w:p w14:paraId="609B1C0A" w14:textId="77777777" w:rsidR="002E2569" w:rsidRDefault="002E2569" w:rsidP="002E2569">
      <w:pPr>
        <w:ind w:firstLine="720"/>
        <w:rPr>
          <w:lang w:val="en-US"/>
        </w:rPr>
      </w:pPr>
    </w:p>
    <w:p w14:paraId="05F56F3B" w14:textId="77777777" w:rsidR="00836512" w:rsidRDefault="00836512" w:rsidP="00836512">
      <w:pPr>
        <w:spacing w:line="480" w:lineRule="auto"/>
        <w:ind w:firstLine="720"/>
        <w:rPr>
          <w:lang w:val="en-US"/>
        </w:rPr>
      </w:pPr>
      <w:r>
        <w:rPr>
          <w:lang w:val="en-US"/>
        </w:rPr>
        <w:t xml:space="preserve">Additionally, the rib </w:t>
      </w:r>
      <w:r>
        <w:t>δ</w:t>
      </w:r>
      <w:r>
        <w:rPr>
          <w:vertAlign w:val="superscript"/>
          <w:lang w:val="en-US"/>
        </w:rPr>
        <w:t>13</w:t>
      </w:r>
      <w:r>
        <w:rPr>
          <w:lang w:val="en-US"/>
        </w:rPr>
        <w:t xml:space="preserve">C value appears to be consistent with the </w:t>
      </w:r>
      <w:r>
        <w:t>δ</w:t>
      </w:r>
      <w:r>
        <w:rPr>
          <w:vertAlign w:val="superscript"/>
          <w:lang w:val="en-US"/>
        </w:rPr>
        <w:t>13</w:t>
      </w:r>
      <w:r>
        <w:rPr>
          <w:lang w:val="en-US"/>
        </w:rPr>
        <w:t xml:space="preserve">C value of the last serial dentine section, suggesting that from 3.2 years until the time of death (4 years) </w:t>
      </w:r>
      <w:r>
        <w:rPr>
          <w:lang w:val="en-US"/>
        </w:rPr>
        <w:lastRenderedPageBreak/>
        <w:t xml:space="preserve">there was an insignificant change in plant-based diet. The femur </w:t>
      </w:r>
      <w:r>
        <w:t>δ</w:t>
      </w:r>
      <w:r>
        <w:rPr>
          <w:vertAlign w:val="superscript"/>
          <w:lang w:val="en-US"/>
        </w:rPr>
        <w:t>13</w:t>
      </w:r>
      <w:r>
        <w:rPr>
          <w:lang w:val="en-US"/>
        </w:rPr>
        <w:t>C value is higher by 0.5‰, however, as stated this higher femoral value is likely the result of a slower bone turnover rate, which can reflect food consumed over a longer period of time.</w:t>
      </w:r>
    </w:p>
    <w:p w14:paraId="33B8D2BF" w14:textId="352BFC1A" w:rsidR="00836512" w:rsidRDefault="003E583E" w:rsidP="00836512">
      <w:pPr>
        <w:spacing w:line="480" w:lineRule="auto"/>
        <w:rPr>
          <w:rFonts w:eastAsiaTheme="minorHAnsi"/>
          <w:sz w:val="21"/>
          <w:lang w:val="en-US"/>
        </w:rPr>
      </w:pPr>
      <w:r>
        <w:rPr>
          <w:noProof/>
          <w:lang w:eastAsia="en-CA"/>
        </w:rPr>
        <w:drawing>
          <wp:anchor distT="0" distB="0" distL="114300" distR="114300" simplePos="0" relativeHeight="251711488" behindDoc="0" locked="0" layoutInCell="1" allowOverlap="1" wp14:anchorId="00FB527A" wp14:editId="1257E032">
            <wp:simplePos x="0" y="0"/>
            <wp:positionH relativeFrom="column">
              <wp:posOffset>-65289</wp:posOffset>
            </wp:positionH>
            <wp:positionV relativeFrom="paragraph">
              <wp:posOffset>276225</wp:posOffset>
            </wp:positionV>
            <wp:extent cx="2674800" cy="1699200"/>
            <wp:effectExtent l="0" t="0" r="5080" b="3175"/>
            <wp:wrapNone/>
            <wp:docPr id="100" name="Chart 100">
              <a:extLst xmlns:a="http://schemas.openxmlformats.org/drawingml/2006/main">
                <a:ext uri="{FF2B5EF4-FFF2-40B4-BE49-F238E27FC236}">
                  <a16:creationId xmlns:a16="http://schemas.microsoft.com/office/drawing/2014/main" id="{EF9C834E-2953-9447-8B9C-5EA299ACB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12512" behindDoc="0" locked="0" layoutInCell="1" allowOverlap="1" wp14:anchorId="4497B17E" wp14:editId="31B08113">
            <wp:simplePos x="0" y="0"/>
            <wp:positionH relativeFrom="column">
              <wp:posOffset>2614007</wp:posOffset>
            </wp:positionH>
            <wp:positionV relativeFrom="paragraph">
              <wp:posOffset>281940</wp:posOffset>
            </wp:positionV>
            <wp:extent cx="2678400" cy="1699200"/>
            <wp:effectExtent l="0" t="0" r="1905" b="3175"/>
            <wp:wrapNone/>
            <wp:docPr id="99" name="Chart 99">
              <a:extLst xmlns:a="http://schemas.openxmlformats.org/drawingml/2006/main">
                <a:ext uri="{FF2B5EF4-FFF2-40B4-BE49-F238E27FC236}">
                  <a16:creationId xmlns:a16="http://schemas.microsoft.com/office/drawing/2014/main" id="{8BEE81D6-8E87-0C4F-B709-1129A6BA1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5479C66B" w14:textId="30A34165" w:rsidR="00836512" w:rsidRDefault="00836512" w:rsidP="00836512">
      <w:pPr>
        <w:spacing w:line="480" w:lineRule="auto"/>
        <w:rPr>
          <w:rFonts w:eastAsiaTheme="minorHAnsi"/>
          <w:lang w:val="en-US"/>
        </w:rPr>
      </w:pPr>
    </w:p>
    <w:p w14:paraId="5EBDE038" w14:textId="77777777" w:rsidR="00836512" w:rsidRDefault="00836512" w:rsidP="00836512">
      <w:pPr>
        <w:spacing w:line="480" w:lineRule="auto"/>
        <w:rPr>
          <w:rFonts w:eastAsiaTheme="minorHAnsi"/>
          <w:lang w:val="en-US"/>
        </w:rPr>
      </w:pPr>
    </w:p>
    <w:p w14:paraId="354FAD05" w14:textId="77777777" w:rsidR="00836512" w:rsidRDefault="00836512" w:rsidP="00836512">
      <w:pPr>
        <w:spacing w:line="480" w:lineRule="auto"/>
        <w:rPr>
          <w:rFonts w:eastAsiaTheme="minorHAnsi"/>
          <w:lang w:val="en-US"/>
        </w:rPr>
      </w:pPr>
    </w:p>
    <w:p w14:paraId="4CAD6924" w14:textId="77777777" w:rsidR="00836512" w:rsidRDefault="00836512" w:rsidP="00836512">
      <w:pPr>
        <w:spacing w:line="480" w:lineRule="auto"/>
        <w:rPr>
          <w:rFonts w:eastAsiaTheme="minorHAnsi"/>
          <w:lang w:val="en-US"/>
        </w:rPr>
      </w:pPr>
    </w:p>
    <w:p w14:paraId="361312AB" w14:textId="77777777" w:rsidR="00836512" w:rsidRDefault="00836512" w:rsidP="00836512">
      <w:pPr>
        <w:rPr>
          <w:rFonts w:eastAsiaTheme="minorHAnsi"/>
          <w:lang w:val="en-US"/>
        </w:rPr>
      </w:pPr>
    </w:p>
    <w:p w14:paraId="14BFEF22" w14:textId="77777777" w:rsidR="00836512" w:rsidRDefault="00836512" w:rsidP="00836512">
      <w:pPr>
        <w:rPr>
          <w:rFonts w:eastAsiaTheme="minorHAnsi"/>
          <w:sz w:val="21"/>
          <w:szCs w:val="21"/>
          <w:lang w:val="en-US"/>
        </w:rPr>
      </w:pPr>
    </w:p>
    <w:p w14:paraId="6597496A" w14:textId="22507384" w:rsidR="00836512" w:rsidRPr="00475487" w:rsidRDefault="00836512" w:rsidP="00475487">
      <w:pPr>
        <w:jc w:val="center"/>
        <w:rPr>
          <w:lang w:val="en-US"/>
        </w:rPr>
      </w:pPr>
      <w:r w:rsidRPr="00475487">
        <w:rPr>
          <w:rFonts w:eastAsiaTheme="minorHAnsi"/>
          <w:b/>
          <w:lang w:val="it-IT"/>
        </w:rPr>
        <w:t>Figure 5.27:</w:t>
      </w:r>
      <w:r w:rsidRPr="00475487">
        <w:rPr>
          <w:rFonts w:eastAsiaTheme="minorHAnsi"/>
          <w:lang w:val="it-IT"/>
        </w:rPr>
        <w:t xml:space="preserve"> Parco San Stefano 22/5/67 Tomba 30 (T2). </w:t>
      </w:r>
      <w:r w:rsidRPr="00475487">
        <w:rPr>
          <w:lang w:val="en-US"/>
        </w:rPr>
        <w:t xml:space="preserve">Age at death: 8 years </w:t>
      </w:r>
      <w:r w:rsidRPr="00475487">
        <w:rPr>
          <w:lang w:val="en-US"/>
        </w:rPr>
        <w:sym w:font="Symbol" w:char="F0B1"/>
      </w:r>
      <w:r w:rsidRPr="00475487">
        <w:rPr>
          <w:lang w:val="en-US"/>
        </w:rPr>
        <w:t xml:space="preserve"> 24 months.</w:t>
      </w:r>
    </w:p>
    <w:p w14:paraId="036C437B" w14:textId="18EEB91D" w:rsidR="003E583E" w:rsidRDefault="003E583E" w:rsidP="003E583E">
      <w:pPr>
        <w:jc w:val="center"/>
        <w:rPr>
          <w:rFonts w:eastAsiaTheme="minorHAnsi"/>
          <w:sz w:val="20"/>
          <w:szCs w:val="20"/>
          <w:lang w:val="en-US"/>
        </w:rPr>
      </w:pPr>
    </w:p>
    <w:p w14:paraId="1940535F" w14:textId="77777777" w:rsidR="009E777B" w:rsidRPr="003E583E" w:rsidRDefault="009E777B" w:rsidP="003E583E">
      <w:pPr>
        <w:jc w:val="center"/>
        <w:rPr>
          <w:rFonts w:eastAsiaTheme="minorHAnsi"/>
          <w:sz w:val="20"/>
          <w:szCs w:val="20"/>
          <w:lang w:val="en-US"/>
        </w:rPr>
      </w:pPr>
    </w:p>
    <w:p w14:paraId="77E86708" w14:textId="53CB2213" w:rsidR="00836512" w:rsidRDefault="00836512" w:rsidP="00836512">
      <w:pPr>
        <w:spacing w:line="480" w:lineRule="auto"/>
        <w:ind w:firstLine="720"/>
        <w:rPr>
          <w:lang w:val="en-US"/>
        </w:rPr>
      </w:pPr>
      <w:r>
        <w:rPr>
          <w:lang w:val="en-US"/>
        </w:rPr>
        <w:t xml:space="preserve">Bone data from this subadult (Fig. 5.27) demonstrate a 1.0‰ drop in </w:t>
      </w:r>
      <w:r>
        <w:t>δ</w:t>
      </w:r>
      <w:r>
        <w:rPr>
          <w:vertAlign w:val="superscript"/>
          <w:lang w:val="en-US"/>
        </w:rPr>
        <w:t>15</w:t>
      </w:r>
      <w:r>
        <w:rPr>
          <w:lang w:val="en-US"/>
        </w:rPr>
        <w:t xml:space="preserve">N values between the last serial dentine section, representing 3.2 years, and 8 years (the estimated age-at-death). As rib and femoral stable isotope data represent differing amounts of time, the fact that both bone samples express comparable </w:t>
      </w:r>
      <w:r>
        <w:t>δ</w:t>
      </w:r>
      <w:r>
        <w:rPr>
          <w:vertAlign w:val="superscript"/>
          <w:lang w:val="en-US"/>
        </w:rPr>
        <w:t>15</w:t>
      </w:r>
      <w:r>
        <w:rPr>
          <w:lang w:val="en-US"/>
        </w:rPr>
        <w:t xml:space="preserve">N values, may suggest minimal change in dietary protein during the several months leading up to death. Likewise, the rib and femoral </w:t>
      </w:r>
      <w:r>
        <w:t>δ</w:t>
      </w:r>
      <w:r>
        <w:rPr>
          <w:vertAlign w:val="superscript"/>
          <w:lang w:val="en-US"/>
        </w:rPr>
        <w:t>13</w:t>
      </w:r>
      <w:r>
        <w:rPr>
          <w:lang w:val="en-US"/>
        </w:rPr>
        <w:t xml:space="preserve">C values are similar, with a slight difference of 0.2‰. Since this difference is within the margin of analytical error, it can be assumed that both bone samples as well as the final dentine section demonstrate comparable </w:t>
      </w:r>
      <w:r>
        <w:t>δ</w:t>
      </w:r>
      <w:r>
        <w:rPr>
          <w:vertAlign w:val="superscript"/>
          <w:lang w:val="en-US"/>
        </w:rPr>
        <w:t>13</w:t>
      </w:r>
      <w:r>
        <w:rPr>
          <w:lang w:val="en-US"/>
        </w:rPr>
        <w:t xml:space="preserve">C values. </w:t>
      </w:r>
    </w:p>
    <w:p w14:paraId="32E72671" w14:textId="77777777" w:rsidR="009E777B" w:rsidRDefault="009E777B" w:rsidP="00760215">
      <w:pPr>
        <w:ind w:firstLine="720"/>
        <w:rPr>
          <w:lang w:val="en-US"/>
        </w:rPr>
      </w:pPr>
    </w:p>
    <w:p w14:paraId="1E2F9FD5" w14:textId="04FA55C2" w:rsidR="00836512" w:rsidRPr="00CF1847" w:rsidRDefault="00836512" w:rsidP="00CF1847">
      <w:pPr>
        <w:spacing w:line="480" w:lineRule="auto"/>
        <w:ind w:firstLine="720"/>
        <w:rPr>
          <w:lang w:val="en-US"/>
        </w:rPr>
      </w:pPr>
      <w:r>
        <w:rPr>
          <w:lang w:val="en-US"/>
        </w:rPr>
        <w:t xml:space="preserve">Like the previous individual, G67/I p3 e2 S4 = Tomb 4, it is possible that the lower </w:t>
      </w:r>
      <w:r>
        <w:t>δ</w:t>
      </w:r>
      <w:r>
        <w:rPr>
          <w:vertAlign w:val="superscript"/>
          <w:lang w:val="en-US"/>
        </w:rPr>
        <w:t>15</w:t>
      </w:r>
      <w:r>
        <w:rPr>
          <w:lang w:val="en-US"/>
        </w:rPr>
        <w:t xml:space="preserve">N bone values may be a result of positive nitrogen balance associated with </w:t>
      </w:r>
      <w:r>
        <w:rPr>
          <w:lang w:val="en-US"/>
        </w:rPr>
        <w:lastRenderedPageBreak/>
        <w:t xml:space="preserve">growth. An alternative explanation is that the post-weaning diet was composed of foods with lower </w:t>
      </w:r>
      <w:r>
        <w:t>δ</w:t>
      </w:r>
      <w:r>
        <w:rPr>
          <w:vertAlign w:val="superscript"/>
          <w:lang w:val="en-US"/>
        </w:rPr>
        <w:t>15</w:t>
      </w:r>
      <w:r>
        <w:rPr>
          <w:lang w:val="en-US"/>
        </w:rPr>
        <w:t>N values (like a more terrestrial-based, C</w:t>
      </w:r>
      <w:r>
        <w:rPr>
          <w:vertAlign w:val="subscript"/>
          <w:lang w:val="en-US"/>
        </w:rPr>
        <w:t>3</w:t>
      </w:r>
      <w:r>
        <w:rPr>
          <w:lang w:val="en-US"/>
        </w:rPr>
        <w:t xml:space="preserve"> plant diet).</w:t>
      </w:r>
    </w:p>
    <w:p w14:paraId="24138034" w14:textId="73AB7573" w:rsidR="00836512" w:rsidRDefault="00CF1847" w:rsidP="00836512">
      <w:pPr>
        <w:spacing w:line="480" w:lineRule="auto"/>
        <w:rPr>
          <w:rFonts w:eastAsiaTheme="minorHAnsi"/>
          <w:lang w:val="en-US"/>
        </w:rPr>
      </w:pPr>
      <w:r>
        <w:rPr>
          <w:noProof/>
          <w:lang w:eastAsia="en-CA"/>
        </w:rPr>
        <w:drawing>
          <wp:anchor distT="0" distB="0" distL="114300" distR="114300" simplePos="0" relativeHeight="251714560" behindDoc="0" locked="0" layoutInCell="1" allowOverlap="1" wp14:anchorId="10B06925" wp14:editId="6C85782B">
            <wp:simplePos x="0" y="0"/>
            <wp:positionH relativeFrom="column">
              <wp:posOffset>2593629</wp:posOffset>
            </wp:positionH>
            <wp:positionV relativeFrom="paragraph">
              <wp:posOffset>156210</wp:posOffset>
            </wp:positionV>
            <wp:extent cx="2678400" cy="1699200"/>
            <wp:effectExtent l="0" t="0" r="1905" b="3175"/>
            <wp:wrapNone/>
            <wp:docPr id="97" name="Chart 97">
              <a:extLst xmlns:a="http://schemas.openxmlformats.org/drawingml/2006/main">
                <a:ext uri="{FF2B5EF4-FFF2-40B4-BE49-F238E27FC236}">
                  <a16:creationId xmlns:a16="http://schemas.microsoft.com/office/drawing/2014/main" id="{E5B34CC3-3A62-BE49-8C6B-206C623A2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13536" behindDoc="0" locked="0" layoutInCell="1" allowOverlap="1" wp14:anchorId="0A80F7D5" wp14:editId="6EDC6D03">
            <wp:simplePos x="0" y="0"/>
            <wp:positionH relativeFrom="column">
              <wp:posOffset>-84916</wp:posOffset>
            </wp:positionH>
            <wp:positionV relativeFrom="paragraph">
              <wp:posOffset>174625</wp:posOffset>
            </wp:positionV>
            <wp:extent cx="2678400" cy="1699200"/>
            <wp:effectExtent l="0" t="0" r="1905" b="3175"/>
            <wp:wrapNone/>
            <wp:docPr id="98" name="Chart 98">
              <a:extLst xmlns:a="http://schemas.openxmlformats.org/drawingml/2006/main">
                <a:ext uri="{FF2B5EF4-FFF2-40B4-BE49-F238E27FC236}">
                  <a16:creationId xmlns:a16="http://schemas.microsoft.com/office/drawing/2014/main" id="{3CA892C7-9C15-2348-9E25-E9913B6C8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14:paraId="1B2A0BDB" w14:textId="7E9D5301" w:rsidR="00836512" w:rsidRDefault="00836512" w:rsidP="00836512">
      <w:pPr>
        <w:spacing w:line="480" w:lineRule="auto"/>
        <w:rPr>
          <w:rFonts w:eastAsiaTheme="minorHAnsi"/>
          <w:lang w:val="en-US"/>
        </w:rPr>
      </w:pPr>
    </w:p>
    <w:p w14:paraId="3715968B" w14:textId="77777777" w:rsidR="00836512" w:rsidRDefault="00836512" w:rsidP="00836512">
      <w:pPr>
        <w:spacing w:line="480" w:lineRule="auto"/>
        <w:rPr>
          <w:rFonts w:eastAsiaTheme="minorHAnsi"/>
          <w:lang w:val="en-US"/>
        </w:rPr>
      </w:pPr>
    </w:p>
    <w:p w14:paraId="523D1EFF" w14:textId="77777777" w:rsidR="00836512" w:rsidRDefault="00836512" w:rsidP="00836512">
      <w:pPr>
        <w:spacing w:line="480" w:lineRule="auto"/>
        <w:rPr>
          <w:rFonts w:eastAsiaTheme="minorHAnsi"/>
          <w:lang w:val="en-US"/>
        </w:rPr>
      </w:pPr>
    </w:p>
    <w:p w14:paraId="0DDB07F0" w14:textId="77777777" w:rsidR="00836512" w:rsidRDefault="00836512" w:rsidP="00836512">
      <w:pPr>
        <w:spacing w:line="480" w:lineRule="auto"/>
        <w:rPr>
          <w:rFonts w:eastAsiaTheme="minorHAnsi"/>
          <w:lang w:val="en-US"/>
        </w:rPr>
      </w:pPr>
    </w:p>
    <w:p w14:paraId="03D48531" w14:textId="77777777" w:rsidR="00836512" w:rsidRDefault="00836512" w:rsidP="00836512">
      <w:pPr>
        <w:spacing w:line="480" w:lineRule="auto"/>
        <w:rPr>
          <w:rFonts w:eastAsiaTheme="minorHAnsi"/>
          <w:lang w:val="en-US"/>
        </w:rPr>
      </w:pPr>
    </w:p>
    <w:p w14:paraId="0B065B3B" w14:textId="77777777" w:rsidR="00836512" w:rsidRPr="00475487" w:rsidRDefault="00836512" w:rsidP="00836512">
      <w:pPr>
        <w:jc w:val="center"/>
        <w:rPr>
          <w:lang w:val="en-US"/>
        </w:rPr>
      </w:pPr>
      <w:r w:rsidRPr="00475487">
        <w:rPr>
          <w:rFonts w:eastAsiaTheme="minorHAnsi"/>
          <w:b/>
          <w:color w:val="000000" w:themeColor="text1"/>
          <w:lang w:val="en-US"/>
        </w:rPr>
        <w:t>Figure 5.28:</w:t>
      </w:r>
      <w:r w:rsidRPr="00475487">
        <w:rPr>
          <w:rFonts w:eastAsiaTheme="minorHAnsi"/>
          <w:color w:val="000000" w:themeColor="text1"/>
          <w:lang w:val="en-US"/>
        </w:rPr>
        <w:t xml:space="preserve"> </w:t>
      </w:r>
      <w:r w:rsidRPr="00475487">
        <w:rPr>
          <w:rFonts w:eastAsiaTheme="minorHAnsi"/>
          <w:lang w:val="en-US"/>
        </w:rPr>
        <w:t xml:space="preserve">G67/II P4 S17 Infill 3 (T3). </w:t>
      </w:r>
      <w:r w:rsidRPr="00475487">
        <w:rPr>
          <w:lang w:val="en-US"/>
        </w:rPr>
        <w:t xml:space="preserve">Age at death: 7 – 8 years </w:t>
      </w:r>
      <w:r w:rsidRPr="00475487">
        <w:rPr>
          <w:lang w:val="en-US"/>
        </w:rPr>
        <w:sym w:font="Symbol" w:char="F0B1"/>
      </w:r>
      <w:r w:rsidRPr="00475487">
        <w:rPr>
          <w:lang w:val="en-US"/>
        </w:rPr>
        <w:t xml:space="preserve"> 24 months.</w:t>
      </w:r>
    </w:p>
    <w:p w14:paraId="0DE6A347" w14:textId="77777777" w:rsidR="00836512" w:rsidRDefault="00836512" w:rsidP="00836512">
      <w:pPr>
        <w:spacing w:line="480" w:lineRule="auto"/>
        <w:rPr>
          <w:lang w:val="en-US"/>
        </w:rPr>
      </w:pPr>
    </w:p>
    <w:p w14:paraId="6412A126" w14:textId="68BA9A56" w:rsidR="00836512" w:rsidRDefault="00836512" w:rsidP="00836512">
      <w:pPr>
        <w:spacing w:line="480" w:lineRule="auto"/>
        <w:rPr>
          <w:lang w:val="en-US"/>
        </w:rPr>
      </w:pPr>
      <w:r>
        <w:rPr>
          <w:lang w:val="en-US"/>
        </w:rPr>
        <w:tab/>
        <w:t xml:space="preserve">For Individual T3, both rib and femoral samples provide comparable </w:t>
      </w:r>
      <w:r>
        <w:t>δ</w:t>
      </w:r>
      <w:r>
        <w:rPr>
          <w:vertAlign w:val="superscript"/>
          <w:lang w:val="en-US"/>
        </w:rPr>
        <w:t>15</w:t>
      </w:r>
      <w:r>
        <w:rPr>
          <w:lang w:val="en-US"/>
        </w:rPr>
        <w:t xml:space="preserve">N and </w:t>
      </w:r>
      <w:r>
        <w:t>δ</w:t>
      </w:r>
      <w:r>
        <w:rPr>
          <w:vertAlign w:val="superscript"/>
          <w:lang w:val="en-US"/>
        </w:rPr>
        <w:t>13</w:t>
      </w:r>
      <w:r>
        <w:rPr>
          <w:lang w:val="en-US"/>
        </w:rPr>
        <w:t xml:space="preserve">C values in comparison to the last serial dentine section (representing the age 5.9 years), with a discrepancy from each other by 0.1‰ (Fig. 5.28). Based on these values it can be concluded that this individual consumed a relatively consistent diet from 5.9 years up until time of death.  </w:t>
      </w:r>
    </w:p>
    <w:p w14:paraId="59BFB48D" w14:textId="2A7E60DD" w:rsidR="009E777B" w:rsidRDefault="009E777B" w:rsidP="00836512">
      <w:pPr>
        <w:spacing w:line="480" w:lineRule="auto"/>
        <w:rPr>
          <w:lang w:val="en-US"/>
        </w:rPr>
      </w:pPr>
    </w:p>
    <w:p w14:paraId="4D56B761" w14:textId="12C5EDD1" w:rsidR="009E777B" w:rsidRDefault="009E777B" w:rsidP="00836512">
      <w:pPr>
        <w:spacing w:line="480" w:lineRule="auto"/>
        <w:rPr>
          <w:lang w:val="en-US"/>
        </w:rPr>
      </w:pPr>
    </w:p>
    <w:p w14:paraId="4E411BC7" w14:textId="32D38B9E" w:rsidR="009E777B" w:rsidRDefault="009E777B" w:rsidP="00836512">
      <w:pPr>
        <w:spacing w:line="480" w:lineRule="auto"/>
        <w:rPr>
          <w:lang w:val="en-US"/>
        </w:rPr>
      </w:pPr>
    </w:p>
    <w:p w14:paraId="789FFC92" w14:textId="1E12E3C9" w:rsidR="009E777B" w:rsidRDefault="009E777B" w:rsidP="00836512">
      <w:pPr>
        <w:spacing w:line="480" w:lineRule="auto"/>
        <w:rPr>
          <w:lang w:val="en-US"/>
        </w:rPr>
      </w:pPr>
    </w:p>
    <w:p w14:paraId="55B95CE7" w14:textId="432DDD50" w:rsidR="00CE0777" w:rsidRDefault="00CE0777" w:rsidP="00836512">
      <w:pPr>
        <w:spacing w:line="480" w:lineRule="auto"/>
        <w:rPr>
          <w:lang w:val="en-US"/>
        </w:rPr>
      </w:pPr>
    </w:p>
    <w:p w14:paraId="51902645" w14:textId="77777777" w:rsidR="00CE0777" w:rsidRDefault="00CE0777" w:rsidP="00836512">
      <w:pPr>
        <w:spacing w:line="480" w:lineRule="auto"/>
        <w:rPr>
          <w:lang w:val="en-US"/>
        </w:rPr>
      </w:pPr>
    </w:p>
    <w:p w14:paraId="771C1FF2" w14:textId="0D027882" w:rsidR="009E777B" w:rsidRDefault="009E777B" w:rsidP="00836512">
      <w:pPr>
        <w:spacing w:line="480" w:lineRule="auto"/>
        <w:rPr>
          <w:lang w:val="en-US"/>
        </w:rPr>
      </w:pPr>
    </w:p>
    <w:p w14:paraId="32D5D4CA" w14:textId="77777777" w:rsidR="009E777B" w:rsidRDefault="009E777B" w:rsidP="00836512">
      <w:pPr>
        <w:spacing w:line="480" w:lineRule="auto"/>
        <w:rPr>
          <w:lang w:val="en-US"/>
        </w:rPr>
      </w:pPr>
    </w:p>
    <w:p w14:paraId="39BD1E26" w14:textId="18DDC8F5" w:rsidR="00836512" w:rsidRDefault="00BE2B81" w:rsidP="00836512">
      <w:pPr>
        <w:rPr>
          <w:rFonts w:asciiTheme="minorHAnsi" w:eastAsiaTheme="minorHAnsi" w:hAnsiTheme="minorHAnsi" w:cstheme="minorBidi"/>
          <w:i/>
          <w:lang w:val="en-US"/>
        </w:rPr>
      </w:pPr>
      <w:r>
        <w:rPr>
          <w:noProof/>
          <w:lang w:eastAsia="en-CA"/>
        </w:rPr>
        <w:lastRenderedPageBreak/>
        <w:drawing>
          <wp:anchor distT="0" distB="0" distL="114300" distR="114300" simplePos="0" relativeHeight="251716608" behindDoc="0" locked="0" layoutInCell="1" allowOverlap="1" wp14:anchorId="54232A84" wp14:editId="4658292C">
            <wp:simplePos x="0" y="0"/>
            <wp:positionH relativeFrom="column">
              <wp:posOffset>2418715</wp:posOffset>
            </wp:positionH>
            <wp:positionV relativeFrom="paragraph">
              <wp:posOffset>36714</wp:posOffset>
            </wp:positionV>
            <wp:extent cx="2678400" cy="1699200"/>
            <wp:effectExtent l="0" t="0" r="1905" b="3175"/>
            <wp:wrapNone/>
            <wp:docPr id="94" name="Chart 94">
              <a:extLst xmlns:a="http://schemas.openxmlformats.org/drawingml/2006/main">
                <a:ext uri="{FF2B5EF4-FFF2-40B4-BE49-F238E27FC236}">
                  <a16:creationId xmlns:a16="http://schemas.microsoft.com/office/drawing/2014/main" id="{4A0F7516-30E7-3443-92AD-D5FFC38FD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15584" behindDoc="0" locked="0" layoutInCell="1" allowOverlap="1" wp14:anchorId="5ABE5DD9" wp14:editId="4FBAE6CE">
            <wp:simplePos x="0" y="0"/>
            <wp:positionH relativeFrom="column">
              <wp:posOffset>-161464</wp:posOffset>
            </wp:positionH>
            <wp:positionV relativeFrom="paragraph">
              <wp:posOffset>49241</wp:posOffset>
            </wp:positionV>
            <wp:extent cx="2678400" cy="1699200"/>
            <wp:effectExtent l="0" t="0" r="1905" b="3175"/>
            <wp:wrapNone/>
            <wp:docPr id="95" name="Chart 95">
              <a:extLst xmlns:a="http://schemas.openxmlformats.org/drawingml/2006/main">
                <a:ext uri="{FF2B5EF4-FFF2-40B4-BE49-F238E27FC236}">
                  <a16:creationId xmlns:a16="http://schemas.microsoft.com/office/drawing/2014/main" id="{F7FB21AE-6B3A-5642-8F90-3CE193E34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273A6E80" w14:textId="77777777" w:rsidR="00836512" w:rsidRDefault="00836512" w:rsidP="00836512">
      <w:pPr>
        <w:rPr>
          <w:rFonts w:asciiTheme="minorHAnsi" w:eastAsiaTheme="minorHAnsi" w:hAnsiTheme="minorHAnsi" w:cstheme="minorBidi"/>
          <w:i/>
          <w:lang w:val="en-US"/>
        </w:rPr>
      </w:pPr>
    </w:p>
    <w:p w14:paraId="07ADDE0C" w14:textId="77777777" w:rsidR="00836512" w:rsidRDefault="00836512" w:rsidP="00836512">
      <w:pPr>
        <w:spacing w:line="480" w:lineRule="auto"/>
        <w:rPr>
          <w:rFonts w:eastAsiaTheme="minorHAnsi"/>
          <w:lang w:val="en-US"/>
        </w:rPr>
      </w:pPr>
    </w:p>
    <w:p w14:paraId="342C3905" w14:textId="77777777" w:rsidR="00836512" w:rsidRDefault="00836512" w:rsidP="00836512">
      <w:pPr>
        <w:spacing w:line="480" w:lineRule="auto"/>
        <w:rPr>
          <w:rFonts w:eastAsiaTheme="minorHAnsi"/>
          <w:lang w:val="en-US"/>
        </w:rPr>
      </w:pPr>
    </w:p>
    <w:p w14:paraId="1F94334F" w14:textId="77777777" w:rsidR="00836512" w:rsidRDefault="00836512" w:rsidP="00836512">
      <w:pPr>
        <w:spacing w:line="480" w:lineRule="auto"/>
        <w:rPr>
          <w:rFonts w:eastAsiaTheme="minorHAnsi"/>
          <w:lang w:val="en-US"/>
        </w:rPr>
      </w:pPr>
    </w:p>
    <w:p w14:paraId="09BB0C2D" w14:textId="77777777" w:rsidR="00836512" w:rsidRDefault="00836512" w:rsidP="00BE2B81">
      <w:pPr>
        <w:rPr>
          <w:rFonts w:eastAsiaTheme="minorHAnsi"/>
          <w:sz w:val="20"/>
          <w:szCs w:val="20"/>
          <w:lang w:val="en-US"/>
        </w:rPr>
      </w:pPr>
    </w:p>
    <w:p w14:paraId="67CEC1AF" w14:textId="77777777" w:rsidR="00836512" w:rsidRDefault="00836512" w:rsidP="00836512">
      <w:pPr>
        <w:jc w:val="center"/>
        <w:rPr>
          <w:rFonts w:eastAsiaTheme="minorHAnsi"/>
          <w:sz w:val="20"/>
          <w:szCs w:val="20"/>
          <w:lang w:val="en-US"/>
        </w:rPr>
      </w:pPr>
    </w:p>
    <w:p w14:paraId="01E93E47" w14:textId="77777777" w:rsidR="00836512" w:rsidRDefault="00836512" w:rsidP="00836512">
      <w:pPr>
        <w:jc w:val="center"/>
        <w:rPr>
          <w:rFonts w:eastAsiaTheme="minorHAnsi"/>
          <w:sz w:val="20"/>
          <w:szCs w:val="20"/>
          <w:lang w:val="en-US"/>
        </w:rPr>
      </w:pPr>
    </w:p>
    <w:p w14:paraId="6C06EC41" w14:textId="409C2180" w:rsidR="00836512" w:rsidRPr="00475487" w:rsidRDefault="00836512" w:rsidP="00836512">
      <w:pPr>
        <w:jc w:val="center"/>
        <w:rPr>
          <w:rFonts w:eastAsiaTheme="minorHAnsi"/>
          <w:lang w:val="en-US"/>
        </w:rPr>
      </w:pPr>
      <w:r w:rsidRPr="00475487">
        <w:rPr>
          <w:rFonts w:eastAsiaTheme="minorHAnsi"/>
          <w:b/>
          <w:lang w:val="it-IT"/>
        </w:rPr>
        <w:t>Figure 5.29</w:t>
      </w:r>
      <w:r w:rsidR="00475487">
        <w:rPr>
          <w:rFonts w:eastAsiaTheme="minorHAnsi"/>
          <w:b/>
          <w:lang w:val="it-IT"/>
        </w:rPr>
        <w:t>:</w:t>
      </w:r>
      <w:r w:rsidRPr="00475487">
        <w:rPr>
          <w:rFonts w:eastAsiaTheme="minorHAnsi"/>
          <w:lang w:val="it-IT"/>
        </w:rPr>
        <w:t xml:space="preserve"> Gravina Botr 21/12/71 Tomba di bambino Ind. 1 (T4). </w:t>
      </w:r>
      <w:r w:rsidRPr="00475487">
        <w:rPr>
          <w:lang w:val="en-US"/>
        </w:rPr>
        <w:t xml:space="preserve">Age at death: 2 years </w:t>
      </w:r>
      <w:r w:rsidRPr="00475487">
        <w:rPr>
          <w:lang w:val="en-US"/>
        </w:rPr>
        <w:sym w:font="Symbol" w:char="F0B1"/>
      </w:r>
      <w:r w:rsidRPr="00475487">
        <w:rPr>
          <w:lang w:val="en-US"/>
        </w:rPr>
        <w:t xml:space="preserve"> 8 months.</w:t>
      </w:r>
    </w:p>
    <w:p w14:paraId="60A257E0" w14:textId="77777777" w:rsidR="00836512" w:rsidRPr="00475487" w:rsidRDefault="00836512" w:rsidP="00836512">
      <w:pPr>
        <w:spacing w:line="480" w:lineRule="auto"/>
        <w:ind w:firstLine="720"/>
        <w:rPr>
          <w:lang w:val="en-US"/>
        </w:rPr>
      </w:pPr>
    </w:p>
    <w:p w14:paraId="4F120A42" w14:textId="505120C0" w:rsidR="00836512" w:rsidRDefault="00836512" w:rsidP="00C63D04">
      <w:pPr>
        <w:spacing w:line="480" w:lineRule="auto"/>
        <w:ind w:firstLine="720"/>
        <w:rPr>
          <w:lang w:val="en-US"/>
        </w:rPr>
      </w:pPr>
      <w:r>
        <w:rPr>
          <w:lang w:val="en-US"/>
        </w:rPr>
        <w:t xml:space="preserve">The stable isotope data from the rib and femur samples of T4 present similar </w:t>
      </w:r>
      <w:r>
        <w:t>δ</w:t>
      </w:r>
      <w:r>
        <w:rPr>
          <w:vertAlign w:val="superscript"/>
          <w:lang w:val="en-US"/>
        </w:rPr>
        <w:t>15</w:t>
      </w:r>
      <w:r>
        <w:rPr>
          <w:lang w:val="en-US"/>
        </w:rPr>
        <w:t xml:space="preserve">N values to the last serial dentine section; yet, the </w:t>
      </w:r>
      <w:r>
        <w:t>δ</w:t>
      </w:r>
      <w:r>
        <w:rPr>
          <w:vertAlign w:val="superscript"/>
          <w:lang w:val="en-US"/>
        </w:rPr>
        <w:t>13</w:t>
      </w:r>
      <w:r>
        <w:rPr>
          <w:lang w:val="en-US"/>
        </w:rPr>
        <w:t xml:space="preserve">C values appear to be slightly higher (by 0.5‰) (Fig. 5.29). Similarity between nitrogen isotope values between the last dentine and bone samples might be a result of the quicker rate of weaning accompanied by faster overall skeletal bone turnover rates during the first year of childhood. </w:t>
      </w:r>
      <w:r w:rsidR="00C63D04">
        <w:rPr>
          <w:lang w:val="en-US"/>
        </w:rPr>
        <w:t xml:space="preserve">More specifically, since </w:t>
      </w:r>
      <w:r w:rsidR="00C63D04">
        <w:t xml:space="preserve">100 – 200% of the skeleton is expected to be remodelled within the first year of life (ICRP, 1975), and this individual was 2 years old at the time of death, combination of rapid weaning and quicker incorporation of diet by both bone samples may result in similar and more recent rib and femur stable isotope values. </w:t>
      </w:r>
      <w:r>
        <w:rPr>
          <w:lang w:val="en-US"/>
        </w:rPr>
        <w:t xml:space="preserve">This pattern is further discussed in Chapter 6. </w:t>
      </w:r>
    </w:p>
    <w:p w14:paraId="536237A5" w14:textId="79FDA33C" w:rsidR="009E777B" w:rsidRDefault="009E777B" w:rsidP="00C63D04">
      <w:pPr>
        <w:spacing w:line="480" w:lineRule="auto"/>
        <w:ind w:firstLine="720"/>
        <w:rPr>
          <w:lang w:val="en-US"/>
        </w:rPr>
      </w:pPr>
    </w:p>
    <w:p w14:paraId="126C1D06" w14:textId="58A23C21" w:rsidR="009E777B" w:rsidRDefault="009E777B" w:rsidP="00C63D04">
      <w:pPr>
        <w:spacing w:line="480" w:lineRule="auto"/>
        <w:ind w:firstLine="720"/>
        <w:rPr>
          <w:lang w:val="en-US"/>
        </w:rPr>
      </w:pPr>
    </w:p>
    <w:p w14:paraId="62E9ACBB" w14:textId="39946D9B" w:rsidR="009E777B" w:rsidRDefault="009E777B" w:rsidP="00C63D04">
      <w:pPr>
        <w:spacing w:line="480" w:lineRule="auto"/>
        <w:ind w:firstLine="720"/>
        <w:rPr>
          <w:lang w:val="en-US"/>
        </w:rPr>
      </w:pPr>
    </w:p>
    <w:p w14:paraId="0E3DADD3" w14:textId="6F423B4F" w:rsidR="009E777B" w:rsidRDefault="009E777B" w:rsidP="00C63D04">
      <w:pPr>
        <w:spacing w:line="480" w:lineRule="auto"/>
        <w:ind w:firstLine="720"/>
        <w:rPr>
          <w:lang w:val="en-US"/>
        </w:rPr>
      </w:pPr>
    </w:p>
    <w:p w14:paraId="5AEA46B9" w14:textId="77777777" w:rsidR="009E777B" w:rsidRDefault="009E777B" w:rsidP="00C63D04">
      <w:pPr>
        <w:spacing w:line="480" w:lineRule="auto"/>
        <w:ind w:firstLine="720"/>
        <w:rPr>
          <w:lang w:val="en-US"/>
        </w:rPr>
      </w:pPr>
    </w:p>
    <w:p w14:paraId="022076AC" w14:textId="1574974F" w:rsidR="00836512" w:rsidRDefault="003435EB" w:rsidP="00836512">
      <w:pPr>
        <w:spacing w:line="480" w:lineRule="auto"/>
        <w:rPr>
          <w:rFonts w:eastAsiaTheme="minorHAnsi"/>
          <w:lang w:val="en-US"/>
        </w:rPr>
      </w:pPr>
      <w:r>
        <w:rPr>
          <w:noProof/>
          <w:lang w:eastAsia="en-CA"/>
        </w:rPr>
        <w:lastRenderedPageBreak/>
        <w:drawing>
          <wp:anchor distT="0" distB="0" distL="114300" distR="114300" simplePos="0" relativeHeight="251718656" behindDoc="0" locked="0" layoutInCell="1" allowOverlap="1" wp14:anchorId="2D8066C4" wp14:editId="3CB133CF">
            <wp:simplePos x="0" y="0"/>
            <wp:positionH relativeFrom="column">
              <wp:posOffset>2649105</wp:posOffset>
            </wp:positionH>
            <wp:positionV relativeFrom="paragraph">
              <wp:posOffset>210069</wp:posOffset>
            </wp:positionV>
            <wp:extent cx="2678400" cy="1699200"/>
            <wp:effectExtent l="0" t="0" r="1905" b="3175"/>
            <wp:wrapNone/>
            <wp:docPr id="91" name="Chart 91">
              <a:extLst xmlns:a="http://schemas.openxmlformats.org/drawingml/2006/main">
                <a:ext uri="{FF2B5EF4-FFF2-40B4-BE49-F238E27FC236}">
                  <a16:creationId xmlns:a16="http://schemas.microsoft.com/office/drawing/2014/main" id="{27046786-90A4-204F-8C4C-D2182AC85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17632" behindDoc="0" locked="0" layoutInCell="1" allowOverlap="1" wp14:anchorId="6422FE3D" wp14:editId="039FE0FB">
            <wp:simplePos x="0" y="0"/>
            <wp:positionH relativeFrom="column">
              <wp:posOffset>-28748</wp:posOffset>
            </wp:positionH>
            <wp:positionV relativeFrom="paragraph">
              <wp:posOffset>151650</wp:posOffset>
            </wp:positionV>
            <wp:extent cx="2678400" cy="1699200"/>
            <wp:effectExtent l="0" t="0" r="0" b="3175"/>
            <wp:wrapNone/>
            <wp:docPr id="92" name="Chart 92">
              <a:extLst xmlns:a="http://schemas.openxmlformats.org/drawingml/2006/main">
                <a:ext uri="{FF2B5EF4-FFF2-40B4-BE49-F238E27FC236}">
                  <a16:creationId xmlns:a16="http://schemas.microsoft.com/office/drawing/2014/main" id="{DB07469A-B2E1-0341-8229-B7DAC57A5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14:paraId="32755F28" w14:textId="77777777" w:rsidR="00836512" w:rsidRDefault="00836512" w:rsidP="00836512">
      <w:pPr>
        <w:spacing w:line="480" w:lineRule="auto"/>
        <w:rPr>
          <w:rFonts w:eastAsiaTheme="minorHAnsi"/>
          <w:lang w:val="en-US"/>
        </w:rPr>
      </w:pPr>
    </w:p>
    <w:p w14:paraId="5BD03DA0" w14:textId="77777777" w:rsidR="00836512" w:rsidRDefault="00836512" w:rsidP="00836512">
      <w:pPr>
        <w:spacing w:line="480" w:lineRule="auto"/>
        <w:rPr>
          <w:rFonts w:eastAsiaTheme="minorHAnsi"/>
          <w:lang w:val="en-US"/>
        </w:rPr>
      </w:pPr>
    </w:p>
    <w:p w14:paraId="5ED90787" w14:textId="77777777" w:rsidR="00836512" w:rsidRDefault="00836512" w:rsidP="00836512">
      <w:pPr>
        <w:spacing w:line="480" w:lineRule="auto"/>
        <w:rPr>
          <w:rFonts w:eastAsiaTheme="minorHAnsi"/>
          <w:lang w:val="en-US"/>
        </w:rPr>
      </w:pPr>
    </w:p>
    <w:p w14:paraId="4702AF2B" w14:textId="77777777" w:rsidR="00836512" w:rsidRDefault="00836512" w:rsidP="00836512">
      <w:pPr>
        <w:spacing w:line="480" w:lineRule="auto"/>
        <w:rPr>
          <w:rFonts w:eastAsiaTheme="minorHAnsi"/>
          <w:lang w:val="en-US"/>
        </w:rPr>
      </w:pPr>
    </w:p>
    <w:p w14:paraId="4D06D864" w14:textId="77777777" w:rsidR="00836512" w:rsidRDefault="00836512" w:rsidP="00836512">
      <w:pPr>
        <w:spacing w:line="480" w:lineRule="auto"/>
        <w:rPr>
          <w:rFonts w:eastAsiaTheme="minorHAnsi"/>
          <w:lang w:val="en-US"/>
        </w:rPr>
      </w:pPr>
    </w:p>
    <w:p w14:paraId="1AA85104" w14:textId="77777777" w:rsidR="00836512" w:rsidRPr="00475487" w:rsidRDefault="00836512" w:rsidP="003435EB">
      <w:pPr>
        <w:jc w:val="center"/>
        <w:rPr>
          <w:lang w:val="en-US"/>
        </w:rPr>
      </w:pPr>
      <w:r w:rsidRPr="00475487">
        <w:rPr>
          <w:rFonts w:eastAsiaTheme="minorHAnsi"/>
          <w:b/>
        </w:rPr>
        <w:t>Figure 5.30:</w:t>
      </w:r>
      <w:r w:rsidRPr="00475487">
        <w:rPr>
          <w:rFonts w:eastAsiaTheme="minorHAnsi"/>
        </w:rPr>
        <w:t xml:space="preserve"> GS70 F25 (T5). </w:t>
      </w:r>
      <w:r w:rsidRPr="00475487">
        <w:rPr>
          <w:lang w:val="en-US"/>
        </w:rPr>
        <w:t xml:space="preserve">Age at death: 4 years </w:t>
      </w:r>
      <w:r w:rsidRPr="00475487">
        <w:rPr>
          <w:lang w:val="en-US"/>
        </w:rPr>
        <w:sym w:font="Symbol" w:char="F0B1"/>
      </w:r>
      <w:r w:rsidRPr="00475487">
        <w:rPr>
          <w:lang w:val="en-US"/>
        </w:rPr>
        <w:t xml:space="preserve"> 12 months.</w:t>
      </w:r>
    </w:p>
    <w:p w14:paraId="4638D461" w14:textId="77777777" w:rsidR="00836512" w:rsidRDefault="00836512" w:rsidP="00836512">
      <w:pPr>
        <w:spacing w:line="480" w:lineRule="auto"/>
        <w:ind w:firstLine="720"/>
        <w:rPr>
          <w:lang w:val="en-US"/>
        </w:rPr>
      </w:pPr>
    </w:p>
    <w:p w14:paraId="4F69C368" w14:textId="1695BBDB" w:rsidR="008A0576" w:rsidRPr="00CA752B" w:rsidRDefault="00836512" w:rsidP="00CA752B">
      <w:pPr>
        <w:spacing w:line="480" w:lineRule="auto"/>
        <w:ind w:firstLine="720"/>
        <w:rPr>
          <w:color w:val="000000" w:themeColor="text1"/>
          <w:lang w:val="en-US"/>
        </w:rPr>
      </w:pPr>
      <w:r>
        <w:rPr>
          <w:color w:val="000000" w:themeColor="text1"/>
          <w:lang w:val="en-US"/>
        </w:rPr>
        <w:t xml:space="preserve">The stable isotope results from the T5 rib and femoral samples compared to the last serial dentine section deviate slightly from the bone samples, which exhibit a lower </w:t>
      </w:r>
      <w:r>
        <w:rPr>
          <w:color w:val="000000" w:themeColor="text1"/>
        </w:rPr>
        <w:t>δ</w:t>
      </w:r>
      <w:r>
        <w:rPr>
          <w:color w:val="000000" w:themeColor="text1"/>
          <w:vertAlign w:val="superscript"/>
          <w:lang w:val="en-US"/>
        </w:rPr>
        <w:t>15</w:t>
      </w:r>
      <w:r>
        <w:rPr>
          <w:color w:val="000000" w:themeColor="text1"/>
          <w:lang w:val="en-US"/>
        </w:rPr>
        <w:t>N value by 0.4‰</w:t>
      </w:r>
      <w:r w:rsidR="003435EB">
        <w:rPr>
          <w:color w:val="000000" w:themeColor="text1"/>
          <w:lang w:val="en-US"/>
        </w:rPr>
        <w:t xml:space="preserve"> (Fig. 5.30)</w:t>
      </w:r>
      <w:r>
        <w:rPr>
          <w:color w:val="000000" w:themeColor="text1"/>
          <w:lang w:val="en-US"/>
        </w:rPr>
        <w:t xml:space="preserve">. Similarly, the rib </w:t>
      </w:r>
      <w:r>
        <w:rPr>
          <w:color w:val="000000" w:themeColor="text1"/>
        </w:rPr>
        <w:t>δ</w:t>
      </w:r>
      <w:r>
        <w:rPr>
          <w:color w:val="000000" w:themeColor="text1"/>
          <w:vertAlign w:val="superscript"/>
          <w:lang w:val="en-US"/>
        </w:rPr>
        <w:t>13</w:t>
      </w:r>
      <w:r>
        <w:rPr>
          <w:color w:val="000000" w:themeColor="text1"/>
          <w:lang w:val="en-US"/>
        </w:rPr>
        <w:t xml:space="preserve">C value is 0.3‰ lower than the </w:t>
      </w:r>
      <w:r>
        <w:rPr>
          <w:color w:val="000000" w:themeColor="text1"/>
        </w:rPr>
        <w:t>δ</w:t>
      </w:r>
      <w:r>
        <w:rPr>
          <w:color w:val="000000" w:themeColor="text1"/>
          <w:vertAlign w:val="superscript"/>
          <w:lang w:val="en-US"/>
        </w:rPr>
        <w:t>15</w:t>
      </w:r>
      <w:r>
        <w:rPr>
          <w:color w:val="000000" w:themeColor="text1"/>
          <w:lang w:val="en-US"/>
        </w:rPr>
        <w:t xml:space="preserve">N value measured for dentine, while femoral </w:t>
      </w:r>
      <w:r>
        <w:rPr>
          <w:color w:val="000000" w:themeColor="text1"/>
        </w:rPr>
        <w:t>δ</w:t>
      </w:r>
      <w:r>
        <w:rPr>
          <w:color w:val="000000" w:themeColor="text1"/>
          <w:vertAlign w:val="superscript"/>
          <w:lang w:val="en-US"/>
        </w:rPr>
        <w:t>13</w:t>
      </w:r>
      <w:r>
        <w:rPr>
          <w:color w:val="000000" w:themeColor="text1"/>
          <w:lang w:val="en-US"/>
        </w:rPr>
        <w:t>C value is 0.3‰ higher. This variability in stable carbon isotope values could be interpreted as flexibility in plant-based diet after weaning was complete; however, this variation is comparable to the reported analytical error (0.2‰), so this variability is likely not meaningful.</w:t>
      </w:r>
    </w:p>
    <w:p w14:paraId="0951B1EA" w14:textId="0DC1F974" w:rsidR="00836512" w:rsidRDefault="0018735D" w:rsidP="00836512">
      <w:pPr>
        <w:spacing w:line="480" w:lineRule="auto"/>
        <w:rPr>
          <w:rFonts w:eastAsiaTheme="minorHAnsi"/>
          <w:lang w:val="en-US"/>
        </w:rPr>
      </w:pPr>
      <w:r>
        <w:rPr>
          <w:noProof/>
          <w:lang w:eastAsia="en-CA"/>
        </w:rPr>
        <w:drawing>
          <wp:anchor distT="0" distB="0" distL="114300" distR="114300" simplePos="0" relativeHeight="251719680" behindDoc="0" locked="0" layoutInCell="1" allowOverlap="1" wp14:anchorId="31F349AA" wp14:editId="019C6501">
            <wp:simplePos x="0" y="0"/>
            <wp:positionH relativeFrom="column">
              <wp:posOffset>-76200</wp:posOffset>
            </wp:positionH>
            <wp:positionV relativeFrom="paragraph">
              <wp:posOffset>247766</wp:posOffset>
            </wp:positionV>
            <wp:extent cx="2678400" cy="1699200"/>
            <wp:effectExtent l="0" t="0" r="1905" b="3175"/>
            <wp:wrapNone/>
            <wp:docPr id="89" name="Chart 89">
              <a:extLst xmlns:a="http://schemas.openxmlformats.org/drawingml/2006/main">
                <a:ext uri="{FF2B5EF4-FFF2-40B4-BE49-F238E27FC236}">
                  <a16:creationId xmlns:a16="http://schemas.microsoft.com/office/drawing/2014/main" id="{2A15F65E-21B9-2348-B41A-F8F171A19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20704" behindDoc="0" locked="0" layoutInCell="1" allowOverlap="1" wp14:anchorId="5D5DDE24" wp14:editId="06B7FFD2">
            <wp:simplePos x="0" y="0"/>
            <wp:positionH relativeFrom="column">
              <wp:posOffset>2602750</wp:posOffset>
            </wp:positionH>
            <wp:positionV relativeFrom="paragraph">
              <wp:posOffset>251229</wp:posOffset>
            </wp:positionV>
            <wp:extent cx="2678400" cy="1699200"/>
            <wp:effectExtent l="0" t="0" r="1905" b="3175"/>
            <wp:wrapNone/>
            <wp:docPr id="88" name="Chart 88">
              <a:extLst xmlns:a="http://schemas.openxmlformats.org/drawingml/2006/main">
                <a:ext uri="{FF2B5EF4-FFF2-40B4-BE49-F238E27FC236}">
                  <a16:creationId xmlns:a16="http://schemas.microsoft.com/office/drawing/2014/main" id="{765F18BE-1D32-704F-A44E-760388DFC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14:paraId="1E2309FE" w14:textId="77777777" w:rsidR="00836512" w:rsidRDefault="00836512" w:rsidP="00836512">
      <w:pPr>
        <w:spacing w:line="480" w:lineRule="auto"/>
        <w:rPr>
          <w:rFonts w:eastAsiaTheme="minorHAnsi"/>
          <w:lang w:val="en-US"/>
        </w:rPr>
      </w:pPr>
    </w:p>
    <w:p w14:paraId="4748762B" w14:textId="23CF6A49" w:rsidR="00836512" w:rsidRDefault="00836512" w:rsidP="00836512">
      <w:pPr>
        <w:spacing w:line="480" w:lineRule="auto"/>
        <w:rPr>
          <w:rFonts w:eastAsiaTheme="minorHAnsi"/>
          <w:lang w:val="en-US"/>
        </w:rPr>
      </w:pPr>
    </w:p>
    <w:p w14:paraId="672D3A86" w14:textId="4D2B15DF" w:rsidR="0018735D" w:rsidRDefault="0018735D" w:rsidP="00836512">
      <w:pPr>
        <w:spacing w:line="480" w:lineRule="auto"/>
        <w:rPr>
          <w:rFonts w:eastAsiaTheme="minorHAnsi"/>
          <w:lang w:val="en-US"/>
        </w:rPr>
      </w:pPr>
    </w:p>
    <w:p w14:paraId="41EA1EBF" w14:textId="77777777" w:rsidR="00836512" w:rsidRDefault="00836512" w:rsidP="00836512">
      <w:pPr>
        <w:spacing w:line="480" w:lineRule="auto"/>
        <w:rPr>
          <w:rFonts w:eastAsiaTheme="minorHAnsi"/>
          <w:lang w:val="en-US"/>
        </w:rPr>
      </w:pPr>
    </w:p>
    <w:p w14:paraId="4DAA5808" w14:textId="77777777" w:rsidR="00836512" w:rsidRDefault="00836512" w:rsidP="00836512">
      <w:pPr>
        <w:spacing w:line="480" w:lineRule="auto"/>
        <w:rPr>
          <w:rFonts w:eastAsiaTheme="minorHAnsi"/>
          <w:lang w:val="en-US"/>
        </w:rPr>
      </w:pPr>
    </w:p>
    <w:p w14:paraId="1B001229" w14:textId="77777777" w:rsidR="00836512" w:rsidRPr="00475487" w:rsidRDefault="00836512" w:rsidP="00836512">
      <w:pPr>
        <w:jc w:val="center"/>
        <w:rPr>
          <w:lang w:val="en-US"/>
        </w:rPr>
      </w:pPr>
      <w:r w:rsidRPr="00475487">
        <w:rPr>
          <w:rFonts w:eastAsiaTheme="minorHAnsi"/>
          <w:b/>
          <w:lang w:val="en-US"/>
        </w:rPr>
        <w:t>Figure 5.31</w:t>
      </w:r>
      <w:r w:rsidRPr="00475487">
        <w:rPr>
          <w:rFonts w:eastAsiaTheme="minorHAnsi"/>
          <w:lang w:val="en-US"/>
        </w:rPr>
        <w:t xml:space="preserve">: 1968 DB 1 Contents of Sarcophagus (T6). </w:t>
      </w:r>
      <w:r w:rsidRPr="00475487">
        <w:rPr>
          <w:lang w:val="en-US"/>
        </w:rPr>
        <w:t xml:space="preserve">Age at death: 4 – 5 years </w:t>
      </w:r>
      <w:r w:rsidRPr="00475487">
        <w:rPr>
          <w:lang w:val="en-US"/>
        </w:rPr>
        <w:sym w:font="Symbol" w:char="F0B1"/>
      </w:r>
      <w:r w:rsidRPr="00475487">
        <w:rPr>
          <w:lang w:val="en-US"/>
        </w:rPr>
        <w:t xml:space="preserve"> 12 months.</w:t>
      </w:r>
    </w:p>
    <w:p w14:paraId="6D165444" w14:textId="77777777" w:rsidR="00836512" w:rsidRDefault="00836512" w:rsidP="0018735D">
      <w:pPr>
        <w:rPr>
          <w:sz w:val="20"/>
          <w:szCs w:val="20"/>
          <w:lang w:val="en-US"/>
        </w:rPr>
      </w:pPr>
    </w:p>
    <w:p w14:paraId="0CAB9FA1" w14:textId="77777777" w:rsidR="00836512" w:rsidRDefault="00836512" w:rsidP="00836512">
      <w:pPr>
        <w:jc w:val="center"/>
        <w:rPr>
          <w:sz w:val="20"/>
          <w:szCs w:val="20"/>
          <w:lang w:val="en-US"/>
        </w:rPr>
      </w:pPr>
    </w:p>
    <w:p w14:paraId="3DDD78BD" w14:textId="673CDE91" w:rsidR="00836512" w:rsidRPr="009E777B" w:rsidRDefault="00836512" w:rsidP="009E777B">
      <w:pPr>
        <w:spacing w:line="480" w:lineRule="auto"/>
        <w:ind w:firstLine="720"/>
        <w:rPr>
          <w:lang w:val="en-US"/>
        </w:rPr>
      </w:pPr>
      <w:r>
        <w:rPr>
          <w:color w:val="000000" w:themeColor="text1"/>
          <w:lang w:val="en-US"/>
        </w:rPr>
        <w:t xml:space="preserve">A femur sample was unavailable for this individual due to poor skeletal preservation, so only rib values were used to interpret diet later in childhood. The rib </w:t>
      </w:r>
      <w:r>
        <w:t>δ</w:t>
      </w:r>
      <w:r>
        <w:rPr>
          <w:vertAlign w:val="superscript"/>
          <w:lang w:val="en-US"/>
        </w:rPr>
        <w:t>15</w:t>
      </w:r>
      <w:r>
        <w:rPr>
          <w:lang w:val="en-US"/>
        </w:rPr>
        <w:t xml:space="preserve">N value is lower (by 1.5‰) than the last serial dentine sample, while the </w:t>
      </w:r>
      <w:r>
        <w:t>δ</w:t>
      </w:r>
      <w:r>
        <w:rPr>
          <w:vertAlign w:val="superscript"/>
          <w:lang w:val="en-US"/>
        </w:rPr>
        <w:t>13</w:t>
      </w:r>
      <w:r>
        <w:rPr>
          <w:lang w:val="en-US"/>
        </w:rPr>
        <w:t>C values are nearly analogous with only a 0.2‰ difference (within the margin of analytical error) (Fig</w:t>
      </w:r>
      <w:r w:rsidR="0018735D">
        <w:rPr>
          <w:lang w:val="en-US"/>
        </w:rPr>
        <w:t>.</w:t>
      </w:r>
      <w:r>
        <w:rPr>
          <w:lang w:val="en-US"/>
        </w:rPr>
        <w:t xml:space="preserve"> 5.31). As rib values represent a period closer to death (4 – 5 years) than the dentine samples, the lower </w:t>
      </w:r>
      <w:r>
        <w:t>δ</w:t>
      </w:r>
      <w:r>
        <w:rPr>
          <w:vertAlign w:val="superscript"/>
          <w:lang w:val="en-US"/>
        </w:rPr>
        <w:t>15</w:t>
      </w:r>
      <w:r>
        <w:rPr>
          <w:lang w:val="en-US"/>
        </w:rPr>
        <w:t xml:space="preserve">N value and consistent </w:t>
      </w:r>
      <w:r>
        <w:t>δ</w:t>
      </w:r>
      <w:r>
        <w:rPr>
          <w:vertAlign w:val="superscript"/>
          <w:lang w:val="en-US"/>
        </w:rPr>
        <w:t>13</w:t>
      </w:r>
      <w:r>
        <w:rPr>
          <w:lang w:val="en-US"/>
        </w:rPr>
        <w:t xml:space="preserve">C value may be associated with depleting </w:t>
      </w:r>
      <w:r>
        <w:rPr>
          <w:vertAlign w:val="superscript"/>
          <w:lang w:val="en-US"/>
        </w:rPr>
        <w:t>15</w:t>
      </w:r>
      <w:r>
        <w:rPr>
          <w:lang w:val="en-US"/>
        </w:rPr>
        <w:t xml:space="preserve">N-diet due to accelerated growth, as opposed to dietary change. If it were dietary change, there would be a comparable shift in the </w:t>
      </w:r>
      <w:r>
        <w:t>δ</w:t>
      </w:r>
      <w:r>
        <w:rPr>
          <w:vertAlign w:val="superscript"/>
          <w:lang w:val="en-US"/>
        </w:rPr>
        <w:t>13</w:t>
      </w:r>
      <w:r>
        <w:rPr>
          <w:lang w:val="en-US"/>
        </w:rPr>
        <w:t>C value, which is not the case for this individual</w:t>
      </w:r>
      <w:r w:rsidR="009E777B">
        <w:rPr>
          <w:lang w:val="en-US"/>
        </w:rPr>
        <w:t>.</w:t>
      </w:r>
    </w:p>
    <w:p w14:paraId="746DC4B9" w14:textId="4F4D04AB" w:rsidR="00836512" w:rsidRDefault="008A0576" w:rsidP="00836512">
      <w:pPr>
        <w:spacing w:line="480" w:lineRule="auto"/>
        <w:rPr>
          <w:rFonts w:eastAsiaTheme="minorHAnsi"/>
          <w:sz w:val="21"/>
          <w:szCs w:val="21"/>
          <w:lang w:val="en-US"/>
        </w:rPr>
      </w:pPr>
      <w:r>
        <w:rPr>
          <w:noProof/>
          <w:lang w:eastAsia="en-CA"/>
        </w:rPr>
        <w:drawing>
          <wp:anchor distT="0" distB="0" distL="114300" distR="114300" simplePos="0" relativeHeight="251721728" behindDoc="0" locked="0" layoutInCell="1" allowOverlap="1" wp14:anchorId="751FEDAE" wp14:editId="1876694A">
            <wp:simplePos x="0" y="0"/>
            <wp:positionH relativeFrom="column">
              <wp:posOffset>-56977</wp:posOffset>
            </wp:positionH>
            <wp:positionV relativeFrom="paragraph">
              <wp:posOffset>294467</wp:posOffset>
            </wp:positionV>
            <wp:extent cx="2678400" cy="1699200"/>
            <wp:effectExtent l="0" t="0" r="1905" b="3175"/>
            <wp:wrapNone/>
            <wp:docPr id="86" name="Chart 86">
              <a:extLst xmlns:a="http://schemas.openxmlformats.org/drawingml/2006/main">
                <a:ext uri="{FF2B5EF4-FFF2-40B4-BE49-F238E27FC236}">
                  <a16:creationId xmlns:a16="http://schemas.microsoft.com/office/drawing/2014/main" id="{D050490C-F131-4E48-8609-AAC74ECF7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22752" behindDoc="0" locked="0" layoutInCell="1" allowOverlap="1" wp14:anchorId="64EE2DE9" wp14:editId="36A3C098">
            <wp:simplePos x="0" y="0"/>
            <wp:positionH relativeFrom="column">
              <wp:posOffset>2621568</wp:posOffset>
            </wp:positionH>
            <wp:positionV relativeFrom="paragraph">
              <wp:posOffset>287020</wp:posOffset>
            </wp:positionV>
            <wp:extent cx="2678400" cy="1699200"/>
            <wp:effectExtent l="0" t="0" r="1905" b="3175"/>
            <wp:wrapNone/>
            <wp:docPr id="85" name="Chart 85">
              <a:extLst xmlns:a="http://schemas.openxmlformats.org/drawingml/2006/main">
                <a:ext uri="{FF2B5EF4-FFF2-40B4-BE49-F238E27FC236}">
                  <a16:creationId xmlns:a16="http://schemas.microsoft.com/office/drawing/2014/main" id="{EC5D8AFC-105F-A645-8EBA-F2DA68F6A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14:paraId="3220D3C9" w14:textId="47E1EE56" w:rsidR="00836512" w:rsidRDefault="00836512" w:rsidP="00836512">
      <w:pPr>
        <w:spacing w:line="480" w:lineRule="auto"/>
        <w:rPr>
          <w:rFonts w:eastAsiaTheme="minorHAnsi"/>
          <w:sz w:val="21"/>
          <w:szCs w:val="21"/>
          <w:lang w:val="en-US"/>
        </w:rPr>
      </w:pPr>
    </w:p>
    <w:p w14:paraId="3069931F" w14:textId="77777777" w:rsidR="00836512" w:rsidRDefault="00836512" w:rsidP="00836512">
      <w:pPr>
        <w:spacing w:line="480" w:lineRule="auto"/>
        <w:rPr>
          <w:rFonts w:eastAsiaTheme="minorHAnsi"/>
          <w:sz w:val="21"/>
          <w:szCs w:val="21"/>
          <w:lang w:val="en-US"/>
        </w:rPr>
      </w:pPr>
    </w:p>
    <w:p w14:paraId="5D3DE294" w14:textId="77777777" w:rsidR="00836512" w:rsidRDefault="00836512" w:rsidP="00836512">
      <w:pPr>
        <w:spacing w:line="480" w:lineRule="auto"/>
        <w:rPr>
          <w:rFonts w:eastAsiaTheme="minorHAnsi"/>
          <w:sz w:val="21"/>
          <w:szCs w:val="21"/>
          <w:lang w:val="en-US"/>
        </w:rPr>
      </w:pPr>
    </w:p>
    <w:p w14:paraId="2A2A2B32" w14:textId="77777777" w:rsidR="00836512" w:rsidRDefault="00836512" w:rsidP="00836512">
      <w:pPr>
        <w:spacing w:line="480" w:lineRule="auto"/>
        <w:rPr>
          <w:rFonts w:eastAsiaTheme="minorHAnsi"/>
          <w:sz w:val="21"/>
          <w:szCs w:val="21"/>
          <w:lang w:val="en-US"/>
        </w:rPr>
      </w:pPr>
    </w:p>
    <w:p w14:paraId="2EC7F86E" w14:textId="77777777" w:rsidR="00836512" w:rsidRDefault="00836512" w:rsidP="00836512">
      <w:pPr>
        <w:spacing w:line="480" w:lineRule="auto"/>
        <w:rPr>
          <w:rFonts w:eastAsiaTheme="minorHAnsi"/>
          <w:lang w:val="en-US"/>
        </w:rPr>
      </w:pPr>
    </w:p>
    <w:p w14:paraId="48925094" w14:textId="77777777" w:rsidR="00836512" w:rsidRDefault="00836512" w:rsidP="00836512">
      <w:pPr>
        <w:spacing w:line="480" w:lineRule="auto"/>
        <w:rPr>
          <w:rFonts w:eastAsiaTheme="minorHAnsi"/>
          <w:lang w:val="en-US"/>
        </w:rPr>
      </w:pPr>
    </w:p>
    <w:p w14:paraId="598ACA79" w14:textId="486DD876" w:rsidR="00836512" w:rsidRPr="00475487" w:rsidRDefault="00836512" w:rsidP="008A0576">
      <w:pPr>
        <w:spacing w:line="480" w:lineRule="auto"/>
        <w:ind w:firstLine="720"/>
        <w:jc w:val="center"/>
        <w:rPr>
          <w:lang w:val="en-US"/>
        </w:rPr>
      </w:pPr>
      <w:r w:rsidRPr="00475487">
        <w:rPr>
          <w:rFonts w:eastAsiaTheme="minorHAnsi"/>
          <w:b/>
          <w:lang w:val="en-US"/>
        </w:rPr>
        <w:t>Figure 5.32:</w:t>
      </w:r>
      <w:r w:rsidRPr="00475487">
        <w:rPr>
          <w:rFonts w:eastAsiaTheme="minorHAnsi"/>
          <w:lang w:val="en-US"/>
        </w:rPr>
        <w:t xml:space="preserve"> G67/I S5 small tomb (T7). </w:t>
      </w:r>
      <w:r w:rsidRPr="00475487">
        <w:rPr>
          <w:lang w:val="en-US"/>
        </w:rPr>
        <w:t xml:space="preserve">Age at death: 3 years </w:t>
      </w:r>
      <w:r w:rsidRPr="00475487">
        <w:rPr>
          <w:lang w:val="en-US"/>
        </w:rPr>
        <w:sym w:font="Symbol" w:char="F0B1"/>
      </w:r>
      <w:r w:rsidRPr="00475487">
        <w:rPr>
          <w:lang w:val="en-US"/>
        </w:rPr>
        <w:t xml:space="preserve"> 12 months.</w:t>
      </w:r>
    </w:p>
    <w:p w14:paraId="391602DC" w14:textId="77777777" w:rsidR="008A0576" w:rsidRPr="008A0576" w:rsidRDefault="008A0576" w:rsidP="008A0576">
      <w:pPr>
        <w:ind w:firstLine="720"/>
        <w:jc w:val="center"/>
        <w:rPr>
          <w:sz w:val="20"/>
          <w:szCs w:val="20"/>
          <w:lang w:val="en-US"/>
        </w:rPr>
      </w:pPr>
    </w:p>
    <w:p w14:paraId="213A9507" w14:textId="25335351" w:rsidR="00836512" w:rsidRDefault="00836512" w:rsidP="009E777B">
      <w:pPr>
        <w:spacing w:line="480" w:lineRule="auto"/>
        <w:ind w:firstLine="720"/>
        <w:rPr>
          <w:lang w:val="en-US"/>
        </w:rPr>
      </w:pPr>
      <w:r>
        <w:rPr>
          <w:lang w:val="en-US"/>
        </w:rPr>
        <w:t xml:space="preserve">R11 and F5 present bone stable isotope values that were used to determine diet later in life, prior to the time of death. In comparison to the last serial dentine section (12.1‰), the femoral </w:t>
      </w:r>
      <w:r>
        <w:t>δ</w:t>
      </w:r>
      <w:r>
        <w:rPr>
          <w:vertAlign w:val="superscript"/>
          <w:lang w:val="en-US"/>
        </w:rPr>
        <w:t>15</w:t>
      </w:r>
      <w:r>
        <w:rPr>
          <w:lang w:val="en-US"/>
        </w:rPr>
        <w:t xml:space="preserve">N value was exactly equivalent, while the rib stable nitrogen isotope value was slightly lower (11.5‰) (Fig 5.32). Since long bones require a greater amount of time to incorporate changes in diet, similar dentine and femoral isotope values </w:t>
      </w:r>
      <w:r>
        <w:rPr>
          <w:lang w:val="en-US"/>
        </w:rPr>
        <w:lastRenderedPageBreak/>
        <w:t xml:space="preserve">may be a result of averaging and longer bone turnover rate. Conversely, both bone samples present higher </w:t>
      </w:r>
      <w:r>
        <w:t>δ</w:t>
      </w:r>
      <w:r>
        <w:rPr>
          <w:vertAlign w:val="superscript"/>
          <w:lang w:val="en-US"/>
        </w:rPr>
        <w:t>13</w:t>
      </w:r>
      <w:r>
        <w:rPr>
          <w:lang w:val="en-US"/>
        </w:rPr>
        <w:t xml:space="preserve">C values in comparison to the last serial dentine section. Increased bone </w:t>
      </w:r>
      <w:r>
        <w:t>δ</w:t>
      </w:r>
      <w:r>
        <w:rPr>
          <w:vertAlign w:val="superscript"/>
          <w:lang w:val="en-US"/>
        </w:rPr>
        <w:t>13</w:t>
      </w:r>
      <w:r>
        <w:rPr>
          <w:lang w:val="en-US"/>
        </w:rPr>
        <w:t xml:space="preserve">C values are most likely a result of dietary change associated with a post-weaning diet. Concurrent decreasing </w:t>
      </w:r>
      <w:r>
        <w:t>δ</w:t>
      </w:r>
      <w:r>
        <w:rPr>
          <w:vertAlign w:val="superscript"/>
          <w:lang w:val="en-US"/>
        </w:rPr>
        <w:t>15</w:t>
      </w:r>
      <w:r>
        <w:rPr>
          <w:lang w:val="en-US"/>
        </w:rPr>
        <w:t xml:space="preserve">N values are reflective of either positive nitrogen balance or </w:t>
      </w:r>
      <w:r>
        <w:rPr>
          <w:vertAlign w:val="superscript"/>
          <w:lang w:val="en-US"/>
        </w:rPr>
        <w:t>15</w:t>
      </w:r>
      <w:r>
        <w:rPr>
          <w:lang w:val="en-US"/>
        </w:rPr>
        <w:t xml:space="preserve">N – depleted diet. </w:t>
      </w:r>
    </w:p>
    <w:p w14:paraId="26B6A2BB" w14:textId="77777777" w:rsidR="00836512" w:rsidRDefault="00836512" w:rsidP="00836512">
      <w:pPr>
        <w:spacing w:line="480" w:lineRule="auto"/>
        <w:ind w:firstLine="720"/>
        <w:rPr>
          <w:lang w:val="en-US"/>
        </w:rPr>
      </w:pPr>
    </w:p>
    <w:p w14:paraId="478D9A1E" w14:textId="695795EB" w:rsidR="00836512" w:rsidRDefault="008A0576" w:rsidP="00836512">
      <w:pPr>
        <w:spacing w:line="480" w:lineRule="auto"/>
        <w:ind w:firstLine="720"/>
        <w:rPr>
          <w:lang w:val="en-US"/>
        </w:rPr>
      </w:pPr>
      <w:r>
        <w:rPr>
          <w:noProof/>
          <w:lang w:eastAsia="en-CA"/>
        </w:rPr>
        <w:drawing>
          <wp:anchor distT="0" distB="0" distL="114300" distR="114300" simplePos="0" relativeHeight="251745280" behindDoc="0" locked="0" layoutInCell="1" allowOverlap="1" wp14:anchorId="3E38D3C9" wp14:editId="768C3104">
            <wp:simplePos x="0" y="0"/>
            <wp:positionH relativeFrom="column">
              <wp:posOffset>-71466</wp:posOffset>
            </wp:positionH>
            <wp:positionV relativeFrom="paragraph">
              <wp:posOffset>-90805</wp:posOffset>
            </wp:positionV>
            <wp:extent cx="2678400" cy="1699200"/>
            <wp:effectExtent l="0" t="0" r="1905" b="3175"/>
            <wp:wrapNone/>
            <wp:docPr id="82" name="Chart 82">
              <a:extLst xmlns:a="http://schemas.openxmlformats.org/drawingml/2006/main">
                <a:ext uri="{FF2B5EF4-FFF2-40B4-BE49-F238E27FC236}">
                  <a16:creationId xmlns:a16="http://schemas.microsoft.com/office/drawing/2014/main" id="{CC032311-18CB-F545-BBAF-3D886CFADD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836512">
        <w:rPr>
          <w:noProof/>
          <w:lang w:eastAsia="en-CA"/>
        </w:rPr>
        <w:drawing>
          <wp:anchor distT="0" distB="0" distL="114300" distR="114300" simplePos="0" relativeHeight="251706368" behindDoc="0" locked="0" layoutInCell="1" allowOverlap="1" wp14:anchorId="20642DAC" wp14:editId="6781AD46">
            <wp:simplePos x="0" y="0"/>
            <wp:positionH relativeFrom="column">
              <wp:posOffset>2700020</wp:posOffset>
            </wp:positionH>
            <wp:positionV relativeFrom="paragraph">
              <wp:posOffset>-97733</wp:posOffset>
            </wp:positionV>
            <wp:extent cx="2678400" cy="1699200"/>
            <wp:effectExtent l="0" t="0" r="1905" b="3175"/>
            <wp:wrapNone/>
            <wp:docPr id="83" name="Chart 83">
              <a:extLst xmlns:a="http://schemas.openxmlformats.org/drawingml/2006/main">
                <a:ext uri="{FF2B5EF4-FFF2-40B4-BE49-F238E27FC236}">
                  <a16:creationId xmlns:a16="http://schemas.microsoft.com/office/drawing/2014/main" id="{D04BE6BA-5AA6-9247-838E-600ADFEF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p w14:paraId="1E5E393E" w14:textId="77777777" w:rsidR="00836512" w:rsidRDefault="00836512" w:rsidP="00836512">
      <w:pPr>
        <w:spacing w:line="480" w:lineRule="auto"/>
        <w:ind w:firstLine="720"/>
        <w:rPr>
          <w:lang w:val="en-US"/>
        </w:rPr>
      </w:pPr>
    </w:p>
    <w:p w14:paraId="1FC6D47F" w14:textId="77777777" w:rsidR="00836512" w:rsidRDefault="00836512" w:rsidP="00836512">
      <w:pPr>
        <w:spacing w:line="480" w:lineRule="auto"/>
        <w:ind w:left="-426" w:right="146"/>
        <w:rPr>
          <w:rFonts w:eastAsiaTheme="minorHAnsi"/>
          <w:lang w:val="en-US"/>
        </w:rPr>
      </w:pPr>
    </w:p>
    <w:p w14:paraId="29D2BEDD" w14:textId="77777777" w:rsidR="00836512" w:rsidRDefault="00836512" w:rsidP="00836512">
      <w:pPr>
        <w:spacing w:line="480" w:lineRule="auto"/>
        <w:ind w:left="-426" w:right="146"/>
        <w:rPr>
          <w:rFonts w:eastAsiaTheme="minorHAnsi"/>
          <w:lang w:val="en-US"/>
        </w:rPr>
      </w:pPr>
    </w:p>
    <w:p w14:paraId="14F0FD01" w14:textId="77777777" w:rsidR="00836512" w:rsidRDefault="00836512" w:rsidP="00836512">
      <w:pPr>
        <w:spacing w:line="480" w:lineRule="auto"/>
        <w:ind w:left="-426" w:right="146"/>
        <w:rPr>
          <w:rFonts w:eastAsiaTheme="minorHAnsi"/>
          <w:lang w:val="en-US"/>
        </w:rPr>
      </w:pPr>
    </w:p>
    <w:p w14:paraId="7C26C53C" w14:textId="77777777" w:rsidR="00836512" w:rsidRPr="00475487" w:rsidRDefault="00836512" w:rsidP="00836512">
      <w:pPr>
        <w:jc w:val="center"/>
        <w:rPr>
          <w:color w:val="000000" w:themeColor="text1"/>
          <w:lang w:val="en-US"/>
        </w:rPr>
      </w:pPr>
      <w:r w:rsidRPr="00475487">
        <w:rPr>
          <w:rFonts w:eastAsiaTheme="minorHAnsi"/>
          <w:b/>
          <w:color w:val="000000" w:themeColor="text1"/>
          <w:lang w:val="en-US"/>
        </w:rPr>
        <w:t>Figure 5.33:</w:t>
      </w:r>
      <w:r w:rsidRPr="00475487">
        <w:rPr>
          <w:rFonts w:eastAsiaTheme="minorHAnsi"/>
          <w:color w:val="000000" w:themeColor="text1"/>
          <w:lang w:val="en-US"/>
        </w:rPr>
        <w:t xml:space="preserve"> Botr 1967 G67/I SG-Tomb 6(2) Infill 1 (T8).</w:t>
      </w:r>
      <w:r w:rsidRPr="00475487">
        <w:rPr>
          <w:color w:val="000000" w:themeColor="text1"/>
          <w:lang w:val="en-US"/>
        </w:rPr>
        <w:t xml:space="preserve"> Age at death: 3 years </w:t>
      </w:r>
      <w:r w:rsidRPr="00475487">
        <w:rPr>
          <w:color w:val="000000" w:themeColor="text1"/>
          <w:lang w:val="en-US"/>
        </w:rPr>
        <w:sym w:font="Symbol" w:char="F0B1"/>
      </w:r>
      <w:r w:rsidRPr="00475487">
        <w:rPr>
          <w:color w:val="000000" w:themeColor="text1"/>
          <w:lang w:val="en-US"/>
        </w:rPr>
        <w:t xml:space="preserve"> 8 months. </w:t>
      </w:r>
    </w:p>
    <w:p w14:paraId="76697FA3" w14:textId="77777777" w:rsidR="00836512" w:rsidRDefault="00836512" w:rsidP="00836512">
      <w:pPr>
        <w:rPr>
          <w:rFonts w:eastAsiaTheme="minorHAnsi"/>
          <w:color w:val="000000"/>
          <w:sz w:val="21"/>
          <w:szCs w:val="21"/>
          <w:lang w:val="en-US"/>
        </w:rPr>
      </w:pPr>
    </w:p>
    <w:p w14:paraId="48527F55" w14:textId="77777777" w:rsidR="00836512" w:rsidRDefault="00836512" w:rsidP="00836512">
      <w:pPr>
        <w:jc w:val="center"/>
        <w:rPr>
          <w:rFonts w:eastAsiaTheme="minorHAnsi"/>
          <w:color w:val="000000"/>
          <w:sz w:val="21"/>
          <w:szCs w:val="21"/>
          <w:lang w:val="en-US"/>
        </w:rPr>
      </w:pPr>
    </w:p>
    <w:p w14:paraId="4B1DA159" w14:textId="3D1020D2" w:rsidR="00836512" w:rsidRDefault="00836512" w:rsidP="008A0576">
      <w:pPr>
        <w:spacing w:line="480" w:lineRule="auto"/>
        <w:ind w:firstLine="720"/>
        <w:rPr>
          <w:lang w:val="en-US"/>
        </w:rPr>
      </w:pPr>
      <w:r>
        <w:rPr>
          <w:lang w:val="en-US"/>
        </w:rPr>
        <w:t xml:space="preserve">Since this individual (T8) died soon after tooth formation, the rib and final dentine section values represent stable isotope data from closer to the time of death. Accordingly, rib values are quite similar to the stable isotope values presented by the last serial dentine section (Fig. 5.33). Femoral stable isotope values are slightly higher than both rib and dentine values; as discussed, this may be because long bones incorporate diet over longer periods of time and thus incorporate elevated stable isotope values associated with earlier dietary phases (i.e. in-utero or exclusive breastfeeding). </w:t>
      </w:r>
    </w:p>
    <w:p w14:paraId="2EC7DC53" w14:textId="445C334B" w:rsidR="009E777B" w:rsidRDefault="009E777B" w:rsidP="008A0576">
      <w:pPr>
        <w:spacing w:line="480" w:lineRule="auto"/>
        <w:ind w:firstLine="720"/>
        <w:rPr>
          <w:lang w:val="en-US"/>
        </w:rPr>
      </w:pPr>
    </w:p>
    <w:p w14:paraId="2028A79A" w14:textId="77777777" w:rsidR="009E777B" w:rsidRDefault="009E777B" w:rsidP="008A0576">
      <w:pPr>
        <w:spacing w:line="480" w:lineRule="auto"/>
        <w:ind w:firstLine="720"/>
        <w:rPr>
          <w:lang w:val="en-US"/>
        </w:rPr>
      </w:pPr>
    </w:p>
    <w:p w14:paraId="4AC3C320" w14:textId="35F2A8F5" w:rsidR="00836512" w:rsidRDefault="00836512" w:rsidP="00836512">
      <w:pPr>
        <w:rPr>
          <w:rFonts w:ascii="Calibri" w:eastAsiaTheme="minorHAnsi" w:hAnsi="Calibri" w:cs="Calibri"/>
          <w:color w:val="000000"/>
          <w:sz w:val="22"/>
          <w:szCs w:val="22"/>
          <w:lang w:val="en-US"/>
        </w:rPr>
      </w:pPr>
      <w:r>
        <w:rPr>
          <w:noProof/>
          <w:lang w:eastAsia="en-CA"/>
        </w:rPr>
        <w:lastRenderedPageBreak/>
        <w:drawing>
          <wp:anchor distT="0" distB="0" distL="114300" distR="114300" simplePos="0" relativeHeight="251723776" behindDoc="0" locked="0" layoutInCell="1" allowOverlap="1" wp14:anchorId="2521979E" wp14:editId="0670D2BF">
            <wp:simplePos x="0" y="0"/>
            <wp:positionH relativeFrom="column">
              <wp:posOffset>2679238</wp:posOffset>
            </wp:positionH>
            <wp:positionV relativeFrom="paragraph">
              <wp:posOffset>172085</wp:posOffset>
            </wp:positionV>
            <wp:extent cx="2678400" cy="1699200"/>
            <wp:effectExtent l="0" t="0" r="1905" b="3175"/>
            <wp:wrapNone/>
            <wp:docPr id="80" name="Chart 80">
              <a:extLst xmlns:a="http://schemas.openxmlformats.org/drawingml/2006/main">
                <a:ext uri="{FF2B5EF4-FFF2-40B4-BE49-F238E27FC236}">
                  <a16:creationId xmlns:a16="http://schemas.microsoft.com/office/drawing/2014/main" id="{EE80FEF9-3A06-CC49-93ED-8C2B468B8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14:paraId="53217CC3" w14:textId="6E2E2D3D" w:rsidR="00836512" w:rsidRDefault="00836512" w:rsidP="00836512">
      <w:pPr>
        <w:spacing w:line="480" w:lineRule="auto"/>
        <w:rPr>
          <w:rFonts w:eastAsiaTheme="minorHAnsi"/>
          <w:lang w:val="en-US"/>
        </w:rPr>
      </w:pPr>
      <w:r>
        <w:rPr>
          <w:rFonts w:asciiTheme="minorHAnsi" w:eastAsiaTheme="minorHAnsi" w:hAnsiTheme="minorHAnsi" w:cstheme="minorBidi"/>
          <w:noProof/>
          <w:lang w:eastAsia="en-CA"/>
        </w:rPr>
        <w:drawing>
          <wp:inline distT="0" distB="0" distL="0" distR="0" wp14:anchorId="0CE999AB" wp14:editId="51D57644">
            <wp:extent cx="2678400" cy="1699200"/>
            <wp:effectExtent l="0" t="0" r="1905" b="3175"/>
            <wp:docPr id="2" name="Chart 2">
              <a:extLst xmlns:a="http://schemas.openxmlformats.org/drawingml/2006/main">
                <a:ext uri="{FF2B5EF4-FFF2-40B4-BE49-F238E27FC236}">
                  <a16:creationId xmlns:a16="http://schemas.microsoft.com/office/drawing/2014/main" id="{287AA1C6-1F1D-4C4A-9E8E-473DE2CA0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6BC3263" w14:textId="77777777" w:rsidR="00836512" w:rsidRPr="00475487" w:rsidRDefault="00836512" w:rsidP="00836512">
      <w:pPr>
        <w:jc w:val="center"/>
        <w:rPr>
          <w:rFonts w:eastAsiaTheme="minorHAnsi"/>
          <w:color w:val="000000"/>
          <w:lang w:val="en-US"/>
        </w:rPr>
      </w:pPr>
      <w:r w:rsidRPr="00475487">
        <w:rPr>
          <w:rFonts w:eastAsiaTheme="minorHAnsi"/>
          <w:b/>
          <w:color w:val="000000"/>
          <w:lang w:val="en-US"/>
        </w:rPr>
        <w:t>Figure 5.34:</w:t>
      </w:r>
      <w:r w:rsidRPr="00475487">
        <w:rPr>
          <w:rFonts w:eastAsiaTheme="minorHAnsi"/>
          <w:color w:val="000000"/>
          <w:lang w:val="en-US"/>
        </w:rPr>
        <w:t xml:space="preserve"> 1972 Area NA Burial 1 of A-1 (T10). </w:t>
      </w:r>
      <w:r w:rsidRPr="00475487">
        <w:rPr>
          <w:lang w:val="en-US"/>
        </w:rPr>
        <w:t xml:space="preserve">Age at death: 4 years </w:t>
      </w:r>
      <w:r w:rsidRPr="00475487">
        <w:rPr>
          <w:lang w:val="en-US"/>
        </w:rPr>
        <w:sym w:font="Symbol" w:char="F0B1"/>
      </w:r>
      <w:r w:rsidRPr="00475487">
        <w:rPr>
          <w:lang w:val="en-US"/>
        </w:rPr>
        <w:t xml:space="preserve"> 12 months.</w:t>
      </w:r>
    </w:p>
    <w:p w14:paraId="3CE5C8DF" w14:textId="77777777" w:rsidR="00836512" w:rsidRDefault="00836512" w:rsidP="00836512">
      <w:pPr>
        <w:jc w:val="center"/>
        <w:rPr>
          <w:rFonts w:eastAsiaTheme="minorHAnsi"/>
          <w:color w:val="000000"/>
          <w:sz w:val="20"/>
          <w:szCs w:val="20"/>
          <w:lang w:val="en-US"/>
        </w:rPr>
      </w:pPr>
    </w:p>
    <w:p w14:paraId="5657E2BC" w14:textId="77777777" w:rsidR="00836512" w:rsidRDefault="00836512" w:rsidP="00836512">
      <w:pPr>
        <w:jc w:val="center"/>
        <w:rPr>
          <w:rFonts w:eastAsiaTheme="minorHAnsi"/>
          <w:color w:val="000000"/>
          <w:sz w:val="20"/>
          <w:szCs w:val="20"/>
          <w:lang w:val="en-US"/>
        </w:rPr>
      </w:pPr>
    </w:p>
    <w:p w14:paraId="04A22A55" w14:textId="1B068D67" w:rsidR="00836512" w:rsidRDefault="00836512" w:rsidP="00836512">
      <w:pPr>
        <w:spacing w:line="480" w:lineRule="auto"/>
        <w:ind w:firstLine="720"/>
        <w:rPr>
          <w:lang w:val="en-US"/>
        </w:rPr>
      </w:pPr>
      <w:r>
        <w:rPr>
          <w:lang w:val="en-US"/>
        </w:rPr>
        <w:t xml:space="preserve"> </w:t>
      </w:r>
      <w:r w:rsidR="000F1183">
        <w:rPr>
          <w:lang w:val="en-US"/>
        </w:rPr>
        <w:t>Only a rib sample was available for analysis of</w:t>
      </w:r>
      <w:r>
        <w:rPr>
          <w:lang w:val="en-US"/>
        </w:rPr>
        <w:t xml:space="preserve"> individual (T10</w:t>
      </w:r>
      <w:r w:rsidR="000F1183">
        <w:rPr>
          <w:lang w:val="en-US"/>
        </w:rPr>
        <w:t xml:space="preserve">). </w:t>
      </w:r>
      <w:r>
        <w:rPr>
          <w:lang w:val="en-US"/>
        </w:rPr>
        <w:t xml:space="preserve">The </w:t>
      </w:r>
      <w:r>
        <w:t>δ</w:t>
      </w:r>
      <w:r>
        <w:rPr>
          <w:vertAlign w:val="superscript"/>
          <w:lang w:val="en-US"/>
        </w:rPr>
        <w:t>15</w:t>
      </w:r>
      <w:r>
        <w:rPr>
          <w:lang w:val="en-US"/>
        </w:rPr>
        <w:t xml:space="preserve">N value of the rib sample demonstrates a further decline around the time of death while the </w:t>
      </w:r>
      <w:r>
        <w:t>δ</w:t>
      </w:r>
      <w:r>
        <w:rPr>
          <w:vertAlign w:val="superscript"/>
          <w:lang w:val="en-US"/>
        </w:rPr>
        <w:t>13</w:t>
      </w:r>
      <w:r>
        <w:rPr>
          <w:lang w:val="en-US"/>
        </w:rPr>
        <w:t xml:space="preserve">C value remained constant to the last serial dentine section (Fig. 5.34).  By combining both dentine and bone </w:t>
      </w:r>
      <w:r>
        <w:t>δ</w:t>
      </w:r>
      <w:r>
        <w:rPr>
          <w:vertAlign w:val="superscript"/>
          <w:lang w:val="en-US"/>
        </w:rPr>
        <w:t>15</w:t>
      </w:r>
      <w:r>
        <w:rPr>
          <w:lang w:val="en-US"/>
        </w:rPr>
        <w:t xml:space="preserve">N data, it may appear as though weaning was still underway up until 4 years of age, however the effects of weaning would also be reflected in </w:t>
      </w:r>
      <w:r>
        <w:t>δ</w:t>
      </w:r>
      <w:r>
        <w:rPr>
          <w:vertAlign w:val="superscript"/>
          <w:lang w:val="en-US"/>
        </w:rPr>
        <w:t>13</w:t>
      </w:r>
      <w:r>
        <w:rPr>
          <w:lang w:val="en-US"/>
        </w:rPr>
        <w:t xml:space="preserve">C values. Since the </w:t>
      </w:r>
      <w:r>
        <w:t>δ</w:t>
      </w:r>
      <w:r>
        <w:rPr>
          <w:vertAlign w:val="superscript"/>
          <w:lang w:val="en-US"/>
        </w:rPr>
        <w:t>13</w:t>
      </w:r>
      <w:r>
        <w:rPr>
          <w:lang w:val="en-US"/>
        </w:rPr>
        <w:t xml:space="preserve">C value remained constant after three years of age, weaning most likely ceased around the third year and the slightly lower </w:t>
      </w:r>
      <w:r>
        <w:t>δ</w:t>
      </w:r>
      <w:r>
        <w:rPr>
          <w:vertAlign w:val="superscript"/>
          <w:lang w:val="en-US"/>
        </w:rPr>
        <w:t>15</w:t>
      </w:r>
      <w:r>
        <w:rPr>
          <w:lang w:val="en-US"/>
        </w:rPr>
        <w:t xml:space="preserve">N rib value after this point may be a result of accelerated growth or </w:t>
      </w:r>
      <w:r>
        <w:rPr>
          <w:vertAlign w:val="superscript"/>
          <w:lang w:val="en-US"/>
        </w:rPr>
        <w:t>15</w:t>
      </w:r>
      <w:r>
        <w:rPr>
          <w:lang w:val="en-US"/>
        </w:rPr>
        <w:t>N – depleted diet.</w:t>
      </w:r>
    </w:p>
    <w:p w14:paraId="5C3E9ECC" w14:textId="0E8882E1" w:rsidR="00836512" w:rsidRDefault="00836512" w:rsidP="00836512">
      <w:pPr>
        <w:jc w:val="center"/>
        <w:rPr>
          <w:rFonts w:eastAsiaTheme="minorHAnsi"/>
          <w:color w:val="000000"/>
          <w:sz w:val="20"/>
          <w:szCs w:val="20"/>
          <w:lang w:val="en-US"/>
        </w:rPr>
      </w:pPr>
    </w:p>
    <w:p w14:paraId="695EE07B" w14:textId="26119B7A" w:rsidR="00836512" w:rsidRDefault="005D5B5A" w:rsidP="00836512">
      <w:pPr>
        <w:rPr>
          <w:rFonts w:eastAsiaTheme="minorHAnsi"/>
          <w:color w:val="000000"/>
          <w:sz w:val="20"/>
          <w:szCs w:val="20"/>
          <w:lang w:val="en-US"/>
        </w:rPr>
      </w:pPr>
      <w:r>
        <w:rPr>
          <w:noProof/>
          <w:lang w:eastAsia="en-CA"/>
        </w:rPr>
        <w:drawing>
          <wp:anchor distT="0" distB="0" distL="114300" distR="114300" simplePos="0" relativeHeight="251724800" behindDoc="0" locked="0" layoutInCell="1" allowOverlap="1" wp14:anchorId="14C25AD3" wp14:editId="4F9A6819">
            <wp:simplePos x="0" y="0"/>
            <wp:positionH relativeFrom="column">
              <wp:posOffset>2637039</wp:posOffset>
            </wp:positionH>
            <wp:positionV relativeFrom="paragraph">
              <wp:posOffset>63961</wp:posOffset>
            </wp:positionV>
            <wp:extent cx="2678400" cy="1699200"/>
            <wp:effectExtent l="0" t="0" r="1905" b="3175"/>
            <wp:wrapNone/>
            <wp:docPr id="79" name="Chart 79">
              <a:extLst xmlns:a="http://schemas.openxmlformats.org/drawingml/2006/main">
                <a:ext uri="{FF2B5EF4-FFF2-40B4-BE49-F238E27FC236}">
                  <a16:creationId xmlns:a16="http://schemas.microsoft.com/office/drawing/2014/main" id="{12A5192E-004B-3C40-B389-918224F34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28896" behindDoc="0" locked="0" layoutInCell="1" allowOverlap="1" wp14:anchorId="7F22FCA2" wp14:editId="1D88A623">
            <wp:simplePos x="0" y="0"/>
            <wp:positionH relativeFrom="column">
              <wp:posOffset>-39428</wp:posOffset>
            </wp:positionH>
            <wp:positionV relativeFrom="paragraph">
              <wp:posOffset>53975</wp:posOffset>
            </wp:positionV>
            <wp:extent cx="2678400" cy="1699200"/>
            <wp:effectExtent l="0" t="0" r="1905" b="3175"/>
            <wp:wrapNone/>
            <wp:docPr id="77" name="Chart 77">
              <a:extLst xmlns:a="http://schemas.openxmlformats.org/drawingml/2006/main">
                <a:ext uri="{FF2B5EF4-FFF2-40B4-BE49-F238E27FC236}">
                  <a16:creationId xmlns:a16="http://schemas.microsoft.com/office/drawing/2014/main" id="{427A924F-9E4A-C045-B831-21475713C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page">
              <wp14:pctHeight>0</wp14:pctHeight>
            </wp14:sizeRelV>
          </wp:anchor>
        </w:drawing>
      </w:r>
    </w:p>
    <w:p w14:paraId="77D6CFDB" w14:textId="77777777" w:rsidR="00836512" w:rsidRDefault="00836512" w:rsidP="00836512">
      <w:pPr>
        <w:rPr>
          <w:rFonts w:eastAsiaTheme="minorHAnsi"/>
          <w:color w:val="000000"/>
          <w:sz w:val="20"/>
          <w:szCs w:val="20"/>
          <w:lang w:val="en-US"/>
        </w:rPr>
      </w:pPr>
    </w:p>
    <w:p w14:paraId="06F10A76" w14:textId="77777777" w:rsidR="00836512" w:rsidRDefault="00836512" w:rsidP="00836512">
      <w:pPr>
        <w:rPr>
          <w:rFonts w:eastAsiaTheme="minorHAnsi"/>
          <w:color w:val="000000"/>
          <w:sz w:val="20"/>
          <w:szCs w:val="20"/>
          <w:lang w:val="en-US"/>
        </w:rPr>
      </w:pPr>
    </w:p>
    <w:p w14:paraId="682AF4C1" w14:textId="77777777" w:rsidR="00836512" w:rsidRDefault="00836512" w:rsidP="00836512">
      <w:pPr>
        <w:rPr>
          <w:rFonts w:eastAsiaTheme="minorHAnsi"/>
          <w:color w:val="000000"/>
          <w:sz w:val="20"/>
          <w:szCs w:val="20"/>
          <w:lang w:val="en-US"/>
        </w:rPr>
      </w:pPr>
    </w:p>
    <w:p w14:paraId="52FC908A" w14:textId="77777777" w:rsidR="00836512" w:rsidRDefault="00836512" w:rsidP="00836512">
      <w:pPr>
        <w:rPr>
          <w:rFonts w:eastAsiaTheme="minorHAnsi"/>
          <w:color w:val="000000"/>
          <w:sz w:val="20"/>
          <w:szCs w:val="20"/>
          <w:lang w:val="en-US"/>
        </w:rPr>
      </w:pPr>
    </w:p>
    <w:p w14:paraId="3E41E4B6" w14:textId="77777777" w:rsidR="00836512" w:rsidRDefault="00836512" w:rsidP="00836512">
      <w:pPr>
        <w:rPr>
          <w:rFonts w:eastAsiaTheme="minorHAnsi"/>
          <w:color w:val="000000"/>
          <w:sz w:val="20"/>
          <w:szCs w:val="20"/>
          <w:lang w:val="en-US"/>
        </w:rPr>
      </w:pPr>
    </w:p>
    <w:p w14:paraId="00EFE726" w14:textId="77777777" w:rsidR="00836512" w:rsidRDefault="00836512" w:rsidP="00836512">
      <w:pPr>
        <w:rPr>
          <w:rFonts w:eastAsiaTheme="minorHAnsi"/>
          <w:color w:val="000000"/>
          <w:sz w:val="20"/>
          <w:szCs w:val="20"/>
          <w:lang w:val="en-US"/>
        </w:rPr>
      </w:pPr>
    </w:p>
    <w:p w14:paraId="0E8345CB" w14:textId="77777777" w:rsidR="00836512" w:rsidRDefault="00836512" w:rsidP="00836512">
      <w:pPr>
        <w:rPr>
          <w:rFonts w:eastAsiaTheme="minorHAnsi"/>
          <w:color w:val="000000"/>
          <w:sz w:val="20"/>
          <w:szCs w:val="20"/>
          <w:lang w:val="en-US"/>
        </w:rPr>
      </w:pPr>
    </w:p>
    <w:p w14:paraId="5D193DEF" w14:textId="77777777" w:rsidR="00836512" w:rsidRDefault="00836512" w:rsidP="00836512">
      <w:pPr>
        <w:rPr>
          <w:rFonts w:eastAsiaTheme="minorHAnsi"/>
          <w:color w:val="000000"/>
          <w:sz w:val="20"/>
          <w:szCs w:val="20"/>
          <w:lang w:val="en-US"/>
        </w:rPr>
      </w:pPr>
    </w:p>
    <w:p w14:paraId="2C69E037" w14:textId="77777777" w:rsidR="00836512" w:rsidRDefault="00836512" w:rsidP="00836512">
      <w:pPr>
        <w:rPr>
          <w:rFonts w:eastAsiaTheme="minorHAnsi"/>
          <w:color w:val="000000"/>
          <w:sz w:val="20"/>
          <w:szCs w:val="20"/>
          <w:lang w:val="en-US"/>
        </w:rPr>
      </w:pPr>
    </w:p>
    <w:p w14:paraId="490974C4" w14:textId="77777777" w:rsidR="00836512" w:rsidRDefault="00836512" w:rsidP="00836512">
      <w:pPr>
        <w:rPr>
          <w:rFonts w:eastAsiaTheme="minorHAnsi"/>
          <w:color w:val="000000"/>
          <w:sz w:val="20"/>
          <w:szCs w:val="20"/>
          <w:lang w:val="en-US"/>
        </w:rPr>
      </w:pPr>
    </w:p>
    <w:p w14:paraId="0AD15DF2" w14:textId="77777777" w:rsidR="00836512" w:rsidRDefault="00836512" w:rsidP="00836512">
      <w:pPr>
        <w:jc w:val="center"/>
        <w:rPr>
          <w:rFonts w:eastAsiaTheme="minorHAnsi"/>
          <w:color w:val="000000"/>
          <w:sz w:val="20"/>
          <w:szCs w:val="20"/>
          <w:lang w:val="en-US"/>
        </w:rPr>
      </w:pPr>
    </w:p>
    <w:p w14:paraId="1D0DBF1E" w14:textId="77777777" w:rsidR="00836512" w:rsidRDefault="00836512" w:rsidP="00836512">
      <w:pPr>
        <w:jc w:val="center"/>
        <w:rPr>
          <w:rFonts w:eastAsiaTheme="minorHAnsi"/>
          <w:color w:val="000000"/>
          <w:sz w:val="20"/>
          <w:szCs w:val="20"/>
          <w:lang w:val="en-US"/>
        </w:rPr>
      </w:pPr>
    </w:p>
    <w:p w14:paraId="3369B033" w14:textId="77777777" w:rsidR="00836512" w:rsidRPr="00475487" w:rsidRDefault="00836512" w:rsidP="00836512">
      <w:pPr>
        <w:jc w:val="center"/>
        <w:rPr>
          <w:lang w:val="en-US"/>
        </w:rPr>
      </w:pPr>
      <w:r w:rsidRPr="00475487">
        <w:rPr>
          <w:rFonts w:eastAsiaTheme="minorHAnsi"/>
          <w:b/>
          <w:color w:val="000000"/>
          <w:lang w:val="en-US"/>
        </w:rPr>
        <w:t>Figure 5.35:</w:t>
      </w:r>
      <w:r w:rsidRPr="00475487">
        <w:rPr>
          <w:rFonts w:eastAsiaTheme="minorHAnsi"/>
          <w:color w:val="000000"/>
          <w:lang w:val="en-US"/>
        </w:rPr>
        <w:t xml:space="preserve"> G67/I P15 S19 </w:t>
      </w:r>
      <w:r w:rsidRPr="00475487">
        <w:rPr>
          <w:rFonts w:eastAsiaTheme="minorHAnsi"/>
          <w:lang w:val="en-US"/>
        </w:rPr>
        <w:t xml:space="preserve">(T11). </w:t>
      </w:r>
      <w:r w:rsidRPr="00475487">
        <w:rPr>
          <w:lang w:val="en-US"/>
        </w:rPr>
        <w:t xml:space="preserve">Age at death: 7 – 8 years </w:t>
      </w:r>
      <w:r w:rsidRPr="00475487">
        <w:rPr>
          <w:lang w:val="en-US"/>
        </w:rPr>
        <w:sym w:font="Symbol" w:char="F0B1"/>
      </w:r>
      <w:r w:rsidRPr="00475487">
        <w:rPr>
          <w:lang w:val="en-US"/>
        </w:rPr>
        <w:t xml:space="preserve"> 24 months. </w:t>
      </w:r>
    </w:p>
    <w:p w14:paraId="7899673F" w14:textId="77777777" w:rsidR="00836512" w:rsidRDefault="00836512" w:rsidP="00836512">
      <w:pPr>
        <w:jc w:val="center"/>
        <w:rPr>
          <w:sz w:val="20"/>
          <w:szCs w:val="20"/>
          <w:lang w:val="en-US"/>
        </w:rPr>
      </w:pPr>
    </w:p>
    <w:p w14:paraId="301ACA1C" w14:textId="77777777" w:rsidR="00836512" w:rsidRDefault="00836512" w:rsidP="00836512">
      <w:pPr>
        <w:rPr>
          <w:sz w:val="20"/>
          <w:szCs w:val="20"/>
          <w:lang w:val="en-US"/>
        </w:rPr>
      </w:pPr>
    </w:p>
    <w:p w14:paraId="65332736" w14:textId="1576A51C" w:rsidR="001D1F1E" w:rsidRDefault="00836512" w:rsidP="00B13223">
      <w:pPr>
        <w:spacing w:line="480" w:lineRule="auto"/>
        <w:ind w:firstLine="720"/>
        <w:rPr>
          <w:lang w:val="en-US"/>
        </w:rPr>
      </w:pPr>
      <w:r>
        <w:rPr>
          <w:lang w:val="en-US"/>
        </w:rPr>
        <w:t xml:space="preserve">Rib and femur </w:t>
      </w:r>
      <w:r>
        <w:t>δ</w:t>
      </w:r>
      <w:r>
        <w:rPr>
          <w:vertAlign w:val="superscript"/>
          <w:lang w:val="en-US"/>
        </w:rPr>
        <w:t>15</w:t>
      </w:r>
      <w:r>
        <w:rPr>
          <w:lang w:val="en-US"/>
        </w:rPr>
        <w:t xml:space="preserve">N values for this individual were significantly lower (by 3‰) than the last serial dentine section, while the </w:t>
      </w:r>
      <w:r>
        <w:t>δ</w:t>
      </w:r>
      <w:r>
        <w:rPr>
          <w:vertAlign w:val="superscript"/>
          <w:lang w:val="en-US"/>
        </w:rPr>
        <w:t>13</w:t>
      </w:r>
      <w:r>
        <w:rPr>
          <w:lang w:val="en-US"/>
        </w:rPr>
        <w:t xml:space="preserve">C values were similar (Fig. 5.35). As exhibited by other subadult individuals in this study, low </w:t>
      </w:r>
      <w:r>
        <w:t>δ</w:t>
      </w:r>
      <w:r>
        <w:rPr>
          <w:vertAlign w:val="superscript"/>
          <w:lang w:val="en-US"/>
        </w:rPr>
        <w:t>15</w:t>
      </w:r>
      <w:r>
        <w:rPr>
          <w:lang w:val="en-US"/>
        </w:rPr>
        <w:t xml:space="preserve">N values can be reflective of an anabolic state caused by accelerated growth or possibly </w:t>
      </w:r>
      <w:r>
        <w:rPr>
          <w:vertAlign w:val="superscript"/>
          <w:lang w:val="en-US"/>
        </w:rPr>
        <w:t>15</w:t>
      </w:r>
      <w:r>
        <w:rPr>
          <w:lang w:val="en-US"/>
        </w:rPr>
        <w:t>N – depleted post-weaning diet.</w:t>
      </w:r>
    </w:p>
    <w:p w14:paraId="03A8DE38" w14:textId="77777777" w:rsidR="00B13223" w:rsidRDefault="00B13223" w:rsidP="00B13223">
      <w:pPr>
        <w:spacing w:line="480" w:lineRule="auto"/>
        <w:ind w:firstLine="720"/>
        <w:rPr>
          <w:lang w:val="en-US"/>
        </w:rPr>
      </w:pPr>
    </w:p>
    <w:p w14:paraId="639096D7" w14:textId="2A297912" w:rsidR="001D1F1E" w:rsidRDefault="001D1F1E" w:rsidP="001D1F1E">
      <w:pPr>
        <w:spacing w:line="480" w:lineRule="auto"/>
        <w:ind w:firstLine="720"/>
        <w:rPr>
          <w:lang w:val="en-US"/>
        </w:rPr>
      </w:pPr>
    </w:p>
    <w:p w14:paraId="0436DC1A" w14:textId="1CB5F2C0" w:rsidR="001D1F1E" w:rsidRDefault="001D1F1E" w:rsidP="001D1F1E">
      <w:pPr>
        <w:spacing w:line="480" w:lineRule="auto"/>
        <w:ind w:firstLine="720"/>
        <w:rPr>
          <w:lang w:val="en-US"/>
        </w:rPr>
      </w:pPr>
      <w:r>
        <w:rPr>
          <w:noProof/>
          <w:lang w:eastAsia="en-CA"/>
        </w:rPr>
        <w:drawing>
          <wp:anchor distT="0" distB="0" distL="114300" distR="114300" simplePos="0" relativeHeight="251729920" behindDoc="0" locked="0" layoutInCell="1" allowOverlap="1" wp14:anchorId="287CCADF" wp14:editId="379545B6">
            <wp:simplePos x="0" y="0"/>
            <wp:positionH relativeFrom="column">
              <wp:posOffset>-60960</wp:posOffset>
            </wp:positionH>
            <wp:positionV relativeFrom="paragraph">
              <wp:posOffset>-385445</wp:posOffset>
            </wp:positionV>
            <wp:extent cx="2678400" cy="1699200"/>
            <wp:effectExtent l="0" t="0" r="1905" b="3175"/>
            <wp:wrapNone/>
            <wp:docPr id="74" name="Chart 74">
              <a:extLst xmlns:a="http://schemas.openxmlformats.org/drawingml/2006/main">
                <a:ext uri="{FF2B5EF4-FFF2-40B4-BE49-F238E27FC236}">
                  <a16:creationId xmlns:a16="http://schemas.microsoft.com/office/drawing/2014/main" id="{47613963-D209-5B4E-894A-A1E3C04D3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725824" behindDoc="0" locked="0" layoutInCell="1" allowOverlap="1" wp14:anchorId="7C42C497" wp14:editId="233C4CDC">
            <wp:simplePos x="0" y="0"/>
            <wp:positionH relativeFrom="column">
              <wp:posOffset>2712085</wp:posOffset>
            </wp:positionH>
            <wp:positionV relativeFrom="paragraph">
              <wp:posOffset>-389890</wp:posOffset>
            </wp:positionV>
            <wp:extent cx="2677795" cy="1698625"/>
            <wp:effectExtent l="0" t="0" r="1905" b="3175"/>
            <wp:wrapNone/>
            <wp:docPr id="76" name="Chart 76">
              <a:extLst xmlns:a="http://schemas.openxmlformats.org/drawingml/2006/main">
                <a:ext uri="{FF2B5EF4-FFF2-40B4-BE49-F238E27FC236}">
                  <a16:creationId xmlns:a16="http://schemas.microsoft.com/office/drawing/2014/main" id="{7FF33F6D-44D5-8F4D-AD3B-78A8FB6F4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14:paraId="20FB5B30" w14:textId="77777777" w:rsidR="001D1F1E" w:rsidRDefault="001D1F1E" w:rsidP="001D1F1E">
      <w:pPr>
        <w:spacing w:line="480" w:lineRule="auto"/>
        <w:ind w:firstLine="720"/>
        <w:rPr>
          <w:lang w:val="en-US"/>
        </w:rPr>
      </w:pPr>
    </w:p>
    <w:p w14:paraId="1D3D6A5F" w14:textId="0705E655" w:rsidR="001D1F1E" w:rsidRDefault="001D1F1E" w:rsidP="001D1F1E">
      <w:pPr>
        <w:spacing w:line="480" w:lineRule="auto"/>
        <w:ind w:firstLine="720"/>
        <w:rPr>
          <w:lang w:val="en-US"/>
        </w:rPr>
      </w:pPr>
    </w:p>
    <w:p w14:paraId="0D6A048A" w14:textId="77777777" w:rsidR="00836512" w:rsidRDefault="00836512" w:rsidP="00836512">
      <w:pPr>
        <w:spacing w:line="480" w:lineRule="auto"/>
        <w:rPr>
          <w:rFonts w:eastAsiaTheme="minorHAnsi"/>
          <w:lang w:val="en-US"/>
        </w:rPr>
      </w:pPr>
    </w:p>
    <w:p w14:paraId="373CE412" w14:textId="0009EC3A" w:rsidR="00836512" w:rsidRPr="00475487" w:rsidRDefault="00836512" w:rsidP="00836512">
      <w:pPr>
        <w:jc w:val="center"/>
        <w:rPr>
          <w:lang w:val="en-US"/>
        </w:rPr>
      </w:pPr>
      <w:r w:rsidRPr="00475487">
        <w:rPr>
          <w:rFonts w:eastAsiaTheme="minorHAnsi"/>
          <w:b/>
          <w:lang w:val="en-US"/>
        </w:rPr>
        <w:t>Figure 5.36:</w:t>
      </w:r>
      <w:r w:rsidRPr="00475487">
        <w:rPr>
          <w:rFonts w:eastAsiaTheme="minorHAnsi"/>
          <w:lang w:val="en-US"/>
        </w:rPr>
        <w:t xml:space="preserve"> </w:t>
      </w:r>
      <w:r w:rsidRPr="00475487">
        <w:rPr>
          <w:rFonts w:eastAsiaTheme="minorHAnsi"/>
          <w:color w:val="000000"/>
          <w:lang w:val="en-US"/>
        </w:rPr>
        <w:t xml:space="preserve">G67 Site C RZ3 Pit 3 tomb infill (T12). </w:t>
      </w:r>
      <w:r w:rsidRPr="00475487">
        <w:rPr>
          <w:lang w:val="en-US"/>
        </w:rPr>
        <w:t xml:space="preserve">Age at death: 9 years </w:t>
      </w:r>
      <w:r w:rsidRPr="00475487">
        <w:rPr>
          <w:lang w:val="en-US"/>
        </w:rPr>
        <w:sym w:font="Symbol" w:char="F0B1"/>
      </w:r>
      <w:r w:rsidRPr="00475487">
        <w:rPr>
          <w:lang w:val="en-US"/>
        </w:rPr>
        <w:t xml:space="preserve"> 24 months. </w:t>
      </w:r>
    </w:p>
    <w:p w14:paraId="17B825F2" w14:textId="77777777" w:rsidR="001D1F1E" w:rsidRDefault="001D1F1E" w:rsidP="001D1F1E">
      <w:pPr>
        <w:jc w:val="center"/>
        <w:rPr>
          <w:sz w:val="20"/>
          <w:szCs w:val="20"/>
          <w:lang w:val="en-US"/>
        </w:rPr>
      </w:pPr>
    </w:p>
    <w:p w14:paraId="36065A62" w14:textId="77777777" w:rsidR="00836512" w:rsidRDefault="00836512" w:rsidP="00836512">
      <w:pPr>
        <w:jc w:val="center"/>
        <w:rPr>
          <w:lang w:val="en-US"/>
        </w:rPr>
      </w:pPr>
    </w:p>
    <w:p w14:paraId="4D5BBEC8" w14:textId="0EC412D4" w:rsidR="00836512" w:rsidRDefault="00836512" w:rsidP="00B13223">
      <w:pPr>
        <w:spacing w:line="480" w:lineRule="auto"/>
        <w:ind w:firstLine="720"/>
        <w:rPr>
          <w:rFonts w:eastAsiaTheme="minorHAnsi"/>
          <w:lang w:val="en-US"/>
        </w:rPr>
      </w:pPr>
      <w:r>
        <w:rPr>
          <w:lang w:val="en-US"/>
        </w:rPr>
        <w:t xml:space="preserve">Rib and femur </w:t>
      </w:r>
      <w:r>
        <w:t>δ</w:t>
      </w:r>
      <w:r>
        <w:rPr>
          <w:vertAlign w:val="superscript"/>
          <w:lang w:val="en-US"/>
        </w:rPr>
        <w:t>15</w:t>
      </w:r>
      <w:r>
        <w:rPr>
          <w:lang w:val="en-US"/>
        </w:rPr>
        <w:t xml:space="preserve">N values (9.6‰ and 9.9‰, respectively) for this individual (T12) demonstrate lower </w:t>
      </w:r>
      <w:r>
        <w:t>δ</w:t>
      </w:r>
      <w:r>
        <w:rPr>
          <w:vertAlign w:val="superscript"/>
          <w:lang w:val="en-US"/>
        </w:rPr>
        <w:t>15</w:t>
      </w:r>
      <w:r>
        <w:rPr>
          <w:lang w:val="en-US"/>
        </w:rPr>
        <w:t xml:space="preserve">N values from the last serial dentine section (10.2‰), while the </w:t>
      </w:r>
      <w:r>
        <w:t>δ</w:t>
      </w:r>
      <w:r>
        <w:rPr>
          <w:vertAlign w:val="superscript"/>
          <w:lang w:val="en-US"/>
        </w:rPr>
        <w:t>13</w:t>
      </w:r>
      <w:r>
        <w:rPr>
          <w:lang w:val="en-US"/>
        </w:rPr>
        <w:t xml:space="preserve">C values for all three tissue samples are relatively alike (Fig. 5.36). The absence of change in stable carbon isotope values accompanied by a variation in nitrogen isotope values is indicative of physiological stress between 7 and 8 years of age (indicated by the increased </w:t>
      </w:r>
      <w:r>
        <w:t>δ</w:t>
      </w:r>
      <w:r>
        <w:rPr>
          <w:vertAlign w:val="superscript"/>
          <w:lang w:val="en-US"/>
        </w:rPr>
        <w:t>15</w:t>
      </w:r>
      <w:r>
        <w:rPr>
          <w:lang w:val="en-US"/>
        </w:rPr>
        <w:t xml:space="preserve">N values at these ages). However, since femur represents a longer time average, the low value probably reflects diet from earlier life (such as between 3.6 to 5.9 years). On the other hand, rib </w:t>
      </w:r>
      <w:r>
        <w:t>δ</w:t>
      </w:r>
      <w:r>
        <w:rPr>
          <w:vertAlign w:val="superscript"/>
          <w:lang w:val="en-US"/>
        </w:rPr>
        <w:t>15</w:t>
      </w:r>
      <w:r>
        <w:rPr>
          <w:lang w:val="en-US"/>
        </w:rPr>
        <w:t>N does not necessarily ‘pick up’ the increase seen in the last two consecutive dentine samples.</w:t>
      </w:r>
    </w:p>
    <w:p w14:paraId="53B2D546" w14:textId="77777777" w:rsidR="00836512" w:rsidRDefault="00836512" w:rsidP="00836512">
      <w:pPr>
        <w:spacing w:line="480" w:lineRule="auto"/>
        <w:rPr>
          <w:rFonts w:eastAsiaTheme="minorHAnsi"/>
          <w:b/>
          <w:lang w:val="en-US"/>
        </w:rPr>
      </w:pPr>
      <w:r>
        <w:rPr>
          <w:rFonts w:eastAsiaTheme="minorHAnsi"/>
          <w:b/>
          <w:lang w:val="en-US"/>
        </w:rPr>
        <w:lastRenderedPageBreak/>
        <w:t>5.5 Survivors vs. Non – Survivors</w:t>
      </w:r>
    </w:p>
    <w:p w14:paraId="0EACB75F" w14:textId="77777777" w:rsidR="00836512" w:rsidRDefault="00836512" w:rsidP="001D1F1E">
      <w:pPr>
        <w:rPr>
          <w:rFonts w:eastAsiaTheme="minorHAnsi"/>
          <w:b/>
          <w:lang w:val="en-US"/>
        </w:rPr>
      </w:pPr>
    </w:p>
    <w:p w14:paraId="1303824B" w14:textId="337076CA" w:rsidR="00836512" w:rsidRDefault="00836512" w:rsidP="00836512">
      <w:pPr>
        <w:spacing w:line="480" w:lineRule="auto"/>
        <w:rPr>
          <w:rFonts w:eastAsiaTheme="minorHAnsi"/>
          <w:lang w:val="en-US"/>
        </w:rPr>
      </w:pPr>
      <w:r>
        <w:rPr>
          <w:rFonts w:eastAsiaTheme="minorHAnsi"/>
          <w:lang w:val="en-US"/>
        </w:rPr>
        <w:tab/>
        <w:t xml:space="preserve">Using Figures 5.13 and 5.23, groups identified as ‘survivors’ and ‘non-survivors’ were categorized. In these figures it can be seen that </w:t>
      </w:r>
      <w:r>
        <w:rPr>
          <w:rFonts w:eastAsiaTheme="minorHAnsi"/>
          <w:lang w:val="en-US"/>
        </w:rPr>
        <w:sym w:font="Symbol" w:char="F064"/>
      </w:r>
      <w:r>
        <w:rPr>
          <w:rFonts w:eastAsiaTheme="minorHAnsi"/>
          <w:vertAlign w:val="superscript"/>
          <w:lang w:val="en-US"/>
        </w:rPr>
        <w:t>15</w:t>
      </w:r>
      <w:r>
        <w:rPr>
          <w:rFonts w:eastAsiaTheme="minorHAnsi"/>
          <w:lang w:val="en-US"/>
        </w:rPr>
        <w:t>N values become less variable for each individual after 3.5 years of age. Hence, it is likely that the weaning process for this Iron Age sample concluded around 3.5 years; therefore, individuals who survived past this age were considered survivors, and those who died prior to 3.5 years were considered non-survivors. Individuals who died at 4 years were also categorized as non-survivors since a 6</w:t>
      </w:r>
      <w:r w:rsidR="009152A1">
        <w:rPr>
          <w:rFonts w:eastAsiaTheme="minorHAnsi"/>
          <w:lang w:val="en-US"/>
        </w:rPr>
        <w:t>-</w:t>
      </w:r>
      <w:r>
        <w:rPr>
          <w:rFonts w:eastAsiaTheme="minorHAnsi"/>
          <w:lang w:val="en-US"/>
        </w:rPr>
        <w:t xml:space="preserve">month period between weaning and death is a relatively short period of time. </w:t>
      </w:r>
    </w:p>
    <w:p w14:paraId="08AA355E" w14:textId="77777777" w:rsidR="00836512" w:rsidRDefault="00836512" w:rsidP="001D1F1E">
      <w:pPr>
        <w:rPr>
          <w:rFonts w:eastAsiaTheme="minorHAnsi"/>
          <w:lang w:val="en-US"/>
        </w:rPr>
      </w:pPr>
    </w:p>
    <w:p w14:paraId="04CDFA85" w14:textId="74A02E8E" w:rsidR="00836512" w:rsidRDefault="00836512" w:rsidP="00836512">
      <w:pPr>
        <w:spacing w:line="480" w:lineRule="auto"/>
        <w:jc w:val="center"/>
        <w:rPr>
          <w:rFonts w:eastAsiaTheme="minorHAnsi"/>
          <w:lang w:val="en-US"/>
        </w:rPr>
      </w:pPr>
      <w:r>
        <w:rPr>
          <w:rFonts w:eastAsiaTheme="minorHAnsi"/>
          <w:b/>
          <w:lang w:val="en-US"/>
        </w:rPr>
        <w:t xml:space="preserve">Table 5.5: </w:t>
      </w:r>
      <w:r>
        <w:rPr>
          <w:rFonts w:eastAsiaTheme="minorHAnsi"/>
          <w:lang w:val="en-US"/>
        </w:rPr>
        <w:t>Non-survivors and survivors of weaning (n=21).</w:t>
      </w:r>
    </w:p>
    <w:p w14:paraId="4026FCD1" w14:textId="77777777" w:rsidR="001D1F1E" w:rsidRDefault="001D1F1E" w:rsidP="001D1F1E">
      <w:pPr>
        <w:jc w:val="center"/>
        <w:rPr>
          <w:rFonts w:eastAsiaTheme="minorHAnsi"/>
          <w:lang w:val="en-US"/>
        </w:rPr>
      </w:pPr>
    </w:p>
    <w:tbl>
      <w:tblPr>
        <w:tblStyle w:val="TableGrid1"/>
        <w:tblW w:w="0" w:type="auto"/>
        <w:tblLook w:val="04A0" w:firstRow="1" w:lastRow="0" w:firstColumn="1" w:lastColumn="0" w:noHBand="0" w:noVBand="1"/>
      </w:tblPr>
      <w:tblGrid>
        <w:gridCol w:w="4317"/>
        <w:gridCol w:w="4340"/>
      </w:tblGrid>
      <w:tr w:rsidR="00836512" w14:paraId="0753EE08" w14:textId="77777777" w:rsidTr="00836512">
        <w:tc>
          <w:tcPr>
            <w:tcW w:w="4675" w:type="dxa"/>
            <w:vMerge w:val="restart"/>
            <w:tcBorders>
              <w:top w:val="single" w:sz="4" w:space="0" w:color="auto"/>
              <w:left w:val="single" w:sz="4" w:space="0" w:color="auto"/>
              <w:bottom w:val="single" w:sz="4" w:space="0" w:color="auto"/>
              <w:right w:val="single" w:sz="4" w:space="0" w:color="auto"/>
            </w:tcBorders>
          </w:tcPr>
          <w:p w14:paraId="6D106999" w14:textId="77777777" w:rsidR="00836512" w:rsidRDefault="00836512">
            <w:pPr>
              <w:jc w:val="center"/>
              <w:rPr>
                <w:rFonts w:eastAsiaTheme="minorHAnsi"/>
                <w:sz w:val="20"/>
                <w:szCs w:val="20"/>
                <w:lang w:val="en-US"/>
              </w:rPr>
            </w:pPr>
            <w:r>
              <w:rPr>
                <w:rFonts w:eastAsiaTheme="minorHAnsi"/>
                <w:sz w:val="20"/>
                <w:szCs w:val="20"/>
                <w:lang w:val="en-US"/>
              </w:rPr>
              <w:t>Non-Survivors (0 – 4 years)</w:t>
            </w:r>
          </w:p>
          <w:p w14:paraId="29B01602" w14:textId="77777777" w:rsidR="00836512" w:rsidRDefault="00836512">
            <w:pPr>
              <w:jc w:val="center"/>
              <w:rPr>
                <w:rFonts w:eastAsiaTheme="minorHAnsi"/>
                <w:sz w:val="20"/>
                <w:szCs w:val="20"/>
                <w:lang w:val="en-US"/>
              </w:rPr>
            </w:pPr>
            <w:r>
              <w:rPr>
                <w:rFonts w:eastAsiaTheme="minorHAnsi"/>
                <w:sz w:val="20"/>
                <w:szCs w:val="20"/>
                <w:lang w:val="en-US"/>
              </w:rPr>
              <w:t>(n=6)</w:t>
            </w:r>
          </w:p>
          <w:p w14:paraId="63491547" w14:textId="77777777" w:rsidR="00836512" w:rsidRDefault="00836512">
            <w:pPr>
              <w:jc w:val="center"/>
              <w:rPr>
                <w:rFonts w:eastAsiaTheme="minorHAnsi"/>
                <w:sz w:val="20"/>
                <w:szCs w:val="20"/>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05C23ABC" w14:textId="7DF774A7" w:rsidR="00836512" w:rsidRDefault="00836512">
            <w:pPr>
              <w:jc w:val="center"/>
              <w:rPr>
                <w:rFonts w:eastAsiaTheme="minorHAnsi"/>
                <w:sz w:val="20"/>
                <w:szCs w:val="20"/>
                <w:lang w:val="en-US"/>
              </w:rPr>
            </w:pPr>
            <w:r>
              <w:rPr>
                <w:rFonts w:eastAsiaTheme="minorHAnsi"/>
                <w:color w:val="000000"/>
                <w:sz w:val="20"/>
                <w:szCs w:val="20"/>
                <w:lang w:val="en-US"/>
              </w:rPr>
              <w:t>G67/I p3 e2 S4 = Tomb 4</w:t>
            </w:r>
            <w:r w:rsidR="000F1183">
              <w:rPr>
                <w:rFonts w:eastAsiaTheme="minorHAnsi"/>
                <w:color w:val="000000"/>
                <w:sz w:val="20"/>
                <w:szCs w:val="20"/>
                <w:lang w:val="en-US"/>
              </w:rPr>
              <w:t xml:space="preserve"> (T1)</w:t>
            </w:r>
          </w:p>
        </w:tc>
      </w:tr>
      <w:tr w:rsidR="00836512" w:rsidRPr="00D46F08" w14:paraId="78FDFA53"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39DF5112" w14:textId="77777777" w:rsidR="00836512" w:rsidRDefault="00836512">
            <w:pPr>
              <w:rPr>
                <w:rFonts w:eastAsiaTheme="minorHAnsi"/>
                <w:sz w:val="20"/>
                <w:szCs w:val="20"/>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4735E0CD" w14:textId="31FE385B" w:rsidR="00836512" w:rsidRPr="005F7C36" w:rsidRDefault="00836512">
            <w:pPr>
              <w:jc w:val="center"/>
              <w:rPr>
                <w:rFonts w:eastAsiaTheme="minorHAnsi"/>
                <w:sz w:val="20"/>
                <w:szCs w:val="20"/>
                <w:lang w:val="es-ES"/>
              </w:rPr>
            </w:pPr>
            <w:r w:rsidRPr="005F7C36">
              <w:rPr>
                <w:rFonts w:eastAsiaTheme="minorHAnsi"/>
                <w:color w:val="000000"/>
                <w:sz w:val="20"/>
                <w:szCs w:val="20"/>
                <w:lang w:val="es-ES"/>
              </w:rPr>
              <w:t>21/12/71 Tomba di bambino Ind. 1</w:t>
            </w:r>
            <w:r w:rsidR="000F1183" w:rsidRPr="005F7C36">
              <w:rPr>
                <w:rFonts w:eastAsiaTheme="minorHAnsi"/>
                <w:color w:val="000000"/>
                <w:sz w:val="20"/>
                <w:szCs w:val="20"/>
                <w:lang w:val="es-ES"/>
              </w:rPr>
              <w:t xml:space="preserve"> (T4)</w:t>
            </w:r>
          </w:p>
        </w:tc>
      </w:tr>
      <w:tr w:rsidR="00836512" w14:paraId="7149DCBA"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42794AE6" w14:textId="77777777" w:rsidR="00836512" w:rsidRPr="005F7C36" w:rsidRDefault="00836512">
            <w:pPr>
              <w:rPr>
                <w:rFonts w:eastAsiaTheme="minorHAnsi"/>
                <w:sz w:val="20"/>
                <w:szCs w:val="20"/>
                <w:lang w:val="es-ES"/>
              </w:rPr>
            </w:pPr>
          </w:p>
        </w:tc>
        <w:tc>
          <w:tcPr>
            <w:tcW w:w="4675" w:type="dxa"/>
            <w:tcBorders>
              <w:top w:val="single" w:sz="4" w:space="0" w:color="auto"/>
              <w:left w:val="single" w:sz="4" w:space="0" w:color="auto"/>
              <w:bottom w:val="single" w:sz="4" w:space="0" w:color="auto"/>
              <w:right w:val="single" w:sz="4" w:space="0" w:color="auto"/>
            </w:tcBorders>
            <w:hideMark/>
          </w:tcPr>
          <w:p w14:paraId="423B2010" w14:textId="34618A29" w:rsidR="00836512" w:rsidRDefault="00836512">
            <w:pPr>
              <w:jc w:val="center"/>
              <w:rPr>
                <w:rFonts w:eastAsiaTheme="minorHAnsi"/>
                <w:sz w:val="20"/>
                <w:szCs w:val="20"/>
                <w:lang w:val="en-US"/>
              </w:rPr>
            </w:pPr>
            <w:r>
              <w:rPr>
                <w:rFonts w:eastAsiaTheme="minorHAnsi"/>
                <w:color w:val="000000"/>
                <w:sz w:val="20"/>
                <w:szCs w:val="20"/>
                <w:lang w:val="en-US"/>
              </w:rPr>
              <w:t>GS70 F25</w:t>
            </w:r>
            <w:r w:rsidR="000F1183">
              <w:rPr>
                <w:rFonts w:eastAsiaTheme="minorHAnsi"/>
                <w:color w:val="000000"/>
                <w:sz w:val="20"/>
                <w:szCs w:val="20"/>
                <w:lang w:val="en-US"/>
              </w:rPr>
              <w:t xml:space="preserve"> (T5)</w:t>
            </w:r>
          </w:p>
        </w:tc>
      </w:tr>
      <w:tr w:rsidR="00836512" w14:paraId="6D60B9D2"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39A5C062" w14:textId="77777777" w:rsidR="00836512" w:rsidRDefault="00836512">
            <w:pPr>
              <w:rPr>
                <w:rFonts w:eastAsiaTheme="minorHAnsi"/>
                <w:sz w:val="20"/>
                <w:szCs w:val="20"/>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26D25056" w14:textId="3899F543" w:rsidR="00836512" w:rsidRDefault="00836512">
            <w:pPr>
              <w:jc w:val="center"/>
              <w:rPr>
                <w:rFonts w:eastAsiaTheme="minorHAnsi"/>
                <w:sz w:val="20"/>
                <w:szCs w:val="20"/>
                <w:lang w:val="en-US"/>
              </w:rPr>
            </w:pPr>
            <w:r>
              <w:rPr>
                <w:rFonts w:eastAsiaTheme="minorHAnsi"/>
                <w:color w:val="000000"/>
                <w:sz w:val="20"/>
                <w:szCs w:val="20"/>
                <w:lang w:val="en-US"/>
              </w:rPr>
              <w:t>G67/I S5 small tomb</w:t>
            </w:r>
            <w:r w:rsidR="000F1183">
              <w:rPr>
                <w:rFonts w:eastAsiaTheme="minorHAnsi"/>
                <w:color w:val="000000"/>
                <w:sz w:val="20"/>
                <w:szCs w:val="20"/>
                <w:lang w:val="en-US"/>
              </w:rPr>
              <w:t xml:space="preserve"> (T7)</w:t>
            </w:r>
          </w:p>
        </w:tc>
      </w:tr>
      <w:tr w:rsidR="00836512" w14:paraId="4DFF00C5"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32C5B18A" w14:textId="77777777" w:rsidR="00836512" w:rsidRDefault="00836512">
            <w:pPr>
              <w:rPr>
                <w:rFonts w:eastAsiaTheme="minorHAnsi"/>
                <w:sz w:val="20"/>
                <w:szCs w:val="20"/>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6538C589" w14:textId="1DFCF2BD" w:rsidR="00836512" w:rsidRDefault="00836512">
            <w:pPr>
              <w:jc w:val="center"/>
              <w:rPr>
                <w:rFonts w:eastAsiaTheme="minorHAnsi"/>
                <w:sz w:val="20"/>
                <w:szCs w:val="20"/>
                <w:lang w:val="en-US"/>
              </w:rPr>
            </w:pPr>
            <w:r>
              <w:rPr>
                <w:rFonts w:eastAsiaTheme="minorHAnsi"/>
                <w:color w:val="000000"/>
                <w:sz w:val="20"/>
                <w:szCs w:val="20"/>
                <w:lang w:val="en-US"/>
              </w:rPr>
              <w:t>1967 G67/I SG-Tomb 6(2) Infill 1</w:t>
            </w:r>
            <w:r w:rsidR="000F1183">
              <w:rPr>
                <w:rFonts w:eastAsiaTheme="minorHAnsi"/>
                <w:color w:val="000000"/>
                <w:sz w:val="20"/>
                <w:szCs w:val="20"/>
                <w:lang w:val="en-US"/>
              </w:rPr>
              <w:t xml:space="preserve"> (T8)</w:t>
            </w:r>
          </w:p>
        </w:tc>
      </w:tr>
      <w:tr w:rsidR="00836512" w14:paraId="3F9D0EF8"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4ACD63E7" w14:textId="77777777" w:rsidR="00836512" w:rsidRDefault="00836512">
            <w:pPr>
              <w:rPr>
                <w:rFonts w:eastAsiaTheme="minorHAnsi"/>
                <w:sz w:val="20"/>
                <w:szCs w:val="20"/>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447E62B2" w14:textId="4A28EFB2" w:rsidR="00836512" w:rsidRDefault="00836512">
            <w:pPr>
              <w:jc w:val="center"/>
              <w:rPr>
                <w:rFonts w:eastAsiaTheme="minorHAnsi"/>
                <w:sz w:val="20"/>
                <w:szCs w:val="20"/>
                <w:lang w:val="en-US"/>
              </w:rPr>
            </w:pPr>
            <w:r>
              <w:rPr>
                <w:rFonts w:eastAsiaTheme="minorHAnsi"/>
                <w:color w:val="000000"/>
                <w:sz w:val="20"/>
                <w:szCs w:val="20"/>
                <w:lang w:val="en-US"/>
              </w:rPr>
              <w:t>1972 Area NA Burial 1 of A-1</w:t>
            </w:r>
            <w:r w:rsidR="000F1183">
              <w:rPr>
                <w:rFonts w:eastAsiaTheme="minorHAnsi"/>
                <w:color w:val="000000"/>
                <w:sz w:val="20"/>
                <w:szCs w:val="20"/>
                <w:lang w:val="en-US"/>
              </w:rPr>
              <w:t xml:space="preserve"> (T10)</w:t>
            </w:r>
          </w:p>
        </w:tc>
      </w:tr>
      <w:tr w:rsidR="00836512" w14:paraId="214AE2AC" w14:textId="77777777" w:rsidTr="00836512">
        <w:tc>
          <w:tcPr>
            <w:tcW w:w="4675" w:type="dxa"/>
            <w:vMerge w:val="restart"/>
            <w:tcBorders>
              <w:top w:val="single" w:sz="4" w:space="0" w:color="auto"/>
              <w:left w:val="single" w:sz="4" w:space="0" w:color="auto"/>
              <w:bottom w:val="single" w:sz="4" w:space="0" w:color="auto"/>
              <w:right w:val="single" w:sz="4" w:space="0" w:color="auto"/>
            </w:tcBorders>
            <w:hideMark/>
          </w:tcPr>
          <w:p w14:paraId="075424CD" w14:textId="77777777" w:rsidR="00836512" w:rsidRDefault="00836512">
            <w:pPr>
              <w:jc w:val="center"/>
              <w:rPr>
                <w:rFonts w:eastAsiaTheme="minorHAnsi"/>
                <w:sz w:val="20"/>
                <w:szCs w:val="20"/>
                <w:lang w:val="en-US"/>
              </w:rPr>
            </w:pPr>
            <w:r>
              <w:rPr>
                <w:rFonts w:eastAsiaTheme="minorHAnsi"/>
                <w:sz w:val="20"/>
                <w:szCs w:val="20"/>
                <w:lang w:val="en-US"/>
              </w:rPr>
              <w:t>Survivors (4 &lt; years)</w:t>
            </w:r>
          </w:p>
          <w:p w14:paraId="421484BE" w14:textId="77777777" w:rsidR="00836512" w:rsidRDefault="00836512">
            <w:pPr>
              <w:jc w:val="center"/>
              <w:rPr>
                <w:rFonts w:eastAsiaTheme="minorHAnsi"/>
                <w:lang w:val="en-US"/>
              </w:rPr>
            </w:pPr>
            <w:r>
              <w:rPr>
                <w:rFonts w:eastAsiaTheme="minorHAnsi"/>
                <w:sz w:val="20"/>
                <w:szCs w:val="20"/>
                <w:lang w:val="en-US"/>
              </w:rPr>
              <w:t>(n=15)</w:t>
            </w:r>
          </w:p>
        </w:tc>
        <w:tc>
          <w:tcPr>
            <w:tcW w:w="4675" w:type="dxa"/>
            <w:tcBorders>
              <w:top w:val="single" w:sz="4" w:space="0" w:color="auto"/>
              <w:left w:val="single" w:sz="4" w:space="0" w:color="auto"/>
              <w:bottom w:val="single" w:sz="4" w:space="0" w:color="auto"/>
              <w:right w:val="single" w:sz="4" w:space="0" w:color="auto"/>
            </w:tcBorders>
            <w:hideMark/>
          </w:tcPr>
          <w:p w14:paraId="283556AD" w14:textId="7AE0FF78" w:rsidR="00836512" w:rsidRDefault="00836512">
            <w:pPr>
              <w:jc w:val="center"/>
              <w:rPr>
                <w:rFonts w:eastAsiaTheme="minorHAnsi"/>
                <w:sz w:val="20"/>
                <w:szCs w:val="20"/>
                <w:lang w:val="en-US"/>
              </w:rPr>
            </w:pPr>
            <w:r>
              <w:rPr>
                <w:rFonts w:eastAsiaTheme="minorHAnsi"/>
                <w:color w:val="000000"/>
                <w:sz w:val="20"/>
                <w:szCs w:val="20"/>
                <w:lang w:val="en-US"/>
              </w:rPr>
              <w:t>22/5/67 Tomba 30</w:t>
            </w:r>
            <w:r w:rsidR="000F1183">
              <w:rPr>
                <w:rFonts w:eastAsiaTheme="minorHAnsi"/>
                <w:color w:val="000000"/>
                <w:sz w:val="20"/>
                <w:szCs w:val="20"/>
                <w:lang w:val="en-US"/>
              </w:rPr>
              <w:t xml:space="preserve"> (T2)</w:t>
            </w:r>
          </w:p>
        </w:tc>
      </w:tr>
      <w:tr w:rsidR="00836512" w14:paraId="5C0796FB"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50E6A053"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3AA160B3" w14:textId="68E3259A" w:rsidR="00836512" w:rsidRDefault="00836512">
            <w:pPr>
              <w:jc w:val="center"/>
              <w:rPr>
                <w:rFonts w:eastAsiaTheme="minorHAnsi"/>
                <w:sz w:val="20"/>
                <w:szCs w:val="20"/>
                <w:lang w:val="en-US"/>
              </w:rPr>
            </w:pPr>
            <w:r>
              <w:rPr>
                <w:rFonts w:eastAsiaTheme="minorHAnsi"/>
                <w:color w:val="000000"/>
                <w:sz w:val="20"/>
                <w:szCs w:val="20"/>
                <w:lang w:val="en-US"/>
              </w:rPr>
              <w:t>G67/II P4 S17 Infill 3</w:t>
            </w:r>
            <w:r w:rsidR="000F1183">
              <w:rPr>
                <w:rFonts w:eastAsiaTheme="minorHAnsi"/>
                <w:color w:val="000000"/>
                <w:sz w:val="20"/>
                <w:szCs w:val="20"/>
                <w:lang w:val="en-US"/>
              </w:rPr>
              <w:t xml:space="preserve"> (T3)</w:t>
            </w:r>
          </w:p>
        </w:tc>
      </w:tr>
      <w:tr w:rsidR="00836512" w14:paraId="4898B74F"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2A3800DD"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4185E46B" w14:textId="14CE2486" w:rsidR="00836512" w:rsidRDefault="00836512">
            <w:pPr>
              <w:jc w:val="center"/>
              <w:rPr>
                <w:rFonts w:eastAsiaTheme="minorHAnsi"/>
                <w:sz w:val="20"/>
                <w:szCs w:val="20"/>
                <w:lang w:val="en-US"/>
              </w:rPr>
            </w:pPr>
            <w:r>
              <w:rPr>
                <w:rFonts w:eastAsiaTheme="minorHAnsi"/>
                <w:color w:val="000000"/>
                <w:sz w:val="20"/>
                <w:szCs w:val="20"/>
                <w:lang w:val="en-US"/>
              </w:rPr>
              <w:t>1968 DB 1 Contents of Sarcophagus</w:t>
            </w:r>
            <w:r w:rsidR="000F1183">
              <w:rPr>
                <w:rFonts w:eastAsiaTheme="minorHAnsi"/>
                <w:color w:val="000000"/>
                <w:sz w:val="20"/>
                <w:szCs w:val="20"/>
                <w:lang w:val="en-US"/>
              </w:rPr>
              <w:t xml:space="preserve"> (T6)</w:t>
            </w:r>
          </w:p>
        </w:tc>
      </w:tr>
      <w:tr w:rsidR="00836512" w14:paraId="4A4B7EC7"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25BD34C2"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669DAEE5" w14:textId="5497BEE3" w:rsidR="00836512" w:rsidRDefault="00836512">
            <w:pPr>
              <w:jc w:val="center"/>
              <w:rPr>
                <w:rFonts w:eastAsiaTheme="minorHAnsi"/>
                <w:sz w:val="20"/>
                <w:szCs w:val="20"/>
                <w:lang w:val="en-US"/>
              </w:rPr>
            </w:pPr>
            <w:r>
              <w:rPr>
                <w:rFonts w:eastAsiaTheme="minorHAnsi"/>
                <w:color w:val="000000"/>
                <w:sz w:val="20"/>
                <w:szCs w:val="20"/>
                <w:lang w:val="en-US"/>
              </w:rPr>
              <w:t>No Label #2</w:t>
            </w:r>
            <w:r w:rsidR="000F1183">
              <w:rPr>
                <w:rFonts w:eastAsiaTheme="minorHAnsi"/>
                <w:color w:val="000000"/>
                <w:sz w:val="20"/>
                <w:szCs w:val="20"/>
                <w:lang w:val="en-US"/>
              </w:rPr>
              <w:t xml:space="preserve"> (T9)</w:t>
            </w:r>
          </w:p>
        </w:tc>
      </w:tr>
      <w:tr w:rsidR="00836512" w14:paraId="2464C142"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4D4B6E3C"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61D0DABF" w14:textId="12D401A6" w:rsidR="00836512" w:rsidRDefault="00836512">
            <w:pPr>
              <w:jc w:val="center"/>
              <w:rPr>
                <w:rFonts w:eastAsiaTheme="minorHAnsi"/>
                <w:sz w:val="20"/>
                <w:szCs w:val="20"/>
                <w:lang w:val="en-US"/>
              </w:rPr>
            </w:pPr>
            <w:r>
              <w:rPr>
                <w:rFonts w:eastAsiaTheme="minorHAnsi"/>
                <w:color w:val="000000"/>
                <w:sz w:val="20"/>
                <w:szCs w:val="20"/>
                <w:lang w:val="en-US"/>
              </w:rPr>
              <w:t>G67/I P15 S19</w:t>
            </w:r>
            <w:r w:rsidR="000F1183">
              <w:rPr>
                <w:rFonts w:eastAsiaTheme="minorHAnsi"/>
                <w:color w:val="000000"/>
                <w:sz w:val="20"/>
                <w:szCs w:val="20"/>
                <w:lang w:val="en-US"/>
              </w:rPr>
              <w:t xml:space="preserve"> (T11)</w:t>
            </w:r>
          </w:p>
        </w:tc>
      </w:tr>
      <w:tr w:rsidR="00836512" w14:paraId="545BFF58"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4856BBB8"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426C6B45" w14:textId="638C08E9" w:rsidR="00836512" w:rsidRDefault="00836512">
            <w:pPr>
              <w:jc w:val="center"/>
              <w:rPr>
                <w:rFonts w:eastAsiaTheme="minorHAnsi"/>
                <w:sz w:val="20"/>
                <w:szCs w:val="20"/>
                <w:lang w:val="en-US"/>
              </w:rPr>
            </w:pPr>
            <w:r>
              <w:rPr>
                <w:rFonts w:eastAsiaTheme="minorHAnsi"/>
                <w:color w:val="000000"/>
                <w:sz w:val="20"/>
                <w:szCs w:val="20"/>
                <w:lang w:val="en-US"/>
              </w:rPr>
              <w:t>G67 Site C RZ3 Pit 3 tomb infill</w:t>
            </w:r>
            <w:r w:rsidR="000F1183">
              <w:rPr>
                <w:rFonts w:eastAsiaTheme="minorHAnsi"/>
                <w:color w:val="000000"/>
                <w:sz w:val="20"/>
                <w:szCs w:val="20"/>
                <w:lang w:val="en-US"/>
              </w:rPr>
              <w:t xml:space="preserve"> (T12)</w:t>
            </w:r>
          </w:p>
        </w:tc>
      </w:tr>
      <w:tr w:rsidR="00836512" w14:paraId="0BBD8E53"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685FC588"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3D29E832" w14:textId="5DB0BE42" w:rsidR="00836512" w:rsidRDefault="00836512">
            <w:pPr>
              <w:jc w:val="center"/>
              <w:rPr>
                <w:rFonts w:eastAsiaTheme="minorHAnsi"/>
                <w:sz w:val="20"/>
                <w:szCs w:val="20"/>
                <w:lang w:val="en-US"/>
              </w:rPr>
            </w:pPr>
            <w:r>
              <w:rPr>
                <w:rFonts w:eastAsiaTheme="minorHAnsi"/>
                <w:sz w:val="20"/>
                <w:szCs w:val="20"/>
                <w:lang w:val="en-US"/>
              </w:rPr>
              <w:t>Botr 1972 Grave 2 bottom burial</w:t>
            </w:r>
            <w:r w:rsidR="000F1183">
              <w:rPr>
                <w:rFonts w:eastAsiaTheme="minorHAnsi"/>
                <w:sz w:val="20"/>
                <w:szCs w:val="20"/>
                <w:lang w:val="en-US"/>
              </w:rPr>
              <w:t xml:space="preserve"> (T13)</w:t>
            </w:r>
          </w:p>
        </w:tc>
      </w:tr>
      <w:tr w:rsidR="00836512" w14:paraId="185B33C6"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0209B68F"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49AD4C76" w14:textId="54A0DD4B" w:rsidR="00836512" w:rsidRDefault="00836512">
            <w:pPr>
              <w:jc w:val="center"/>
              <w:rPr>
                <w:rFonts w:eastAsiaTheme="minorHAnsi"/>
                <w:sz w:val="20"/>
                <w:szCs w:val="20"/>
                <w:lang w:val="en-US"/>
              </w:rPr>
            </w:pPr>
            <w:r>
              <w:rPr>
                <w:rFonts w:eastAsiaTheme="minorHAnsi"/>
                <w:sz w:val="20"/>
                <w:szCs w:val="20"/>
                <w:lang w:val="en-US"/>
              </w:rPr>
              <w:t>No label #3 (box 6)</w:t>
            </w:r>
            <w:r w:rsidR="000F1183">
              <w:rPr>
                <w:rFonts w:eastAsiaTheme="minorHAnsi"/>
                <w:sz w:val="20"/>
                <w:szCs w:val="20"/>
                <w:lang w:val="en-US"/>
              </w:rPr>
              <w:t xml:space="preserve"> (T15)</w:t>
            </w:r>
          </w:p>
        </w:tc>
      </w:tr>
      <w:tr w:rsidR="00836512" w14:paraId="172D5067"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7DDDE26E"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44449C4F" w14:textId="1CA3D7F7" w:rsidR="00836512" w:rsidRDefault="00836512">
            <w:pPr>
              <w:jc w:val="center"/>
              <w:rPr>
                <w:rFonts w:eastAsiaTheme="minorHAnsi"/>
                <w:sz w:val="20"/>
                <w:szCs w:val="20"/>
                <w:lang w:val="en-US"/>
              </w:rPr>
            </w:pPr>
            <w:r>
              <w:rPr>
                <w:rFonts w:eastAsiaTheme="minorHAnsi"/>
                <w:sz w:val="20"/>
                <w:szCs w:val="20"/>
                <w:lang w:val="en-US"/>
              </w:rPr>
              <w:t>BOTR F5 20108 Layer 1047 Skull</w:t>
            </w:r>
            <w:r w:rsidR="000F1183">
              <w:rPr>
                <w:rFonts w:eastAsiaTheme="minorHAnsi"/>
                <w:sz w:val="20"/>
                <w:szCs w:val="20"/>
                <w:lang w:val="en-US"/>
              </w:rPr>
              <w:t xml:space="preserve"> (T16)</w:t>
            </w:r>
          </w:p>
        </w:tc>
      </w:tr>
      <w:tr w:rsidR="00836512" w14:paraId="61CF1972"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407240C1"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7A2B14EF" w14:textId="6F11E5A5" w:rsidR="00836512" w:rsidRDefault="00836512">
            <w:pPr>
              <w:jc w:val="center"/>
              <w:rPr>
                <w:rFonts w:eastAsiaTheme="minorHAnsi"/>
                <w:sz w:val="20"/>
                <w:szCs w:val="20"/>
                <w:lang w:val="en-US"/>
              </w:rPr>
            </w:pPr>
            <w:r>
              <w:rPr>
                <w:rFonts w:eastAsiaTheme="minorHAnsi"/>
                <w:sz w:val="20"/>
                <w:szCs w:val="20"/>
                <w:lang w:val="en-US"/>
              </w:rPr>
              <w:t>PS Stefano Tomba 43</w:t>
            </w:r>
            <w:r w:rsidR="000F1183">
              <w:rPr>
                <w:rFonts w:eastAsiaTheme="minorHAnsi"/>
                <w:sz w:val="20"/>
                <w:szCs w:val="20"/>
                <w:lang w:val="en-US"/>
              </w:rPr>
              <w:t xml:space="preserve"> (T17)</w:t>
            </w:r>
          </w:p>
        </w:tc>
      </w:tr>
      <w:tr w:rsidR="00836512" w14:paraId="4F8E6C7B"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611017BC"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416B61A9" w14:textId="33DAB648" w:rsidR="00836512" w:rsidRDefault="00836512">
            <w:pPr>
              <w:jc w:val="center"/>
              <w:rPr>
                <w:rFonts w:eastAsiaTheme="minorHAnsi"/>
                <w:sz w:val="20"/>
                <w:szCs w:val="20"/>
                <w:lang w:val="en-US"/>
              </w:rPr>
            </w:pPr>
            <w:r>
              <w:rPr>
                <w:rFonts w:eastAsiaTheme="minorHAnsi"/>
                <w:sz w:val="20"/>
                <w:szCs w:val="20"/>
                <w:lang w:val="en-US"/>
              </w:rPr>
              <w:t>PS Stefano Tomba 11(?)</w:t>
            </w:r>
            <w:r w:rsidR="000F1183">
              <w:rPr>
                <w:rFonts w:eastAsiaTheme="minorHAnsi"/>
                <w:sz w:val="20"/>
                <w:szCs w:val="20"/>
                <w:lang w:val="en-US"/>
              </w:rPr>
              <w:t xml:space="preserve"> (T18)</w:t>
            </w:r>
          </w:p>
        </w:tc>
      </w:tr>
      <w:tr w:rsidR="00836512" w14:paraId="695994DA"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25E48D97"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4C18AAB4" w14:textId="08E4CB61" w:rsidR="00836512" w:rsidRDefault="00836512">
            <w:pPr>
              <w:jc w:val="center"/>
              <w:rPr>
                <w:rFonts w:eastAsiaTheme="minorHAnsi"/>
                <w:sz w:val="20"/>
                <w:szCs w:val="20"/>
                <w:lang w:val="en-US"/>
              </w:rPr>
            </w:pPr>
            <w:r>
              <w:rPr>
                <w:rFonts w:eastAsiaTheme="minorHAnsi"/>
                <w:sz w:val="20"/>
                <w:szCs w:val="20"/>
                <w:lang w:val="en-US"/>
              </w:rPr>
              <w:t>G67III p.1 e.1 PI 1 Layer 1 pit fill</w:t>
            </w:r>
            <w:r w:rsidR="000F1183">
              <w:rPr>
                <w:rFonts w:eastAsiaTheme="minorHAnsi"/>
                <w:sz w:val="20"/>
                <w:szCs w:val="20"/>
                <w:lang w:val="en-US"/>
              </w:rPr>
              <w:t xml:space="preserve"> (T19)</w:t>
            </w:r>
          </w:p>
        </w:tc>
      </w:tr>
      <w:tr w:rsidR="00836512" w:rsidRPr="006B5C18" w14:paraId="14A6ACBE"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2CB06AC1" w14:textId="77777777" w:rsidR="00836512" w:rsidRDefault="00836512">
            <w:pPr>
              <w:rPr>
                <w:rFonts w:eastAsiaTheme="minorHAnsi"/>
                <w:lang w:val="en-US"/>
              </w:rPr>
            </w:pPr>
          </w:p>
        </w:tc>
        <w:tc>
          <w:tcPr>
            <w:tcW w:w="4675" w:type="dxa"/>
            <w:tcBorders>
              <w:top w:val="single" w:sz="4" w:space="0" w:color="auto"/>
              <w:left w:val="single" w:sz="4" w:space="0" w:color="auto"/>
              <w:bottom w:val="single" w:sz="4" w:space="0" w:color="auto"/>
              <w:right w:val="single" w:sz="4" w:space="0" w:color="auto"/>
            </w:tcBorders>
            <w:hideMark/>
          </w:tcPr>
          <w:p w14:paraId="06FC35C0" w14:textId="3650E5A8" w:rsidR="00836512" w:rsidRDefault="00836512">
            <w:pPr>
              <w:jc w:val="center"/>
              <w:rPr>
                <w:rFonts w:eastAsiaTheme="minorHAnsi"/>
                <w:sz w:val="20"/>
                <w:szCs w:val="20"/>
                <w:lang w:val="it-IT"/>
              </w:rPr>
            </w:pPr>
            <w:r>
              <w:rPr>
                <w:rFonts w:eastAsiaTheme="minorHAnsi"/>
                <w:sz w:val="20"/>
                <w:szCs w:val="20"/>
                <w:lang w:val="it-IT"/>
              </w:rPr>
              <w:t>Botr 1968 GDA 68 R1 F1 L5</w:t>
            </w:r>
            <w:r w:rsidR="000F1183">
              <w:rPr>
                <w:rFonts w:eastAsiaTheme="minorHAnsi"/>
                <w:sz w:val="20"/>
                <w:szCs w:val="20"/>
                <w:lang w:val="it-IT"/>
              </w:rPr>
              <w:t xml:space="preserve"> (T20)</w:t>
            </w:r>
          </w:p>
        </w:tc>
      </w:tr>
      <w:tr w:rsidR="00836512" w:rsidRPr="005422D8" w14:paraId="6311CA3C" w14:textId="77777777" w:rsidTr="00836512">
        <w:tc>
          <w:tcPr>
            <w:tcW w:w="0" w:type="auto"/>
            <w:vMerge/>
            <w:tcBorders>
              <w:top w:val="single" w:sz="4" w:space="0" w:color="auto"/>
              <w:left w:val="single" w:sz="4" w:space="0" w:color="auto"/>
              <w:bottom w:val="single" w:sz="4" w:space="0" w:color="auto"/>
              <w:right w:val="single" w:sz="4" w:space="0" w:color="auto"/>
            </w:tcBorders>
            <w:vAlign w:val="center"/>
            <w:hideMark/>
          </w:tcPr>
          <w:p w14:paraId="593DAC05" w14:textId="77777777" w:rsidR="00836512" w:rsidRPr="0079060E" w:rsidRDefault="00836512">
            <w:pPr>
              <w:rPr>
                <w:rFonts w:eastAsiaTheme="minorHAnsi"/>
                <w:lang w:val="it-IT"/>
              </w:rPr>
            </w:pPr>
          </w:p>
        </w:tc>
        <w:tc>
          <w:tcPr>
            <w:tcW w:w="4675" w:type="dxa"/>
            <w:tcBorders>
              <w:top w:val="single" w:sz="4" w:space="0" w:color="auto"/>
              <w:left w:val="single" w:sz="4" w:space="0" w:color="auto"/>
              <w:bottom w:val="single" w:sz="4" w:space="0" w:color="auto"/>
              <w:right w:val="single" w:sz="4" w:space="0" w:color="auto"/>
            </w:tcBorders>
            <w:hideMark/>
          </w:tcPr>
          <w:p w14:paraId="2DFD2218" w14:textId="03D2FB96" w:rsidR="00836512" w:rsidRDefault="00836512">
            <w:pPr>
              <w:jc w:val="center"/>
              <w:rPr>
                <w:rFonts w:eastAsiaTheme="minorHAnsi"/>
                <w:sz w:val="20"/>
                <w:szCs w:val="20"/>
                <w:lang w:val="it-IT"/>
              </w:rPr>
            </w:pPr>
            <w:r>
              <w:rPr>
                <w:rFonts w:eastAsiaTheme="minorHAnsi"/>
                <w:sz w:val="20"/>
                <w:szCs w:val="20"/>
                <w:lang w:val="it-IT"/>
              </w:rPr>
              <w:t>Padreterno Settore II Tomba 11 Scheletro in Conessione</w:t>
            </w:r>
            <w:r w:rsidR="000F1183">
              <w:rPr>
                <w:rFonts w:eastAsiaTheme="minorHAnsi"/>
                <w:sz w:val="20"/>
                <w:szCs w:val="20"/>
                <w:lang w:val="it-IT"/>
              </w:rPr>
              <w:t xml:space="preserve"> (T21)</w:t>
            </w:r>
          </w:p>
        </w:tc>
      </w:tr>
      <w:tr w:rsidR="00836512" w14:paraId="14F53C1C" w14:textId="77777777" w:rsidTr="00BF38A8">
        <w:tc>
          <w:tcPr>
            <w:tcW w:w="0" w:type="auto"/>
            <w:vMerge/>
            <w:tcBorders>
              <w:top w:val="single" w:sz="4" w:space="0" w:color="auto"/>
              <w:left w:val="single" w:sz="4" w:space="0" w:color="auto"/>
              <w:bottom w:val="single" w:sz="4" w:space="0" w:color="auto"/>
              <w:right w:val="single" w:sz="4" w:space="0" w:color="auto"/>
            </w:tcBorders>
            <w:vAlign w:val="center"/>
            <w:hideMark/>
          </w:tcPr>
          <w:p w14:paraId="3C883FA1" w14:textId="77777777" w:rsidR="00836512" w:rsidRPr="008B67D9" w:rsidRDefault="00836512">
            <w:pPr>
              <w:rPr>
                <w:rFonts w:eastAsiaTheme="minorHAnsi"/>
                <w:lang w:val="it-IT"/>
              </w:rPr>
            </w:pPr>
          </w:p>
        </w:tc>
        <w:tc>
          <w:tcPr>
            <w:tcW w:w="4675" w:type="dxa"/>
            <w:tcBorders>
              <w:top w:val="single" w:sz="4" w:space="0" w:color="auto"/>
              <w:left w:val="single" w:sz="4" w:space="0" w:color="auto"/>
              <w:bottom w:val="single" w:sz="4" w:space="0" w:color="auto"/>
              <w:right w:val="single" w:sz="4" w:space="0" w:color="auto"/>
            </w:tcBorders>
            <w:hideMark/>
          </w:tcPr>
          <w:p w14:paraId="51FDE98A" w14:textId="4D0ACCD3" w:rsidR="00836512" w:rsidRDefault="00836512">
            <w:pPr>
              <w:jc w:val="center"/>
              <w:rPr>
                <w:rFonts w:eastAsiaTheme="minorHAnsi"/>
                <w:sz w:val="20"/>
                <w:szCs w:val="20"/>
                <w:lang w:val="en-US"/>
              </w:rPr>
            </w:pPr>
            <w:r>
              <w:rPr>
                <w:rFonts w:eastAsiaTheme="minorHAnsi"/>
                <w:sz w:val="20"/>
                <w:szCs w:val="20"/>
                <w:lang w:val="en-US"/>
              </w:rPr>
              <w:t>Botr 1971 Area NB, Grave 3</w:t>
            </w:r>
            <w:r w:rsidR="000F1183">
              <w:rPr>
                <w:rFonts w:eastAsiaTheme="minorHAnsi"/>
                <w:sz w:val="20"/>
                <w:szCs w:val="20"/>
                <w:lang w:val="en-US"/>
              </w:rPr>
              <w:t xml:space="preserve"> (T22)</w:t>
            </w:r>
          </w:p>
        </w:tc>
      </w:tr>
    </w:tbl>
    <w:p w14:paraId="3ADF3F4B" w14:textId="77777777" w:rsidR="00836512" w:rsidRDefault="00836512" w:rsidP="00836512">
      <w:pPr>
        <w:jc w:val="center"/>
        <w:rPr>
          <w:rFonts w:eastAsiaTheme="minorHAnsi"/>
          <w:b/>
          <w:lang w:val="en-US"/>
        </w:rPr>
      </w:pPr>
    </w:p>
    <w:p w14:paraId="218BED6D" w14:textId="77777777" w:rsidR="00836512" w:rsidRDefault="00836512" w:rsidP="00836512">
      <w:pPr>
        <w:jc w:val="center"/>
        <w:rPr>
          <w:rFonts w:eastAsiaTheme="minorHAnsi"/>
          <w:b/>
          <w:lang w:val="en-US"/>
        </w:rPr>
      </w:pPr>
    </w:p>
    <w:p w14:paraId="10202586" w14:textId="77777777" w:rsidR="00836512" w:rsidRDefault="00836512" w:rsidP="00836512">
      <w:pPr>
        <w:jc w:val="center"/>
        <w:rPr>
          <w:rFonts w:eastAsiaTheme="minorHAnsi"/>
          <w:b/>
          <w:lang w:val="en-US"/>
        </w:rPr>
      </w:pPr>
    </w:p>
    <w:p w14:paraId="3C4C3EA0" w14:textId="77777777" w:rsidR="00836512" w:rsidRDefault="00836512" w:rsidP="00836512">
      <w:pPr>
        <w:jc w:val="center"/>
        <w:rPr>
          <w:rFonts w:eastAsiaTheme="minorHAnsi"/>
          <w:lang w:val="en-US"/>
        </w:rPr>
      </w:pPr>
      <w:r>
        <w:rPr>
          <w:rFonts w:eastAsiaTheme="minorHAnsi"/>
          <w:b/>
          <w:lang w:val="en-US"/>
        </w:rPr>
        <w:lastRenderedPageBreak/>
        <w:t>Table 5.6:</w:t>
      </w:r>
      <w:r>
        <w:rPr>
          <w:rFonts w:eastAsiaTheme="minorHAnsi"/>
          <w:lang w:val="en-US"/>
        </w:rPr>
        <w:t xml:space="preserve"> Mean stable nitrogen and carbon isotope data for survivors (&gt; 4 years) and non-survivors (&lt; 4 years) between 0 to 4 years.</w:t>
      </w:r>
    </w:p>
    <w:p w14:paraId="540B5BC3" w14:textId="77777777" w:rsidR="00836512" w:rsidRDefault="00836512" w:rsidP="00836512">
      <w:pPr>
        <w:spacing w:line="480" w:lineRule="auto"/>
        <w:rPr>
          <w:rFonts w:eastAsiaTheme="minorHAnsi"/>
          <w:sz w:val="20"/>
          <w:szCs w:val="20"/>
          <w:lang w:val="en-US"/>
        </w:rPr>
      </w:pPr>
    </w:p>
    <w:tbl>
      <w:tblPr>
        <w:tblStyle w:val="TableGrid1"/>
        <w:tblW w:w="8647" w:type="dxa"/>
        <w:tblInd w:w="-5" w:type="dxa"/>
        <w:tblLook w:val="04A0" w:firstRow="1" w:lastRow="0" w:firstColumn="1" w:lastColumn="0" w:noHBand="0" w:noVBand="1"/>
      </w:tblPr>
      <w:tblGrid>
        <w:gridCol w:w="994"/>
        <w:gridCol w:w="959"/>
        <w:gridCol w:w="1166"/>
        <w:gridCol w:w="1071"/>
        <w:gridCol w:w="1197"/>
        <w:gridCol w:w="1134"/>
        <w:gridCol w:w="1276"/>
        <w:gridCol w:w="850"/>
      </w:tblGrid>
      <w:tr w:rsidR="00836512" w14:paraId="55AB4BE9" w14:textId="77777777" w:rsidTr="0083456F">
        <w:tc>
          <w:tcPr>
            <w:tcW w:w="1953" w:type="dxa"/>
            <w:gridSpan w:val="2"/>
            <w:tcBorders>
              <w:top w:val="single" w:sz="4" w:space="0" w:color="auto"/>
              <w:left w:val="single" w:sz="4" w:space="0" w:color="auto"/>
              <w:bottom w:val="single" w:sz="4" w:space="0" w:color="auto"/>
              <w:right w:val="single" w:sz="4" w:space="0" w:color="auto"/>
            </w:tcBorders>
          </w:tcPr>
          <w:p w14:paraId="52CC274C" w14:textId="77777777" w:rsidR="00836512" w:rsidRDefault="00836512">
            <w:pPr>
              <w:jc w:val="center"/>
              <w:rPr>
                <w:rFonts w:eastAsiaTheme="minorHAnsi"/>
                <w:sz w:val="20"/>
                <w:szCs w:val="20"/>
                <w:lang w:val="en-US"/>
              </w:rPr>
            </w:pPr>
          </w:p>
        </w:tc>
        <w:tc>
          <w:tcPr>
            <w:tcW w:w="1166" w:type="dxa"/>
            <w:tcBorders>
              <w:top w:val="single" w:sz="4" w:space="0" w:color="auto"/>
              <w:left w:val="single" w:sz="4" w:space="0" w:color="auto"/>
              <w:bottom w:val="single" w:sz="4" w:space="0" w:color="auto"/>
              <w:right w:val="single" w:sz="4" w:space="0" w:color="auto"/>
            </w:tcBorders>
            <w:hideMark/>
          </w:tcPr>
          <w:p w14:paraId="7D0C782E" w14:textId="77777777" w:rsidR="00836512" w:rsidRDefault="00836512">
            <w:pPr>
              <w:jc w:val="center"/>
              <w:rPr>
                <w:rFonts w:eastAsiaTheme="minorHAnsi"/>
                <w:sz w:val="20"/>
                <w:szCs w:val="20"/>
                <w:lang w:val="en-US"/>
              </w:rPr>
            </w:pPr>
            <w:r>
              <w:rPr>
                <w:rFonts w:eastAsiaTheme="minorHAnsi"/>
                <w:sz w:val="20"/>
                <w:szCs w:val="20"/>
                <w:lang w:val="en-US"/>
              </w:rPr>
              <w:t>0 – 6 months</w:t>
            </w:r>
          </w:p>
        </w:tc>
        <w:tc>
          <w:tcPr>
            <w:tcW w:w="1071" w:type="dxa"/>
            <w:tcBorders>
              <w:top w:val="single" w:sz="4" w:space="0" w:color="auto"/>
              <w:left w:val="single" w:sz="4" w:space="0" w:color="auto"/>
              <w:bottom w:val="single" w:sz="4" w:space="0" w:color="auto"/>
              <w:right w:val="single" w:sz="4" w:space="0" w:color="auto"/>
            </w:tcBorders>
            <w:hideMark/>
          </w:tcPr>
          <w:p w14:paraId="626B7A4A" w14:textId="77777777" w:rsidR="00836512" w:rsidRDefault="00836512">
            <w:pPr>
              <w:jc w:val="center"/>
              <w:rPr>
                <w:rFonts w:eastAsiaTheme="minorHAnsi"/>
                <w:sz w:val="20"/>
                <w:szCs w:val="20"/>
                <w:lang w:val="en-US"/>
              </w:rPr>
            </w:pPr>
            <w:r>
              <w:rPr>
                <w:rFonts w:eastAsiaTheme="minorHAnsi"/>
                <w:sz w:val="20"/>
                <w:szCs w:val="20"/>
                <w:lang w:val="en-US"/>
              </w:rPr>
              <w:t>6 – 12 months</w:t>
            </w:r>
          </w:p>
        </w:tc>
        <w:tc>
          <w:tcPr>
            <w:tcW w:w="1197" w:type="dxa"/>
            <w:tcBorders>
              <w:top w:val="single" w:sz="4" w:space="0" w:color="auto"/>
              <w:left w:val="single" w:sz="4" w:space="0" w:color="auto"/>
              <w:bottom w:val="single" w:sz="4" w:space="0" w:color="auto"/>
              <w:right w:val="single" w:sz="4" w:space="0" w:color="auto"/>
            </w:tcBorders>
            <w:hideMark/>
          </w:tcPr>
          <w:p w14:paraId="503F5335" w14:textId="77777777" w:rsidR="00836512" w:rsidRDefault="00836512">
            <w:pPr>
              <w:jc w:val="center"/>
              <w:rPr>
                <w:rFonts w:eastAsiaTheme="minorHAnsi"/>
                <w:sz w:val="20"/>
                <w:szCs w:val="20"/>
                <w:lang w:val="en-US"/>
              </w:rPr>
            </w:pPr>
            <w:r>
              <w:rPr>
                <w:rFonts w:eastAsiaTheme="minorHAnsi"/>
                <w:sz w:val="20"/>
                <w:szCs w:val="20"/>
                <w:lang w:val="en-US"/>
              </w:rPr>
              <w:t>1 year – 20 months</w:t>
            </w:r>
          </w:p>
        </w:tc>
        <w:tc>
          <w:tcPr>
            <w:tcW w:w="1134" w:type="dxa"/>
            <w:tcBorders>
              <w:top w:val="single" w:sz="4" w:space="0" w:color="auto"/>
              <w:left w:val="single" w:sz="4" w:space="0" w:color="auto"/>
              <w:bottom w:val="single" w:sz="4" w:space="0" w:color="auto"/>
              <w:right w:val="single" w:sz="4" w:space="0" w:color="auto"/>
            </w:tcBorders>
            <w:hideMark/>
          </w:tcPr>
          <w:p w14:paraId="2867E86E" w14:textId="77777777" w:rsidR="00836512" w:rsidRDefault="00836512">
            <w:pPr>
              <w:jc w:val="center"/>
              <w:rPr>
                <w:rFonts w:eastAsiaTheme="minorHAnsi"/>
                <w:sz w:val="20"/>
                <w:szCs w:val="20"/>
                <w:lang w:val="en-US"/>
              </w:rPr>
            </w:pPr>
            <w:r>
              <w:rPr>
                <w:rFonts w:eastAsiaTheme="minorHAnsi"/>
                <w:sz w:val="20"/>
                <w:szCs w:val="20"/>
                <w:lang w:val="en-US"/>
              </w:rPr>
              <w:t>20 – 28 months</w:t>
            </w:r>
          </w:p>
        </w:tc>
        <w:tc>
          <w:tcPr>
            <w:tcW w:w="1276" w:type="dxa"/>
            <w:tcBorders>
              <w:top w:val="single" w:sz="4" w:space="0" w:color="auto"/>
              <w:left w:val="single" w:sz="4" w:space="0" w:color="auto"/>
              <w:bottom w:val="single" w:sz="4" w:space="0" w:color="auto"/>
              <w:right w:val="single" w:sz="4" w:space="0" w:color="auto"/>
            </w:tcBorders>
            <w:hideMark/>
          </w:tcPr>
          <w:p w14:paraId="354C8513" w14:textId="77777777" w:rsidR="00836512" w:rsidRDefault="00836512">
            <w:pPr>
              <w:jc w:val="center"/>
              <w:rPr>
                <w:rFonts w:eastAsiaTheme="minorHAnsi"/>
                <w:sz w:val="20"/>
                <w:szCs w:val="20"/>
                <w:lang w:val="en-US"/>
              </w:rPr>
            </w:pPr>
            <w:r>
              <w:rPr>
                <w:rFonts w:eastAsiaTheme="minorHAnsi"/>
                <w:sz w:val="20"/>
                <w:szCs w:val="20"/>
                <w:lang w:val="en-US"/>
              </w:rPr>
              <w:t>28 months – 3 years</w:t>
            </w:r>
          </w:p>
        </w:tc>
        <w:tc>
          <w:tcPr>
            <w:tcW w:w="850" w:type="dxa"/>
            <w:tcBorders>
              <w:top w:val="single" w:sz="4" w:space="0" w:color="auto"/>
              <w:left w:val="single" w:sz="4" w:space="0" w:color="auto"/>
              <w:bottom w:val="single" w:sz="4" w:space="0" w:color="auto"/>
              <w:right w:val="single" w:sz="4" w:space="0" w:color="auto"/>
            </w:tcBorders>
            <w:hideMark/>
          </w:tcPr>
          <w:p w14:paraId="5399FDD2" w14:textId="77777777" w:rsidR="00836512" w:rsidRDefault="00836512">
            <w:pPr>
              <w:jc w:val="center"/>
              <w:rPr>
                <w:rFonts w:eastAsiaTheme="minorHAnsi"/>
                <w:sz w:val="20"/>
                <w:szCs w:val="20"/>
                <w:lang w:val="en-US"/>
              </w:rPr>
            </w:pPr>
            <w:r>
              <w:rPr>
                <w:rFonts w:eastAsiaTheme="minorHAnsi"/>
                <w:sz w:val="20"/>
                <w:szCs w:val="20"/>
                <w:lang w:val="en-US"/>
              </w:rPr>
              <w:t>3 - 4 years</w:t>
            </w:r>
          </w:p>
        </w:tc>
      </w:tr>
      <w:tr w:rsidR="00836512" w14:paraId="044453E5" w14:textId="77777777" w:rsidTr="0083456F">
        <w:trPr>
          <w:trHeight w:val="321"/>
        </w:trPr>
        <w:tc>
          <w:tcPr>
            <w:tcW w:w="994" w:type="dxa"/>
            <w:vMerge w:val="restart"/>
            <w:tcBorders>
              <w:top w:val="single" w:sz="4" w:space="0" w:color="auto"/>
              <w:left w:val="single" w:sz="4" w:space="0" w:color="auto"/>
              <w:bottom w:val="single" w:sz="4" w:space="0" w:color="auto"/>
              <w:right w:val="single" w:sz="4" w:space="0" w:color="auto"/>
            </w:tcBorders>
            <w:hideMark/>
          </w:tcPr>
          <w:p w14:paraId="278C15B1" w14:textId="77777777" w:rsidR="00836512" w:rsidRDefault="00836512">
            <w:pPr>
              <w:jc w:val="center"/>
              <w:rPr>
                <w:rFonts w:eastAsiaTheme="minorHAnsi"/>
                <w:sz w:val="20"/>
                <w:szCs w:val="20"/>
                <w:lang w:val="en-US"/>
              </w:rPr>
            </w:pPr>
            <w:r>
              <w:rPr>
                <w:rFonts w:eastAsiaTheme="minorHAnsi"/>
                <w:sz w:val="20"/>
                <w:szCs w:val="20"/>
                <w:lang w:val="en-US"/>
              </w:rPr>
              <w:t>Non – Survivors (n=6)</w:t>
            </w:r>
          </w:p>
        </w:tc>
        <w:tc>
          <w:tcPr>
            <w:tcW w:w="959" w:type="dxa"/>
            <w:tcBorders>
              <w:top w:val="single" w:sz="4" w:space="0" w:color="auto"/>
              <w:left w:val="single" w:sz="4" w:space="0" w:color="auto"/>
              <w:bottom w:val="single" w:sz="4" w:space="0" w:color="auto"/>
              <w:right w:val="single" w:sz="4" w:space="0" w:color="auto"/>
            </w:tcBorders>
            <w:hideMark/>
          </w:tcPr>
          <w:p w14:paraId="4428FE4B" w14:textId="77777777" w:rsidR="00836512" w:rsidRDefault="00836512">
            <w:pPr>
              <w:jc w:val="center"/>
              <w:rPr>
                <w:rFonts w:eastAsiaTheme="minorHAnsi"/>
                <w:sz w:val="20"/>
                <w:szCs w:val="20"/>
                <w:lang w:val="en-US"/>
              </w:rPr>
            </w:pPr>
            <w:r>
              <w:rPr>
                <w:rFonts w:eastAsiaTheme="minorHAnsi"/>
                <w:sz w:val="20"/>
                <w:szCs w:val="20"/>
                <w:lang w:val="en-US"/>
              </w:rPr>
              <w:t xml:space="preserve">Mean </w:t>
            </w:r>
            <w:r>
              <w:rPr>
                <w:rFonts w:eastAsiaTheme="minorHAnsi"/>
                <w:sz w:val="20"/>
                <w:szCs w:val="20"/>
                <w:lang w:val="en-US"/>
              </w:rPr>
              <w:sym w:font="Symbol" w:char="F064"/>
            </w:r>
            <w:r>
              <w:rPr>
                <w:rFonts w:eastAsiaTheme="minorHAnsi"/>
                <w:sz w:val="20"/>
                <w:szCs w:val="20"/>
                <w:vertAlign w:val="superscript"/>
                <w:lang w:val="en-US"/>
              </w:rPr>
              <w:t>15</w:t>
            </w:r>
            <w:r>
              <w:rPr>
                <w:rFonts w:eastAsiaTheme="minorHAnsi"/>
                <w:sz w:val="20"/>
                <w:szCs w:val="20"/>
                <w:lang w:val="en-US"/>
              </w:rPr>
              <w:t>N</w:t>
            </w:r>
          </w:p>
        </w:tc>
        <w:tc>
          <w:tcPr>
            <w:tcW w:w="1166" w:type="dxa"/>
            <w:tcBorders>
              <w:top w:val="single" w:sz="4" w:space="0" w:color="auto"/>
              <w:left w:val="single" w:sz="4" w:space="0" w:color="auto"/>
              <w:bottom w:val="single" w:sz="4" w:space="0" w:color="auto"/>
              <w:right w:val="single" w:sz="4" w:space="0" w:color="auto"/>
            </w:tcBorders>
            <w:hideMark/>
          </w:tcPr>
          <w:p w14:paraId="73B058A9" w14:textId="77777777" w:rsidR="00836512" w:rsidRDefault="00836512">
            <w:pPr>
              <w:jc w:val="center"/>
              <w:rPr>
                <w:rFonts w:eastAsiaTheme="minorHAnsi"/>
                <w:sz w:val="20"/>
                <w:szCs w:val="20"/>
                <w:lang w:val="en-US"/>
              </w:rPr>
            </w:pPr>
            <w:r>
              <w:rPr>
                <w:rFonts w:eastAsiaTheme="minorHAnsi"/>
                <w:sz w:val="20"/>
                <w:szCs w:val="20"/>
                <w:lang w:val="en-US"/>
              </w:rPr>
              <w:t>14.5</w:t>
            </w:r>
          </w:p>
          <w:p w14:paraId="4F464E4B" w14:textId="77777777" w:rsidR="00836512" w:rsidRDefault="00836512">
            <w:pPr>
              <w:jc w:val="center"/>
              <w:rPr>
                <w:rFonts w:eastAsiaTheme="minorHAnsi"/>
                <w:sz w:val="20"/>
                <w:szCs w:val="20"/>
                <w:lang w:val="en-US"/>
              </w:rPr>
            </w:pPr>
            <w:r>
              <w:rPr>
                <w:rFonts w:eastAsiaTheme="minorHAnsi"/>
                <w:sz w:val="20"/>
                <w:szCs w:val="20"/>
                <w:lang w:val="en-US"/>
              </w:rPr>
              <w:t>(n=4)</w:t>
            </w:r>
          </w:p>
        </w:tc>
        <w:tc>
          <w:tcPr>
            <w:tcW w:w="1071" w:type="dxa"/>
            <w:tcBorders>
              <w:top w:val="single" w:sz="4" w:space="0" w:color="auto"/>
              <w:left w:val="single" w:sz="4" w:space="0" w:color="auto"/>
              <w:bottom w:val="single" w:sz="4" w:space="0" w:color="auto"/>
              <w:right w:val="single" w:sz="4" w:space="0" w:color="auto"/>
            </w:tcBorders>
            <w:hideMark/>
          </w:tcPr>
          <w:p w14:paraId="573679AC" w14:textId="77777777" w:rsidR="00836512" w:rsidRDefault="00836512">
            <w:pPr>
              <w:jc w:val="center"/>
              <w:rPr>
                <w:rFonts w:eastAsiaTheme="minorHAnsi"/>
                <w:sz w:val="20"/>
                <w:szCs w:val="20"/>
                <w:lang w:val="en-US"/>
              </w:rPr>
            </w:pPr>
            <w:r>
              <w:rPr>
                <w:rFonts w:eastAsiaTheme="minorHAnsi"/>
                <w:sz w:val="20"/>
                <w:szCs w:val="20"/>
                <w:lang w:val="en-US"/>
              </w:rPr>
              <w:t>13.5</w:t>
            </w:r>
          </w:p>
          <w:p w14:paraId="5FE6A0F0" w14:textId="77777777" w:rsidR="00836512" w:rsidRDefault="00836512">
            <w:pPr>
              <w:jc w:val="center"/>
              <w:rPr>
                <w:rFonts w:eastAsiaTheme="minorHAnsi"/>
                <w:sz w:val="20"/>
                <w:szCs w:val="20"/>
                <w:lang w:val="en-US"/>
              </w:rPr>
            </w:pPr>
            <w:r>
              <w:rPr>
                <w:rFonts w:eastAsiaTheme="minorHAnsi"/>
                <w:sz w:val="20"/>
                <w:szCs w:val="20"/>
                <w:lang w:val="en-US"/>
              </w:rPr>
              <w:t>(n=6)</w:t>
            </w:r>
          </w:p>
        </w:tc>
        <w:tc>
          <w:tcPr>
            <w:tcW w:w="1197" w:type="dxa"/>
            <w:tcBorders>
              <w:top w:val="single" w:sz="4" w:space="0" w:color="auto"/>
              <w:left w:val="single" w:sz="4" w:space="0" w:color="auto"/>
              <w:bottom w:val="single" w:sz="4" w:space="0" w:color="auto"/>
              <w:right w:val="single" w:sz="4" w:space="0" w:color="auto"/>
            </w:tcBorders>
            <w:hideMark/>
          </w:tcPr>
          <w:p w14:paraId="2DB8EEC8" w14:textId="77777777" w:rsidR="00836512" w:rsidRDefault="00836512">
            <w:pPr>
              <w:jc w:val="center"/>
              <w:rPr>
                <w:rFonts w:eastAsiaTheme="minorHAnsi"/>
                <w:sz w:val="20"/>
                <w:szCs w:val="20"/>
                <w:lang w:val="en-US"/>
              </w:rPr>
            </w:pPr>
            <w:r>
              <w:rPr>
                <w:rFonts w:eastAsiaTheme="minorHAnsi"/>
                <w:sz w:val="20"/>
                <w:szCs w:val="20"/>
                <w:lang w:val="en-US"/>
              </w:rPr>
              <w:t>12.2</w:t>
            </w:r>
          </w:p>
          <w:p w14:paraId="2AAD2F19" w14:textId="77777777" w:rsidR="00836512" w:rsidRDefault="00836512">
            <w:pPr>
              <w:jc w:val="center"/>
              <w:rPr>
                <w:rFonts w:eastAsiaTheme="minorHAnsi"/>
                <w:sz w:val="20"/>
                <w:szCs w:val="20"/>
                <w:lang w:val="en-US"/>
              </w:rPr>
            </w:pPr>
            <w:r>
              <w:rPr>
                <w:rFonts w:eastAsiaTheme="minorHAnsi"/>
                <w:sz w:val="20"/>
                <w:szCs w:val="20"/>
                <w:lang w:val="en-US"/>
              </w:rPr>
              <w:t>(n=6)</w:t>
            </w:r>
          </w:p>
        </w:tc>
        <w:tc>
          <w:tcPr>
            <w:tcW w:w="1134" w:type="dxa"/>
            <w:tcBorders>
              <w:top w:val="single" w:sz="4" w:space="0" w:color="auto"/>
              <w:left w:val="single" w:sz="4" w:space="0" w:color="auto"/>
              <w:bottom w:val="single" w:sz="4" w:space="0" w:color="auto"/>
              <w:right w:val="single" w:sz="4" w:space="0" w:color="auto"/>
            </w:tcBorders>
            <w:hideMark/>
          </w:tcPr>
          <w:p w14:paraId="50F48DA6" w14:textId="77777777" w:rsidR="00836512" w:rsidRDefault="00836512">
            <w:pPr>
              <w:jc w:val="center"/>
              <w:rPr>
                <w:rFonts w:eastAsiaTheme="minorHAnsi"/>
                <w:sz w:val="20"/>
                <w:szCs w:val="20"/>
                <w:lang w:val="en-US"/>
              </w:rPr>
            </w:pPr>
            <w:r>
              <w:rPr>
                <w:rFonts w:eastAsiaTheme="minorHAnsi"/>
                <w:sz w:val="20"/>
                <w:szCs w:val="20"/>
                <w:lang w:val="en-US"/>
              </w:rPr>
              <w:t>12.4</w:t>
            </w:r>
          </w:p>
          <w:p w14:paraId="50EB02A7" w14:textId="77777777" w:rsidR="00836512" w:rsidRDefault="00836512">
            <w:pPr>
              <w:jc w:val="center"/>
              <w:rPr>
                <w:rFonts w:eastAsiaTheme="minorHAnsi"/>
                <w:sz w:val="20"/>
                <w:szCs w:val="20"/>
                <w:lang w:val="en-US"/>
              </w:rPr>
            </w:pPr>
            <w:r>
              <w:rPr>
                <w:rFonts w:eastAsiaTheme="minorHAnsi"/>
                <w:sz w:val="20"/>
                <w:szCs w:val="20"/>
                <w:lang w:val="en-US"/>
              </w:rPr>
              <w:t>(n=4)</w:t>
            </w:r>
          </w:p>
        </w:tc>
        <w:tc>
          <w:tcPr>
            <w:tcW w:w="1276" w:type="dxa"/>
            <w:tcBorders>
              <w:top w:val="single" w:sz="4" w:space="0" w:color="auto"/>
              <w:left w:val="single" w:sz="4" w:space="0" w:color="auto"/>
              <w:bottom w:val="single" w:sz="4" w:space="0" w:color="auto"/>
              <w:right w:val="single" w:sz="4" w:space="0" w:color="auto"/>
            </w:tcBorders>
            <w:hideMark/>
          </w:tcPr>
          <w:p w14:paraId="62D1A957" w14:textId="77777777" w:rsidR="00836512" w:rsidRDefault="00836512">
            <w:pPr>
              <w:jc w:val="center"/>
              <w:rPr>
                <w:rFonts w:eastAsiaTheme="minorHAnsi"/>
                <w:sz w:val="20"/>
                <w:szCs w:val="20"/>
                <w:lang w:val="en-US"/>
              </w:rPr>
            </w:pPr>
            <w:r>
              <w:rPr>
                <w:rFonts w:eastAsiaTheme="minorHAnsi"/>
                <w:sz w:val="20"/>
                <w:szCs w:val="20"/>
                <w:lang w:val="en-US"/>
              </w:rPr>
              <w:t>11.4</w:t>
            </w:r>
          </w:p>
          <w:p w14:paraId="205A654B" w14:textId="77777777" w:rsidR="00836512" w:rsidRDefault="00836512">
            <w:pPr>
              <w:jc w:val="center"/>
              <w:rPr>
                <w:rFonts w:eastAsiaTheme="minorHAnsi"/>
                <w:sz w:val="20"/>
                <w:szCs w:val="20"/>
                <w:lang w:val="en-US"/>
              </w:rPr>
            </w:pPr>
            <w:r>
              <w:rPr>
                <w:rFonts w:eastAsiaTheme="minorHAnsi"/>
                <w:sz w:val="20"/>
                <w:szCs w:val="20"/>
                <w:lang w:val="en-US"/>
              </w:rPr>
              <w:t>(n=4)</w:t>
            </w:r>
          </w:p>
        </w:tc>
        <w:tc>
          <w:tcPr>
            <w:tcW w:w="850" w:type="dxa"/>
            <w:tcBorders>
              <w:top w:val="single" w:sz="4" w:space="0" w:color="auto"/>
              <w:left w:val="single" w:sz="4" w:space="0" w:color="auto"/>
              <w:bottom w:val="single" w:sz="4" w:space="0" w:color="auto"/>
              <w:right w:val="single" w:sz="4" w:space="0" w:color="auto"/>
            </w:tcBorders>
            <w:hideMark/>
          </w:tcPr>
          <w:p w14:paraId="46ECBD4C" w14:textId="77777777" w:rsidR="00836512" w:rsidRDefault="00836512">
            <w:pPr>
              <w:jc w:val="center"/>
              <w:rPr>
                <w:rFonts w:eastAsiaTheme="minorHAnsi"/>
                <w:sz w:val="20"/>
                <w:szCs w:val="20"/>
                <w:lang w:val="en-US"/>
              </w:rPr>
            </w:pPr>
            <w:r>
              <w:rPr>
                <w:rFonts w:eastAsiaTheme="minorHAnsi"/>
                <w:sz w:val="20"/>
                <w:szCs w:val="20"/>
                <w:lang w:val="en-US"/>
              </w:rPr>
              <w:t>11.5</w:t>
            </w:r>
          </w:p>
          <w:p w14:paraId="0326D84A" w14:textId="77777777" w:rsidR="00836512" w:rsidRDefault="00836512">
            <w:pPr>
              <w:jc w:val="center"/>
              <w:rPr>
                <w:rFonts w:eastAsiaTheme="minorHAnsi"/>
                <w:sz w:val="20"/>
                <w:szCs w:val="20"/>
                <w:lang w:val="en-US"/>
              </w:rPr>
            </w:pPr>
            <w:r>
              <w:rPr>
                <w:rFonts w:eastAsiaTheme="minorHAnsi"/>
                <w:sz w:val="20"/>
                <w:szCs w:val="20"/>
                <w:lang w:val="en-US"/>
              </w:rPr>
              <w:t>(n=3)</w:t>
            </w:r>
          </w:p>
        </w:tc>
      </w:tr>
      <w:tr w:rsidR="00836512" w14:paraId="22BE94A1" w14:textId="77777777" w:rsidTr="0083456F">
        <w:trPr>
          <w:trHeight w:val="225"/>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C5336D5" w14:textId="77777777" w:rsidR="00836512" w:rsidRDefault="00836512">
            <w:pPr>
              <w:rPr>
                <w:rFonts w:eastAsiaTheme="minorHAnsi"/>
                <w:sz w:val="20"/>
                <w:szCs w:val="20"/>
                <w:lang w:val="en-US"/>
              </w:rPr>
            </w:pPr>
          </w:p>
        </w:tc>
        <w:tc>
          <w:tcPr>
            <w:tcW w:w="959" w:type="dxa"/>
            <w:tcBorders>
              <w:top w:val="single" w:sz="4" w:space="0" w:color="auto"/>
              <w:left w:val="single" w:sz="4" w:space="0" w:color="auto"/>
              <w:bottom w:val="single" w:sz="4" w:space="0" w:color="auto"/>
              <w:right w:val="single" w:sz="4" w:space="0" w:color="auto"/>
            </w:tcBorders>
            <w:hideMark/>
          </w:tcPr>
          <w:p w14:paraId="2F6B7485" w14:textId="77777777" w:rsidR="00836512" w:rsidRDefault="00836512">
            <w:pPr>
              <w:jc w:val="center"/>
              <w:rPr>
                <w:rFonts w:eastAsiaTheme="minorHAnsi"/>
                <w:sz w:val="20"/>
                <w:szCs w:val="20"/>
                <w:lang w:val="en-US"/>
              </w:rPr>
            </w:pPr>
            <w:r>
              <w:rPr>
                <w:rFonts w:eastAsiaTheme="minorHAnsi"/>
                <w:sz w:val="20"/>
                <w:szCs w:val="20"/>
                <w:lang w:val="en-US"/>
              </w:rPr>
              <w:t xml:space="preserve">Mean </w:t>
            </w:r>
            <w:r>
              <w:rPr>
                <w:rFonts w:eastAsiaTheme="minorHAnsi"/>
                <w:sz w:val="20"/>
                <w:szCs w:val="20"/>
                <w:lang w:val="en-US"/>
              </w:rPr>
              <w:sym w:font="Symbol" w:char="F064"/>
            </w:r>
            <w:r>
              <w:rPr>
                <w:rFonts w:eastAsiaTheme="minorHAnsi"/>
                <w:sz w:val="20"/>
                <w:szCs w:val="20"/>
                <w:vertAlign w:val="superscript"/>
                <w:lang w:val="en-US"/>
              </w:rPr>
              <w:t>13</w:t>
            </w:r>
            <w:r>
              <w:rPr>
                <w:rFonts w:eastAsiaTheme="minorHAnsi"/>
                <w:sz w:val="20"/>
                <w:szCs w:val="20"/>
                <w:lang w:val="en-US"/>
              </w:rPr>
              <w:t>C</w:t>
            </w:r>
          </w:p>
        </w:tc>
        <w:tc>
          <w:tcPr>
            <w:tcW w:w="1166" w:type="dxa"/>
            <w:tcBorders>
              <w:top w:val="single" w:sz="4" w:space="0" w:color="auto"/>
              <w:left w:val="single" w:sz="4" w:space="0" w:color="auto"/>
              <w:bottom w:val="single" w:sz="4" w:space="0" w:color="auto"/>
              <w:right w:val="single" w:sz="4" w:space="0" w:color="auto"/>
            </w:tcBorders>
            <w:hideMark/>
          </w:tcPr>
          <w:p w14:paraId="4861D321" w14:textId="77777777" w:rsidR="00836512" w:rsidRDefault="00836512">
            <w:pPr>
              <w:jc w:val="center"/>
              <w:rPr>
                <w:rFonts w:eastAsiaTheme="minorHAnsi"/>
                <w:sz w:val="20"/>
                <w:szCs w:val="20"/>
                <w:lang w:val="en-US"/>
              </w:rPr>
            </w:pPr>
            <w:r>
              <w:rPr>
                <w:rFonts w:eastAsiaTheme="minorHAnsi"/>
                <w:sz w:val="20"/>
                <w:szCs w:val="20"/>
                <w:lang w:val="en-US"/>
              </w:rPr>
              <w:t>-18.4</w:t>
            </w:r>
          </w:p>
          <w:p w14:paraId="6BED7765" w14:textId="77777777" w:rsidR="00836512" w:rsidRDefault="00836512">
            <w:pPr>
              <w:jc w:val="center"/>
              <w:rPr>
                <w:rFonts w:eastAsiaTheme="minorHAnsi"/>
                <w:sz w:val="20"/>
                <w:szCs w:val="20"/>
                <w:lang w:val="en-US"/>
              </w:rPr>
            </w:pPr>
            <w:r>
              <w:rPr>
                <w:rFonts w:eastAsiaTheme="minorHAnsi"/>
                <w:sz w:val="20"/>
                <w:szCs w:val="20"/>
                <w:lang w:val="en-US"/>
              </w:rPr>
              <w:t>(n=4)</w:t>
            </w:r>
          </w:p>
        </w:tc>
        <w:tc>
          <w:tcPr>
            <w:tcW w:w="1071" w:type="dxa"/>
            <w:tcBorders>
              <w:top w:val="single" w:sz="4" w:space="0" w:color="auto"/>
              <w:left w:val="single" w:sz="4" w:space="0" w:color="auto"/>
              <w:bottom w:val="single" w:sz="4" w:space="0" w:color="auto"/>
              <w:right w:val="single" w:sz="4" w:space="0" w:color="auto"/>
            </w:tcBorders>
            <w:hideMark/>
          </w:tcPr>
          <w:p w14:paraId="100A58CD" w14:textId="77777777" w:rsidR="00836512" w:rsidRDefault="00836512">
            <w:pPr>
              <w:jc w:val="center"/>
              <w:rPr>
                <w:rFonts w:eastAsiaTheme="minorHAnsi"/>
                <w:sz w:val="20"/>
                <w:szCs w:val="20"/>
                <w:lang w:val="en-US"/>
              </w:rPr>
            </w:pPr>
            <w:r>
              <w:rPr>
                <w:rFonts w:eastAsiaTheme="minorHAnsi"/>
                <w:sz w:val="20"/>
                <w:szCs w:val="20"/>
                <w:lang w:val="en-US"/>
              </w:rPr>
              <w:t>-18.6</w:t>
            </w:r>
          </w:p>
          <w:p w14:paraId="77FD74BB" w14:textId="77777777" w:rsidR="00836512" w:rsidRDefault="00836512">
            <w:pPr>
              <w:jc w:val="center"/>
              <w:rPr>
                <w:rFonts w:eastAsiaTheme="minorHAnsi"/>
                <w:sz w:val="20"/>
                <w:szCs w:val="20"/>
                <w:lang w:val="en-US"/>
              </w:rPr>
            </w:pPr>
            <w:r>
              <w:rPr>
                <w:rFonts w:eastAsiaTheme="minorHAnsi"/>
                <w:sz w:val="20"/>
                <w:szCs w:val="20"/>
                <w:lang w:val="en-US"/>
              </w:rPr>
              <w:t>(n=6)</w:t>
            </w:r>
          </w:p>
        </w:tc>
        <w:tc>
          <w:tcPr>
            <w:tcW w:w="1197" w:type="dxa"/>
            <w:tcBorders>
              <w:top w:val="single" w:sz="4" w:space="0" w:color="auto"/>
              <w:left w:val="single" w:sz="4" w:space="0" w:color="auto"/>
              <w:bottom w:val="single" w:sz="4" w:space="0" w:color="auto"/>
              <w:right w:val="single" w:sz="4" w:space="0" w:color="auto"/>
            </w:tcBorders>
            <w:hideMark/>
          </w:tcPr>
          <w:p w14:paraId="517415FB" w14:textId="77777777" w:rsidR="00836512" w:rsidRDefault="00836512">
            <w:pPr>
              <w:jc w:val="center"/>
              <w:rPr>
                <w:rFonts w:eastAsiaTheme="minorHAnsi"/>
                <w:sz w:val="20"/>
                <w:szCs w:val="20"/>
                <w:lang w:val="en-US"/>
              </w:rPr>
            </w:pPr>
            <w:r>
              <w:rPr>
                <w:rFonts w:eastAsiaTheme="minorHAnsi"/>
                <w:sz w:val="20"/>
                <w:szCs w:val="20"/>
                <w:lang w:val="en-US"/>
              </w:rPr>
              <w:t>-19.2</w:t>
            </w:r>
          </w:p>
          <w:p w14:paraId="6D7C1553" w14:textId="77777777" w:rsidR="00836512" w:rsidRDefault="00836512">
            <w:pPr>
              <w:jc w:val="center"/>
              <w:rPr>
                <w:rFonts w:eastAsiaTheme="minorHAnsi"/>
                <w:sz w:val="20"/>
                <w:szCs w:val="20"/>
                <w:lang w:val="en-US"/>
              </w:rPr>
            </w:pPr>
            <w:r>
              <w:rPr>
                <w:rFonts w:eastAsiaTheme="minorHAnsi"/>
                <w:sz w:val="20"/>
                <w:szCs w:val="20"/>
                <w:lang w:val="en-US"/>
              </w:rPr>
              <w:t>(n=6)</w:t>
            </w:r>
          </w:p>
        </w:tc>
        <w:tc>
          <w:tcPr>
            <w:tcW w:w="1134" w:type="dxa"/>
            <w:tcBorders>
              <w:top w:val="single" w:sz="4" w:space="0" w:color="auto"/>
              <w:left w:val="single" w:sz="4" w:space="0" w:color="auto"/>
              <w:bottom w:val="single" w:sz="4" w:space="0" w:color="auto"/>
              <w:right w:val="single" w:sz="4" w:space="0" w:color="auto"/>
            </w:tcBorders>
            <w:hideMark/>
          </w:tcPr>
          <w:p w14:paraId="4C4AF482" w14:textId="77777777" w:rsidR="00836512" w:rsidRDefault="00836512">
            <w:pPr>
              <w:jc w:val="center"/>
              <w:rPr>
                <w:rFonts w:eastAsiaTheme="minorHAnsi"/>
                <w:sz w:val="20"/>
                <w:szCs w:val="20"/>
                <w:lang w:val="en-US"/>
              </w:rPr>
            </w:pPr>
            <w:r>
              <w:rPr>
                <w:rFonts w:eastAsiaTheme="minorHAnsi"/>
                <w:sz w:val="20"/>
                <w:szCs w:val="20"/>
                <w:lang w:val="en-US"/>
              </w:rPr>
              <w:t>-19.0</w:t>
            </w:r>
          </w:p>
          <w:p w14:paraId="7292F3AB" w14:textId="77777777" w:rsidR="00836512" w:rsidRDefault="00836512">
            <w:pPr>
              <w:jc w:val="center"/>
              <w:rPr>
                <w:rFonts w:eastAsiaTheme="minorHAnsi"/>
                <w:sz w:val="20"/>
                <w:szCs w:val="20"/>
                <w:lang w:val="en-US"/>
              </w:rPr>
            </w:pPr>
            <w:r>
              <w:rPr>
                <w:rFonts w:eastAsiaTheme="minorHAnsi"/>
                <w:sz w:val="20"/>
                <w:szCs w:val="20"/>
                <w:lang w:val="en-US"/>
              </w:rPr>
              <w:t>(n=4)</w:t>
            </w:r>
          </w:p>
        </w:tc>
        <w:tc>
          <w:tcPr>
            <w:tcW w:w="1276" w:type="dxa"/>
            <w:tcBorders>
              <w:top w:val="single" w:sz="4" w:space="0" w:color="auto"/>
              <w:left w:val="single" w:sz="4" w:space="0" w:color="auto"/>
              <w:bottom w:val="single" w:sz="4" w:space="0" w:color="auto"/>
              <w:right w:val="single" w:sz="4" w:space="0" w:color="auto"/>
            </w:tcBorders>
            <w:hideMark/>
          </w:tcPr>
          <w:p w14:paraId="0A9ADC2A" w14:textId="77777777" w:rsidR="00836512" w:rsidRDefault="00836512">
            <w:pPr>
              <w:jc w:val="center"/>
              <w:rPr>
                <w:rFonts w:eastAsiaTheme="minorHAnsi"/>
                <w:sz w:val="20"/>
                <w:szCs w:val="20"/>
                <w:lang w:val="en-US"/>
              </w:rPr>
            </w:pPr>
            <w:r>
              <w:rPr>
                <w:rFonts w:eastAsiaTheme="minorHAnsi"/>
                <w:sz w:val="20"/>
                <w:szCs w:val="20"/>
                <w:lang w:val="en-US"/>
              </w:rPr>
              <w:t>-19.3</w:t>
            </w:r>
          </w:p>
          <w:p w14:paraId="71FCE03E" w14:textId="77777777" w:rsidR="00836512" w:rsidRDefault="00836512">
            <w:pPr>
              <w:jc w:val="center"/>
              <w:rPr>
                <w:rFonts w:eastAsiaTheme="minorHAnsi"/>
                <w:sz w:val="20"/>
                <w:szCs w:val="20"/>
                <w:lang w:val="en-US"/>
              </w:rPr>
            </w:pPr>
            <w:r>
              <w:rPr>
                <w:rFonts w:eastAsiaTheme="minorHAnsi"/>
                <w:sz w:val="20"/>
                <w:szCs w:val="20"/>
                <w:lang w:val="en-US"/>
              </w:rPr>
              <w:t>(n=4)</w:t>
            </w:r>
          </w:p>
        </w:tc>
        <w:tc>
          <w:tcPr>
            <w:tcW w:w="850" w:type="dxa"/>
            <w:tcBorders>
              <w:top w:val="single" w:sz="4" w:space="0" w:color="auto"/>
              <w:left w:val="single" w:sz="4" w:space="0" w:color="auto"/>
              <w:bottom w:val="single" w:sz="4" w:space="0" w:color="auto"/>
              <w:right w:val="single" w:sz="4" w:space="0" w:color="auto"/>
            </w:tcBorders>
            <w:hideMark/>
          </w:tcPr>
          <w:p w14:paraId="0D339214" w14:textId="77777777" w:rsidR="00836512" w:rsidRDefault="00836512">
            <w:pPr>
              <w:jc w:val="center"/>
              <w:rPr>
                <w:rFonts w:eastAsiaTheme="minorHAnsi"/>
                <w:sz w:val="20"/>
                <w:szCs w:val="20"/>
                <w:lang w:val="en-US"/>
              </w:rPr>
            </w:pPr>
            <w:r>
              <w:rPr>
                <w:rFonts w:eastAsiaTheme="minorHAnsi"/>
                <w:sz w:val="20"/>
                <w:szCs w:val="20"/>
                <w:lang w:val="en-US"/>
              </w:rPr>
              <w:t>-19.3</w:t>
            </w:r>
          </w:p>
          <w:p w14:paraId="0E77BDF2" w14:textId="77777777" w:rsidR="00836512" w:rsidRDefault="00836512">
            <w:pPr>
              <w:ind w:right="-33"/>
              <w:jc w:val="center"/>
              <w:rPr>
                <w:rFonts w:eastAsiaTheme="minorHAnsi"/>
                <w:sz w:val="20"/>
                <w:szCs w:val="20"/>
                <w:lang w:val="en-US"/>
              </w:rPr>
            </w:pPr>
            <w:r>
              <w:rPr>
                <w:rFonts w:eastAsiaTheme="minorHAnsi"/>
                <w:sz w:val="20"/>
                <w:szCs w:val="20"/>
                <w:lang w:val="en-US"/>
              </w:rPr>
              <w:t>(n=3)</w:t>
            </w:r>
          </w:p>
        </w:tc>
      </w:tr>
      <w:tr w:rsidR="00836512" w14:paraId="1F3D4DDE" w14:textId="77777777" w:rsidTr="0083456F">
        <w:trPr>
          <w:trHeight w:val="71"/>
        </w:trPr>
        <w:tc>
          <w:tcPr>
            <w:tcW w:w="994" w:type="dxa"/>
            <w:vMerge w:val="restart"/>
            <w:tcBorders>
              <w:top w:val="single" w:sz="4" w:space="0" w:color="auto"/>
              <w:left w:val="single" w:sz="4" w:space="0" w:color="auto"/>
              <w:bottom w:val="single" w:sz="4" w:space="0" w:color="auto"/>
              <w:right w:val="single" w:sz="4" w:space="0" w:color="auto"/>
            </w:tcBorders>
            <w:hideMark/>
          </w:tcPr>
          <w:p w14:paraId="0458A24F" w14:textId="77777777" w:rsidR="00836512" w:rsidRDefault="00836512">
            <w:pPr>
              <w:jc w:val="center"/>
              <w:rPr>
                <w:rFonts w:eastAsiaTheme="minorHAnsi"/>
                <w:sz w:val="20"/>
                <w:szCs w:val="20"/>
                <w:lang w:val="en-US"/>
              </w:rPr>
            </w:pPr>
            <w:r>
              <w:rPr>
                <w:rFonts w:eastAsiaTheme="minorHAnsi"/>
                <w:sz w:val="20"/>
                <w:szCs w:val="20"/>
                <w:lang w:val="en-US"/>
              </w:rPr>
              <w:t>Survivors</w:t>
            </w:r>
          </w:p>
          <w:p w14:paraId="57575E8E" w14:textId="77777777" w:rsidR="00836512" w:rsidRDefault="00836512">
            <w:pPr>
              <w:jc w:val="center"/>
              <w:rPr>
                <w:rFonts w:eastAsiaTheme="minorHAnsi"/>
                <w:sz w:val="20"/>
                <w:szCs w:val="20"/>
                <w:lang w:val="en-US"/>
              </w:rPr>
            </w:pPr>
            <w:r>
              <w:rPr>
                <w:rFonts w:eastAsiaTheme="minorHAnsi"/>
                <w:sz w:val="20"/>
                <w:szCs w:val="20"/>
                <w:lang w:val="en-US"/>
              </w:rPr>
              <w:t>(n=15)</w:t>
            </w:r>
          </w:p>
        </w:tc>
        <w:tc>
          <w:tcPr>
            <w:tcW w:w="959" w:type="dxa"/>
            <w:tcBorders>
              <w:top w:val="single" w:sz="4" w:space="0" w:color="auto"/>
              <w:left w:val="single" w:sz="4" w:space="0" w:color="auto"/>
              <w:bottom w:val="single" w:sz="4" w:space="0" w:color="auto"/>
              <w:right w:val="single" w:sz="4" w:space="0" w:color="auto"/>
            </w:tcBorders>
            <w:hideMark/>
          </w:tcPr>
          <w:p w14:paraId="4DD34DB8" w14:textId="77777777" w:rsidR="00836512" w:rsidRDefault="00836512">
            <w:pPr>
              <w:jc w:val="center"/>
              <w:rPr>
                <w:rFonts w:eastAsiaTheme="minorHAnsi"/>
                <w:sz w:val="20"/>
                <w:szCs w:val="20"/>
                <w:lang w:val="en-US"/>
              </w:rPr>
            </w:pPr>
            <w:r>
              <w:rPr>
                <w:rFonts w:eastAsiaTheme="minorHAnsi"/>
                <w:sz w:val="20"/>
                <w:szCs w:val="20"/>
                <w:lang w:val="en-US"/>
              </w:rPr>
              <w:t xml:space="preserve">Mean </w:t>
            </w:r>
            <w:r>
              <w:rPr>
                <w:rFonts w:eastAsiaTheme="minorHAnsi"/>
                <w:sz w:val="20"/>
                <w:szCs w:val="20"/>
                <w:lang w:val="en-US"/>
              </w:rPr>
              <w:sym w:font="Symbol" w:char="F064"/>
            </w:r>
            <w:r>
              <w:rPr>
                <w:rFonts w:eastAsiaTheme="minorHAnsi"/>
                <w:sz w:val="20"/>
                <w:szCs w:val="20"/>
                <w:vertAlign w:val="superscript"/>
                <w:lang w:val="en-US"/>
              </w:rPr>
              <w:t>15</w:t>
            </w:r>
            <w:r>
              <w:rPr>
                <w:rFonts w:eastAsiaTheme="minorHAnsi"/>
                <w:sz w:val="20"/>
                <w:szCs w:val="20"/>
                <w:lang w:val="en-US"/>
              </w:rPr>
              <w:t>N</w:t>
            </w:r>
          </w:p>
        </w:tc>
        <w:tc>
          <w:tcPr>
            <w:tcW w:w="1166" w:type="dxa"/>
            <w:tcBorders>
              <w:top w:val="single" w:sz="4" w:space="0" w:color="auto"/>
              <w:left w:val="single" w:sz="4" w:space="0" w:color="auto"/>
              <w:bottom w:val="single" w:sz="4" w:space="0" w:color="auto"/>
              <w:right w:val="single" w:sz="4" w:space="0" w:color="auto"/>
            </w:tcBorders>
            <w:hideMark/>
          </w:tcPr>
          <w:p w14:paraId="1ACF3C0D" w14:textId="77777777" w:rsidR="0083456F" w:rsidRDefault="00836512">
            <w:pPr>
              <w:jc w:val="center"/>
              <w:rPr>
                <w:rFonts w:eastAsiaTheme="minorHAnsi"/>
                <w:sz w:val="20"/>
                <w:szCs w:val="20"/>
                <w:lang w:val="en-US"/>
              </w:rPr>
            </w:pPr>
            <w:r>
              <w:rPr>
                <w:rFonts w:eastAsiaTheme="minorHAnsi"/>
                <w:sz w:val="20"/>
                <w:szCs w:val="20"/>
                <w:lang w:val="en-US"/>
              </w:rPr>
              <w:t xml:space="preserve">13.4 </w:t>
            </w:r>
          </w:p>
          <w:p w14:paraId="3E596768" w14:textId="443405CC" w:rsidR="00836512" w:rsidRDefault="00836512">
            <w:pPr>
              <w:jc w:val="center"/>
              <w:rPr>
                <w:rFonts w:eastAsiaTheme="minorHAnsi"/>
                <w:sz w:val="20"/>
                <w:szCs w:val="20"/>
                <w:lang w:val="en-US"/>
              </w:rPr>
            </w:pPr>
            <w:r>
              <w:rPr>
                <w:rFonts w:eastAsiaTheme="minorHAnsi"/>
                <w:sz w:val="20"/>
                <w:szCs w:val="20"/>
                <w:lang w:val="en-US"/>
              </w:rPr>
              <w:t>(n=3)</w:t>
            </w:r>
          </w:p>
        </w:tc>
        <w:tc>
          <w:tcPr>
            <w:tcW w:w="1071" w:type="dxa"/>
            <w:tcBorders>
              <w:top w:val="single" w:sz="4" w:space="0" w:color="auto"/>
              <w:left w:val="single" w:sz="4" w:space="0" w:color="auto"/>
              <w:bottom w:val="single" w:sz="4" w:space="0" w:color="auto"/>
              <w:right w:val="single" w:sz="4" w:space="0" w:color="auto"/>
            </w:tcBorders>
            <w:hideMark/>
          </w:tcPr>
          <w:p w14:paraId="06E0D946" w14:textId="77777777" w:rsidR="00836512" w:rsidRDefault="00836512">
            <w:pPr>
              <w:jc w:val="center"/>
              <w:rPr>
                <w:rFonts w:eastAsiaTheme="minorHAnsi"/>
                <w:sz w:val="20"/>
                <w:szCs w:val="20"/>
                <w:lang w:val="en-US"/>
              </w:rPr>
            </w:pPr>
            <w:r>
              <w:rPr>
                <w:rFonts w:eastAsiaTheme="minorHAnsi"/>
                <w:sz w:val="20"/>
                <w:szCs w:val="20"/>
                <w:lang w:val="en-US"/>
              </w:rPr>
              <w:t>10.0</w:t>
            </w:r>
          </w:p>
          <w:p w14:paraId="7AFC19C2" w14:textId="77777777" w:rsidR="00836512" w:rsidRDefault="00836512">
            <w:pPr>
              <w:jc w:val="center"/>
              <w:rPr>
                <w:rFonts w:eastAsiaTheme="minorHAnsi"/>
                <w:sz w:val="20"/>
                <w:szCs w:val="20"/>
                <w:lang w:val="en-US"/>
              </w:rPr>
            </w:pPr>
            <w:r>
              <w:rPr>
                <w:rFonts w:eastAsiaTheme="minorHAnsi"/>
                <w:sz w:val="20"/>
                <w:szCs w:val="20"/>
                <w:lang w:val="en-US"/>
              </w:rPr>
              <w:t>(n=1)</w:t>
            </w:r>
          </w:p>
        </w:tc>
        <w:tc>
          <w:tcPr>
            <w:tcW w:w="1197" w:type="dxa"/>
            <w:tcBorders>
              <w:top w:val="single" w:sz="4" w:space="0" w:color="auto"/>
              <w:left w:val="single" w:sz="4" w:space="0" w:color="auto"/>
              <w:bottom w:val="single" w:sz="4" w:space="0" w:color="auto"/>
              <w:right w:val="single" w:sz="4" w:space="0" w:color="auto"/>
            </w:tcBorders>
            <w:hideMark/>
          </w:tcPr>
          <w:p w14:paraId="347524AF" w14:textId="77777777" w:rsidR="00836512" w:rsidRDefault="00836512">
            <w:pPr>
              <w:jc w:val="center"/>
              <w:rPr>
                <w:rFonts w:eastAsiaTheme="minorHAnsi"/>
                <w:sz w:val="20"/>
                <w:szCs w:val="20"/>
                <w:lang w:val="en-US"/>
              </w:rPr>
            </w:pPr>
            <w:r>
              <w:rPr>
                <w:rFonts w:eastAsiaTheme="minorHAnsi"/>
                <w:sz w:val="20"/>
                <w:szCs w:val="20"/>
                <w:lang w:val="en-US"/>
              </w:rPr>
              <w:t>12.5</w:t>
            </w:r>
          </w:p>
          <w:p w14:paraId="0D0D1522"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1134" w:type="dxa"/>
            <w:tcBorders>
              <w:top w:val="single" w:sz="4" w:space="0" w:color="auto"/>
              <w:left w:val="single" w:sz="4" w:space="0" w:color="auto"/>
              <w:bottom w:val="single" w:sz="4" w:space="0" w:color="auto"/>
              <w:right w:val="single" w:sz="4" w:space="0" w:color="auto"/>
            </w:tcBorders>
            <w:hideMark/>
          </w:tcPr>
          <w:p w14:paraId="49F07EBC" w14:textId="77777777" w:rsidR="00836512" w:rsidRDefault="00836512">
            <w:pPr>
              <w:jc w:val="center"/>
              <w:rPr>
                <w:rFonts w:eastAsiaTheme="minorHAnsi"/>
                <w:sz w:val="20"/>
                <w:szCs w:val="20"/>
                <w:lang w:val="en-US"/>
              </w:rPr>
            </w:pPr>
            <w:r>
              <w:rPr>
                <w:rFonts w:eastAsiaTheme="minorHAnsi"/>
                <w:sz w:val="20"/>
                <w:szCs w:val="20"/>
                <w:lang w:val="en-US"/>
              </w:rPr>
              <w:t>12.2</w:t>
            </w:r>
          </w:p>
          <w:p w14:paraId="2A3AD3C8" w14:textId="77777777" w:rsidR="00836512" w:rsidRDefault="00836512">
            <w:pPr>
              <w:jc w:val="center"/>
              <w:rPr>
                <w:rFonts w:eastAsiaTheme="minorHAnsi"/>
                <w:sz w:val="20"/>
                <w:szCs w:val="20"/>
                <w:lang w:val="en-US"/>
              </w:rPr>
            </w:pPr>
            <w:r>
              <w:rPr>
                <w:rFonts w:eastAsiaTheme="minorHAnsi"/>
                <w:sz w:val="20"/>
                <w:szCs w:val="20"/>
                <w:lang w:val="en-US"/>
              </w:rPr>
              <w:t>(n=5)</w:t>
            </w:r>
          </w:p>
        </w:tc>
        <w:tc>
          <w:tcPr>
            <w:tcW w:w="1276" w:type="dxa"/>
            <w:tcBorders>
              <w:top w:val="single" w:sz="4" w:space="0" w:color="auto"/>
              <w:left w:val="single" w:sz="4" w:space="0" w:color="auto"/>
              <w:bottom w:val="single" w:sz="4" w:space="0" w:color="auto"/>
              <w:right w:val="single" w:sz="4" w:space="0" w:color="auto"/>
            </w:tcBorders>
            <w:hideMark/>
          </w:tcPr>
          <w:p w14:paraId="2DDB5F32" w14:textId="77777777" w:rsidR="00836512" w:rsidRDefault="00836512">
            <w:pPr>
              <w:jc w:val="center"/>
              <w:rPr>
                <w:rFonts w:eastAsiaTheme="minorHAnsi"/>
                <w:sz w:val="20"/>
                <w:szCs w:val="20"/>
                <w:lang w:val="en-US"/>
              </w:rPr>
            </w:pPr>
            <w:r>
              <w:rPr>
                <w:rFonts w:eastAsiaTheme="minorHAnsi"/>
                <w:sz w:val="20"/>
                <w:szCs w:val="20"/>
                <w:lang w:val="en-US"/>
              </w:rPr>
              <w:t>11.01</w:t>
            </w:r>
          </w:p>
          <w:p w14:paraId="53DFDC33" w14:textId="77777777" w:rsidR="00836512" w:rsidRDefault="00836512">
            <w:pPr>
              <w:jc w:val="center"/>
              <w:rPr>
                <w:rFonts w:eastAsiaTheme="minorHAnsi"/>
                <w:sz w:val="20"/>
                <w:szCs w:val="20"/>
                <w:lang w:val="en-US"/>
              </w:rPr>
            </w:pPr>
            <w:r>
              <w:rPr>
                <w:rFonts w:eastAsiaTheme="minorHAnsi"/>
                <w:sz w:val="20"/>
                <w:szCs w:val="20"/>
                <w:lang w:val="en-US"/>
              </w:rPr>
              <w:t>(n=10)</w:t>
            </w:r>
          </w:p>
        </w:tc>
        <w:tc>
          <w:tcPr>
            <w:tcW w:w="850" w:type="dxa"/>
            <w:tcBorders>
              <w:top w:val="single" w:sz="4" w:space="0" w:color="auto"/>
              <w:left w:val="single" w:sz="4" w:space="0" w:color="auto"/>
              <w:bottom w:val="single" w:sz="4" w:space="0" w:color="auto"/>
              <w:right w:val="single" w:sz="4" w:space="0" w:color="auto"/>
            </w:tcBorders>
            <w:hideMark/>
          </w:tcPr>
          <w:p w14:paraId="4E0F84F7" w14:textId="77777777" w:rsidR="00836512" w:rsidRDefault="00836512">
            <w:pPr>
              <w:jc w:val="center"/>
              <w:rPr>
                <w:rFonts w:eastAsiaTheme="minorHAnsi"/>
                <w:sz w:val="20"/>
                <w:szCs w:val="20"/>
                <w:lang w:val="en-US"/>
              </w:rPr>
            </w:pPr>
            <w:r>
              <w:rPr>
                <w:rFonts w:eastAsiaTheme="minorHAnsi"/>
                <w:sz w:val="20"/>
                <w:szCs w:val="20"/>
                <w:lang w:val="en-US"/>
              </w:rPr>
              <w:t>10.1</w:t>
            </w:r>
          </w:p>
          <w:p w14:paraId="446CDBE9" w14:textId="77777777" w:rsidR="00836512" w:rsidRDefault="00836512">
            <w:pPr>
              <w:jc w:val="center"/>
              <w:rPr>
                <w:rFonts w:eastAsiaTheme="minorHAnsi"/>
                <w:sz w:val="20"/>
                <w:szCs w:val="20"/>
                <w:lang w:val="en-US"/>
              </w:rPr>
            </w:pPr>
            <w:r>
              <w:rPr>
                <w:rFonts w:eastAsiaTheme="minorHAnsi"/>
                <w:sz w:val="20"/>
                <w:szCs w:val="20"/>
                <w:lang w:val="en-US"/>
              </w:rPr>
              <w:t>(n=9)</w:t>
            </w:r>
          </w:p>
        </w:tc>
      </w:tr>
      <w:tr w:rsidR="00836512" w14:paraId="25772A51" w14:textId="77777777" w:rsidTr="0083456F">
        <w:trPr>
          <w:trHeight w:val="70"/>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DE0F76C" w14:textId="77777777" w:rsidR="00836512" w:rsidRDefault="00836512">
            <w:pPr>
              <w:rPr>
                <w:rFonts w:eastAsiaTheme="minorHAnsi"/>
                <w:sz w:val="20"/>
                <w:szCs w:val="20"/>
                <w:lang w:val="en-US"/>
              </w:rPr>
            </w:pPr>
          </w:p>
        </w:tc>
        <w:tc>
          <w:tcPr>
            <w:tcW w:w="959" w:type="dxa"/>
            <w:tcBorders>
              <w:top w:val="single" w:sz="4" w:space="0" w:color="auto"/>
              <w:left w:val="single" w:sz="4" w:space="0" w:color="auto"/>
              <w:bottom w:val="single" w:sz="4" w:space="0" w:color="auto"/>
              <w:right w:val="single" w:sz="4" w:space="0" w:color="auto"/>
            </w:tcBorders>
            <w:hideMark/>
          </w:tcPr>
          <w:p w14:paraId="0A809F70" w14:textId="77777777" w:rsidR="00836512" w:rsidRDefault="00836512">
            <w:pPr>
              <w:jc w:val="center"/>
              <w:rPr>
                <w:rFonts w:eastAsiaTheme="minorHAnsi"/>
                <w:sz w:val="20"/>
                <w:szCs w:val="20"/>
                <w:lang w:val="en-US"/>
              </w:rPr>
            </w:pPr>
            <w:r>
              <w:rPr>
                <w:rFonts w:eastAsiaTheme="minorHAnsi"/>
                <w:sz w:val="20"/>
                <w:szCs w:val="20"/>
                <w:lang w:val="en-US"/>
              </w:rPr>
              <w:t xml:space="preserve">Mean </w:t>
            </w:r>
            <w:r>
              <w:rPr>
                <w:rFonts w:eastAsiaTheme="minorHAnsi"/>
                <w:sz w:val="20"/>
                <w:szCs w:val="20"/>
                <w:lang w:val="en-US"/>
              </w:rPr>
              <w:sym w:font="Symbol" w:char="F064"/>
            </w:r>
            <w:r>
              <w:rPr>
                <w:rFonts w:eastAsiaTheme="minorHAnsi"/>
                <w:sz w:val="20"/>
                <w:szCs w:val="20"/>
                <w:vertAlign w:val="superscript"/>
                <w:lang w:val="en-US"/>
              </w:rPr>
              <w:t>13</w:t>
            </w:r>
            <w:r>
              <w:rPr>
                <w:rFonts w:eastAsiaTheme="minorHAnsi"/>
                <w:sz w:val="20"/>
                <w:szCs w:val="20"/>
                <w:lang w:val="en-US"/>
              </w:rPr>
              <w:t>C</w:t>
            </w:r>
          </w:p>
        </w:tc>
        <w:tc>
          <w:tcPr>
            <w:tcW w:w="1166" w:type="dxa"/>
            <w:tcBorders>
              <w:top w:val="single" w:sz="4" w:space="0" w:color="auto"/>
              <w:left w:val="single" w:sz="4" w:space="0" w:color="auto"/>
              <w:bottom w:val="single" w:sz="4" w:space="0" w:color="auto"/>
              <w:right w:val="single" w:sz="4" w:space="0" w:color="auto"/>
            </w:tcBorders>
            <w:hideMark/>
          </w:tcPr>
          <w:p w14:paraId="03713DD2" w14:textId="77777777" w:rsidR="00836512" w:rsidRDefault="00836512">
            <w:pPr>
              <w:jc w:val="center"/>
              <w:rPr>
                <w:rFonts w:eastAsiaTheme="minorHAnsi"/>
                <w:sz w:val="20"/>
                <w:szCs w:val="20"/>
                <w:lang w:val="en-US"/>
              </w:rPr>
            </w:pPr>
            <w:r>
              <w:rPr>
                <w:rFonts w:eastAsiaTheme="minorHAnsi"/>
                <w:sz w:val="20"/>
                <w:szCs w:val="20"/>
                <w:lang w:val="en-US"/>
              </w:rPr>
              <w:t>-18.2</w:t>
            </w:r>
          </w:p>
          <w:p w14:paraId="2A5D4242"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1071" w:type="dxa"/>
            <w:tcBorders>
              <w:top w:val="single" w:sz="4" w:space="0" w:color="auto"/>
              <w:left w:val="single" w:sz="4" w:space="0" w:color="auto"/>
              <w:bottom w:val="single" w:sz="4" w:space="0" w:color="auto"/>
              <w:right w:val="single" w:sz="4" w:space="0" w:color="auto"/>
            </w:tcBorders>
            <w:hideMark/>
          </w:tcPr>
          <w:p w14:paraId="56C3B4D1" w14:textId="77777777" w:rsidR="00836512" w:rsidRDefault="00836512">
            <w:pPr>
              <w:jc w:val="center"/>
              <w:rPr>
                <w:rFonts w:eastAsiaTheme="minorHAnsi"/>
                <w:sz w:val="20"/>
                <w:szCs w:val="20"/>
                <w:lang w:val="en-US"/>
              </w:rPr>
            </w:pPr>
            <w:r>
              <w:rPr>
                <w:rFonts w:eastAsiaTheme="minorHAnsi"/>
                <w:sz w:val="20"/>
                <w:szCs w:val="20"/>
                <w:lang w:val="en-US"/>
              </w:rPr>
              <w:t>-18.9</w:t>
            </w:r>
          </w:p>
          <w:p w14:paraId="2CFCA3C6" w14:textId="77777777" w:rsidR="00836512" w:rsidRDefault="00836512">
            <w:pPr>
              <w:jc w:val="center"/>
              <w:rPr>
                <w:rFonts w:eastAsiaTheme="minorHAnsi"/>
                <w:sz w:val="20"/>
                <w:szCs w:val="20"/>
                <w:lang w:val="en-US"/>
              </w:rPr>
            </w:pPr>
            <w:r>
              <w:rPr>
                <w:rFonts w:eastAsiaTheme="minorHAnsi"/>
                <w:sz w:val="20"/>
                <w:szCs w:val="20"/>
                <w:lang w:val="en-US"/>
              </w:rPr>
              <w:t>(n=1)</w:t>
            </w:r>
          </w:p>
        </w:tc>
        <w:tc>
          <w:tcPr>
            <w:tcW w:w="1197" w:type="dxa"/>
            <w:tcBorders>
              <w:top w:val="single" w:sz="4" w:space="0" w:color="auto"/>
              <w:left w:val="single" w:sz="4" w:space="0" w:color="auto"/>
              <w:bottom w:val="single" w:sz="4" w:space="0" w:color="auto"/>
              <w:right w:val="single" w:sz="4" w:space="0" w:color="auto"/>
            </w:tcBorders>
            <w:hideMark/>
          </w:tcPr>
          <w:p w14:paraId="7323A158" w14:textId="77777777" w:rsidR="00836512" w:rsidRDefault="00836512">
            <w:pPr>
              <w:jc w:val="center"/>
              <w:rPr>
                <w:rFonts w:eastAsiaTheme="minorHAnsi"/>
                <w:sz w:val="20"/>
                <w:szCs w:val="20"/>
                <w:lang w:val="en-US"/>
              </w:rPr>
            </w:pPr>
            <w:r>
              <w:rPr>
                <w:rFonts w:eastAsiaTheme="minorHAnsi"/>
                <w:sz w:val="20"/>
                <w:szCs w:val="20"/>
                <w:lang w:val="en-US"/>
              </w:rPr>
              <w:t>-18.7</w:t>
            </w:r>
          </w:p>
          <w:p w14:paraId="38F19293" w14:textId="77777777" w:rsidR="00836512" w:rsidRDefault="00836512">
            <w:pPr>
              <w:jc w:val="center"/>
              <w:rPr>
                <w:rFonts w:eastAsiaTheme="minorHAnsi"/>
                <w:sz w:val="20"/>
                <w:szCs w:val="20"/>
                <w:lang w:val="en-US"/>
              </w:rPr>
            </w:pPr>
            <w:r>
              <w:rPr>
                <w:rFonts w:eastAsiaTheme="minorHAnsi"/>
                <w:sz w:val="20"/>
                <w:szCs w:val="20"/>
                <w:lang w:val="en-US"/>
              </w:rPr>
              <w:t>(n=3)</w:t>
            </w:r>
          </w:p>
        </w:tc>
        <w:tc>
          <w:tcPr>
            <w:tcW w:w="1134" w:type="dxa"/>
            <w:tcBorders>
              <w:top w:val="single" w:sz="4" w:space="0" w:color="auto"/>
              <w:left w:val="single" w:sz="4" w:space="0" w:color="auto"/>
              <w:bottom w:val="single" w:sz="4" w:space="0" w:color="auto"/>
              <w:right w:val="single" w:sz="4" w:space="0" w:color="auto"/>
            </w:tcBorders>
            <w:hideMark/>
          </w:tcPr>
          <w:p w14:paraId="2690D092" w14:textId="77777777" w:rsidR="00836512" w:rsidRDefault="00836512">
            <w:pPr>
              <w:jc w:val="center"/>
              <w:rPr>
                <w:rFonts w:eastAsiaTheme="minorHAnsi"/>
                <w:sz w:val="20"/>
                <w:szCs w:val="20"/>
                <w:lang w:val="en-US"/>
              </w:rPr>
            </w:pPr>
            <w:r>
              <w:rPr>
                <w:rFonts w:eastAsiaTheme="minorHAnsi"/>
                <w:sz w:val="20"/>
                <w:szCs w:val="20"/>
                <w:lang w:val="en-US"/>
              </w:rPr>
              <w:t>-19.0</w:t>
            </w:r>
          </w:p>
          <w:p w14:paraId="1C9E293D" w14:textId="77777777" w:rsidR="00836512" w:rsidRDefault="00836512">
            <w:pPr>
              <w:jc w:val="center"/>
              <w:rPr>
                <w:rFonts w:eastAsiaTheme="minorHAnsi"/>
                <w:sz w:val="20"/>
                <w:szCs w:val="20"/>
                <w:lang w:val="en-US"/>
              </w:rPr>
            </w:pPr>
            <w:r>
              <w:rPr>
                <w:rFonts w:eastAsiaTheme="minorHAnsi"/>
                <w:sz w:val="20"/>
                <w:szCs w:val="20"/>
                <w:lang w:val="en-US"/>
              </w:rPr>
              <w:t>(n=5)</w:t>
            </w:r>
          </w:p>
        </w:tc>
        <w:tc>
          <w:tcPr>
            <w:tcW w:w="1276" w:type="dxa"/>
            <w:tcBorders>
              <w:top w:val="single" w:sz="4" w:space="0" w:color="auto"/>
              <w:left w:val="single" w:sz="4" w:space="0" w:color="auto"/>
              <w:bottom w:val="single" w:sz="4" w:space="0" w:color="auto"/>
              <w:right w:val="single" w:sz="4" w:space="0" w:color="auto"/>
            </w:tcBorders>
            <w:hideMark/>
          </w:tcPr>
          <w:p w14:paraId="7AA0C579" w14:textId="77777777" w:rsidR="00836512" w:rsidRDefault="00836512">
            <w:pPr>
              <w:jc w:val="center"/>
              <w:rPr>
                <w:rFonts w:eastAsiaTheme="minorHAnsi"/>
                <w:sz w:val="20"/>
                <w:szCs w:val="20"/>
                <w:lang w:val="en-US"/>
              </w:rPr>
            </w:pPr>
            <w:r>
              <w:rPr>
                <w:rFonts w:eastAsiaTheme="minorHAnsi"/>
                <w:sz w:val="20"/>
                <w:szCs w:val="20"/>
                <w:lang w:val="en-US"/>
              </w:rPr>
              <w:t>-19.4</w:t>
            </w:r>
          </w:p>
          <w:p w14:paraId="04C4BBA1" w14:textId="77777777" w:rsidR="00836512" w:rsidRDefault="00836512">
            <w:pPr>
              <w:jc w:val="center"/>
              <w:rPr>
                <w:rFonts w:eastAsiaTheme="minorHAnsi"/>
                <w:sz w:val="20"/>
                <w:szCs w:val="20"/>
                <w:lang w:val="en-US"/>
              </w:rPr>
            </w:pPr>
            <w:r>
              <w:rPr>
                <w:rFonts w:eastAsiaTheme="minorHAnsi"/>
                <w:sz w:val="20"/>
                <w:szCs w:val="20"/>
                <w:lang w:val="en-US"/>
              </w:rPr>
              <w:t>(n=11)</w:t>
            </w:r>
          </w:p>
        </w:tc>
        <w:tc>
          <w:tcPr>
            <w:tcW w:w="850" w:type="dxa"/>
            <w:tcBorders>
              <w:top w:val="single" w:sz="4" w:space="0" w:color="auto"/>
              <w:left w:val="single" w:sz="4" w:space="0" w:color="auto"/>
              <w:bottom w:val="single" w:sz="4" w:space="0" w:color="auto"/>
              <w:right w:val="single" w:sz="4" w:space="0" w:color="auto"/>
            </w:tcBorders>
            <w:hideMark/>
          </w:tcPr>
          <w:p w14:paraId="0A5ECEF5" w14:textId="77777777" w:rsidR="00836512" w:rsidRDefault="00836512">
            <w:pPr>
              <w:jc w:val="center"/>
              <w:rPr>
                <w:rFonts w:eastAsiaTheme="minorHAnsi"/>
                <w:sz w:val="20"/>
                <w:szCs w:val="20"/>
                <w:lang w:val="en-US"/>
              </w:rPr>
            </w:pPr>
            <w:r>
              <w:rPr>
                <w:rFonts w:eastAsiaTheme="minorHAnsi"/>
                <w:sz w:val="20"/>
                <w:szCs w:val="20"/>
                <w:lang w:val="en-US"/>
              </w:rPr>
              <w:t>-19.5</w:t>
            </w:r>
          </w:p>
          <w:p w14:paraId="72363AB5" w14:textId="77777777" w:rsidR="00836512" w:rsidRDefault="00836512">
            <w:pPr>
              <w:jc w:val="center"/>
              <w:rPr>
                <w:rFonts w:eastAsiaTheme="minorHAnsi"/>
                <w:sz w:val="20"/>
                <w:szCs w:val="20"/>
                <w:lang w:val="en-US"/>
              </w:rPr>
            </w:pPr>
            <w:r>
              <w:rPr>
                <w:rFonts w:eastAsiaTheme="minorHAnsi"/>
                <w:sz w:val="20"/>
                <w:szCs w:val="20"/>
                <w:lang w:val="en-US"/>
              </w:rPr>
              <w:t>(n=9)</w:t>
            </w:r>
          </w:p>
        </w:tc>
      </w:tr>
    </w:tbl>
    <w:p w14:paraId="5F0C5642" w14:textId="78B09D89" w:rsidR="00836512" w:rsidRDefault="00836512" w:rsidP="00836512">
      <w:pPr>
        <w:rPr>
          <w:rFonts w:asciiTheme="minorHAnsi" w:eastAsiaTheme="minorHAnsi" w:hAnsiTheme="minorHAnsi" w:cstheme="minorBidi"/>
          <w:lang w:val="en-US"/>
        </w:rPr>
      </w:pPr>
    </w:p>
    <w:p w14:paraId="77561297" w14:textId="4912FE3F" w:rsidR="00836512" w:rsidRDefault="001D1F1E" w:rsidP="00836512">
      <w:pPr>
        <w:spacing w:line="480" w:lineRule="auto"/>
        <w:jc w:val="center"/>
        <w:rPr>
          <w:rFonts w:asciiTheme="minorHAnsi" w:eastAsiaTheme="minorHAnsi" w:hAnsiTheme="minorHAnsi" w:cstheme="minorBidi"/>
          <w:lang w:val="en-US"/>
        </w:rPr>
      </w:pPr>
      <w:r w:rsidRPr="00A27744">
        <w:rPr>
          <w:noProof/>
          <w:lang w:eastAsia="en-CA"/>
        </w:rPr>
        <mc:AlternateContent>
          <mc:Choice Requires="cx1">
            <w:drawing>
              <wp:inline distT="0" distB="0" distL="0" distR="0" wp14:anchorId="1A282FFA" wp14:editId="60058878">
                <wp:extent cx="5580380" cy="3497580"/>
                <wp:effectExtent l="0" t="0" r="7620" b="7620"/>
                <wp:docPr id="32" name="Chart 32">
                  <a:extLst xmlns:a="http://schemas.openxmlformats.org/drawingml/2006/main">
                    <a:ext uri="{FF2B5EF4-FFF2-40B4-BE49-F238E27FC236}">
                      <a16:creationId xmlns:a16="http://schemas.microsoft.com/office/drawing/2014/main" id="{02719CD8-2F3F-9D4D-A443-E7C416BDE10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5"/>
                  </a:graphicData>
                </a:graphic>
              </wp:inline>
            </w:drawing>
          </mc:Choice>
          <mc:Fallback>
            <w:drawing>
              <wp:inline distT="0" distB="0" distL="0" distR="0" wp14:anchorId="1A282FFA" wp14:editId="60058878">
                <wp:extent cx="5580380" cy="3497580"/>
                <wp:effectExtent l="0" t="0" r="7620" b="7620"/>
                <wp:docPr id="32" name="Chart 32">
                  <a:extLst xmlns:a="http://schemas.openxmlformats.org/drawingml/2006/main">
                    <a:ext uri="{FF2B5EF4-FFF2-40B4-BE49-F238E27FC236}">
                      <a16:creationId xmlns:a16="http://schemas.microsoft.com/office/drawing/2014/main" id="{02719CD8-2F3F-9D4D-A443-E7C416BDE10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2" name="Chart 32">
                          <a:extLst>
                            <a:ext uri="{FF2B5EF4-FFF2-40B4-BE49-F238E27FC236}">
                              <a16:creationId xmlns:a16="http://schemas.microsoft.com/office/drawing/2014/main" id="{02719CD8-2F3F-9D4D-A443-E7C416BDE10F}"/>
                            </a:ext>
                          </a:extLst>
                        </pic:cNvPr>
                        <pic:cNvPicPr>
                          <a:picLocks noGrp="1" noRot="1" noChangeAspect="1" noMove="1" noResize="1" noEditPoints="1" noAdjustHandles="1" noChangeArrowheads="1" noChangeShapeType="1"/>
                        </pic:cNvPicPr>
                      </pic:nvPicPr>
                      <pic:blipFill>
                        <a:blip r:embed="rId89"/>
                        <a:stretch>
                          <a:fillRect/>
                        </a:stretch>
                      </pic:blipFill>
                      <pic:spPr>
                        <a:xfrm>
                          <a:off x="0" y="0"/>
                          <a:ext cx="5580380" cy="3497580"/>
                        </a:xfrm>
                        <a:prstGeom prst="rect">
                          <a:avLst/>
                        </a:prstGeom>
                      </pic:spPr>
                    </pic:pic>
                  </a:graphicData>
                </a:graphic>
              </wp:inline>
            </w:drawing>
          </mc:Fallback>
        </mc:AlternateContent>
      </w:r>
    </w:p>
    <w:p w14:paraId="10C77C58" w14:textId="77777777" w:rsidR="008B67D9" w:rsidRDefault="008B67D9" w:rsidP="008B67D9">
      <w:pPr>
        <w:rPr>
          <w:rFonts w:eastAsiaTheme="minorHAnsi"/>
          <w:lang w:val="en-US"/>
        </w:rPr>
      </w:pPr>
      <w:r>
        <w:rPr>
          <w:rFonts w:eastAsiaTheme="minorHAnsi"/>
          <w:b/>
          <w:lang w:val="en-US"/>
        </w:rPr>
        <w:t>Figure 5.37:</w:t>
      </w:r>
      <w:r>
        <w:rPr>
          <w:rFonts w:eastAsiaTheme="minorHAnsi"/>
          <w:lang w:val="en-US"/>
        </w:rPr>
        <w:t xml:space="preserve"> Box and whisker plot demonstrating the </w:t>
      </w:r>
      <w:r>
        <w:rPr>
          <w:rFonts w:eastAsiaTheme="minorHAnsi"/>
          <w:lang w:val="en-US"/>
        </w:rPr>
        <w:sym w:font="Symbol" w:char="F064"/>
      </w:r>
      <w:r>
        <w:rPr>
          <w:rFonts w:eastAsiaTheme="minorHAnsi"/>
          <w:vertAlign w:val="superscript"/>
          <w:lang w:val="en-US"/>
        </w:rPr>
        <w:t>15</w:t>
      </w:r>
      <w:r>
        <w:rPr>
          <w:rFonts w:eastAsiaTheme="minorHAnsi"/>
          <w:lang w:val="en-US"/>
        </w:rPr>
        <w:t>N results for non-survivors and survivors for each age category.</w:t>
      </w:r>
    </w:p>
    <w:p w14:paraId="5C048F6E" w14:textId="77777777" w:rsidR="00836512" w:rsidRDefault="00836512" w:rsidP="001D1F1E">
      <w:pPr>
        <w:jc w:val="center"/>
        <w:rPr>
          <w:rFonts w:eastAsiaTheme="minorHAnsi"/>
          <w:lang w:val="en-US"/>
        </w:rPr>
      </w:pPr>
    </w:p>
    <w:p w14:paraId="35FF6533" w14:textId="34DAC2B4" w:rsidR="00836512" w:rsidRDefault="00836512" w:rsidP="00836512">
      <w:pPr>
        <w:spacing w:line="480" w:lineRule="auto"/>
        <w:ind w:firstLine="720"/>
        <w:rPr>
          <w:rFonts w:eastAsiaTheme="minorHAnsi"/>
          <w:lang w:val="en-US"/>
        </w:rPr>
      </w:pPr>
      <w:r>
        <w:rPr>
          <w:rFonts w:eastAsiaTheme="minorHAnsi"/>
          <w:lang w:val="en-US"/>
        </w:rPr>
        <w:t xml:space="preserve">The graphs and table above demonstrate the differences in the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for non-survivors and survivors. It can be seen that there is greater variability between non-survivors and survivors within the first year post-birth. Non-survivors show an </w:t>
      </w:r>
      <w:r>
        <w:rPr>
          <w:rFonts w:eastAsiaTheme="minorHAnsi"/>
          <w:lang w:val="en-US"/>
        </w:rPr>
        <w:lastRenderedPageBreak/>
        <w:t xml:space="preserve">approximately 1‰ higher </w:t>
      </w:r>
      <w:r>
        <w:rPr>
          <w:rFonts w:eastAsiaTheme="minorHAnsi"/>
          <w:lang w:val="en-US"/>
        </w:rPr>
        <w:sym w:font="Symbol" w:char="F064"/>
      </w:r>
      <w:r>
        <w:rPr>
          <w:rFonts w:eastAsiaTheme="minorHAnsi"/>
          <w:vertAlign w:val="superscript"/>
          <w:lang w:val="en-US"/>
        </w:rPr>
        <w:t>15</w:t>
      </w:r>
      <w:r>
        <w:rPr>
          <w:rFonts w:eastAsiaTheme="minorHAnsi"/>
          <w:lang w:val="en-US"/>
        </w:rPr>
        <w:t>N mean value between 0 to 6 months, and 3.5‰ higher mean value than survivors between 6 to 12 months</w:t>
      </w:r>
      <w:r>
        <w:rPr>
          <w:rFonts w:eastAsiaTheme="minorHAnsi"/>
          <w:color w:val="000000" w:themeColor="text1"/>
          <w:lang w:val="en-US"/>
        </w:rPr>
        <w:t>. Analysis of covariance demonstrates that there is a statistically significant difference between survivor and non-survivor nitrogen isotope values (</w:t>
      </w:r>
      <w:r w:rsidR="002659FE">
        <w:rPr>
          <w:rFonts w:eastAsiaTheme="minorHAnsi"/>
          <w:color w:val="000000" w:themeColor="text1"/>
          <w:lang w:val="en-US"/>
        </w:rPr>
        <w:t xml:space="preserve">refer to </w:t>
      </w:r>
      <w:r w:rsidR="00CE7909">
        <w:rPr>
          <w:rFonts w:eastAsiaTheme="minorHAnsi"/>
          <w:color w:val="000000" w:themeColor="text1"/>
          <w:lang w:val="en-US"/>
        </w:rPr>
        <w:t xml:space="preserve">Table B5 in </w:t>
      </w:r>
      <w:r w:rsidR="002659FE">
        <w:rPr>
          <w:rFonts w:eastAsiaTheme="minorHAnsi"/>
          <w:color w:val="000000" w:themeColor="text1"/>
          <w:lang w:val="en-US"/>
        </w:rPr>
        <w:t xml:space="preserve">Appendix B, </w:t>
      </w:r>
      <w:r>
        <w:rPr>
          <w:rFonts w:eastAsiaTheme="minorHAnsi"/>
          <w:i/>
          <w:color w:val="000000" w:themeColor="text1"/>
          <w:lang w:val="en-US"/>
        </w:rPr>
        <w:t xml:space="preserve">F=14.691, p </w:t>
      </w:r>
      <w:r w:rsidR="009E702D">
        <w:rPr>
          <w:rFonts w:eastAsiaTheme="minorHAnsi"/>
          <w:i/>
          <w:color w:val="000000" w:themeColor="text1"/>
          <w:lang w:val="en-US"/>
        </w:rPr>
        <w:t xml:space="preserve">= </w:t>
      </w:r>
      <w:r>
        <w:rPr>
          <w:rFonts w:eastAsiaTheme="minorHAnsi"/>
          <w:i/>
          <w:color w:val="000000" w:themeColor="text1"/>
          <w:lang w:val="en-US"/>
        </w:rPr>
        <w:t>0.0</w:t>
      </w:r>
      <w:r w:rsidR="009E702D">
        <w:rPr>
          <w:rFonts w:eastAsiaTheme="minorHAnsi"/>
          <w:i/>
          <w:color w:val="000000" w:themeColor="text1"/>
          <w:lang w:val="en-US"/>
        </w:rPr>
        <w:t>002</w:t>
      </w:r>
      <w:r>
        <w:rPr>
          <w:rFonts w:eastAsiaTheme="minorHAnsi"/>
          <w:color w:val="000000" w:themeColor="text1"/>
          <w:lang w:val="en-US"/>
        </w:rPr>
        <w:t xml:space="preserve">). The issue with the data for the 6-12 month range is that there is one data point representing only one individual and is likely not representative of the entire sample; </w:t>
      </w:r>
      <w:r w:rsidR="00A83A77">
        <w:rPr>
          <w:rFonts w:eastAsiaTheme="minorHAnsi"/>
          <w:color w:val="000000" w:themeColor="text1"/>
          <w:lang w:val="en-US"/>
        </w:rPr>
        <w:t>thus,</w:t>
      </w:r>
      <w:r>
        <w:rPr>
          <w:rFonts w:eastAsiaTheme="minorHAnsi"/>
          <w:color w:val="000000" w:themeColor="text1"/>
          <w:lang w:val="en-US"/>
        </w:rPr>
        <w:t xml:space="preserve"> this should be noted with caution. </w:t>
      </w:r>
      <w:r>
        <w:rPr>
          <w:rFonts w:eastAsiaTheme="minorHAnsi"/>
          <w:lang w:val="en-US"/>
        </w:rPr>
        <w:t xml:space="preserve">After 12 months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between the two groups become less variable. </w:t>
      </w:r>
      <w:r w:rsidRPr="004D7627">
        <w:rPr>
          <w:rFonts w:eastAsiaTheme="minorHAnsi"/>
          <w:lang w:val="en-US"/>
        </w:rPr>
        <w:t xml:space="preserve">Furthermore, it can be seen that weaning is more gradual for survivors as </w:t>
      </w:r>
      <w:r w:rsidRPr="004D7627">
        <w:rPr>
          <w:rFonts w:eastAsiaTheme="minorHAnsi"/>
          <w:lang w:val="en-US"/>
        </w:rPr>
        <w:sym w:font="Symbol" w:char="F064"/>
      </w:r>
      <w:r w:rsidRPr="004D7627">
        <w:rPr>
          <w:rFonts w:eastAsiaTheme="minorHAnsi"/>
          <w:vertAlign w:val="superscript"/>
          <w:lang w:val="en-US"/>
        </w:rPr>
        <w:t>15</w:t>
      </w:r>
      <w:r w:rsidRPr="004D7627">
        <w:rPr>
          <w:rFonts w:eastAsiaTheme="minorHAnsi"/>
          <w:lang w:val="en-US"/>
        </w:rPr>
        <w:t>N values only decrease by ~1‰ from 6 months to 20 months. Meanwhile</w:t>
      </w:r>
      <w:r>
        <w:rPr>
          <w:rFonts w:eastAsiaTheme="minorHAnsi"/>
          <w:lang w:val="en-US"/>
        </w:rPr>
        <w:t xml:space="preserve">, non-survivors exhibit a more rapid weaning process as </w:t>
      </w:r>
      <w:r>
        <w:rPr>
          <w:rFonts w:eastAsiaTheme="minorHAnsi"/>
          <w:lang w:val="en-US"/>
        </w:rPr>
        <w:sym w:font="Symbol" w:char="F064"/>
      </w:r>
      <w:r>
        <w:rPr>
          <w:rFonts w:eastAsiaTheme="minorHAnsi"/>
          <w:vertAlign w:val="superscript"/>
          <w:lang w:val="en-US"/>
        </w:rPr>
        <w:t>15</w:t>
      </w:r>
      <w:r>
        <w:rPr>
          <w:rFonts w:eastAsiaTheme="minorHAnsi"/>
          <w:lang w:val="en-US"/>
        </w:rPr>
        <w:t xml:space="preserve">N values decrease by ~1‰ from 6 to 12 months. Carbon isotope values demonstrate less variability between the two groups through the age categories, indicating that the transitional diet was most likely similar between the two groups (ANCOVA, </w:t>
      </w:r>
      <w:r>
        <w:rPr>
          <w:rFonts w:eastAsiaTheme="minorHAnsi"/>
          <w:i/>
          <w:lang w:val="en-US"/>
        </w:rPr>
        <w:t>F=0.398, p =0.529</w:t>
      </w:r>
      <w:r>
        <w:rPr>
          <w:rFonts w:eastAsiaTheme="minorHAnsi"/>
          <w:lang w:val="en-US"/>
        </w:rPr>
        <w:t xml:space="preserve">).   </w:t>
      </w:r>
    </w:p>
    <w:p w14:paraId="21DA2122" w14:textId="77777777" w:rsidR="00836512" w:rsidRDefault="00836512" w:rsidP="001D1F1E">
      <w:pPr>
        <w:rPr>
          <w:rFonts w:eastAsiaTheme="minorHAnsi"/>
          <w:lang w:val="en-US"/>
        </w:rPr>
      </w:pPr>
    </w:p>
    <w:p w14:paraId="4835D364" w14:textId="4BCCA55F" w:rsidR="00836512" w:rsidRDefault="00836512" w:rsidP="00836512">
      <w:pPr>
        <w:spacing w:line="480" w:lineRule="auto"/>
        <w:rPr>
          <w:rFonts w:eastAsiaTheme="minorHAnsi"/>
          <w:b/>
          <w:lang w:val="en-US"/>
        </w:rPr>
      </w:pPr>
      <w:r>
        <w:rPr>
          <w:rFonts w:eastAsiaTheme="minorHAnsi"/>
          <w:b/>
          <w:lang w:val="en-US"/>
        </w:rPr>
        <w:t xml:space="preserve">5.6 </w:t>
      </w:r>
      <w:r w:rsidR="000F1183">
        <w:rPr>
          <w:rFonts w:eastAsiaTheme="minorHAnsi"/>
          <w:b/>
          <w:lang w:val="en-US"/>
        </w:rPr>
        <w:t>Summary</w:t>
      </w:r>
    </w:p>
    <w:p w14:paraId="53FB8C74" w14:textId="77777777" w:rsidR="00836512" w:rsidRDefault="00836512" w:rsidP="001D1F1E">
      <w:pPr>
        <w:rPr>
          <w:rFonts w:eastAsiaTheme="minorHAnsi"/>
          <w:b/>
          <w:lang w:val="en-US"/>
        </w:rPr>
      </w:pPr>
    </w:p>
    <w:p w14:paraId="744811E8" w14:textId="49568567" w:rsidR="00836512" w:rsidRDefault="00836512" w:rsidP="00836512">
      <w:pPr>
        <w:spacing w:line="480" w:lineRule="auto"/>
        <w:rPr>
          <w:rFonts w:eastAsiaTheme="minorHAnsi"/>
          <w:lang w:val="en-US"/>
        </w:rPr>
      </w:pPr>
      <w:r>
        <w:rPr>
          <w:rFonts w:eastAsiaTheme="minorHAnsi"/>
          <w:b/>
          <w:lang w:val="en-US"/>
        </w:rPr>
        <w:tab/>
      </w:r>
      <w:r>
        <w:rPr>
          <w:rFonts w:eastAsiaTheme="minorHAnsi"/>
          <w:lang w:val="en-US"/>
        </w:rPr>
        <w:t xml:space="preserve">The stable isotope data presented in this chapter demonstrate that individuals from the </w:t>
      </w:r>
      <w:r w:rsidR="000F1183">
        <w:rPr>
          <w:rFonts w:eastAsiaTheme="minorHAnsi"/>
          <w:lang w:val="en-US"/>
        </w:rPr>
        <w:t>three</w:t>
      </w:r>
      <w:r>
        <w:rPr>
          <w:rFonts w:eastAsiaTheme="minorHAnsi"/>
          <w:lang w:val="en-US"/>
        </w:rPr>
        <w:t xml:space="preserve"> Iron Age sites show shifts in nitrogen and carbon data consistent with breastfeeding and weaning. Subadult dentine data exhibit earlier periods of infant and young child feeding (IYCF), while adult dentine data reveals the later periods of IYCF practices such as post-weaning diet and the eventual consumption of adult diet. </w:t>
      </w:r>
      <w:r>
        <w:rPr>
          <w:color w:val="000000" w:themeColor="text1"/>
          <w:lang w:val="en-US"/>
        </w:rPr>
        <w:t>The subadult bone data represent the values closer to death and clearly show that the bone samples reflect a post-weaning diet</w:t>
      </w:r>
      <w:r>
        <w:rPr>
          <w:rFonts w:eastAsiaTheme="minorHAnsi"/>
          <w:color w:val="000000" w:themeColor="text1"/>
          <w:lang w:val="en-US"/>
        </w:rPr>
        <w:t xml:space="preserve">. </w:t>
      </w:r>
      <w:r>
        <w:rPr>
          <w:rFonts w:eastAsiaTheme="minorHAnsi"/>
          <w:lang w:val="en-US"/>
        </w:rPr>
        <w:t xml:space="preserve">However, there is a notable difference between </w:t>
      </w:r>
      <w:r>
        <w:rPr>
          <w:rFonts w:eastAsiaTheme="minorHAnsi"/>
          <w:lang w:val="en-US"/>
        </w:rPr>
        <w:lastRenderedPageBreak/>
        <w:t xml:space="preserve">isotope values obtained from rib and femoral bone samples. Rib carbon and nitrogen isotope values tend to be lower than femoral samples for younger ages (i.e., &lt; 4 years) – with the exception of T4 – possibly due to a shorter bone turnover rate for ribs and the incorporation of earlier feeding in femoral data. </w:t>
      </w:r>
    </w:p>
    <w:p w14:paraId="6CA85B7A" w14:textId="77777777" w:rsidR="001D1F1E" w:rsidRDefault="001D1F1E" w:rsidP="001D1F1E">
      <w:pPr>
        <w:rPr>
          <w:rFonts w:eastAsiaTheme="minorHAnsi"/>
          <w:lang w:val="en-US"/>
        </w:rPr>
      </w:pPr>
    </w:p>
    <w:p w14:paraId="5D17B1DD" w14:textId="78D6010C" w:rsidR="0066360F" w:rsidRDefault="00836512" w:rsidP="00A30AAD">
      <w:pPr>
        <w:spacing w:line="480" w:lineRule="auto"/>
        <w:ind w:firstLine="720"/>
        <w:rPr>
          <w:rFonts w:eastAsiaTheme="minorHAnsi"/>
          <w:lang w:val="en-US"/>
        </w:rPr>
      </w:pPr>
      <w:r>
        <w:rPr>
          <w:rFonts w:eastAsiaTheme="minorHAnsi"/>
          <w:lang w:val="en-US"/>
        </w:rPr>
        <w:t xml:space="preserve">Lastly, the comparison between survivors and non-survivors reveals a possible difference in weaning patterns. Survivors demonstrate a gradual weaning process, while non-survivors demonstrate higher </w:t>
      </w:r>
      <w:r>
        <w:rPr>
          <w:rFonts w:eastAsiaTheme="minorHAnsi"/>
          <w:lang w:val="en-US"/>
        </w:rPr>
        <w:sym w:font="Symbol" w:char="F064"/>
      </w:r>
      <w:r>
        <w:rPr>
          <w:rFonts w:eastAsiaTheme="minorHAnsi"/>
          <w:vertAlign w:val="superscript"/>
          <w:lang w:val="en-US"/>
        </w:rPr>
        <w:t>15</w:t>
      </w:r>
      <w:r>
        <w:rPr>
          <w:rFonts w:eastAsiaTheme="minorHAnsi"/>
          <w:lang w:val="en-US"/>
        </w:rPr>
        <w:t>N values in their first year and a more rapid weaning process. With that said, comparisons between survivors and non-survivors are not reliable as data for certain age categories (e.g. 6-12 months)</w:t>
      </w:r>
      <w:r>
        <w:rPr>
          <w:rFonts w:eastAsiaTheme="minorHAnsi"/>
          <w:color w:val="FF0000"/>
          <w:lang w:val="en-US"/>
        </w:rPr>
        <w:t xml:space="preserve"> </w:t>
      </w:r>
      <w:r>
        <w:rPr>
          <w:rFonts w:eastAsiaTheme="minorHAnsi"/>
          <w:color w:val="000000" w:themeColor="text1"/>
          <w:lang w:val="en-US"/>
        </w:rPr>
        <w:t xml:space="preserve">rely on </w:t>
      </w:r>
      <w:r>
        <w:rPr>
          <w:rFonts w:eastAsiaTheme="minorHAnsi"/>
          <w:lang w:val="en-US"/>
        </w:rPr>
        <w:t xml:space="preserve">only one individual. All these trends discussed in the </w:t>
      </w:r>
      <w:r w:rsidR="00C80A2E">
        <w:rPr>
          <w:rFonts w:eastAsiaTheme="minorHAnsi"/>
          <w:lang w:val="en-US"/>
        </w:rPr>
        <w:t>C</w:t>
      </w:r>
      <w:r>
        <w:rPr>
          <w:rFonts w:eastAsiaTheme="minorHAnsi"/>
          <w:lang w:val="en-US"/>
        </w:rPr>
        <w:t xml:space="preserve">hapter 5 are further explained by possible scenarios in Chapter </w:t>
      </w:r>
      <w:r w:rsidR="00A30AAD">
        <w:rPr>
          <w:rFonts w:eastAsiaTheme="minorHAnsi"/>
          <w:lang w:val="en-US"/>
        </w:rPr>
        <w:t>6.</w:t>
      </w:r>
    </w:p>
    <w:p w14:paraId="44F30FC9" w14:textId="3BB1778C" w:rsidR="004D7627" w:rsidRDefault="004D7627" w:rsidP="00A30AAD">
      <w:pPr>
        <w:spacing w:line="480" w:lineRule="auto"/>
        <w:ind w:firstLine="720"/>
        <w:rPr>
          <w:rFonts w:eastAsiaTheme="minorHAnsi"/>
          <w:lang w:val="en-US"/>
        </w:rPr>
      </w:pPr>
    </w:p>
    <w:p w14:paraId="2244146C" w14:textId="28D02F8E" w:rsidR="004D7627" w:rsidRDefault="004D7627" w:rsidP="00A30AAD">
      <w:pPr>
        <w:spacing w:line="480" w:lineRule="auto"/>
        <w:ind w:firstLine="720"/>
        <w:rPr>
          <w:rFonts w:eastAsiaTheme="minorHAnsi"/>
          <w:lang w:val="en-US"/>
        </w:rPr>
      </w:pPr>
    </w:p>
    <w:p w14:paraId="55BD1687" w14:textId="52161EDF" w:rsidR="004D7627" w:rsidRDefault="004D7627" w:rsidP="00A30AAD">
      <w:pPr>
        <w:spacing w:line="480" w:lineRule="auto"/>
        <w:ind w:firstLine="720"/>
        <w:rPr>
          <w:rFonts w:eastAsiaTheme="minorHAnsi"/>
          <w:lang w:val="en-US"/>
        </w:rPr>
      </w:pPr>
    </w:p>
    <w:p w14:paraId="35AB2515" w14:textId="01BA68D4" w:rsidR="004D7627" w:rsidRDefault="004D7627" w:rsidP="00A30AAD">
      <w:pPr>
        <w:spacing w:line="480" w:lineRule="auto"/>
        <w:ind w:firstLine="720"/>
        <w:rPr>
          <w:rFonts w:eastAsiaTheme="minorHAnsi"/>
          <w:lang w:val="en-US"/>
        </w:rPr>
      </w:pPr>
    </w:p>
    <w:p w14:paraId="67544A74" w14:textId="27B94240" w:rsidR="004D7627" w:rsidRDefault="004D7627" w:rsidP="00A30AAD">
      <w:pPr>
        <w:spacing w:line="480" w:lineRule="auto"/>
        <w:ind w:firstLine="720"/>
        <w:rPr>
          <w:rFonts w:eastAsiaTheme="minorHAnsi"/>
          <w:lang w:val="en-US"/>
        </w:rPr>
      </w:pPr>
    </w:p>
    <w:p w14:paraId="092F5045" w14:textId="77271153" w:rsidR="004D7627" w:rsidRDefault="004D7627" w:rsidP="00A30AAD">
      <w:pPr>
        <w:spacing w:line="480" w:lineRule="auto"/>
        <w:ind w:firstLine="720"/>
        <w:rPr>
          <w:rFonts w:eastAsiaTheme="minorHAnsi"/>
          <w:lang w:val="en-US"/>
        </w:rPr>
      </w:pPr>
    </w:p>
    <w:p w14:paraId="30D08814" w14:textId="4B012289" w:rsidR="004D7627" w:rsidRDefault="004D7627" w:rsidP="00A30AAD">
      <w:pPr>
        <w:spacing w:line="480" w:lineRule="auto"/>
        <w:ind w:firstLine="720"/>
        <w:rPr>
          <w:rFonts w:eastAsiaTheme="minorHAnsi"/>
          <w:lang w:val="en-US"/>
        </w:rPr>
      </w:pPr>
    </w:p>
    <w:p w14:paraId="0596AF40" w14:textId="0061C2EB" w:rsidR="004D7627" w:rsidRDefault="004D7627" w:rsidP="00A30AAD">
      <w:pPr>
        <w:spacing w:line="480" w:lineRule="auto"/>
        <w:ind w:firstLine="720"/>
        <w:rPr>
          <w:rFonts w:eastAsiaTheme="minorHAnsi"/>
          <w:lang w:val="en-US"/>
        </w:rPr>
      </w:pPr>
    </w:p>
    <w:p w14:paraId="417F6A2B" w14:textId="77777777" w:rsidR="00B13223" w:rsidRDefault="00B13223" w:rsidP="00A30AAD">
      <w:pPr>
        <w:spacing w:line="480" w:lineRule="auto"/>
        <w:ind w:firstLine="720"/>
        <w:rPr>
          <w:rFonts w:eastAsiaTheme="minorHAnsi"/>
          <w:lang w:val="en-US"/>
        </w:rPr>
      </w:pPr>
    </w:p>
    <w:p w14:paraId="73B1C665" w14:textId="06151432" w:rsidR="004D7627" w:rsidRDefault="004D7627" w:rsidP="00A30AAD">
      <w:pPr>
        <w:spacing w:line="480" w:lineRule="auto"/>
        <w:ind w:firstLine="720"/>
        <w:rPr>
          <w:rFonts w:eastAsiaTheme="minorHAnsi"/>
          <w:lang w:val="en-US"/>
        </w:rPr>
      </w:pPr>
    </w:p>
    <w:p w14:paraId="71B478C9" w14:textId="338AA0D2" w:rsidR="004D7627" w:rsidRDefault="004D7627" w:rsidP="00A30AAD">
      <w:pPr>
        <w:spacing w:line="480" w:lineRule="auto"/>
        <w:ind w:firstLine="720"/>
        <w:rPr>
          <w:rFonts w:eastAsiaTheme="minorHAnsi"/>
          <w:lang w:val="en-US"/>
        </w:rPr>
      </w:pPr>
    </w:p>
    <w:p w14:paraId="65A34BBF" w14:textId="77777777" w:rsidR="004D7627" w:rsidRPr="00A30AAD" w:rsidRDefault="004D7627" w:rsidP="005F7C36">
      <w:pPr>
        <w:spacing w:line="480" w:lineRule="auto"/>
        <w:rPr>
          <w:rFonts w:eastAsiaTheme="minorHAnsi"/>
          <w:lang w:val="en-US"/>
        </w:rPr>
      </w:pPr>
    </w:p>
    <w:p w14:paraId="5770D29C" w14:textId="40AD8D6F" w:rsidR="0066360F" w:rsidRDefault="0066360F" w:rsidP="008B67D9">
      <w:pPr>
        <w:jc w:val="center"/>
        <w:rPr>
          <w:b/>
        </w:rPr>
      </w:pPr>
      <w:r>
        <w:rPr>
          <w:b/>
        </w:rPr>
        <w:lastRenderedPageBreak/>
        <w:t>Chapter 6: Discussion</w:t>
      </w:r>
    </w:p>
    <w:p w14:paraId="1E4C8650" w14:textId="77777777" w:rsidR="0066360F" w:rsidRDefault="0066360F" w:rsidP="0066360F">
      <w:pPr>
        <w:rPr>
          <w:b/>
        </w:rPr>
      </w:pPr>
    </w:p>
    <w:p w14:paraId="78C96428" w14:textId="77777777" w:rsidR="0066360F" w:rsidRDefault="0066360F" w:rsidP="0066360F">
      <w:pPr>
        <w:rPr>
          <w:b/>
        </w:rPr>
      </w:pPr>
      <w:r>
        <w:rPr>
          <w:b/>
        </w:rPr>
        <w:t xml:space="preserve">6.1 Introduction </w:t>
      </w:r>
    </w:p>
    <w:p w14:paraId="61143C1B" w14:textId="77777777" w:rsidR="0066360F" w:rsidRDefault="0066360F" w:rsidP="00475487">
      <w:pPr>
        <w:spacing w:line="480" w:lineRule="auto"/>
        <w:rPr>
          <w:b/>
        </w:rPr>
      </w:pPr>
    </w:p>
    <w:p w14:paraId="6052AF19" w14:textId="6A505728" w:rsidR="0066360F" w:rsidRDefault="0066360F" w:rsidP="0066360F">
      <w:pPr>
        <w:spacing w:line="480" w:lineRule="auto"/>
        <w:ind w:firstLine="720"/>
      </w:pPr>
      <w:r>
        <w:t xml:space="preserve">This chapter combines stable isotope results presented in Chapter </w:t>
      </w:r>
      <w:r w:rsidR="009152A1">
        <w:t xml:space="preserve">5 </w:t>
      </w:r>
      <w:r>
        <w:t xml:space="preserve">with bioarchaeological and historical evidence of breastfeeding and weaning in comparable samples from Italy and other parts of the ancient Mediterranean world. Weaning patterns within </w:t>
      </w:r>
      <w:r w:rsidR="00982C30">
        <w:t xml:space="preserve">the Iron Age </w:t>
      </w:r>
      <w:r>
        <w:t>sample</w:t>
      </w:r>
      <w:r w:rsidR="00982C30">
        <w:t>s</w:t>
      </w:r>
      <w:r>
        <w:t xml:space="preserve"> are outlined first, highlighting the intra-sample heterogeneity, relationship between weaning and mortality, evidence of sex-based variation and potential influence of agricultural practices on stable isotope interpretations. Next, differences between dentine, rib, and femoral stable isotope values are detailed, along with benefits of using a combined approach. Weaning practices at these Iron Age sites are also compared with weaning patterns found at later Roman sites using stable isotope data from this study and previous dietary research. Finally, the limitations of this study are </w:t>
      </w:r>
      <w:r w:rsidR="00982C30">
        <w:t>outlined</w:t>
      </w:r>
      <w:r>
        <w:t xml:space="preserve"> and discussed.</w:t>
      </w:r>
    </w:p>
    <w:p w14:paraId="5F14435F" w14:textId="77777777" w:rsidR="0066360F" w:rsidRDefault="0066360F" w:rsidP="00475487">
      <w:pPr>
        <w:ind w:firstLine="720"/>
      </w:pPr>
    </w:p>
    <w:p w14:paraId="1643BCF3" w14:textId="5D4B1612" w:rsidR="0066360F" w:rsidRDefault="0066360F" w:rsidP="00475487">
      <w:pPr>
        <w:spacing w:line="480" w:lineRule="auto"/>
        <w:rPr>
          <w:b/>
        </w:rPr>
      </w:pPr>
      <w:r>
        <w:rPr>
          <w:b/>
        </w:rPr>
        <w:t>6.2 Weaning Trends at Botromagno</w:t>
      </w:r>
    </w:p>
    <w:p w14:paraId="3FB486AD" w14:textId="77777777" w:rsidR="0066360F" w:rsidRPr="00075A1C" w:rsidRDefault="0066360F" w:rsidP="0066360F">
      <w:pPr>
        <w:spacing w:line="480" w:lineRule="auto"/>
      </w:pPr>
      <w:r w:rsidRPr="00075A1C">
        <w:t xml:space="preserve">6.2.1 Intra-sample variation </w:t>
      </w:r>
    </w:p>
    <w:p w14:paraId="0B9F70DE" w14:textId="77777777" w:rsidR="0066360F" w:rsidRDefault="0066360F" w:rsidP="0066360F">
      <w:pPr>
        <w:rPr>
          <w:i/>
        </w:rPr>
      </w:pPr>
    </w:p>
    <w:p w14:paraId="7EB9BC34" w14:textId="2DF995D0" w:rsidR="0066360F" w:rsidRDefault="0066360F" w:rsidP="0066360F">
      <w:pPr>
        <w:spacing w:line="480" w:lineRule="auto"/>
        <w:ind w:firstLine="720"/>
      </w:pPr>
      <w:r>
        <w:t>Stable isotope results from this study provide insight into the infant and early childhood experience of individuals from southern Italy during the Iron Age.  The individual weaning histories discussed in Chapter 5 demonstrate that weaning practices experienced by this group of individuals w</w:t>
      </w:r>
      <w:r w:rsidR="00241529">
        <w:t>ere</w:t>
      </w:r>
      <w:r>
        <w:t xml:space="preserve"> not homogenous. This is supported by </w:t>
      </w:r>
      <w:r>
        <w:rPr>
          <w:color w:val="000000" w:themeColor="text1"/>
        </w:rPr>
        <w:t xml:space="preserve">Figures 5.13 and 5.23 </w:t>
      </w:r>
      <w:r>
        <w:t>in the Results chapter, which illustrate the scatter in δ</w:t>
      </w:r>
      <w:r>
        <w:rPr>
          <w:vertAlign w:val="superscript"/>
        </w:rPr>
        <w:t>15</w:t>
      </w:r>
      <w:r>
        <w:t xml:space="preserve">N values </w:t>
      </w:r>
      <w:r w:rsidR="0010783C">
        <w:t xml:space="preserve">between individuals </w:t>
      </w:r>
      <w:r>
        <w:t xml:space="preserve">throughout apparent breastfeeding and weaning stages for both </w:t>
      </w:r>
      <w:r>
        <w:lastRenderedPageBreak/>
        <w:t xml:space="preserve">subadults and adults. Although the general trend is a decline in </w:t>
      </w:r>
      <w:r>
        <w:rPr>
          <w:rFonts w:ascii="TimesNewRomanPSMT" w:hAnsi="TimesNewRomanPSMT" w:cs="TimesNewRomanPSMT"/>
        </w:rPr>
        <w:t>δ</w:t>
      </w:r>
      <w:r>
        <w:rPr>
          <w:rFonts w:ascii="TimesNewRomanPSMT" w:hAnsi="TimesNewRomanPSMT" w:cs="TimesNewRomanPSMT"/>
          <w:position w:val="10"/>
          <w:sz w:val="16"/>
          <w:szCs w:val="16"/>
        </w:rPr>
        <w:t>15</w:t>
      </w:r>
      <w:r>
        <w:rPr>
          <w:rFonts w:ascii="TimesNewRomanPSMT" w:hAnsi="TimesNewRomanPSMT" w:cs="TimesNewRomanPSMT"/>
        </w:rPr>
        <w:t xml:space="preserve">N values with age, the onset and cessation of the decline along with the slope are variable. </w:t>
      </w:r>
      <w:r>
        <w:t xml:space="preserve"> In other words, the onset and cessation of weaning and the length of breastfeeding and weaning were dissimilar throughout the sample.</w:t>
      </w:r>
    </w:p>
    <w:p w14:paraId="367602A3" w14:textId="77777777" w:rsidR="0066360F" w:rsidRDefault="0066360F" w:rsidP="0066360F">
      <w:pPr>
        <w:ind w:firstLine="720"/>
      </w:pPr>
    </w:p>
    <w:p w14:paraId="685008D8" w14:textId="653B521E" w:rsidR="0066360F" w:rsidRDefault="0066360F" w:rsidP="0066360F">
      <w:pPr>
        <w:spacing w:line="480" w:lineRule="auto"/>
        <w:ind w:firstLine="720"/>
        <w:rPr>
          <w:rFonts w:ascii="TimesNewRomanPSMT" w:hAnsi="TimesNewRomanPSMT" w:cs="TimesNewRomanPSMT"/>
          <w:color w:val="000000" w:themeColor="text1"/>
        </w:rPr>
      </w:pPr>
      <w:r>
        <w:rPr>
          <w:rFonts w:ascii="TimesNewRomanPSMT" w:hAnsi="TimesNewRomanPSMT" w:cs="TimesNewRomanPSMT"/>
        </w:rPr>
        <w:t>Numerous studies that have applied dentine microsampling have found a considerable amount of inter-individual variation in early feeding practices. As serial dentine analyses have not been conducted on pre-</w:t>
      </w:r>
      <w:r>
        <w:rPr>
          <w:rFonts w:ascii="TimesNewRomanPSMT" w:hAnsi="TimesNewRomanPSMT" w:cs="TimesNewRomanPSMT"/>
          <w:color w:val="000000" w:themeColor="text1"/>
        </w:rPr>
        <w:t>Roman or Roman populations, comparisons can be made with studies that have focused on geographically or temporally proximate populations.  Holt (2009) discovered diverse infant and young child feeding practices amongst a group of subadults (</w:t>
      </w:r>
      <w:r>
        <w:rPr>
          <w:rFonts w:ascii="TimesNewRomanPSMT" w:hAnsi="TimesNewRomanPSMT" w:cs="TimesNewRomanPSMT"/>
          <w:i/>
          <w:color w:val="000000" w:themeColor="text1"/>
        </w:rPr>
        <w:t xml:space="preserve">n = </w:t>
      </w:r>
      <w:r>
        <w:rPr>
          <w:rFonts w:ascii="TimesNewRomanPSMT" w:hAnsi="TimesNewRomanPSMT" w:cs="TimesNewRomanPSMT"/>
          <w:color w:val="000000" w:themeColor="text1"/>
        </w:rPr>
        <w:t>11) from the Greek colony at Apollonia Pontica (coast of Bulgaria) dating to the 5</w:t>
      </w:r>
      <w:r>
        <w:rPr>
          <w:rFonts w:ascii="TimesNewRomanPSMT" w:hAnsi="TimesNewRomanPSMT" w:cs="TimesNewRomanPSMT"/>
          <w:color w:val="000000" w:themeColor="text1"/>
          <w:vertAlign w:val="superscript"/>
        </w:rPr>
        <w:t>th</w:t>
      </w:r>
      <w:r>
        <w:rPr>
          <w:rFonts w:ascii="TimesNewRomanPSMT" w:hAnsi="TimesNewRomanPSMT" w:cs="TimesNewRomanPSMT"/>
          <w:color w:val="000000" w:themeColor="text1"/>
        </w:rPr>
        <w:t xml:space="preserve"> – 2</w:t>
      </w:r>
      <w:r>
        <w:rPr>
          <w:rFonts w:ascii="TimesNewRomanPSMT" w:hAnsi="TimesNewRomanPSMT" w:cs="TimesNewRomanPSMT"/>
          <w:color w:val="000000" w:themeColor="text1"/>
          <w:vertAlign w:val="superscript"/>
        </w:rPr>
        <w:t>nd</w:t>
      </w:r>
      <w:r>
        <w:rPr>
          <w:rFonts w:ascii="TimesNewRomanPSMT" w:hAnsi="TimesNewRomanPSMT" w:cs="TimesNewRomanPSMT"/>
          <w:color w:val="000000" w:themeColor="text1"/>
        </w:rPr>
        <w:t xml:space="preserve"> centuries BCE, using serial dentine sampling of deciduous first and second molars and permanent first molars. The author found that supplementary feeding began anywhere from six to ten months while weaning was completed on average by 3 years of age, although the precise ages of cessation could not be determined. Similarly, Kwok and colleagues (2018) used serial dentine sections to investigate breastfeeding, weaning and early diet in ancient Greece. Stable isotope analysis of 26 adults from the site of Nemea (5</w:t>
      </w:r>
      <w:r>
        <w:rPr>
          <w:rFonts w:ascii="TimesNewRomanPSMT" w:hAnsi="TimesNewRomanPSMT" w:cs="TimesNewRomanPSMT"/>
          <w:color w:val="000000" w:themeColor="text1"/>
          <w:vertAlign w:val="superscript"/>
        </w:rPr>
        <w:t>th</w:t>
      </w:r>
      <w:r>
        <w:rPr>
          <w:rFonts w:ascii="TimesNewRomanPSMT" w:hAnsi="TimesNewRomanPSMT" w:cs="TimesNewRomanPSMT"/>
          <w:color w:val="000000" w:themeColor="text1"/>
        </w:rPr>
        <w:t xml:space="preserve"> – 6</w:t>
      </w:r>
      <w:r>
        <w:rPr>
          <w:rFonts w:ascii="TimesNewRomanPSMT" w:hAnsi="TimesNewRomanPSMT" w:cs="TimesNewRomanPSMT"/>
          <w:color w:val="000000" w:themeColor="text1"/>
          <w:vertAlign w:val="superscript"/>
        </w:rPr>
        <w:t>th</w:t>
      </w:r>
      <w:r>
        <w:rPr>
          <w:rFonts w:ascii="TimesNewRomanPSMT" w:hAnsi="TimesNewRomanPSMT" w:cs="TimesNewRomanPSMT"/>
          <w:color w:val="000000" w:themeColor="text1"/>
        </w:rPr>
        <w:t xml:space="preserve"> centuries CE), demonstrated a range of early feeding practices</w:t>
      </w:r>
      <w:r w:rsidR="009152A1">
        <w:rPr>
          <w:rFonts w:ascii="TimesNewRomanPSMT" w:hAnsi="TimesNewRomanPSMT" w:cs="TimesNewRomanPSMT"/>
          <w:color w:val="000000" w:themeColor="text1"/>
        </w:rPr>
        <w:t>.</w:t>
      </w:r>
      <w:r>
        <w:rPr>
          <w:rFonts w:ascii="TimesNewRomanPSMT" w:hAnsi="TimesNewRomanPSMT" w:cs="TimesNewRomanPSMT"/>
          <w:color w:val="000000" w:themeColor="text1"/>
        </w:rPr>
        <w:t xml:space="preserve"> Some individuals were breastfed, while others were never breastfed or consumed breast milk for a short period of time; some </w:t>
      </w:r>
      <w:r w:rsidR="00C63420">
        <w:rPr>
          <w:rFonts w:ascii="TimesNewRomanPSMT" w:hAnsi="TimesNewRomanPSMT" w:cs="TimesNewRomanPSMT"/>
          <w:color w:val="000000" w:themeColor="text1"/>
        </w:rPr>
        <w:t xml:space="preserve">dentine samples </w:t>
      </w:r>
      <w:r>
        <w:rPr>
          <w:rFonts w:ascii="TimesNewRomanPSMT" w:hAnsi="TimesNewRomanPSMT" w:cs="TimesNewRomanPSMT"/>
          <w:color w:val="000000" w:themeColor="text1"/>
        </w:rPr>
        <w:t>indicated weaning cessation around 2 years of age while others suggested 3 years (Kwok et al. 2018). Eerkens and colleagues (2018) also found inter-individual variability in the length of weaning in the Late Meroitic (1</w:t>
      </w:r>
      <w:r>
        <w:rPr>
          <w:rFonts w:ascii="TimesNewRomanPSMT" w:hAnsi="TimesNewRomanPSMT" w:cs="TimesNewRomanPSMT"/>
          <w:color w:val="000000" w:themeColor="text1"/>
          <w:vertAlign w:val="superscript"/>
        </w:rPr>
        <w:t>st</w:t>
      </w:r>
      <w:r>
        <w:rPr>
          <w:rFonts w:ascii="TimesNewRomanPSMT" w:hAnsi="TimesNewRomanPSMT" w:cs="TimesNewRomanPSMT"/>
          <w:color w:val="000000" w:themeColor="text1"/>
        </w:rPr>
        <w:t xml:space="preserve"> – 4</w:t>
      </w:r>
      <w:r>
        <w:rPr>
          <w:rFonts w:ascii="TimesNewRomanPSMT" w:hAnsi="TimesNewRomanPSMT" w:cs="TimesNewRomanPSMT"/>
          <w:color w:val="000000" w:themeColor="text1"/>
          <w:vertAlign w:val="superscript"/>
        </w:rPr>
        <w:t>th</w:t>
      </w:r>
      <w:r>
        <w:rPr>
          <w:rFonts w:ascii="TimesNewRomanPSMT" w:hAnsi="TimesNewRomanPSMT" w:cs="TimesNewRomanPSMT"/>
          <w:color w:val="000000" w:themeColor="text1"/>
        </w:rPr>
        <w:t xml:space="preserve"> century CE) population of Sai Island, </w:t>
      </w:r>
      <w:r>
        <w:rPr>
          <w:rFonts w:ascii="TimesNewRomanPSMT" w:hAnsi="TimesNewRomanPSMT" w:cs="TimesNewRomanPSMT"/>
          <w:color w:val="000000" w:themeColor="text1"/>
        </w:rPr>
        <w:lastRenderedPageBreak/>
        <w:t>Sudan. Using serial dentine samples of eleven adults, the authors found evidence of weaning completion by 2.7 years of age on average with two females demonstrating a later weaning at 3.5 years</w:t>
      </w:r>
      <w:r w:rsidR="00C63420">
        <w:rPr>
          <w:rFonts w:ascii="TimesNewRomanPSMT" w:hAnsi="TimesNewRomanPSMT" w:cs="TimesNewRomanPSMT"/>
          <w:color w:val="000000" w:themeColor="text1"/>
        </w:rPr>
        <w:t>,</w:t>
      </w:r>
      <w:r>
        <w:rPr>
          <w:rFonts w:ascii="TimesNewRomanPSMT" w:hAnsi="TimesNewRomanPSMT" w:cs="TimesNewRomanPSMT"/>
          <w:color w:val="000000" w:themeColor="text1"/>
        </w:rPr>
        <w:t xml:space="preserve"> while four males indicated </w:t>
      </w:r>
      <w:r w:rsidR="00C63420">
        <w:rPr>
          <w:rFonts w:ascii="TimesNewRomanPSMT" w:hAnsi="TimesNewRomanPSMT" w:cs="TimesNewRomanPSMT"/>
          <w:color w:val="000000" w:themeColor="text1"/>
        </w:rPr>
        <w:t xml:space="preserve">an earlier weaning at </w:t>
      </w:r>
      <w:r>
        <w:rPr>
          <w:rFonts w:ascii="TimesNewRomanPSMT" w:hAnsi="TimesNewRomanPSMT" w:cs="TimesNewRomanPSMT"/>
          <w:color w:val="000000" w:themeColor="text1"/>
        </w:rPr>
        <w:t xml:space="preserve">2.3 years. </w:t>
      </w:r>
    </w:p>
    <w:p w14:paraId="61703A4E" w14:textId="77777777" w:rsidR="0066360F" w:rsidRDefault="0066360F" w:rsidP="0066360F">
      <w:pPr>
        <w:ind w:firstLine="720"/>
        <w:rPr>
          <w:rFonts w:ascii="TimesNewRomanPSMT" w:hAnsi="TimesNewRomanPSMT" w:cs="TimesNewRomanPSMT"/>
          <w:color w:val="000000" w:themeColor="text1"/>
        </w:rPr>
      </w:pPr>
    </w:p>
    <w:p w14:paraId="2979BB7F" w14:textId="1FFF7DC8" w:rsidR="0066360F" w:rsidRDefault="0066360F" w:rsidP="0066360F">
      <w:pPr>
        <w:spacing w:line="480" w:lineRule="auto"/>
        <w:ind w:firstLine="720"/>
        <w:rPr>
          <w:rFonts w:ascii="TimesNewRomanPSMT" w:hAnsi="TimesNewRomanPSMT" w:cs="TimesNewRomanPSMT"/>
        </w:rPr>
      </w:pPr>
      <w:r>
        <w:rPr>
          <w:rFonts w:ascii="TimesNewRomanPSMT" w:hAnsi="TimesNewRomanPSMT" w:cs="TimesNewRomanPSMT"/>
        </w:rPr>
        <w:t>Serial dentine analysis has more commonly been used on 18</w:t>
      </w:r>
      <w:r>
        <w:rPr>
          <w:rFonts w:ascii="TimesNewRomanPSMT" w:hAnsi="TimesNewRomanPSMT" w:cs="TimesNewRomanPSMT"/>
          <w:vertAlign w:val="superscript"/>
        </w:rPr>
        <w:t xml:space="preserve">th </w:t>
      </w:r>
      <w:r>
        <w:rPr>
          <w:rFonts w:ascii="TimesNewRomanPSMT" w:hAnsi="TimesNewRomanPSMT" w:cs="TimesNewRomanPSMT"/>
        </w:rPr>
        <w:t>and 19</w:t>
      </w:r>
      <w:r>
        <w:rPr>
          <w:rFonts w:ascii="TimesNewRomanPSMT" w:hAnsi="TimesNewRomanPSMT" w:cs="TimesNewRomanPSMT"/>
          <w:vertAlign w:val="superscript"/>
        </w:rPr>
        <w:t>th</w:t>
      </w:r>
      <w:r>
        <w:rPr>
          <w:rFonts w:ascii="TimesNewRomanPSMT" w:hAnsi="TimesNewRomanPSMT" w:cs="TimesNewRomanPSMT"/>
        </w:rPr>
        <w:t xml:space="preserve"> centuries populations (e.g. Beaumont and Montgomery 2015; Beaumont et al. 2014; Henderson et al. 2014), </w:t>
      </w:r>
      <w:r w:rsidR="00A37C5C">
        <w:t>and</w:t>
      </w:r>
      <w:r>
        <w:t xml:space="preserve"> variation in breastfeeding and weaning patterns have also been noted in these studies. For instance, Smith</w:t>
      </w:r>
      <w:r w:rsidR="00140A30">
        <w:t>’s</w:t>
      </w:r>
      <w:r>
        <w:t xml:space="preserve"> (2018) study on subadults buried in a nineteenth century cemetery in Madrid, Spain, found a modest correlation in δ</w:t>
      </w:r>
      <w:r>
        <w:rPr>
          <w:vertAlign w:val="superscript"/>
        </w:rPr>
        <w:t>15</w:t>
      </w:r>
      <w:r>
        <w:t xml:space="preserve">N values between all individuals with significant scatter of stable isotope data suggesting flexibility in both breastfeeding and weaning. </w:t>
      </w:r>
      <w:r w:rsidR="00140A30">
        <w:t>Similar results were also reported</w:t>
      </w:r>
      <w:r>
        <w:t xml:space="preserve"> by Henderson and colleagues (2014) who found that </w:t>
      </w:r>
      <w:r>
        <w:rPr>
          <w:rFonts w:ascii="TimesNewRomanPSMT" w:hAnsi="TimesNewRomanPSMT" w:cs="TimesNewRomanPSMT"/>
        </w:rPr>
        <w:t>δ</w:t>
      </w:r>
      <w:r>
        <w:rPr>
          <w:rFonts w:ascii="TimesNewRomanPSMT" w:hAnsi="TimesNewRomanPSMT" w:cs="TimesNewRomanPSMT"/>
          <w:position w:val="10"/>
          <w:sz w:val="16"/>
          <w:szCs w:val="16"/>
        </w:rPr>
        <w:t>15</w:t>
      </w:r>
      <w:r>
        <w:rPr>
          <w:rFonts w:ascii="TimesNewRomanPSMT" w:hAnsi="TimesNewRomanPSMT" w:cs="TimesNewRomanPSMT"/>
        </w:rPr>
        <w:t>N values</w:t>
      </w:r>
      <w:r w:rsidR="006341B9">
        <w:rPr>
          <w:rFonts w:ascii="TimesNewRomanPSMT" w:hAnsi="TimesNewRomanPSMT" w:cs="TimesNewRomanPSMT"/>
        </w:rPr>
        <w:t xml:space="preserve"> between individuals</w:t>
      </w:r>
      <w:r>
        <w:rPr>
          <w:rFonts w:ascii="TimesNewRomanPSMT" w:hAnsi="TimesNewRomanPSMT" w:cs="TimesNewRomanPSMT"/>
        </w:rPr>
        <w:t xml:space="preserve"> were most variable in the first years of life </w:t>
      </w:r>
      <w:r w:rsidR="006341B9">
        <w:rPr>
          <w:rFonts w:ascii="TimesNewRomanPSMT" w:hAnsi="TimesNewRomanPSMT" w:cs="TimesNewRomanPSMT"/>
        </w:rPr>
        <w:t xml:space="preserve">(especially up to 2 years of age) </w:t>
      </w:r>
      <w:r>
        <w:rPr>
          <w:rFonts w:ascii="TimesNewRomanPSMT" w:hAnsi="TimesNewRomanPSMT" w:cs="TimesNewRomanPSMT"/>
        </w:rPr>
        <w:t>from 18</w:t>
      </w:r>
      <w:r>
        <w:rPr>
          <w:rFonts w:ascii="TimesNewRomanPSMT" w:hAnsi="TimesNewRomanPSMT" w:cs="TimesNewRomanPSMT"/>
          <w:vertAlign w:val="superscript"/>
        </w:rPr>
        <w:t>th</w:t>
      </w:r>
      <w:r>
        <w:rPr>
          <w:rFonts w:ascii="TimesNewRomanPSMT" w:hAnsi="TimesNewRomanPSMT" w:cs="TimesNewRomanPSMT"/>
        </w:rPr>
        <w:t xml:space="preserve"> and 19</w:t>
      </w:r>
      <w:r>
        <w:rPr>
          <w:rFonts w:ascii="TimesNewRomanPSMT" w:hAnsi="TimesNewRomanPSMT" w:cs="TimesNewRomanPSMT"/>
          <w:vertAlign w:val="superscript"/>
        </w:rPr>
        <w:t>th</w:t>
      </w:r>
      <w:r>
        <w:rPr>
          <w:rFonts w:ascii="TimesNewRomanPSMT" w:hAnsi="TimesNewRomanPSMT" w:cs="TimesNewRomanPSMT"/>
        </w:rPr>
        <w:t xml:space="preserve"> century London. Hence, the findings discussed here, along with these other examples, highlight the importance of studying weaning at an individual level as population level analyses </w:t>
      </w:r>
      <w:r w:rsidR="009152A1">
        <w:rPr>
          <w:rFonts w:ascii="TimesNewRomanPSMT" w:hAnsi="TimesNewRomanPSMT" w:cs="TimesNewRomanPSMT"/>
        </w:rPr>
        <w:t xml:space="preserve">may </w:t>
      </w:r>
      <w:r>
        <w:rPr>
          <w:rFonts w:ascii="TimesNewRomanPSMT" w:hAnsi="TimesNewRomanPSMT" w:cs="TimesNewRomanPSMT"/>
        </w:rPr>
        <w:t>mask these distinct variations.</w:t>
      </w:r>
    </w:p>
    <w:p w14:paraId="3E1AC5F6" w14:textId="77777777" w:rsidR="0066360F" w:rsidRDefault="0066360F" w:rsidP="0066360F">
      <w:pPr>
        <w:ind w:firstLine="720"/>
        <w:rPr>
          <w:rFonts w:ascii="TimesNewRomanPSMT" w:hAnsi="TimesNewRomanPSMT" w:cs="TimesNewRomanPSMT"/>
        </w:rPr>
      </w:pPr>
    </w:p>
    <w:p w14:paraId="24294B81" w14:textId="05E17E2E" w:rsidR="0066360F" w:rsidRDefault="0066360F" w:rsidP="0066360F">
      <w:pPr>
        <w:pStyle w:val="NormalWeb"/>
        <w:spacing w:line="480" w:lineRule="auto"/>
        <w:ind w:firstLine="720"/>
        <w:rPr>
          <w:color w:val="000000" w:themeColor="text1"/>
        </w:rPr>
      </w:pPr>
      <w:r>
        <w:t>In this study, δ</w:t>
      </w:r>
      <w:r>
        <w:rPr>
          <w:vertAlign w:val="superscript"/>
        </w:rPr>
        <w:t>15</w:t>
      </w:r>
      <w:r>
        <w:t xml:space="preserve">N values obtained from the first increment of dentine – closest to the EDJ and representing the earliest stable isotope evidence – for both deciduous (ranging from 11.4 – 16.1‰, with an average value of 13.4 </w:t>
      </w:r>
      <w:r>
        <w:rPr>
          <w:color w:val="000000" w:themeColor="text1"/>
        </w:rPr>
        <w:t>± 1.5</w:t>
      </w:r>
      <w:r>
        <w:t xml:space="preserve">‰) and permanent teeth (ranging from 8.8 – 12.3‰, with an average value of 10.1 </w:t>
      </w:r>
      <w:r>
        <w:rPr>
          <w:color w:val="000000" w:themeColor="text1"/>
        </w:rPr>
        <w:t xml:space="preserve">± 1.1‰) reveal variability. Before elaborating on possible explanations for this apparent disparity, it should be noted that the first increment of dentine does not represent the same age range for all </w:t>
      </w:r>
      <w:r>
        <w:rPr>
          <w:color w:val="000000" w:themeColor="text1"/>
        </w:rPr>
        <w:lastRenderedPageBreak/>
        <w:t>individuals. For instance, within subadults, the first increment of dentine sampled for T12 (Fig. 5.12), represents a mean age of 2 years, meanwhile, for</w:t>
      </w:r>
      <w:r>
        <w:rPr>
          <w:i/>
          <w:color w:val="000000" w:themeColor="text1"/>
        </w:rPr>
        <w:t xml:space="preserve"> </w:t>
      </w:r>
      <w:r>
        <w:rPr>
          <w:color w:val="000000" w:themeColor="text1"/>
        </w:rPr>
        <w:t xml:space="preserve">T11 (Fig. 5.11) the first increment represents a mean age of 0.5 years. Accordingly, the variability in </w:t>
      </w:r>
      <w:r>
        <w:t>δ</w:t>
      </w:r>
      <w:r>
        <w:rPr>
          <w:vertAlign w:val="superscript"/>
        </w:rPr>
        <w:t>15</w:t>
      </w:r>
      <w:r>
        <w:t>N values for the first dentine increment is partly due to differences in the mean age associated with the serial sample. Still, individuals with first dentine increment that represent similar mean ages also exhibit heterogeneity in δ</w:t>
      </w:r>
      <w:r>
        <w:rPr>
          <w:vertAlign w:val="superscript"/>
        </w:rPr>
        <w:t>15</w:t>
      </w:r>
      <w:r>
        <w:t>N values. This can be seen between T8 (Fig. 5.8) and T9 (Fig. 5.9) who present first dentine increments associated with mean ages of 5 and 5.8 months, respectively, yet they display δ</w:t>
      </w:r>
      <w:r>
        <w:rPr>
          <w:vertAlign w:val="superscript"/>
        </w:rPr>
        <w:t>15</w:t>
      </w:r>
      <w:r>
        <w:t>N values that have a difference by 4.2‰; indicating that there are other causes for this disparity that are not associated with age. Since the earliest forming dentine</w:t>
      </w:r>
      <w:r w:rsidR="00D727AD">
        <w:t xml:space="preserve"> in decid</w:t>
      </w:r>
      <w:r w:rsidR="001E39F5">
        <w:t>uous teeth</w:t>
      </w:r>
      <w:r>
        <w:t xml:space="preserve"> will include some tissue that was deposited in utero, this variability may reflect a wider range of maternal δ</w:t>
      </w:r>
      <w:r>
        <w:rPr>
          <w:vertAlign w:val="superscript"/>
        </w:rPr>
        <w:t>15</w:t>
      </w:r>
      <w:r>
        <w:t>N</w:t>
      </w:r>
      <w:r>
        <w:rPr>
          <w:color w:val="000000" w:themeColor="text1"/>
        </w:rPr>
        <w:t xml:space="preserve"> values or in other words a wider range of maternal diet. This trend was noted by Beaumont and colleagues (2015b) who also found a wide range of </w:t>
      </w:r>
      <w:r>
        <w:t>δ</w:t>
      </w:r>
      <w:r>
        <w:rPr>
          <w:vertAlign w:val="superscript"/>
        </w:rPr>
        <w:t>15</w:t>
      </w:r>
      <w:r>
        <w:t>N</w:t>
      </w:r>
      <w:r>
        <w:rPr>
          <w:color w:val="000000" w:themeColor="text1"/>
        </w:rPr>
        <w:t xml:space="preserve"> values measured in the first increment of dentine from both permanent and deciduous teeth interred at the 19</w:t>
      </w:r>
      <w:r>
        <w:rPr>
          <w:color w:val="000000" w:themeColor="text1"/>
          <w:vertAlign w:val="superscript"/>
        </w:rPr>
        <w:t>th</w:t>
      </w:r>
      <w:r>
        <w:rPr>
          <w:color w:val="000000" w:themeColor="text1"/>
        </w:rPr>
        <w:t xml:space="preserve"> century Lukin Street cemetery in London. </w:t>
      </w:r>
      <w:r>
        <w:t xml:space="preserve">For adult teeth in this study, there is a similar variability in the earliest/first </w:t>
      </w:r>
      <w:r>
        <w:rPr>
          <w:rFonts w:ascii="TimesNewRomanPSMT" w:hAnsi="TimesNewRomanPSMT" w:cs="TimesNewRomanPSMT"/>
        </w:rPr>
        <w:t>δ</w:t>
      </w:r>
      <w:r>
        <w:rPr>
          <w:rFonts w:ascii="TimesNewRomanPSMT" w:hAnsi="TimesNewRomanPSMT" w:cs="TimesNewRomanPSMT"/>
          <w:position w:val="10"/>
          <w:sz w:val="16"/>
          <w:szCs w:val="16"/>
        </w:rPr>
        <w:t>15</w:t>
      </w:r>
      <w:r>
        <w:rPr>
          <w:rFonts w:ascii="TimesNewRomanPSMT" w:hAnsi="TimesNewRomanPSMT" w:cs="TimesNewRomanPSMT"/>
        </w:rPr>
        <w:t xml:space="preserve">N </w:t>
      </w:r>
      <w:r w:rsidR="008F1B26">
        <w:rPr>
          <w:rFonts w:ascii="TimesNewRomanPSMT" w:hAnsi="TimesNewRomanPSMT" w:cs="TimesNewRomanPSMT"/>
        </w:rPr>
        <w:t xml:space="preserve">incremental </w:t>
      </w:r>
      <w:r>
        <w:rPr>
          <w:rFonts w:ascii="TimesNewRomanPSMT" w:hAnsi="TimesNewRomanPSMT" w:cs="TimesNewRomanPSMT"/>
        </w:rPr>
        <w:t>values which represent later childhood diet (</w:t>
      </w:r>
      <w:r>
        <w:t xml:space="preserve">~ 2.9 years of age). This variation is not necessarily reflective of maternal diet but of the different phases of transitional feeding along with flexibility in post-weaning diet which is further discussed in </w:t>
      </w:r>
      <w:r w:rsidR="00C80A2E">
        <w:t>S</w:t>
      </w:r>
      <w:r>
        <w:t>ection</w:t>
      </w:r>
      <w:r w:rsidR="00C80A2E">
        <w:t>s</w:t>
      </w:r>
      <w:r>
        <w:t xml:space="preserve"> </w:t>
      </w:r>
      <w:r>
        <w:rPr>
          <w:color w:val="000000" w:themeColor="text1"/>
        </w:rPr>
        <w:t xml:space="preserve">6.2.3 and 6.2.4. </w:t>
      </w:r>
    </w:p>
    <w:p w14:paraId="5F42653C" w14:textId="77777777" w:rsidR="0066360F" w:rsidRDefault="0066360F" w:rsidP="0066360F">
      <w:pPr>
        <w:pStyle w:val="NormalWeb"/>
        <w:ind w:firstLine="720"/>
      </w:pPr>
    </w:p>
    <w:p w14:paraId="113292AE" w14:textId="55C7F3CD" w:rsidR="0066360F" w:rsidRDefault="0066360F" w:rsidP="0066360F">
      <w:pPr>
        <w:pStyle w:val="NormalWeb"/>
        <w:spacing w:line="480" w:lineRule="auto"/>
        <w:ind w:firstLine="720"/>
      </w:pPr>
      <w:r>
        <w:t xml:space="preserve">The onset age of weaning also appears to be </w:t>
      </w:r>
      <w:r w:rsidR="008F1B26">
        <w:t xml:space="preserve">inconsistent </w:t>
      </w:r>
      <w:r>
        <w:t xml:space="preserve">throughout the Iron Age samples analysed in this thesis. As adult teeth (first permanent molars and incisors) exhibit heavy dental wear, the earliest formed dentine could not be retrieved; hence, the </w:t>
      </w:r>
      <w:r>
        <w:lastRenderedPageBreak/>
        <w:t xml:space="preserve">age at which weaning began could only be assessed in subadult individuals. Most subadult individuals (n=9) provided earlier isotopic data from within the first year of life. While the individual subadult profiles provide a unique and rich insight into the variation seen in early feeding practices, the data collected here can also be used to examine general trends in weaning. On average, the process of weaning began around </w:t>
      </w:r>
      <w:bookmarkStart w:id="7" w:name="OLE_LINK3"/>
      <w:r>
        <w:t>8 ± 3.4 months</w:t>
      </w:r>
      <w:bookmarkEnd w:id="7"/>
      <w:r>
        <w:t xml:space="preserve">, but showing a great deal of variability, ranging from 4.9 – 15.5 months. </w:t>
      </w:r>
    </w:p>
    <w:p w14:paraId="5C31D58E" w14:textId="77777777" w:rsidR="0066360F" w:rsidRDefault="0066360F" w:rsidP="00075A1C">
      <w:pPr>
        <w:pStyle w:val="NormalWeb"/>
        <w:ind w:firstLine="720"/>
      </w:pPr>
    </w:p>
    <w:p w14:paraId="233439F5" w14:textId="00021623" w:rsidR="0066360F" w:rsidRDefault="0066360F" w:rsidP="00075A1C">
      <w:pPr>
        <w:pStyle w:val="NormalWeb"/>
        <w:spacing w:line="480" w:lineRule="auto"/>
        <w:ind w:firstLine="720"/>
      </w:pPr>
      <w:r>
        <w:t>Likewise, weaning cessation also appears to be flexible in this sample. Since adult teeth present isotopic values associated with later ages (i.e. past 3 years), they can more accurately inform researchers of weaning cessation. This is because</w:t>
      </w:r>
      <w:r w:rsidR="00891225">
        <w:t xml:space="preserve"> the roots of</w:t>
      </w:r>
      <w:r>
        <w:t xml:space="preserve"> deciduous molars completely form by 3 to 3.5 years of age, at which point most δ</w:t>
      </w:r>
      <w:r>
        <w:rPr>
          <w:vertAlign w:val="superscript"/>
        </w:rPr>
        <w:t>15</w:t>
      </w:r>
      <w:r>
        <w:t xml:space="preserve">N profiles are still </w:t>
      </w:r>
      <w:r>
        <w:rPr>
          <w:color w:val="000000" w:themeColor="text1"/>
        </w:rPr>
        <w:t xml:space="preserve">declining. </w:t>
      </w:r>
      <w:r>
        <w:t>In order to precisely assess the timing of weaning completion, a plateau in δ</w:t>
      </w:r>
      <w:r>
        <w:rPr>
          <w:vertAlign w:val="superscript"/>
        </w:rPr>
        <w:t>15</w:t>
      </w:r>
      <w:r>
        <w:t>N values should be recorded; when dealing with a short time span (i.e. the first 3.5 years of life), weaning would have to be completed well before deciduous teeth are entirely formed, so that plateauing of δ</w:t>
      </w:r>
      <w:r>
        <w:rPr>
          <w:vertAlign w:val="superscript"/>
        </w:rPr>
        <w:t>15</w:t>
      </w:r>
      <w:r>
        <w:t xml:space="preserve">N values is discernible. Most subadult teeth (n = 10) demonstrate </w:t>
      </w:r>
      <w:r>
        <w:rPr>
          <w:color w:val="000000" w:themeColor="text1"/>
        </w:rPr>
        <w:t>variability in δ</w:t>
      </w:r>
      <w:r>
        <w:rPr>
          <w:color w:val="000000" w:themeColor="text1"/>
          <w:vertAlign w:val="superscript"/>
        </w:rPr>
        <w:t>15</w:t>
      </w:r>
      <w:r>
        <w:rPr>
          <w:color w:val="000000" w:themeColor="text1"/>
        </w:rPr>
        <w:t xml:space="preserve">N values between the later/last consecutive dentine sections rather than consistency or plateauing, making it difficult to precisely estimate weaning cessation. </w:t>
      </w:r>
      <w:r w:rsidR="00075A1C">
        <w:rPr>
          <w:color w:val="000000" w:themeColor="text1"/>
        </w:rPr>
        <w:t xml:space="preserve">Samples </w:t>
      </w:r>
      <w:r w:rsidR="00075A1C" w:rsidRPr="00075A1C">
        <w:rPr>
          <w:color w:val="000000" w:themeColor="text1"/>
        </w:rPr>
        <w:t xml:space="preserve">in </w:t>
      </w:r>
      <w:r w:rsidR="00E40711" w:rsidRPr="00075A1C">
        <w:rPr>
          <w:color w:val="000000" w:themeColor="text1"/>
        </w:rPr>
        <w:t>Smith (2018)</w:t>
      </w:r>
      <w:r w:rsidR="00075A1C" w:rsidRPr="00075A1C">
        <w:rPr>
          <w:color w:val="000000" w:themeColor="text1"/>
        </w:rPr>
        <w:t>’s study</w:t>
      </w:r>
      <w:r w:rsidR="00E40711" w:rsidRPr="00075A1C">
        <w:rPr>
          <w:color w:val="000000" w:themeColor="text1"/>
        </w:rPr>
        <w:t xml:space="preserve"> </w:t>
      </w:r>
      <w:r w:rsidR="00075A1C" w:rsidRPr="00075A1C">
        <w:rPr>
          <w:color w:val="000000" w:themeColor="text1"/>
        </w:rPr>
        <w:t>also</w:t>
      </w:r>
      <w:r w:rsidR="00075A1C">
        <w:rPr>
          <w:color w:val="000000" w:themeColor="text1"/>
        </w:rPr>
        <w:t xml:space="preserve"> demonstrated a lack of consistency in the later consecutive dentine sections leading the author to conclude that individuals </w:t>
      </w:r>
      <w:r w:rsidR="002F3006">
        <w:rPr>
          <w:color w:val="000000" w:themeColor="text1"/>
        </w:rPr>
        <w:t xml:space="preserve">either </w:t>
      </w:r>
      <w:r w:rsidR="00075A1C">
        <w:rPr>
          <w:color w:val="000000" w:themeColor="text1"/>
        </w:rPr>
        <w:t>died during the weaning process</w:t>
      </w:r>
      <w:r w:rsidR="002F3006">
        <w:rPr>
          <w:color w:val="000000" w:themeColor="text1"/>
        </w:rPr>
        <w:t xml:space="preserve"> or were weaned prior to 3 years </w:t>
      </w:r>
      <w:r w:rsidR="00757109">
        <w:rPr>
          <w:color w:val="000000" w:themeColor="text1"/>
        </w:rPr>
        <w:t xml:space="preserve">of age, </w:t>
      </w:r>
      <w:r w:rsidR="002F3006">
        <w:rPr>
          <w:color w:val="000000" w:themeColor="text1"/>
        </w:rPr>
        <w:t xml:space="preserve">depending on the </w:t>
      </w:r>
      <w:r w:rsidR="00757109" w:rsidRPr="00757109">
        <w:rPr>
          <w:color w:val="000000" w:themeColor="text1"/>
        </w:rPr>
        <w:t>magnitude of decrease in both δ</w:t>
      </w:r>
      <w:r w:rsidR="00757109" w:rsidRPr="00757109">
        <w:rPr>
          <w:color w:val="000000" w:themeColor="text1"/>
          <w:vertAlign w:val="superscript"/>
        </w:rPr>
        <w:t>13</w:t>
      </w:r>
      <w:r w:rsidR="00757109" w:rsidRPr="00757109">
        <w:rPr>
          <w:color w:val="000000" w:themeColor="text1"/>
        </w:rPr>
        <w:t>C and δ</w:t>
      </w:r>
      <w:r w:rsidR="00757109" w:rsidRPr="00757109">
        <w:rPr>
          <w:color w:val="000000" w:themeColor="text1"/>
          <w:vertAlign w:val="superscript"/>
        </w:rPr>
        <w:t>15</w:t>
      </w:r>
      <w:r w:rsidR="00757109" w:rsidRPr="00757109">
        <w:rPr>
          <w:color w:val="000000" w:themeColor="text1"/>
        </w:rPr>
        <w:t>N values</w:t>
      </w:r>
      <w:r w:rsidR="00075A1C">
        <w:rPr>
          <w:color w:val="000000" w:themeColor="text1"/>
        </w:rPr>
        <w:t xml:space="preserve">. </w:t>
      </w:r>
      <w:r>
        <w:rPr>
          <w:color w:val="000000" w:themeColor="text1"/>
        </w:rPr>
        <w:t>With that said, these</w:t>
      </w:r>
      <w:r w:rsidR="00DD70FB">
        <w:rPr>
          <w:color w:val="000000" w:themeColor="text1"/>
        </w:rPr>
        <w:t xml:space="preserve"> Iron Age</w:t>
      </w:r>
      <w:r>
        <w:rPr>
          <w:color w:val="000000" w:themeColor="text1"/>
        </w:rPr>
        <w:t xml:space="preserve"> subadults show a weaning associated </w:t>
      </w:r>
      <w:r>
        <w:t xml:space="preserve">trophic-level decline (~3‰) in </w:t>
      </w:r>
      <w:r>
        <w:rPr>
          <w:color w:val="000000" w:themeColor="text1"/>
        </w:rPr>
        <w:t>δ</w:t>
      </w:r>
      <w:r>
        <w:rPr>
          <w:color w:val="000000" w:themeColor="text1"/>
          <w:vertAlign w:val="superscript"/>
        </w:rPr>
        <w:t>15</w:t>
      </w:r>
      <w:r>
        <w:rPr>
          <w:color w:val="000000" w:themeColor="text1"/>
        </w:rPr>
        <w:t>N values</w:t>
      </w:r>
      <w:r>
        <w:t>, which can be used to estimate weaning completion</w:t>
      </w:r>
      <w:r w:rsidR="00075A1C">
        <w:t xml:space="preserve"> (King et al. 2017)</w:t>
      </w:r>
      <w:r>
        <w:t xml:space="preserve">. Based only </w:t>
      </w:r>
      <w:r>
        <w:lastRenderedPageBreak/>
        <w:t>on stable nitrogen isotope decline the average age of weaning completion is 2.3 ± 0.8 years for subadults, with a range of 1.1 to 3.2 years. Individuals T3 (Figure 5.3) and T12 (Figure 5.12) are exception</w:t>
      </w:r>
      <w:r w:rsidR="00DD70FB">
        <w:t>s</w:t>
      </w:r>
      <w:r>
        <w:t xml:space="preserve"> as they present isotopic data representing later stages of life. For T3 weaning </w:t>
      </w:r>
      <w:r w:rsidR="00DD70FB">
        <w:t xml:space="preserve">was complete </w:t>
      </w:r>
      <w:r>
        <w:t xml:space="preserve">prior to 2.8 years, while T12 demonstrates that </w:t>
      </w:r>
      <w:r w:rsidR="00DD70FB">
        <w:t>weaning ceased</w:t>
      </w:r>
      <w:r>
        <w:t xml:space="preserve"> by 3.6 years. Based on the adult individuals (n = 6), weaning appears to be completed on average by 4 years of age, which is supported by the leveling of </w:t>
      </w:r>
      <w:r w:rsidR="00DD70FB">
        <w:rPr>
          <w:color w:val="000000" w:themeColor="text1"/>
        </w:rPr>
        <w:t>δ</w:t>
      </w:r>
      <w:r w:rsidR="00DD70FB">
        <w:rPr>
          <w:color w:val="000000" w:themeColor="text1"/>
          <w:vertAlign w:val="superscript"/>
        </w:rPr>
        <w:t>15</w:t>
      </w:r>
      <w:r w:rsidR="00DD70FB">
        <w:rPr>
          <w:color w:val="000000" w:themeColor="text1"/>
        </w:rPr>
        <w:t>N</w:t>
      </w:r>
      <w:r w:rsidR="00DD70FB" w:rsidDel="00DD70FB">
        <w:t xml:space="preserve"> </w:t>
      </w:r>
      <w:r>
        <w:t xml:space="preserve">values. From </w:t>
      </w:r>
      <w:r w:rsidR="00DD70FB">
        <w:t xml:space="preserve">these </w:t>
      </w:r>
      <w:r>
        <w:t>data it can be seen that adult teeth show later cessation of weaning in comparison to weaning inferred through subadult teeth; this distinction may impact survivorship as prolonged immunological benefits of breastmilk may allow individuals to live into adulthood. However, this difference may also be reflective of the inability of deciduous teeth to record diet past 3 – 3.5 years</w:t>
      </w:r>
      <w:r w:rsidR="00A70E15">
        <w:t xml:space="preserve"> of age and later stages of weaning.</w:t>
      </w:r>
    </w:p>
    <w:p w14:paraId="25A02C5F" w14:textId="77777777" w:rsidR="0066360F" w:rsidRDefault="0066360F" w:rsidP="0066360F">
      <w:pPr>
        <w:pStyle w:val="NormalWeb"/>
        <w:ind w:firstLine="720"/>
      </w:pPr>
    </w:p>
    <w:p w14:paraId="0CD2ED1D" w14:textId="77777777" w:rsidR="0066360F" w:rsidRPr="00075A1C" w:rsidRDefault="0066360F" w:rsidP="0066360F">
      <w:pPr>
        <w:spacing w:line="480" w:lineRule="auto"/>
      </w:pPr>
      <w:r w:rsidRPr="00075A1C">
        <w:t>6.2.2 Relationship between weaning behaviour and mortality</w:t>
      </w:r>
    </w:p>
    <w:p w14:paraId="12DF38A5" w14:textId="77777777" w:rsidR="0066360F" w:rsidRDefault="0066360F" w:rsidP="0066360F">
      <w:pPr>
        <w:rPr>
          <w:i/>
        </w:rPr>
      </w:pPr>
    </w:p>
    <w:p w14:paraId="188CD3E2" w14:textId="1626B49F" w:rsidR="0066360F" w:rsidRDefault="0066360F" w:rsidP="0066360F">
      <w:pPr>
        <w:spacing w:line="480" w:lineRule="auto"/>
        <w:ind w:firstLine="720"/>
      </w:pPr>
      <w:r>
        <w:t>It is well-established that infant and childhood mortality are strongly linked to breastfeeding duration and the quality of supplementary diet, as well as the balance between declining immunological benefits of breastmilk and increasing exposure to environmental pathogens, making weaning a precarious life</w:t>
      </w:r>
      <w:r w:rsidR="001159C9">
        <w:t xml:space="preserve">course </w:t>
      </w:r>
      <w:r>
        <w:t xml:space="preserve">transition (Katzenberg et al. 1996). This association between weaning and mortality has led many researchers to investigate past weaning behaviours through stable isotope analysis of bone collagen (e.g., Williams et al. 2005; </w:t>
      </w:r>
      <w:r w:rsidR="00013B07">
        <w:t xml:space="preserve">Clayton et al. 2006; </w:t>
      </w:r>
      <w:r>
        <w:t xml:space="preserve">Dupras </w:t>
      </w:r>
      <w:r w:rsidR="00A83A77">
        <w:t>&amp;</w:t>
      </w:r>
      <w:r>
        <w:t xml:space="preserve"> Tocheri 2007; Jay et al. 2008; Nitsch et al. 2011). </w:t>
      </w:r>
      <w:r w:rsidR="00145D75">
        <w:t>Still</w:t>
      </w:r>
      <w:r>
        <w:t xml:space="preserve">, there is a particular risk in reconstructing a population’s weaning behaviour from individuals </w:t>
      </w:r>
      <w:r w:rsidR="00943D0F">
        <w:t>who</w:t>
      </w:r>
      <w:r>
        <w:t xml:space="preserve"> died during exclusive breastfeeding or transitional </w:t>
      </w:r>
      <w:r>
        <w:lastRenderedPageBreak/>
        <w:t xml:space="preserve">feeding due to selective mortality (Katzenberg et al. 1996). Selective mortality refers to the fact that skeletal samples </w:t>
      </w:r>
      <w:r w:rsidR="006341B9">
        <w:t>consist of</w:t>
      </w:r>
      <w:r>
        <w:t xml:space="preserve"> deceased individuals or individuals who did not survive, ultimately depicting an inaccurate representation of the living population at any given age. This effect is even more heightened when analyzing infants and young children who typically face higher mortality. Thus, dental tissues obtained from adults provide a means to reconstruct weaning behaviours of individuals who survived the process, as tooth enamel and primary dentine do not turn over to reflect dietary or physiological information from later in life (Gage et al.</w:t>
      </w:r>
      <w:r w:rsidR="00A83A77">
        <w:t xml:space="preserve"> </w:t>
      </w:r>
      <w:r>
        <w:t>1989).</w:t>
      </w:r>
    </w:p>
    <w:p w14:paraId="6DA93295" w14:textId="77777777" w:rsidR="0066360F" w:rsidRDefault="0066360F" w:rsidP="0066360F">
      <w:pPr>
        <w:rPr>
          <w:i/>
        </w:rPr>
      </w:pPr>
    </w:p>
    <w:p w14:paraId="7CCE33CE" w14:textId="28A35811" w:rsidR="00A66136" w:rsidRDefault="0066360F" w:rsidP="00A66136">
      <w:pPr>
        <w:spacing w:line="480" w:lineRule="auto"/>
        <w:ind w:firstLine="720"/>
      </w:pPr>
      <w:r>
        <w:t xml:space="preserve">Both subadult and adult individuals were grouped as survivors and non-survivors of weaning in </w:t>
      </w:r>
      <w:r w:rsidR="00C80A2E">
        <w:t>S</w:t>
      </w:r>
      <w:r>
        <w:t xml:space="preserve">ection 5.5 based on weaning completion by 4 years at the latest (as presented by adult teeth). Comparisons between weaning practices of survivors and non-survivors (subadults who were 4 years old or younger at the time of death) in the Iron Age samples revealed that individuals who died during the breastfeeding or weaning process had </w:t>
      </w:r>
      <w:r w:rsidR="00E37EB3">
        <w:t xml:space="preserve">slightly </w:t>
      </w:r>
      <w:r>
        <w:t xml:space="preserve">higher </w:t>
      </w:r>
      <w:r>
        <w:sym w:font="Symbol" w:char="F064"/>
      </w:r>
      <w:r>
        <w:rPr>
          <w:vertAlign w:val="superscript"/>
        </w:rPr>
        <w:t>15</w:t>
      </w:r>
      <w:r>
        <w:t>N values</w:t>
      </w:r>
      <w:r w:rsidR="00E37EB3">
        <w:t xml:space="preserve"> (1.0‰)</w:t>
      </w:r>
      <w:r>
        <w:t xml:space="preserve"> within the first </w:t>
      </w:r>
      <w:r w:rsidR="00E37EB3">
        <w:t xml:space="preserve">six months </w:t>
      </w:r>
      <w:r>
        <w:t>of life</w:t>
      </w:r>
      <w:r w:rsidR="00E37EB3">
        <w:t xml:space="preserve">. There were not enough data for survivors in the 6 to 12-month range, so the 3.5‰ </w:t>
      </w:r>
      <w:r w:rsidR="009F1664">
        <w:t>decline</w:t>
      </w:r>
      <w:r w:rsidR="00E37EB3">
        <w:t xml:space="preserve"> noted</w:t>
      </w:r>
      <w:r w:rsidR="00DD70FB">
        <w:t xml:space="preserve"> in this age range</w:t>
      </w:r>
      <w:r w:rsidR="00E37EB3">
        <w:t xml:space="preserve"> is likely due to sample size (see </w:t>
      </w:r>
      <w:r w:rsidR="00A91D27">
        <w:t>Section 5.5</w:t>
      </w:r>
      <w:r w:rsidR="00E37EB3">
        <w:t>). A</w:t>
      </w:r>
      <w:r>
        <w:t xml:space="preserve">fter </w:t>
      </w:r>
      <w:r w:rsidR="00E37EB3">
        <w:t xml:space="preserve">the first year, </w:t>
      </w:r>
      <w:r>
        <w:t xml:space="preserve">the </w:t>
      </w:r>
      <w:r>
        <w:sym w:font="Symbol" w:char="F064"/>
      </w:r>
      <w:r>
        <w:rPr>
          <w:vertAlign w:val="superscript"/>
        </w:rPr>
        <w:t>15</w:t>
      </w:r>
      <w:r>
        <w:t>N values between the two groups become less variable</w:t>
      </w:r>
      <w:r w:rsidR="00A66136">
        <w:t>, while, d</w:t>
      </w:r>
      <w:r>
        <w:t xml:space="preserve">elta </w:t>
      </w:r>
      <w:r>
        <w:rPr>
          <w:vertAlign w:val="superscript"/>
        </w:rPr>
        <w:t>13</w:t>
      </w:r>
      <w:r>
        <w:t xml:space="preserve">C values were relatively similar between the two groups throughout the ages. </w:t>
      </w:r>
    </w:p>
    <w:p w14:paraId="42E4C7F8" w14:textId="6D9D55D6" w:rsidR="00A66136" w:rsidRDefault="00A66136" w:rsidP="00A66136">
      <w:pPr>
        <w:ind w:firstLine="720"/>
      </w:pPr>
    </w:p>
    <w:p w14:paraId="0F0661C9" w14:textId="0DA66105" w:rsidR="0066360F" w:rsidRPr="00A66136" w:rsidRDefault="0066360F" w:rsidP="00A66136">
      <w:pPr>
        <w:spacing w:line="480" w:lineRule="auto"/>
        <w:ind w:firstLine="720"/>
      </w:pPr>
      <w:r>
        <w:t xml:space="preserve">Higher </w:t>
      </w:r>
      <w:r>
        <w:sym w:font="Symbol" w:char="F064"/>
      </w:r>
      <w:r>
        <w:rPr>
          <w:vertAlign w:val="superscript"/>
        </w:rPr>
        <w:t>15</w:t>
      </w:r>
      <w:r>
        <w:t xml:space="preserve">N values could suggest higher maternal </w:t>
      </w:r>
      <w:r>
        <w:sym w:font="Symbol" w:char="F064"/>
      </w:r>
      <w:r>
        <w:rPr>
          <w:vertAlign w:val="superscript"/>
        </w:rPr>
        <w:t>15</w:t>
      </w:r>
      <w:r>
        <w:t xml:space="preserve">N levels that were incorporated in utero and through exclusive breastfeeding, as it is unlikely that it could indicate a </w:t>
      </w:r>
      <w:r>
        <w:rPr>
          <w:vertAlign w:val="superscript"/>
        </w:rPr>
        <w:t>15</w:t>
      </w:r>
      <w:r>
        <w:t xml:space="preserve">N-enriched supplementary diet since infants would need to consume fish to </w:t>
      </w:r>
      <w:r>
        <w:lastRenderedPageBreak/>
        <w:t>obtain values as high as 14-16</w:t>
      </w:r>
      <w:r>
        <w:rPr>
          <w:lang w:val="en-US"/>
        </w:rPr>
        <w:t xml:space="preserve">‰. Further, </w:t>
      </w:r>
      <w:r w:rsidR="00E37EB3">
        <w:rPr>
          <w:lang w:val="en-US"/>
        </w:rPr>
        <w:t xml:space="preserve">the </w:t>
      </w:r>
      <w:r>
        <w:t xml:space="preserve">elevated </w:t>
      </w:r>
      <w:r>
        <w:sym w:font="Symbol" w:char="F064"/>
      </w:r>
      <w:r>
        <w:rPr>
          <w:vertAlign w:val="superscript"/>
        </w:rPr>
        <w:t>15</w:t>
      </w:r>
      <w:r>
        <w:t>N values and a lack of difference in δ</w:t>
      </w:r>
      <w:r>
        <w:rPr>
          <w:vertAlign w:val="superscript"/>
        </w:rPr>
        <w:t>13</w:t>
      </w:r>
      <w:r>
        <w:t xml:space="preserve">C values may be an indicator of illness or physiological stress amongst non-survivors. </w:t>
      </w:r>
      <w:r>
        <w:rPr>
          <w:lang w:val="en-US"/>
        </w:rPr>
        <w:t xml:space="preserve">Increase in </w:t>
      </w:r>
      <w:r>
        <w:t>δ</w:t>
      </w:r>
      <w:r>
        <w:rPr>
          <w:vertAlign w:val="superscript"/>
          <w:lang w:val="en-US"/>
        </w:rPr>
        <w:t>15</w:t>
      </w:r>
      <w:r>
        <w:rPr>
          <w:lang w:val="en-US"/>
        </w:rPr>
        <w:t xml:space="preserve">N values in relation to stress is produced by the body entering a state of tissue breaking or catabolism; without enough dietary protein, the body draws protein from its own tissues, where a second trophic level effect occurs resulting in higher </w:t>
      </w:r>
      <w:r>
        <w:t>δ</w:t>
      </w:r>
      <w:r>
        <w:rPr>
          <w:vertAlign w:val="superscript"/>
          <w:lang w:val="en-US"/>
        </w:rPr>
        <w:t>15</w:t>
      </w:r>
      <w:r>
        <w:rPr>
          <w:lang w:val="en-US"/>
        </w:rPr>
        <w:t xml:space="preserve">N values. Neuberger and colleagues (2013) proposed an increase by 0.17 – 1.93‰ in </w:t>
      </w:r>
      <w:r>
        <w:t>δ</w:t>
      </w:r>
      <w:r>
        <w:rPr>
          <w:vertAlign w:val="superscript"/>
          <w:lang w:val="en-US"/>
        </w:rPr>
        <w:t>15</w:t>
      </w:r>
      <w:r>
        <w:rPr>
          <w:lang w:val="en-US"/>
        </w:rPr>
        <w:t>N values of human hair, in cases of known malnourishment and starvation. This pattern has also been reaffirmed by incremental analysis of dentine from individuals associated with the 19</w:t>
      </w:r>
      <w:r>
        <w:rPr>
          <w:vertAlign w:val="superscript"/>
          <w:lang w:val="en-US"/>
        </w:rPr>
        <w:t>th</w:t>
      </w:r>
      <w:r>
        <w:rPr>
          <w:lang w:val="en-US"/>
        </w:rPr>
        <w:t xml:space="preserve"> century Great Irish Potato Famine (Beaumont &amp; Montgomery 2016). Hence, it is possible that </w:t>
      </w:r>
      <w:r w:rsidR="009D10D9">
        <w:rPr>
          <w:lang w:val="en-US"/>
        </w:rPr>
        <w:t xml:space="preserve">higher </w:t>
      </w:r>
      <w:r>
        <w:rPr>
          <w:lang w:val="en-US"/>
        </w:rPr>
        <w:t xml:space="preserve">stable nitrogen isotope values for non-survivors within the first year of life </w:t>
      </w:r>
      <w:r w:rsidR="00757109">
        <w:rPr>
          <w:lang w:val="en-US"/>
        </w:rPr>
        <w:t xml:space="preserve">may </w:t>
      </w:r>
      <w:r>
        <w:rPr>
          <w:lang w:val="en-US"/>
        </w:rPr>
        <w:t>suggest a period of stress</w:t>
      </w:r>
      <w:r w:rsidR="00757109">
        <w:rPr>
          <w:lang w:val="en-US"/>
        </w:rPr>
        <w:t xml:space="preserve">, although </w:t>
      </w:r>
      <w:r w:rsidR="00A70E15">
        <w:rPr>
          <w:lang w:val="en-US"/>
        </w:rPr>
        <w:t>since</w:t>
      </w:r>
      <w:r w:rsidR="00757109">
        <w:rPr>
          <w:lang w:val="en-US"/>
        </w:rPr>
        <w:t xml:space="preserve"> </w:t>
      </w:r>
      <w:r w:rsidR="00327765">
        <w:rPr>
          <w:lang w:val="en-US"/>
        </w:rPr>
        <w:t xml:space="preserve">the first year of life </w:t>
      </w:r>
      <w:r w:rsidR="00757109">
        <w:rPr>
          <w:lang w:val="en-US"/>
        </w:rPr>
        <w:t xml:space="preserve">includes a period of </w:t>
      </w:r>
      <w:r w:rsidR="00327765">
        <w:rPr>
          <w:lang w:val="en-US"/>
        </w:rPr>
        <w:t>breastfeeding</w:t>
      </w:r>
      <w:r w:rsidR="00A70E15">
        <w:rPr>
          <w:lang w:val="en-US"/>
        </w:rPr>
        <w:t>,</w:t>
      </w:r>
      <w:r w:rsidR="00757109">
        <w:rPr>
          <w:lang w:val="en-US"/>
        </w:rPr>
        <w:t xml:space="preserve"> </w:t>
      </w:r>
      <w:r w:rsidR="00A70E15">
        <w:rPr>
          <w:lang w:val="en-US"/>
        </w:rPr>
        <w:t>stress cannot</w:t>
      </w:r>
      <w:r w:rsidR="00757109">
        <w:rPr>
          <w:lang w:val="en-US"/>
        </w:rPr>
        <w:t xml:space="preserve"> be differentiated from </w:t>
      </w:r>
      <w:r w:rsidR="00A70E15">
        <w:rPr>
          <w:lang w:val="en-US"/>
        </w:rPr>
        <w:t>breastfeeding signal</w:t>
      </w:r>
      <w:r w:rsidR="00757109">
        <w:rPr>
          <w:lang w:val="en-US"/>
        </w:rPr>
        <w:t xml:space="preserve"> for young children. </w:t>
      </w:r>
    </w:p>
    <w:p w14:paraId="02E225FA" w14:textId="77777777" w:rsidR="0066360F" w:rsidRDefault="0066360F" w:rsidP="0066360F">
      <w:pPr>
        <w:ind w:firstLine="720"/>
      </w:pPr>
    </w:p>
    <w:p w14:paraId="38D7A603" w14:textId="0CC4E25F" w:rsidR="0066360F" w:rsidRDefault="0066360F" w:rsidP="0066360F">
      <w:pPr>
        <w:spacing w:line="480" w:lineRule="auto"/>
        <w:ind w:firstLine="720"/>
      </w:pPr>
      <w:r>
        <w:t xml:space="preserve">Survivors in this sample appeared to be weaned more gradually as </w:t>
      </w:r>
      <w:r>
        <w:sym w:font="Symbol" w:char="F064"/>
      </w:r>
      <w:r>
        <w:rPr>
          <w:vertAlign w:val="superscript"/>
        </w:rPr>
        <w:t>15</w:t>
      </w:r>
      <w:r>
        <w:t>N values decreased by 1‰ over 14 months, while non-survivors exhibited a more rapid weaning through a decrease by 1‰ over only 6 months (refer to Fig 5.37). Breast milk is known to provide a secure, immunologically supportive and easily digested source of nutrition for an infant</w:t>
      </w:r>
      <w:r w:rsidR="00D836F5">
        <w:t xml:space="preserve"> – at least for the first 6 months of life –</w:t>
      </w:r>
      <w:r>
        <w:t xml:space="preserve"> while weaning involves gradual or abrupt withdrawal from these benefits. The combination of rapid removal of breast milk from diet (i.e. rapid removal of immunological support) along with exposure to environmental pathogens from the supplementary diet, can be detrimental for infants as their digestive systems may be unable to efficiently digest these foods and their weak </w:t>
      </w:r>
      <w:r>
        <w:lastRenderedPageBreak/>
        <w:t xml:space="preserve">immune system would not be able to fight off exposure to food-borne pathogens. </w:t>
      </w:r>
      <w:r w:rsidR="000627B4">
        <w:t>G</w:t>
      </w:r>
      <w:r>
        <w:t xml:space="preserve">radual weaning </w:t>
      </w:r>
      <w:r w:rsidR="002E1C22">
        <w:t xml:space="preserve">of the survivors </w:t>
      </w:r>
      <w:r>
        <w:t>(prolonging the immunological benefits of breastfeeding) could have potentially aided these individuals to survive past the weaning phase</w:t>
      </w:r>
      <w:r w:rsidR="007C215A">
        <w:t>, although it should be noted that due to the small sample size this needs to be further investigated.</w:t>
      </w:r>
    </w:p>
    <w:p w14:paraId="440891CA" w14:textId="77777777" w:rsidR="0066360F" w:rsidRDefault="0066360F" w:rsidP="0066360F">
      <w:pPr>
        <w:ind w:firstLine="720"/>
      </w:pPr>
    </w:p>
    <w:p w14:paraId="17CDD4EB" w14:textId="0E27F976" w:rsidR="0066360F" w:rsidRDefault="0066360F" w:rsidP="0066360F">
      <w:pPr>
        <w:spacing w:line="480" w:lineRule="auto"/>
        <w:ind w:firstLine="720"/>
      </w:pPr>
      <w:r>
        <w:t>A similar study by Sandberg and colleagues (2014) investigated human remains from Kulubnarti, an early Christian period (550 – 800 CE) Nubian site, to analyze differences in weaning behaviours between non-survivors and survivors (Sandberg et al. 2014). Using rib collagen stable isotope data obtained from a large group of subadults, a</w:t>
      </w:r>
      <w:r w:rsidR="000627B4">
        <w:t xml:space="preserve"> </w:t>
      </w:r>
      <w:r>
        <w:t xml:space="preserve">profile of isotopic change by age was created for non-survivors. Dentine microsamples from five individuals were also used to create stable isotope profiles for survivors. Analysis of both sources of data demonstrate that the intra-tooth nitrogen isotope profiles all reached low </w:t>
      </w:r>
      <w:r>
        <w:sym w:font="Symbol" w:char="F064"/>
      </w:r>
      <w:r>
        <w:rPr>
          <w:vertAlign w:val="superscript"/>
        </w:rPr>
        <w:t>15</w:t>
      </w:r>
      <w:r>
        <w:t xml:space="preserve">N values and plateau before the rib collagen mean-line, signifying that breastfeeding cessation occurred earlier in the five individuals </w:t>
      </w:r>
      <w:r w:rsidR="00982C30">
        <w:t xml:space="preserve">(survivors) </w:t>
      </w:r>
      <w:r>
        <w:t xml:space="preserve">than the average individual who died during the process. The findings of this study are surprising as they not only juxtapose the results found here but contest the general idea that immunological benefits of breastfeeding result in reduced mortality (Knodel </w:t>
      </w:r>
      <w:r w:rsidR="00A83A77">
        <w:t>&amp;</w:t>
      </w:r>
      <w:r>
        <w:t xml:space="preserve"> Kintner 1977; Jackson </w:t>
      </w:r>
      <w:r w:rsidR="00A83A77">
        <w:t>&amp;</w:t>
      </w:r>
      <w:r>
        <w:t xml:space="preserve"> Nazar 2006). </w:t>
      </w:r>
      <w:r w:rsidR="00A70E15">
        <w:t>T</w:t>
      </w:r>
      <w:r>
        <w:t xml:space="preserve">he authors argue that breastmilk alone is insufficient to meet the nutritional requirements of infants beyond 6 months of age, when supplemental foods with adequate nutrition must be included in the infant diet (Sandberg et al 2014). It is possible that earlier weaning in the survivors at Kulubnarti meant that nutritional demands were more adequately met with higher quality complementary foods and that non-survivors relied too heavily on breastmilk </w:t>
      </w:r>
      <w:r w:rsidR="000627B4">
        <w:t xml:space="preserve">past the first 6 months without suitable </w:t>
      </w:r>
      <w:r w:rsidR="000627B4">
        <w:lastRenderedPageBreak/>
        <w:t xml:space="preserve">complementary foods. </w:t>
      </w:r>
      <w:r>
        <w:t>Something that should be considered in this study is the possibility that rib values may represent delayed isotopic values due to bone turnover rates and that dentine samples probably provide a more accurate representation of diet as isotopic values are recorded (and remain unchanged) as the tooth is formed. This</w:t>
      </w:r>
      <w:r w:rsidR="00915E82">
        <w:t xml:space="preserve"> likely</w:t>
      </w:r>
      <w:r>
        <w:t xml:space="preserve"> mean</w:t>
      </w:r>
      <w:r w:rsidR="00915E82">
        <w:t>s</w:t>
      </w:r>
      <w:r>
        <w:t xml:space="preserve"> that later weaning cessation interpreted from rib data may simply be a result of delayed incorporation of diet in bone. </w:t>
      </w:r>
    </w:p>
    <w:p w14:paraId="4E6DE960" w14:textId="77777777" w:rsidR="0066360F" w:rsidRDefault="0066360F" w:rsidP="0066360F"/>
    <w:p w14:paraId="699EF5F1" w14:textId="5E154614" w:rsidR="0066360F" w:rsidRDefault="0066360F" w:rsidP="0066360F">
      <w:pPr>
        <w:spacing w:line="480" w:lineRule="auto"/>
      </w:pPr>
      <w:r>
        <w:tab/>
        <w:t xml:space="preserve">Dupras and Tocheri (2007) compared infant weaning patterns at the Roman site of Dakhleh Oasis, Egypt (100 – 450 CE) based on cross-sectional isotopic data and longitudinal profiles created through bulk dentine sampling. In contrast to Sandberg and colleagues’ (2014) work and the results outlined in this study, both survivors and non-survivors were weaned gradually until 3 years of age and supplementary diet was introduced at 6 months, consistent with traditional infant feeding and weaning practices documented by Soranus and Galen (Green 1951; Tempkin 1956). </w:t>
      </w:r>
    </w:p>
    <w:p w14:paraId="124E183D" w14:textId="77777777" w:rsidR="0066360F" w:rsidRDefault="0066360F" w:rsidP="0066360F"/>
    <w:p w14:paraId="1EF032EC" w14:textId="75128583" w:rsidR="0066360F" w:rsidRDefault="0066360F" w:rsidP="0066360F">
      <w:pPr>
        <w:spacing w:line="480" w:lineRule="auto"/>
      </w:pPr>
      <w:r>
        <w:tab/>
      </w:r>
      <w:r>
        <w:rPr>
          <w:color w:val="000000" w:themeColor="text1"/>
        </w:rPr>
        <w:t xml:space="preserve">Interpretations by these studies suggest that a direct relationship between weaning and mortality may not be unequivocal. Factors such as socioeconomic status may impact the quality of life a child may experience and their survival. </w:t>
      </w:r>
      <w:r>
        <w:t xml:space="preserve">For example, Lewis (2002), in explanation of the high child mortality at a later period site in mediaeval Britain, argued that many rural and urban children from as young as 7 years were sent to work as apprentices (Cunningham 1995) in conditions which would have been deleterious to their health. While evidence of child labour is not available for the Iron Age period, other </w:t>
      </w:r>
      <w:r>
        <w:lastRenderedPageBreak/>
        <w:t xml:space="preserve">causes including exposure to infectious diseases and other pathogens, </w:t>
      </w:r>
      <w:r w:rsidR="00DE1F8B">
        <w:t xml:space="preserve">injuries, </w:t>
      </w:r>
      <w:r>
        <w:t>malnutrition</w:t>
      </w:r>
      <w:r w:rsidR="00A42C1E">
        <w:t>,</w:t>
      </w:r>
      <w:r w:rsidR="00DE1F8B">
        <w:t xml:space="preserve"> and societal practices </w:t>
      </w:r>
      <w:r>
        <w:t>can lead to childhood mortality.</w:t>
      </w:r>
    </w:p>
    <w:p w14:paraId="6298D7AB" w14:textId="77777777" w:rsidR="00A9463A" w:rsidRDefault="00A9463A" w:rsidP="00A9463A"/>
    <w:p w14:paraId="7FDE5BBA" w14:textId="2B420199" w:rsidR="0066360F" w:rsidRPr="00075A1C" w:rsidRDefault="0066360F" w:rsidP="0066360F">
      <w:pPr>
        <w:spacing w:line="480" w:lineRule="auto"/>
      </w:pPr>
      <w:r w:rsidRPr="00075A1C">
        <w:t xml:space="preserve">6.2.3 Sex – </w:t>
      </w:r>
      <w:r w:rsidR="009152A1">
        <w:t>b</w:t>
      </w:r>
      <w:r w:rsidRPr="00075A1C">
        <w:t>ased differences in Breastfeeding and Weaning Practices</w:t>
      </w:r>
    </w:p>
    <w:p w14:paraId="1071E02A" w14:textId="77777777" w:rsidR="0066360F" w:rsidRDefault="0066360F" w:rsidP="0066360F">
      <w:pPr>
        <w:spacing w:line="480" w:lineRule="auto"/>
        <w:rPr>
          <w:i/>
        </w:rPr>
      </w:pPr>
    </w:p>
    <w:p w14:paraId="7BB16CD1" w14:textId="2E82DBA2" w:rsidR="0066360F" w:rsidRDefault="00523BEC" w:rsidP="00860888">
      <w:pPr>
        <w:jc w:val="center"/>
        <w:rPr>
          <w:i/>
        </w:rPr>
      </w:pPr>
      <w:r>
        <w:rPr>
          <w:i/>
          <w:noProof/>
        </w:rPr>
        <mc:AlternateContent>
          <mc:Choice Requires="wps">
            <w:drawing>
              <wp:anchor distT="0" distB="0" distL="114300" distR="114300" simplePos="0" relativeHeight="251758592" behindDoc="0" locked="0" layoutInCell="1" allowOverlap="1" wp14:anchorId="51B4025A" wp14:editId="6C282F37">
                <wp:simplePos x="0" y="0"/>
                <wp:positionH relativeFrom="column">
                  <wp:posOffset>4253865</wp:posOffset>
                </wp:positionH>
                <wp:positionV relativeFrom="paragraph">
                  <wp:posOffset>283880</wp:posOffset>
                </wp:positionV>
                <wp:extent cx="55245" cy="55245"/>
                <wp:effectExtent l="0" t="0" r="8255" b="8255"/>
                <wp:wrapNone/>
                <wp:docPr id="29" name="Oval 29"/>
                <wp:cNvGraphicFramePr/>
                <a:graphic xmlns:a="http://schemas.openxmlformats.org/drawingml/2006/main">
                  <a:graphicData uri="http://schemas.microsoft.com/office/word/2010/wordprocessingShape">
                    <wps:wsp>
                      <wps:cNvSpPr/>
                      <wps:spPr>
                        <a:xfrm>
                          <a:off x="0" y="0"/>
                          <a:ext cx="55245" cy="5524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A1909" id="Oval 29" o:spid="_x0000_s1026" style="position:absolute;margin-left:334.95pt;margin-top:22.35pt;width:4.35pt;height: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" fillcolor="#c00000" strokecolor="#c00000" strokeweight="1pt">
                <v:stroke joinstyle="miter"/>
              </v:oval>
            </w:pict>
          </mc:Fallback>
        </mc:AlternateContent>
      </w:r>
      <w:r>
        <w:rPr>
          <w:i/>
          <w:noProof/>
        </w:rPr>
        <mc:AlternateContent>
          <mc:Choice Requires="wps">
            <w:drawing>
              <wp:anchor distT="0" distB="0" distL="114300" distR="114300" simplePos="0" relativeHeight="251757568" behindDoc="0" locked="0" layoutInCell="1" allowOverlap="1" wp14:anchorId="2B5325BA" wp14:editId="6D30A905">
                <wp:simplePos x="0" y="0"/>
                <wp:positionH relativeFrom="column">
                  <wp:posOffset>4248785</wp:posOffset>
                </wp:positionH>
                <wp:positionV relativeFrom="paragraph">
                  <wp:posOffset>163230</wp:posOffset>
                </wp:positionV>
                <wp:extent cx="64770" cy="62230"/>
                <wp:effectExtent l="0" t="0" r="11430" b="13970"/>
                <wp:wrapNone/>
                <wp:docPr id="28" name="Rectangle 28"/>
                <wp:cNvGraphicFramePr/>
                <a:graphic xmlns:a="http://schemas.openxmlformats.org/drawingml/2006/main">
                  <a:graphicData uri="http://schemas.microsoft.com/office/word/2010/wordprocessingShape">
                    <wps:wsp>
                      <wps:cNvSpPr/>
                      <wps:spPr>
                        <a:xfrm>
                          <a:off x="0" y="0"/>
                          <a:ext cx="64770" cy="62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CB2CD" id="Rectangle 28" o:spid="_x0000_s1026" style="position:absolute;margin-left:334.55pt;margin-top:12.85pt;width:5.1pt;height:4.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" filled="f" strokecolor="black [3213]" strokeweight="1pt"/>
            </w:pict>
          </mc:Fallback>
        </mc:AlternateContent>
      </w:r>
      <w:r w:rsidR="00860888">
        <w:rPr>
          <w:i/>
          <w:noProof/>
        </w:rPr>
        <w:drawing>
          <wp:inline distT="0" distB="0" distL="0" distR="0" wp14:anchorId="3918CD2E" wp14:editId="0F952CDB">
            <wp:extent cx="4799757" cy="3398575"/>
            <wp:effectExtent l="0" t="0" r="127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4.png"/>
                    <pic:cNvPicPr/>
                  </pic:nvPicPr>
                  <pic:blipFill rotWithShape="1">
                    <a:blip r:embed="rId90">
                      <a:extLst>
                        <a:ext uri="{28A0092B-C50C-407E-A947-70E740481C1C}">
                          <a14:useLocalDpi xmlns:a14="http://schemas.microsoft.com/office/drawing/2010/main" val="0"/>
                        </a:ext>
                      </a:extLst>
                    </a:blip>
                    <a:srcRect l="1014" t="1689" r="1049" b="2024"/>
                    <a:stretch/>
                  </pic:blipFill>
                  <pic:spPr bwMode="auto">
                    <a:xfrm>
                      <a:off x="0" y="0"/>
                      <a:ext cx="4801064" cy="3399501"/>
                    </a:xfrm>
                    <a:prstGeom prst="rect">
                      <a:avLst/>
                    </a:prstGeom>
                    <a:ln>
                      <a:noFill/>
                    </a:ln>
                    <a:extLst>
                      <a:ext uri="{53640926-AAD7-44D8-BBD7-CCE9431645EC}">
                        <a14:shadowObscured xmlns:a14="http://schemas.microsoft.com/office/drawing/2010/main"/>
                      </a:ext>
                    </a:extLst>
                  </pic:spPr>
                </pic:pic>
              </a:graphicData>
            </a:graphic>
          </wp:inline>
        </w:drawing>
      </w:r>
    </w:p>
    <w:p w14:paraId="60A88BA7" w14:textId="77777777" w:rsidR="0066360F" w:rsidRDefault="0066360F" w:rsidP="0066360F">
      <w:pPr>
        <w:rPr>
          <w:i/>
        </w:rPr>
      </w:pPr>
    </w:p>
    <w:p w14:paraId="3D027E14" w14:textId="52F04308" w:rsidR="0066360F" w:rsidRDefault="0066360F" w:rsidP="0066360F">
      <w:r w:rsidRPr="00817A11">
        <w:rPr>
          <w:b/>
        </w:rPr>
        <w:t>Figure 6.1</w:t>
      </w:r>
      <w:r w:rsidR="00075A1C">
        <w:t xml:space="preserve">: Stable nitrogen isotope histories for adult individuals differentiated by sex. </w:t>
      </w:r>
      <w:r>
        <w:t xml:space="preserve"> </w:t>
      </w:r>
    </w:p>
    <w:p w14:paraId="23AB9B23" w14:textId="77777777" w:rsidR="0066360F" w:rsidRDefault="0066360F" w:rsidP="0066360F">
      <w:pPr>
        <w:rPr>
          <w:i/>
        </w:rPr>
      </w:pPr>
    </w:p>
    <w:p w14:paraId="096B4757" w14:textId="77777777" w:rsidR="0066360F" w:rsidRDefault="0066360F" w:rsidP="0066360F">
      <w:pPr>
        <w:rPr>
          <w:i/>
        </w:rPr>
      </w:pPr>
    </w:p>
    <w:p w14:paraId="739C7BDD" w14:textId="18EED3EB" w:rsidR="0066360F" w:rsidRDefault="0066360F" w:rsidP="0066360F">
      <w:pPr>
        <w:spacing w:line="480" w:lineRule="auto"/>
      </w:pPr>
      <w:r>
        <w:t xml:space="preserve"> </w:t>
      </w:r>
      <w:r>
        <w:tab/>
        <w:t xml:space="preserve">Variation in breastfeeding and weaning practices was observed in the serial dentine sections of permanent teeth from adult females and males; females (n = 3) displayed lower </w:t>
      </w:r>
      <w:r>
        <w:sym w:font="Symbol" w:char="F064"/>
      </w:r>
      <w:r>
        <w:rPr>
          <w:vertAlign w:val="superscript"/>
        </w:rPr>
        <w:t>15</w:t>
      </w:r>
      <w:r>
        <w:t xml:space="preserve">N values between 28 months and 4 years of age, </w:t>
      </w:r>
      <w:r w:rsidR="002E2C98">
        <w:t xml:space="preserve">while </w:t>
      </w:r>
      <w:r>
        <w:t xml:space="preserve">males (n = 5) demonstrated lower </w:t>
      </w:r>
      <w:r>
        <w:sym w:font="Symbol" w:char="F064"/>
      </w:r>
      <w:r>
        <w:rPr>
          <w:vertAlign w:val="superscript"/>
        </w:rPr>
        <w:t>15</w:t>
      </w:r>
      <w:r>
        <w:t>N values from 5 years of age and onwards (</w:t>
      </w:r>
      <w:r>
        <w:rPr>
          <w:color w:val="000000" w:themeColor="text1"/>
        </w:rPr>
        <w:t>refer to Fig. 6.1</w:t>
      </w:r>
      <w:r>
        <w:t xml:space="preserve">). </w:t>
      </w:r>
      <w:r w:rsidR="001159C9">
        <w:t xml:space="preserve">Considering the </w:t>
      </w:r>
      <w:r w:rsidR="00967A9A">
        <w:t>small sample size to draw definite conclusions</w:t>
      </w:r>
      <w:r>
        <w:t xml:space="preserve">, one possible explanation may be that male infants had access to a </w:t>
      </w:r>
      <w:r>
        <w:rPr>
          <w:vertAlign w:val="superscript"/>
        </w:rPr>
        <w:t>15</w:t>
      </w:r>
      <w:r>
        <w:t xml:space="preserve">N-enriched supplementary diet whereas female </w:t>
      </w:r>
      <w:r>
        <w:lastRenderedPageBreak/>
        <w:t xml:space="preserve">subadults consumed </w:t>
      </w:r>
      <w:r>
        <w:rPr>
          <w:vertAlign w:val="superscript"/>
        </w:rPr>
        <w:t>15</w:t>
      </w:r>
      <w:r>
        <w:t xml:space="preserve">N-depleted supplementary foods. Alternatively, low </w:t>
      </w:r>
      <w:r>
        <w:sym w:font="Symbol" w:char="F064"/>
      </w:r>
      <w:r>
        <w:rPr>
          <w:vertAlign w:val="superscript"/>
        </w:rPr>
        <w:t>15</w:t>
      </w:r>
      <w:r>
        <w:t xml:space="preserve">N values during early childhood for females may also be </w:t>
      </w:r>
      <w:r>
        <w:rPr>
          <w:color w:val="000000" w:themeColor="text1"/>
        </w:rPr>
        <w:t xml:space="preserve">indicative of an early introduction to artificial foods that were a supplement to breastmilk. This would suggest that exclusive and/or prolonged breastfeeding for female infants was less common during the Iron Age. </w:t>
      </w:r>
      <w:r w:rsidR="00817A11">
        <w:t>S</w:t>
      </w:r>
      <w:r>
        <w:t>table carbon isotope values between males and females were comparable, signifying a similar C</w:t>
      </w:r>
      <w:r>
        <w:rPr>
          <w:vertAlign w:val="subscript"/>
        </w:rPr>
        <w:t>3</w:t>
      </w:r>
      <w:r>
        <w:t xml:space="preserve">-diet during and after transitional feeding as discussed in </w:t>
      </w:r>
      <w:r w:rsidR="00C80A2E">
        <w:t>S</w:t>
      </w:r>
      <w:r>
        <w:t>ection 5.3.2.</w:t>
      </w:r>
    </w:p>
    <w:p w14:paraId="5548D461" w14:textId="77777777" w:rsidR="0066360F" w:rsidRDefault="0066360F" w:rsidP="0066360F">
      <w:r>
        <w:t xml:space="preserve"> </w:t>
      </w:r>
    </w:p>
    <w:p w14:paraId="66087A42" w14:textId="4AE3E7C0" w:rsidR="0066360F" w:rsidRDefault="0066360F" w:rsidP="0066360F">
      <w:pPr>
        <w:pStyle w:val="NormalWeb"/>
        <w:spacing w:line="480" w:lineRule="auto"/>
        <w:ind w:firstLine="720"/>
      </w:pPr>
      <w:r>
        <w:rPr>
          <w:rFonts w:eastAsiaTheme="minorHAnsi"/>
        </w:rPr>
        <w:t>There are no literary sources from the Iron Age of south Italy that can be used to understand these sex-based differences in infant and young child feeding practices. Literary evidence from the later Roman period does indicate differences in diet based on gender</w:t>
      </w:r>
      <w:r w:rsidR="00E81380">
        <w:rPr>
          <w:rFonts w:eastAsiaTheme="minorHAnsi"/>
        </w:rPr>
        <w:t>;</w:t>
      </w:r>
      <w:r>
        <w:rPr>
          <w:rFonts w:eastAsiaTheme="minorHAnsi"/>
        </w:rPr>
        <w:t xml:space="preserve"> however</w:t>
      </w:r>
      <w:r w:rsidR="00E81380">
        <w:rPr>
          <w:rFonts w:eastAsiaTheme="minorHAnsi"/>
        </w:rPr>
        <w:t>,</w:t>
      </w:r>
      <w:r>
        <w:rPr>
          <w:rFonts w:eastAsiaTheme="minorHAnsi"/>
        </w:rPr>
        <w:t xml:space="preserve"> it is uncertain how relevant these sources are to the Iron Age populations of Apulia. </w:t>
      </w:r>
      <w:r>
        <w:t xml:space="preserve">Past Roman medical writings by Soranus and Galen, outlined the importance of exercising control over the diet of women for physiological and moral reasons, as many of these medical treaties associated dietary constraints with chastity (Gardner 1993; Parker 1998). As men were seen as the active producers of the household and women primarily held domestic duties, females were given less provisions than their male-counterpart (Garnsey 1999). Children were often perceived to be weak with parallel humours to women and were fed a similar diet (Prowse 2011). Between the ages of five and seven years, Roman children began to assume new roles, relationships, and chores that were often differentiated based on sex; these distinctions were extended to diet, which meant male children could have received preferential food allocations (Rawson 2003). Interestingly, although the results from this study align with historical interpretations of male children consuming a more </w:t>
      </w:r>
      <w:r>
        <w:rPr>
          <w:vertAlign w:val="superscript"/>
        </w:rPr>
        <w:t>15</w:t>
      </w:r>
      <w:r>
        <w:t xml:space="preserve">N-enriched supplementary diet, </w:t>
      </w:r>
      <w:r>
        <w:lastRenderedPageBreak/>
        <w:t xml:space="preserve">females were seen to have slightly elevated  </w:t>
      </w:r>
      <w:r>
        <w:sym w:font="Symbol" w:char="F064"/>
      </w:r>
      <w:r>
        <w:rPr>
          <w:vertAlign w:val="superscript"/>
        </w:rPr>
        <w:t>15</w:t>
      </w:r>
      <w:r>
        <w:t>N values from the age five and onwards (by ~1‰) suggesting that females may have been fed a more protein rich post-weaning diet. If this pattern was caused due to dietary differences then this signifies that distinctive childrearing methods were practice</w:t>
      </w:r>
      <w:r w:rsidR="00EE6495">
        <w:t>d</w:t>
      </w:r>
      <w:r>
        <w:t xml:space="preserve"> in the Iron Age than the reported/expected patterns described for the Roman period.</w:t>
      </w:r>
    </w:p>
    <w:p w14:paraId="6E471AD4" w14:textId="77777777" w:rsidR="0066360F" w:rsidRDefault="0066360F" w:rsidP="0066360F">
      <w:pPr>
        <w:pStyle w:val="NormalWeb"/>
        <w:ind w:firstLine="720"/>
      </w:pPr>
    </w:p>
    <w:p w14:paraId="38DD2396" w14:textId="6B317CC7" w:rsidR="0066360F" w:rsidRDefault="0066360F" w:rsidP="0066360F">
      <w:pPr>
        <w:spacing w:line="480" w:lineRule="auto"/>
      </w:pPr>
      <w:r>
        <w:tab/>
        <w:t xml:space="preserve">In a similar study, early feeding histories of males and females from post-Medieval London were examined using serial dentine sections (Henderson et al. 2014). Females on average had slightly lower </w:t>
      </w:r>
      <w:r>
        <w:sym w:font="Symbol" w:char="F064"/>
      </w:r>
      <w:r>
        <w:rPr>
          <w:vertAlign w:val="superscript"/>
        </w:rPr>
        <w:t>13</w:t>
      </w:r>
      <w:r>
        <w:t xml:space="preserve">C values (-18.9 </w:t>
      </w:r>
      <w:r>
        <w:sym w:font="Symbol" w:char="F0B1"/>
      </w:r>
      <w:r>
        <w:t xml:space="preserve"> 0.9‰, compared to the male average of -18.5 </w:t>
      </w:r>
      <w:r>
        <w:sym w:font="Symbol" w:char="F0B1"/>
      </w:r>
      <w:r>
        <w:t xml:space="preserve"> 0.8‰) and slightly higher </w:t>
      </w:r>
      <w:r>
        <w:sym w:font="Symbol" w:char="F064"/>
      </w:r>
      <w:r>
        <w:rPr>
          <w:vertAlign w:val="superscript"/>
        </w:rPr>
        <w:t>15</w:t>
      </w:r>
      <w:r>
        <w:t xml:space="preserve">N values (12.1 </w:t>
      </w:r>
      <w:r>
        <w:sym w:font="Symbol" w:char="F0B1"/>
      </w:r>
      <w:r>
        <w:t xml:space="preserve"> 1.2‰ in comparison to the male average of 11.8 </w:t>
      </w:r>
      <w:r>
        <w:sym w:font="Symbol" w:char="F0B1"/>
      </w:r>
      <w:r>
        <w:t xml:space="preserve"> 1.3‰) throughout the first eight years of life. According to Henderson and colleagues (2014) these isotopic dissimilarities are unassociated with the rate of dentine formation because these small male to female variances are expressed over multiple years. If this variation was caused by the rate of dentine formation then a more profound difference in stable isotope values between the sexes would be seen</w:t>
      </w:r>
      <w:r w:rsidR="00967A9A">
        <w:t>;</w:t>
      </w:r>
      <w:r>
        <w:t xml:space="preserve"> in addition both </w:t>
      </w:r>
      <w:r>
        <w:sym w:font="Symbol" w:char="F064"/>
      </w:r>
      <w:r>
        <w:rPr>
          <w:vertAlign w:val="superscript"/>
        </w:rPr>
        <w:t>13</w:t>
      </w:r>
      <w:r>
        <w:t xml:space="preserve">C and </w:t>
      </w:r>
      <w:r>
        <w:sym w:font="Symbol" w:char="F064"/>
      </w:r>
      <w:r>
        <w:rPr>
          <w:vertAlign w:val="superscript"/>
        </w:rPr>
        <w:t>15</w:t>
      </w:r>
      <w:r>
        <w:t xml:space="preserve">N profiles would express a similar pattern between males and females. Instead, along with possible dietary differences, Henderson and colleagues (2014) propose that physiological factors may also cause disparities in </w:t>
      </w:r>
      <w:r>
        <w:sym w:font="Symbol" w:char="F064"/>
      </w:r>
      <w:r>
        <w:rPr>
          <w:vertAlign w:val="superscript"/>
        </w:rPr>
        <w:t>13</w:t>
      </w:r>
      <w:r>
        <w:t xml:space="preserve">C and </w:t>
      </w:r>
      <w:r>
        <w:sym w:font="Symbol" w:char="F064"/>
      </w:r>
      <w:r>
        <w:rPr>
          <w:vertAlign w:val="superscript"/>
        </w:rPr>
        <w:t>15</w:t>
      </w:r>
      <w:r>
        <w:t xml:space="preserve">N values; for instance, male children are thought to have greater susceptibility to stress and infant mortality. Bouman and coworkers (2005) reported that females have a greater immune response and resistance to pathogens than males due to differing sex hormones. These physiological differences become even more evident under conditions of nutritional or </w:t>
      </w:r>
      <w:r>
        <w:lastRenderedPageBreak/>
        <w:t>biological stress during childhood. An effect of these differences could be the efficiency of metabolism of limited proteins, with females outcompeting males. Likewise, Teague and colleagues (2013) examined prominence of linear enamel hypoplasia amongst Park Street skeletal sample in London</w:t>
      </w:r>
      <w:r w:rsidR="00982C30">
        <w:t>, UK,</w:t>
      </w:r>
      <w:r>
        <w:t xml:space="preserve"> and found a higher incidence of stress in males than females during the first five years of life. It can also be noted that in Teague et al.’s (2013) investigation, </w:t>
      </w:r>
      <w:r w:rsidR="004D7627">
        <w:t>three</w:t>
      </w:r>
      <w:r>
        <w:t xml:space="preserve"> out of the </w:t>
      </w:r>
      <w:r w:rsidR="004D7627">
        <w:t>five</w:t>
      </w:r>
      <w:r>
        <w:t xml:space="preserve"> males demonstrated possible stress episodes post-weaning (ranging from a minimum of 7 years till a maximum age of 12 years), whereas </w:t>
      </w:r>
      <w:r w:rsidR="00982C30">
        <w:t>one</w:t>
      </w:r>
      <w:r>
        <w:t xml:space="preserve"> out </w:t>
      </w:r>
      <w:r w:rsidR="00982C30">
        <w:t>three</w:t>
      </w:r>
      <w:r>
        <w:t xml:space="preserve"> females demonstrated stress episodes between 8 to 11 years, through the analysis of elevated </w:t>
      </w:r>
      <w:r>
        <w:sym w:font="Symbol" w:char="F064"/>
      </w:r>
      <w:r>
        <w:rPr>
          <w:vertAlign w:val="superscript"/>
        </w:rPr>
        <w:t>15</w:t>
      </w:r>
      <w:r>
        <w:t xml:space="preserve">N levels accompanied by decreasing or consistent </w:t>
      </w:r>
      <w:r>
        <w:sym w:font="Symbol" w:char="F064"/>
      </w:r>
      <w:r>
        <w:rPr>
          <w:vertAlign w:val="superscript"/>
        </w:rPr>
        <w:t>13</w:t>
      </w:r>
      <w:r>
        <w:t xml:space="preserve">C values. </w:t>
      </w:r>
    </w:p>
    <w:p w14:paraId="16AB12FA" w14:textId="77777777" w:rsidR="0066360F" w:rsidRDefault="0066360F" w:rsidP="0066360F">
      <w:r>
        <w:tab/>
      </w:r>
    </w:p>
    <w:p w14:paraId="76F76475" w14:textId="0DE42E75" w:rsidR="0066360F" w:rsidRDefault="0066360F" w:rsidP="002E2C98">
      <w:pPr>
        <w:spacing w:line="480" w:lineRule="auto"/>
        <w:ind w:firstLine="720"/>
      </w:pPr>
      <w:r>
        <w:t xml:space="preserve">Research on contemporary and historic populations show that male fetuses are more likely to be born pre-term (Ingemarsson 2003), and that mortality among low birth weight infants is higher in males (Stevenson et al. 2000; Bello &amp; Boëtsch 2007). Males also show elevated rates of neonatal deaths due to respiratory distress syndrome (Mage &amp; Donner 2004), Sudden Infant Death Syndrome (SIDS) and infectious disease (Waldron 1987). </w:t>
      </w:r>
      <w:r>
        <w:rPr>
          <w:color w:val="000000" w:themeColor="text1"/>
        </w:rPr>
        <w:t xml:space="preserve">Hence, another explanation for elevated male </w:t>
      </w:r>
      <w:r>
        <w:rPr>
          <w:color w:val="000000" w:themeColor="text1"/>
        </w:rPr>
        <w:sym w:font="Symbol" w:char="F064"/>
      </w:r>
      <w:r>
        <w:rPr>
          <w:vertAlign w:val="superscript"/>
        </w:rPr>
        <w:t>15</w:t>
      </w:r>
      <w:r>
        <w:t xml:space="preserve">N values between 28 months and 4 years of age may be a reflection of weaning associated stress and the inability for male children to cope with depleting immunological benefits and exposure to pathogens. Further, lower male </w:t>
      </w:r>
      <w:r>
        <w:sym w:font="Symbol" w:char="F064"/>
      </w:r>
      <w:r>
        <w:rPr>
          <w:vertAlign w:val="superscript"/>
        </w:rPr>
        <w:t>15</w:t>
      </w:r>
      <w:r>
        <w:t xml:space="preserve">N values from five years may represent the exacerbated combination of already depleted </w:t>
      </w:r>
      <w:r>
        <w:sym w:font="Symbol" w:char="F064"/>
      </w:r>
      <w:r>
        <w:rPr>
          <w:vertAlign w:val="superscript"/>
        </w:rPr>
        <w:t>15</w:t>
      </w:r>
      <w:r>
        <w:t xml:space="preserve">N values, the stress of accelerated growth and the failure to resourcefully metabolize limited proteins. While physiological differences </w:t>
      </w:r>
      <w:r>
        <w:lastRenderedPageBreak/>
        <w:t>between males and females may be responsible for these patterns, the limited sample size</w:t>
      </w:r>
      <w:r w:rsidR="00982C30">
        <w:t xml:space="preserve"> </w:t>
      </w:r>
      <w:r>
        <w:t>of both males and females in this study should be considered as these patterns cannot</w:t>
      </w:r>
      <w:r w:rsidR="00982C30">
        <w:t xml:space="preserve"> </w:t>
      </w:r>
      <w:r>
        <w:t>adequately be identified without further investigation.</w:t>
      </w:r>
    </w:p>
    <w:p w14:paraId="48D2468F" w14:textId="77777777" w:rsidR="004D7627" w:rsidRPr="00817A11" w:rsidRDefault="004D7627" w:rsidP="004D7627">
      <w:pPr>
        <w:ind w:firstLine="720"/>
      </w:pPr>
    </w:p>
    <w:p w14:paraId="0BD5D0F2" w14:textId="77777777" w:rsidR="0066360F" w:rsidRPr="00817A11" w:rsidRDefault="0066360F" w:rsidP="0066360F">
      <w:pPr>
        <w:spacing w:line="480" w:lineRule="auto"/>
      </w:pPr>
      <w:r w:rsidRPr="00817A11">
        <w:t xml:space="preserve">6.2.4 Variation in Isotopic Signals of Adult Permanent Dentition </w:t>
      </w:r>
    </w:p>
    <w:p w14:paraId="24BD91E2" w14:textId="77777777" w:rsidR="0066360F" w:rsidRDefault="0066360F" w:rsidP="0066360F">
      <w:pPr>
        <w:rPr>
          <w:i/>
        </w:rPr>
      </w:pPr>
    </w:p>
    <w:p w14:paraId="179246E6" w14:textId="22C45FCB" w:rsidR="0066360F" w:rsidRDefault="0066360F" w:rsidP="0066360F">
      <w:pPr>
        <w:spacing w:line="480" w:lineRule="auto"/>
        <w:ind w:firstLine="720"/>
      </w:pPr>
      <w:r>
        <w:t>Disparity in sequential δ</w:t>
      </w:r>
      <w:r>
        <w:rPr>
          <w:vertAlign w:val="superscript"/>
        </w:rPr>
        <w:t>15</w:t>
      </w:r>
      <w:r>
        <w:t>N values was also observed in the teeth from the Iron Age adults, identified as groups A and B (see Fig. 5.23). Group A includes T15, T17, T18, T19, T20 and T21 and is signified by overall higher δ</w:t>
      </w:r>
      <w:r>
        <w:rPr>
          <w:vertAlign w:val="superscript"/>
        </w:rPr>
        <w:t>15</w:t>
      </w:r>
      <w:r>
        <w:t>N values, although T21 shows similar δ</w:t>
      </w:r>
      <w:r>
        <w:rPr>
          <w:vertAlign w:val="superscript"/>
        </w:rPr>
        <w:t>15</w:t>
      </w:r>
      <w:r>
        <w:t>N values to group B during transitional feeding and similar δ</w:t>
      </w:r>
      <w:r>
        <w:rPr>
          <w:vertAlign w:val="superscript"/>
        </w:rPr>
        <w:t>15</w:t>
      </w:r>
      <w:r>
        <w:t>N values to group A post-weaning. Group B includes T13, T16 and T22 and is characterized by statistically lower δ</w:t>
      </w:r>
      <w:r>
        <w:rPr>
          <w:vertAlign w:val="superscript"/>
        </w:rPr>
        <w:t>15</w:t>
      </w:r>
      <w:r>
        <w:t>N values throughout the ages (</w:t>
      </w:r>
      <w:r>
        <w:rPr>
          <w:lang w:val="en-US"/>
        </w:rPr>
        <w:t xml:space="preserve">ANCOVA </w:t>
      </w:r>
      <w:r>
        <w:rPr>
          <w:i/>
          <w:lang w:val="en-US"/>
        </w:rPr>
        <w:t>F = 73.76, p &lt; 0.0000</w:t>
      </w:r>
      <w:r>
        <w:rPr>
          <w:lang w:val="en-US"/>
        </w:rPr>
        <w:t>1)</w:t>
      </w:r>
      <w:r>
        <w:t xml:space="preserve">. Group A comprises both males and females from all </w:t>
      </w:r>
      <w:r w:rsidR="00982C30">
        <w:t>three</w:t>
      </w:r>
      <w:r>
        <w:t xml:space="preserve"> Iron Age sites (Botromagno, Parco San Stefano and Padreterno), whereas group B consists of two males and one individual with unknown sex, all from the Botromagno site. Due to a lack of difference in the sex composition of the groups or age-related variance – as both groups include young (~ 20 years) and older individuals (35 years and older) – it is possible that this distinction is a result of socioeconomic status.  As complete burial information is unavailable in published excavation reports of Botromagno, this is can only be speculated. Some other reasons could include personal choice, brief shifts in cultural practices or diet and changes in social or environmental conditions. </w:t>
      </w:r>
    </w:p>
    <w:p w14:paraId="61B69715" w14:textId="77777777" w:rsidR="0066360F" w:rsidRDefault="0066360F" w:rsidP="0066360F">
      <w:pPr>
        <w:ind w:firstLine="720"/>
      </w:pPr>
    </w:p>
    <w:p w14:paraId="34CEDCF1" w14:textId="0F85276D" w:rsidR="0066360F" w:rsidRDefault="0066360F" w:rsidP="0066360F">
      <w:pPr>
        <w:spacing w:line="480" w:lineRule="auto"/>
        <w:ind w:firstLine="720"/>
      </w:pPr>
      <w:r>
        <w:t xml:space="preserve">The absence of written records from the Iron Age period has led researchers to speculate the dietary practices and composition during this pre-Roman phase. Recently, </w:t>
      </w:r>
      <w:r>
        <w:lastRenderedPageBreak/>
        <w:t>Prowse and colleagues (2017) conducted a preliminary stable isotope analysis of human (n=27, aged 5 years and older) and faunal (n=18) bone collagen from Iron Age samples interred at Botromagno, Parco San Stefano and Padreterno. Stable carbon and nitrogen values obtained from these samples were compared between the three sites, as well as with Roman human and faunal samples found at nearby Roman Vagnari. Collagen data from the Iron Age samples indicated a lack of variability in δ</w:t>
      </w:r>
      <w:r>
        <w:rPr>
          <w:vertAlign w:val="superscript"/>
        </w:rPr>
        <w:t>13</w:t>
      </w:r>
      <w:r>
        <w:t>C values between the three sites, and between the Iron Age sites and Vagnari, suggesting a C</w:t>
      </w:r>
      <w:r>
        <w:rPr>
          <w:vertAlign w:val="subscript"/>
        </w:rPr>
        <w:t>3</w:t>
      </w:r>
      <w:r>
        <w:t xml:space="preserve"> and terrestrial protein</w:t>
      </w:r>
      <w:r w:rsidR="007C215A">
        <w:t>-</w:t>
      </w:r>
      <w:r>
        <w:t>based diet for all skeletal samples over time; but a significant variability in δ</w:t>
      </w:r>
      <w:r>
        <w:rPr>
          <w:vertAlign w:val="superscript"/>
        </w:rPr>
        <w:t>15</w:t>
      </w:r>
      <w:r>
        <w:t xml:space="preserve">N values was prominent, with Parco San Stefano and Padreterno having higher </w:t>
      </w:r>
      <w:r>
        <w:rPr>
          <w:lang w:val="el-GR"/>
        </w:rPr>
        <w:t>δ</w:t>
      </w:r>
      <w:r>
        <w:rPr>
          <w:vertAlign w:val="superscript"/>
        </w:rPr>
        <w:t>15</w:t>
      </w:r>
      <w:r>
        <w:t xml:space="preserve">N values than Botromagno (Kruskal Wallis test, p&lt;0.05) (Prowse et al. 2017).  According to the authors, elevated stable nitrogen values at Parco San Stefano and Padreterno were not caused by fish consumption. The closest water source to the sites, a deep ravine that divides the archaeological site from the modern city of Gravina in Puglia, is a treacherous descent making it difficult to safely obtain fish. Prowse and colleagues (2017) suggested that the disparities in </w:t>
      </w:r>
      <w:r>
        <w:rPr>
          <w:lang w:val="el-GR"/>
        </w:rPr>
        <w:t>δ</w:t>
      </w:r>
      <w:r>
        <w:rPr>
          <w:vertAlign w:val="superscript"/>
        </w:rPr>
        <w:t>15</w:t>
      </w:r>
      <w:r>
        <w:t xml:space="preserve">N values between these Iron Age samples may be linked to the practice of manuring – the application of animal waste to replenish the soil and enhance yields – or penning. Manuring or penning cause the soil to be enriched in </w:t>
      </w:r>
      <w:r>
        <w:rPr>
          <w:vertAlign w:val="superscript"/>
        </w:rPr>
        <w:t>15</w:t>
      </w:r>
      <w:r>
        <w:t xml:space="preserve">N due to bacterially-mediated reactions where the lighter </w:t>
      </w:r>
      <w:r>
        <w:rPr>
          <w:vertAlign w:val="superscript"/>
        </w:rPr>
        <w:t>14</w:t>
      </w:r>
      <w:r>
        <w:t xml:space="preserve">N isotope is preferentially lost (Heaton 1986; Kendall et al. 2007); the residual soil mineral nitrogen pools are then available for plants to utilize. Animals or humans who consume products from manured soil will have higher </w:t>
      </w:r>
      <w:r>
        <w:rPr>
          <w:lang w:val="el-GR"/>
        </w:rPr>
        <w:t>δ</w:t>
      </w:r>
      <w:r>
        <w:rPr>
          <w:vertAlign w:val="superscript"/>
        </w:rPr>
        <w:t>15</w:t>
      </w:r>
      <w:r>
        <w:t xml:space="preserve">N values that may be as much as a full trophic level (3‰, or more) higher. </w:t>
      </w:r>
    </w:p>
    <w:p w14:paraId="7EFEDAFF" w14:textId="77777777" w:rsidR="0066360F" w:rsidRDefault="0066360F" w:rsidP="0066360F">
      <w:pPr>
        <w:ind w:firstLine="720"/>
      </w:pPr>
    </w:p>
    <w:p w14:paraId="1224537D" w14:textId="2894DE81" w:rsidR="0066360F" w:rsidRDefault="0066360F" w:rsidP="0066360F">
      <w:pPr>
        <w:spacing w:line="480" w:lineRule="auto"/>
        <w:ind w:firstLine="720"/>
      </w:pPr>
      <w:r>
        <w:lastRenderedPageBreak/>
        <w:t xml:space="preserve">Fraser and coworkers’ (2011) analysis </w:t>
      </w:r>
      <w:r w:rsidR="00DE1F8B">
        <w:t>also demonstrates</w:t>
      </w:r>
      <w:r>
        <w:t xml:space="preserve"> the impact of animal manure application on stable nitrogen isotope values. </w:t>
      </w:r>
      <w:r w:rsidR="00DE1F8B">
        <w:t>In t</w:t>
      </w:r>
      <w:r>
        <w:t>his study</w:t>
      </w:r>
      <w:r w:rsidR="00DE1F8B">
        <w:t>,</w:t>
      </w:r>
      <w:r>
        <w:t xml:space="preserve"> changes in </w:t>
      </w:r>
      <w:r>
        <w:rPr>
          <w:lang w:val="el-GR"/>
        </w:rPr>
        <w:t>δ</w:t>
      </w:r>
      <w:r>
        <w:rPr>
          <w:vertAlign w:val="superscript"/>
        </w:rPr>
        <w:t>15</w:t>
      </w:r>
      <w:r>
        <w:t xml:space="preserve">N </w:t>
      </w:r>
      <w:r w:rsidR="00DE1F8B">
        <w:t xml:space="preserve">were observed for </w:t>
      </w:r>
      <w:r>
        <w:t>a broad range of crops (cereals and pulses), under a range of manuring levels/regimes and at a series of locations extending from northwest Europe to the eastern Mediterranean. The results confirmed the potentially radical impact of manuring on δ</w:t>
      </w:r>
      <w:r>
        <w:rPr>
          <w:vertAlign w:val="superscript"/>
        </w:rPr>
        <w:t>15</w:t>
      </w:r>
      <w:r>
        <w:t xml:space="preserve">N values in cereals, depending on manuring level, but indicated only a slight effect on pulses, which can fix atmospheric nitrogen. </w:t>
      </w:r>
    </w:p>
    <w:p w14:paraId="16A396CA" w14:textId="77777777" w:rsidR="0066360F" w:rsidRDefault="0066360F" w:rsidP="0066360F">
      <w:pPr>
        <w:ind w:firstLine="720"/>
      </w:pPr>
    </w:p>
    <w:p w14:paraId="1CDC7596" w14:textId="05D70072" w:rsidR="0066360F" w:rsidRDefault="0066360F" w:rsidP="0066360F">
      <w:pPr>
        <w:spacing w:line="480" w:lineRule="auto"/>
        <w:ind w:firstLine="720"/>
      </w:pPr>
      <w:r>
        <w:t>It is possible that manuring was practiced at Padreterno and Parco San Stefano causing isotopic results to demonstrate elevated levels of δ</w:t>
      </w:r>
      <w:r>
        <w:rPr>
          <w:vertAlign w:val="superscript"/>
        </w:rPr>
        <w:t>15</w:t>
      </w:r>
      <w:r>
        <w:t xml:space="preserve">N values in the teeth of individuals from these sites. Boogart (2004) found that manuring was a common practice in central and southeast Europe (the western loess belt and the Alpine Foreland) from multiple Neolithic sites (5500 – 2200 centuries BCE). The author carried out a series of ecological comparisons between modern weed floras from known crop husbandry regimes, and archaeobotanical samples of arable weed associated with charred crop material from the sites. The results indicated that the cultivation plots tended to be permanent rather than temporary or moving. Further, growing conditions for cereal crops (e.g. einkorn and emmer) were maintained through high inputs of labour, including manuring/middening, tillage and weeding (Boogart 2004). </w:t>
      </w:r>
    </w:p>
    <w:p w14:paraId="5097C9CB" w14:textId="77777777" w:rsidR="0066360F" w:rsidRDefault="0066360F" w:rsidP="0066360F">
      <w:pPr>
        <w:ind w:firstLine="720"/>
      </w:pPr>
    </w:p>
    <w:p w14:paraId="329A1A73" w14:textId="28675759" w:rsidR="0066360F" w:rsidRDefault="0066360F" w:rsidP="002E2C98">
      <w:pPr>
        <w:spacing w:line="480" w:lineRule="auto"/>
        <w:ind w:firstLine="720"/>
        <w:rPr>
          <w:color w:val="000000" w:themeColor="text1"/>
        </w:rPr>
      </w:pPr>
      <w:r>
        <w:rPr>
          <w:color w:val="000000" w:themeColor="text1"/>
        </w:rPr>
        <w:t xml:space="preserve">Archaeological evidence from Botromagno also demonstrated that animals including cattle, swine, and caprines (i.e. sheep and goats) were domesticated and held in farms (Whitehouse 2000). This is further supported by the discovery of farmsteads </w:t>
      </w:r>
      <w:r>
        <w:rPr>
          <w:color w:val="000000" w:themeColor="text1"/>
        </w:rPr>
        <w:lastRenderedPageBreak/>
        <w:t>throughout South Italy, including in the Metapontion countryside where dozens of 6</w:t>
      </w:r>
      <w:r>
        <w:rPr>
          <w:color w:val="000000" w:themeColor="text1"/>
          <w:vertAlign w:val="superscript"/>
        </w:rPr>
        <w:t>th</w:t>
      </w:r>
      <w:r>
        <w:rPr>
          <w:color w:val="000000" w:themeColor="text1"/>
        </w:rPr>
        <w:t xml:space="preserve"> century </w:t>
      </w:r>
      <w:r w:rsidR="007C215A">
        <w:rPr>
          <w:color w:val="000000" w:themeColor="text1"/>
        </w:rPr>
        <w:t>B</w:t>
      </w:r>
      <w:r>
        <w:rPr>
          <w:color w:val="000000" w:themeColor="text1"/>
        </w:rPr>
        <w:t>CE farm sites were uncovered (Whitehouse 2000). Along with these farmsteads, nearby necropoleis and sanctuaries were present, indicating that many individuals lived and died near areas where manure may have been utilized and penning was practiced.</w:t>
      </w:r>
    </w:p>
    <w:p w14:paraId="2BD4CE33" w14:textId="77777777" w:rsidR="004D7627" w:rsidRPr="002E2C98" w:rsidRDefault="004D7627" w:rsidP="004D7627">
      <w:pPr>
        <w:ind w:firstLine="720"/>
        <w:rPr>
          <w:color w:val="000000" w:themeColor="text1"/>
        </w:rPr>
      </w:pPr>
    </w:p>
    <w:p w14:paraId="5CF58F08" w14:textId="77777777" w:rsidR="0066360F" w:rsidRDefault="0066360F" w:rsidP="0066360F">
      <w:pPr>
        <w:spacing w:line="480" w:lineRule="auto"/>
        <w:ind w:firstLine="720"/>
      </w:pPr>
      <w:r>
        <w:t>In this study, Group A included three individuals (out of a total of six) interred at Parco San Stefano and Padreterno who demonstrated higher δ</w:t>
      </w:r>
      <w:r>
        <w:rPr>
          <w:vertAlign w:val="superscript"/>
        </w:rPr>
        <w:t>15</w:t>
      </w:r>
      <w:r>
        <w:t>N values, while group B only had individuals from Botromagno and demonstrated lower δ</w:t>
      </w:r>
      <w:r>
        <w:rPr>
          <w:vertAlign w:val="superscript"/>
        </w:rPr>
        <w:t>15</w:t>
      </w:r>
      <w:r>
        <w:t xml:space="preserve">N values, suggesting that manuring and penning practices at Padreterno and Parco San Stefano (the outskirts of the Iron Age settlement) could have caused this disparity. These three individuals in Group A were also included in Prowse and colleagues (2017) analysis and also showed elevated stable nitrogen values in comparison to Botromagno individuals. </w:t>
      </w:r>
    </w:p>
    <w:p w14:paraId="537D1D44" w14:textId="77777777" w:rsidR="0066360F" w:rsidRDefault="0066360F" w:rsidP="002E2CCC">
      <w:pPr>
        <w:ind w:firstLine="720"/>
      </w:pPr>
    </w:p>
    <w:p w14:paraId="07F0BE8B" w14:textId="1DF73772" w:rsidR="004D7627" w:rsidRDefault="0066360F" w:rsidP="004D7627">
      <w:pPr>
        <w:spacing w:line="480" w:lineRule="auto"/>
        <w:ind w:firstLine="720"/>
      </w:pPr>
      <w:r>
        <w:t>Archival records show that most of the land that was not arable in Gravina was used for sheep raising from at least 16</w:t>
      </w:r>
      <w:r>
        <w:rPr>
          <w:vertAlign w:val="superscript"/>
        </w:rPr>
        <w:t>th</w:t>
      </w:r>
      <w:r>
        <w:t xml:space="preserve"> century</w:t>
      </w:r>
      <w:r w:rsidR="00982C30">
        <w:t xml:space="preserve"> AD</w:t>
      </w:r>
      <w:r>
        <w:t xml:space="preserve">; Whitehouse (2000) suggests that the land around Botromagno was used to produce much the same agricultural products in the Iron Age and Roman periods as stated in archival records, due to the archaeological presence of similar faunal remains. Further, since occupation developed in the open countryside around large settlements such as Botromagno, it can be inferred that Botromagno was functioning as a market centre for foodstuffs produced in the surrounding countryside communities and on the farms (i.e. at Parco San Stefano and Padreterno). Since it is difficult to determine the distribution of animals between these different sites as the distinctions between the areas within a particular period are as great </w:t>
      </w:r>
      <w:r>
        <w:lastRenderedPageBreak/>
        <w:t xml:space="preserve">as the variances from one period to another within a particular area, it can only be hypothesized that the differences in Group A and B may be associated with manuring and/or penning. </w:t>
      </w:r>
    </w:p>
    <w:p w14:paraId="3016DDBE" w14:textId="77777777" w:rsidR="004D7627" w:rsidRDefault="004D7627" w:rsidP="004D7627">
      <w:pPr>
        <w:ind w:firstLine="720"/>
      </w:pPr>
    </w:p>
    <w:p w14:paraId="07328119" w14:textId="3219196A" w:rsidR="0066360F" w:rsidRPr="004D7627" w:rsidRDefault="0066360F" w:rsidP="004D7627">
      <w:pPr>
        <w:spacing w:line="480" w:lineRule="auto"/>
      </w:pPr>
      <w:r>
        <w:rPr>
          <w:b/>
        </w:rPr>
        <w:t>6.3 Stable Isotope Analysis of Bulk Bone Collagen and Dentine Microsamples</w:t>
      </w:r>
    </w:p>
    <w:p w14:paraId="0FB834F4" w14:textId="77777777" w:rsidR="0066360F" w:rsidRDefault="0066360F" w:rsidP="004D7627"/>
    <w:p w14:paraId="28D4251F" w14:textId="77777777" w:rsidR="0066360F" w:rsidRDefault="0066360F" w:rsidP="0066360F">
      <w:pPr>
        <w:spacing w:line="480" w:lineRule="auto"/>
        <w:ind w:firstLine="720"/>
      </w:pPr>
      <w:r>
        <w:t xml:space="preserve">A significant statistical difference between rib and femoral values could not be detected, yet Figure 5.6 in the Results chapter shows that rib </w:t>
      </w:r>
      <w:r>
        <w:sym w:font="Symbol" w:char="F064"/>
      </w:r>
      <w:r>
        <w:rPr>
          <w:vertAlign w:val="superscript"/>
        </w:rPr>
        <w:t>15</w:t>
      </w:r>
      <w:r>
        <w:t xml:space="preserve">N and </w:t>
      </w:r>
      <w:r>
        <w:sym w:font="Symbol" w:char="F064"/>
      </w:r>
      <w:r>
        <w:rPr>
          <w:vertAlign w:val="superscript"/>
        </w:rPr>
        <w:t>13</w:t>
      </w:r>
      <w:r>
        <w:t xml:space="preserve">C values were consistently lower than femoral values for all but one subadult individual (T.4). Differences in femoral and rib stable isotope values are most likely due to bone turnover rates as discussed below. </w:t>
      </w:r>
    </w:p>
    <w:p w14:paraId="6DA0DDBE" w14:textId="77777777" w:rsidR="0066360F" w:rsidRDefault="0066360F" w:rsidP="0066360F">
      <w:pPr>
        <w:ind w:firstLine="720"/>
        <w:rPr>
          <w:color w:val="C00000"/>
        </w:rPr>
      </w:pPr>
    </w:p>
    <w:p w14:paraId="4F67A6CD" w14:textId="529A8E23" w:rsidR="0066360F" w:rsidRDefault="0066360F" w:rsidP="0066360F">
      <w:pPr>
        <w:spacing w:line="480" w:lineRule="auto"/>
        <w:ind w:firstLine="720"/>
      </w:pPr>
      <w:r>
        <w:t xml:space="preserve">Several studies have used dental tissues in conjunction with bone collagen to obtain profiles of isotopic change for separate individuals (e.g., Richards et al. 2002; Reitsema </w:t>
      </w:r>
      <w:r w:rsidR="00A83A77">
        <w:t xml:space="preserve">&amp; </w:t>
      </w:r>
      <w:r>
        <w:t>Vercellotti 2012).</w:t>
      </w:r>
      <w:r w:rsidR="00DE1F8B">
        <w:t xml:space="preserve"> The combined analysis of bone collagen and dentine</w:t>
      </w:r>
      <w:r>
        <w:t xml:space="preserve"> has been proven to be advantageous because it can avoid interpretations of diet change based on long term stable isotope averages, mortality bias, and provide early childhood as well as dietary information from later life. As previously reviewed, Sandberg and colleagues (2014) compared intra-tooth stable carbon and nitrogen profiles against data obtained from bone collagen analysis of a large sample for the Medieval site of Kulubnarti, Nubia (550 – 800 CE). Bone collagen stable isotope data from previous studies (Turner et al. 2007; Sandberg</w:t>
      </w:r>
      <w:r w:rsidR="00A83A77">
        <w:t xml:space="preserve"> </w:t>
      </w:r>
      <w:r>
        <w:t xml:space="preserve">2012) were categorized by age-at-death so that the means of each category created a pseudo-longitudinal profile. The comparison between dentine longitudinal profiles and cross-sectional data allowed Sandberg et al. (2014) to investigate </w:t>
      </w:r>
      <w:r>
        <w:lastRenderedPageBreak/>
        <w:t xml:space="preserve">variation in the life history trajectories of individuals who survived childhood with those who did not. However, this study overlooked the fact that sample rib means of stable nitrogen isotope values do not directly represent </w:t>
      </w:r>
      <w:r>
        <w:sym w:font="Symbol" w:char="F064"/>
      </w:r>
      <w:r>
        <w:rPr>
          <w:vertAlign w:val="superscript"/>
        </w:rPr>
        <w:t>15</w:t>
      </w:r>
      <w:r>
        <w:t xml:space="preserve">N values at the time of death. Instead, these rib bone stable isotope values are averages that may include high </w:t>
      </w:r>
      <w:r>
        <w:sym w:font="Symbol" w:char="F064"/>
      </w:r>
      <w:r>
        <w:rPr>
          <w:vertAlign w:val="superscript"/>
        </w:rPr>
        <w:t>15</w:t>
      </w:r>
      <w:r>
        <w:t xml:space="preserve">N values from few months prior to death, which may include earlier feeding stages. The turnover rate for adult rib bone is 5% per year, while the turnover rates in younger individuals is much faster; 100 – 200% of the skeleton is expected to be remodelled within the first year of life, while this rate drops </w:t>
      </w:r>
      <w:r w:rsidR="008D0512">
        <w:t>by</w:t>
      </w:r>
      <w:r>
        <w:t xml:space="preserve"> 10% per year by seven years of age (ICRP 1975). Thus, bone remodeling dynamics create a time averaging effect which could differ at various stages of life. The results presented here demonstrate that prior to 5 years of age there was greater disparity between rib and femur nitrogen and carbon isotope values</w:t>
      </w:r>
      <w:r w:rsidR="00145D75">
        <w:t xml:space="preserve">, but </w:t>
      </w:r>
      <w:r>
        <w:t>after 5 years of age</w:t>
      </w:r>
      <w:r w:rsidR="00145D75">
        <w:t>,</w:t>
      </w:r>
      <w:r>
        <w:t xml:space="preserve"> rib and femur values become very similar. This is likely due to the differences in rib and femur bone turnover rate, with ribs having a faster turnover rate and subsequently incorporating more recent dietary constituent elements.  The difference between rib and femur values decrease after 5 years as a result of a potentially homogenous diet as opposed to the variability seen during the breastfeeding and weaning process. Or alternatively, change in the disparity between rib and femur values may be due to the slowing down of bone turnover rates; thereby delaying the incorporation of accurate stable isotope values and resulting in the averaging of values by both rib and femoral bones. The unique case of T4 (see Figure 5.29) demonstrates that both rib and femoral stable nitrogen isotope values were consistent. Since these values were obtained from an individual who died at the age of 2 years, bone remodelling was still at a stage </w:t>
      </w:r>
      <w:r>
        <w:lastRenderedPageBreak/>
        <w:t xml:space="preserve">where turnover rates </w:t>
      </w:r>
      <w:r w:rsidR="002E2CCC">
        <w:t>were</w:t>
      </w:r>
      <w:r>
        <w:t xml:space="preserve"> relatively fast. </w:t>
      </w:r>
      <w:r>
        <w:rPr>
          <w:lang w:val="en-US"/>
        </w:rPr>
        <w:t xml:space="preserve">Faster incorporation of diet by rib and femur means that the bone data is more likely to present similar and more recent isotope values. </w:t>
      </w:r>
    </w:p>
    <w:p w14:paraId="5676EC26" w14:textId="77777777" w:rsidR="0066360F" w:rsidRDefault="0066360F" w:rsidP="0066360F">
      <w:pPr>
        <w:ind w:firstLine="720"/>
      </w:pPr>
    </w:p>
    <w:p w14:paraId="2B4E5A4D" w14:textId="1E54632C" w:rsidR="0066360F" w:rsidRDefault="0066360F" w:rsidP="00087669">
      <w:pPr>
        <w:spacing w:line="480" w:lineRule="auto"/>
        <w:ind w:firstLine="720"/>
      </w:pPr>
      <w:r>
        <w:t xml:space="preserve">Eerkens and collaborators (2011) conducted a comparable analysis and reconstructed the age of weaning for six individuals from the Marsh Creek Site in California by using the combined investigation of dentine and bone collagen data for each individual. Similarly, King and colleagues (2017) examined the weaning process using the combined analysis of incremental dentine sampling and bulk bone isotopic sampling for each infant and child (n=8) from the Atacama Desert, Chile (1700 BC – 1600 </w:t>
      </w:r>
      <w:r w:rsidR="003A197D">
        <w:t>CE</w:t>
      </w:r>
      <w:r>
        <w:t>). According to these researchers, the sampling of a subset of individuals may exaggerate the observable variances between bulk bone and dentinal weaning results due to an overemphasis on idiosyncratic weaning behaviour in the past. Yet in 2015, Burt found that δ</w:t>
      </w:r>
      <w:r>
        <w:rPr>
          <w:vertAlign w:val="superscript"/>
        </w:rPr>
        <w:t>15</w:t>
      </w:r>
      <w:r>
        <w:t>N values between incremental dentine samples and rib samples of Fishergate House individuals were comparable. The breastfeeding patterns indicated by rib and dentine samples were similar with the onset of weaning at 2 years of age. The few fetal rib signals that were available for Fishergate House (Burt 2013) did not differ from the dentine signals that were measured by Burt in 2015, suggesting that both bone and tooth are possibly interchangeable when analyzing weaning patterns at a population level. Nevertheless, King and colleagues (2017) propose that the most useful interpretations of the past might be achieved through an integrative analysis of both methods</w:t>
      </w:r>
      <w:r w:rsidR="003A197D">
        <w:t>;</w:t>
      </w:r>
      <w:r>
        <w:t xml:space="preserve"> conducting a bulk-bone stable isotope analysis of a large number of individuals and collecting dentine microsamples for a few individuals from the same community. The use of both sampling methods</w:t>
      </w:r>
      <w:r w:rsidR="00E266FC">
        <w:t xml:space="preserve"> (with bulk-bone sampling being the predominant method)</w:t>
      </w:r>
      <w:r>
        <w:t xml:space="preserve"> will allow broad-scale </w:t>
      </w:r>
      <w:r>
        <w:lastRenderedPageBreak/>
        <w:t>population behaviour to be interpreted without over-emphasising idiosyncratic individual profiles. Incremental results may then be used to enhance bulk results or</w:t>
      </w:r>
      <w:r w:rsidR="004D7627">
        <w:t xml:space="preserve"> </w:t>
      </w:r>
      <w:r>
        <w:t>paleopathological evidence by allowing description of the variation in weaning practices, and reconstruction of individual stories.</w:t>
      </w:r>
    </w:p>
    <w:p w14:paraId="77EB1668" w14:textId="77777777" w:rsidR="0066360F" w:rsidRDefault="0066360F" w:rsidP="0066360F">
      <w:pPr>
        <w:ind w:firstLine="360"/>
      </w:pPr>
    </w:p>
    <w:p w14:paraId="54E68C76" w14:textId="744C4EEA" w:rsidR="0066360F" w:rsidRDefault="0066360F" w:rsidP="009152A1">
      <w:pPr>
        <w:spacing w:line="480" w:lineRule="auto"/>
        <w:ind w:firstLine="720"/>
      </w:pPr>
      <w:r>
        <w:t>A joint analysis of dentine and bone samples is also useful for a nuanced interpretation of weaning histories and dietary change, especially because it is difficult to assess whether infant or child bone δ</w:t>
      </w:r>
      <w:r>
        <w:rPr>
          <w:vertAlign w:val="superscript"/>
        </w:rPr>
        <w:t>15</w:t>
      </w:r>
      <w:r>
        <w:t>N values reflect the weaning process, times of accelerated or reduced growth, or periods of physiological stress. Incremental techniques, however, have the potential to allow the disentangling of dietary change from these other factors (Beaumont et al. 2015b). Assessment of elevated δ</w:t>
      </w:r>
      <w:r>
        <w:rPr>
          <w:vertAlign w:val="superscript"/>
        </w:rPr>
        <w:t>15</w:t>
      </w:r>
      <w:r>
        <w:t>N values or dissimilar changes in δ</w:t>
      </w:r>
      <w:r>
        <w:rPr>
          <w:vertAlign w:val="superscript"/>
        </w:rPr>
        <w:t>13</w:t>
      </w:r>
      <w:r>
        <w:t>C values in relation to δ</w:t>
      </w:r>
      <w:r>
        <w:rPr>
          <w:vertAlign w:val="superscript"/>
        </w:rPr>
        <w:t>15</w:t>
      </w:r>
      <w:r>
        <w:t xml:space="preserve">N values can reveal whether isotopic variations relate to stress rather than infant-feeding practices (Beaumont </w:t>
      </w:r>
      <w:r w:rsidR="0014186D">
        <w:t>&amp;</w:t>
      </w:r>
      <w:r>
        <w:t xml:space="preserve"> Montgomery 2016). This means that incremental techniques may prove useful in quantifying the effects of stress on bone values used for cross-sectional sampling. For instance, the dentine isotope data presented in this study provided insight into early childhood feeding patterns. By using this information, bone values for each subadult could be interpreted to be representative of transitional diet, nutritional stress during the post-weaning period or stress associated with accelerated growth. For individual T1 (see Figure 5.26) the comparison between dentine and rib collagen data revealed lower δ</w:t>
      </w:r>
      <w:r>
        <w:rPr>
          <w:vertAlign w:val="superscript"/>
        </w:rPr>
        <w:t>15</w:t>
      </w:r>
      <w:r>
        <w:t>N values for the bone sample, while δ</w:t>
      </w:r>
      <w:r>
        <w:rPr>
          <w:vertAlign w:val="superscript"/>
        </w:rPr>
        <w:t>13</w:t>
      </w:r>
      <w:r>
        <w:t>C values between the two tissues were similar. If declining δ</w:t>
      </w:r>
      <w:r>
        <w:rPr>
          <w:vertAlign w:val="superscript"/>
        </w:rPr>
        <w:t>15</w:t>
      </w:r>
      <w:r>
        <w:t>N values were associated with weaning, then it is expected that δ</w:t>
      </w:r>
      <w:r>
        <w:rPr>
          <w:vertAlign w:val="superscript"/>
        </w:rPr>
        <w:t>13</w:t>
      </w:r>
      <w:r>
        <w:t>C values also decrease (Smith 2018). Yet, as δ</w:t>
      </w:r>
      <w:r>
        <w:rPr>
          <w:vertAlign w:val="superscript"/>
        </w:rPr>
        <w:t>13</w:t>
      </w:r>
      <w:r>
        <w:t xml:space="preserve">C values were </w:t>
      </w:r>
      <w:r w:rsidR="003A197D">
        <w:t>consistent</w:t>
      </w:r>
      <w:r>
        <w:t>, decreasing δ</w:t>
      </w:r>
      <w:r>
        <w:rPr>
          <w:vertAlign w:val="superscript"/>
        </w:rPr>
        <w:t>15</w:t>
      </w:r>
      <w:r>
        <w:t xml:space="preserve">N values were interpreted to reflect the </w:t>
      </w:r>
      <w:r>
        <w:lastRenderedPageBreak/>
        <w:t xml:space="preserve">‘double-burden’ of depleting nitrogen (protein) in weaning diet and higher nutrient requirements of growing children; this can ultimately lead to a nitrogen deficit and reduced isotope fractionation, also known as positive nitrogen balance (Schurr 1997). In other words, accelerated growth can cause direct routing of dietary proteins to growing tissues, bypassing the processes that results in the preferential loss of </w:t>
      </w:r>
      <w:r>
        <w:rPr>
          <w:vertAlign w:val="superscript"/>
        </w:rPr>
        <w:t>14</w:t>
      </w:r>
      <w:r>
        <w:t>N, ultimately leading to lower δ</w:t>
      </w:r>
      <w:r>
        <w:rPr>
          <w:vertAlign w:val="superscript"/>
        </w:rPr>
        <w:t>15</w:t>
      </w:r>
      <w:r>
        <w:t xml:space="preserve">N values (Schurr 1997). This pattern has been noted by various researchers (Fuller et al. 2004; Eerkens et al. 2011; </w:t>
      </w:r>
      <w:r w:rsidR="00013B07">
        <w:t xml:space="preserve">Beaumont et al. 2012; </w:t>
      </w:r>
      <w:r>
        <w:t>Henderson et al. 2014). Schurr (1997) found that children aged between 5 – 15 years had lower δ</w:t>
      </w:r>
      <w:r>
        <w:rPr>
          <w:vertAlign w:val="superscript"/>
        </w:rPr>
        <w:t>15</w:t>
      </w:r>
      <w:r>
        <w:t>N values in comparison to adults due to differences in childhood and adult metabolism.</w:t>
      </w:r>
      <w:r w:rsidR="00817A11">
        <w:t xml:space="preserve"> </w:t>
      </w:r>
      <w:r>
        <w:t>Change in bone stable carbon isotopes values as seen for T7 (Figure 5.32) could reveal dietary change as this individual began to consume a post-weaning diet. Beaumont and Montgomery (2016) noted a similar trend in their analysis of dentine δ</w:t>
      </w:r>
      <w:r>
        <w:rPr>
          <w:vertAlign w:val="superscript"/>
        </w:rPr>
        <w:t>15</w:t>
      </w:r>
      <w:r>
        <w:t>N and δ</w:t>
      </w:r>
      <w:r>
        <w:rPr>
          <w:vertAlign w:val="superscript"/>
        </w:rPr>
        <w:t>13</w:t>
      </w:r>
      <w:r>
        <w:t>C profiles of workhouse inmates from the Great Irish Famine of 19</w:t>
      </w:r>
      <w:r>
        <w:rPr>
          <w:vertAlign w:val="superscript"/>
        </w:rPr>
        <w:t>th</w:t>
      </w:r>
      <w:r>
        <w:t xml:space="preserve"> century, where a rise in δ</w:t>
      </w:r>
      <w:r>
        <w:rPr>
          <w:vertAlign w:val="superscript"/>
        </w:rPr>
        <w:t>13</w:t>
      </w:r>
      <w:r>
        <w:t>C was not accompanied by a rise in δ</w:t>
      </w:r>
      <w:r>
        <w:rPr>
          <w:vertAlign w:val="superscript"/>
        </w:rPr>
        <w:t>15</w:t>
      </w:r>
      <w:r>
        <w:t>N. According to the authors, this was most likely due to a change from a predominantly C</w:t>
      </w:r>
      <w:r>
        <w:rPr>
          <w:vertAlign w:val="subscript"/>
        </w:rPr>
        <w:t xml:space="preserve">3 </w:t>
      </w:r>
      <w:r>
        <w:t>potato-based childhood diet to a diet including C</w:t>
      </w:r>
      <w:r>
        <w:rPr>
          <w:vertAlign w:val="subscript"/>
        </w:rPr>
        <w:t>4</w:t>
      </w:r>
      <w:r>
        <w:t xml:space="preserve"> maize. Along with a change in δ</w:t>
      </w:r>
      <w:r>
        <w:rPr>
          <w:vertAlign w:val="superscript"/>
        </w:rPr>
        <w:t>13</w:t>
      </w:r>
      <w:r>
        <w:t>C values, this dietary alteration may also cause lower δ</w:t>
      </w:r>
      <w:r>
        <w:rPr>
          <w:vertAlign w:val="superscript"/>
        </w:rPr>
        <w:t>15</w:t>
      </w:r>
      <w:r>
        <w:t xml:space="preserve">N values due to the consumption of </w:t>
      </w:r>
      <w:r>
        <w:rPr>
          <w:vertAlign w:val="superscript"/>
        </w:rPr>
        <w:t>15</w:t>
      </w:r>
      <w:r>
        <w:t xml:space="preserve">N-reduced food (Beaumont &amp; Montgomery 2016), which is also noted in T7. </w:t>
      </w:r>
    </w:p>
    <w:p w14:paraId="6B63DBD5" w14:textId="0C4D7ACC" w:rsidR="00E266FC" w:rsidRDefault="00E266FC" w:rsidP="009152A1">
      <w:pPr>
        <w:spacing w:line="480" w:lineRule="auto"/>
        <w:ind w:firstLine="720"/>
      </w:pPr>
    </w:p>
    <w:p w14:paraId="136CA8AC" w14:textId="4A8F89AD" w:rsidR="0070293D" w:rsidRDefault="0070293D" w:rsidP="009152A1">
      <w:pPr>
        <w:spacing w:line="480" w:lineRule="auto"/>
        <w:ind w:firstLine="720"/>
      </w:pPr>
    </w:p>
    <w:p w14:paraId="7FA19EB7" w14:textId="77777777" w:rsidR="0070293D" w:rsidRDefault="0070293D" w:rsidP="009152A1">
      <w:pPr>
        <w:spacing w:line="480" w:lineRule="auto"/>
        <w:ind w:firstLine="720"/>
      </w:pPr>
    </w:p>
    <w:p w14:paraId="6046AA89" w14:textId="660A7920" w:rsidR="002E2C98" w:rsidRDefault="002E2C98" w:rsidP="004D7627"/>
    <w:p w14:paraId="3AD5A195" w14:textId="77777777" w:rsidR="00E266FC" w:rsidRDefault="00E266FC" w:rsidP="002E2C98">
      <w:pPr>
        <w:ind w:firstLine="720"/>
      </w:pPr>
    </w:p>
    <w:p w14:paraId="2BA76A07" w14:textId="2641C631" w:rsidR="0066360F" w:rsidRDefault="0066360F" w:rsidP="0066360F">
      <w:pPr>
        <w:pStyle w:val="NormalWeb"/>
        <w:spacing w:line="480" w:lineRule="auto"/>
        <w:rPr>
          <w:b/>
        </w:rPr>
      </w:pPr>
      <w:r>
        <w:rPr>
          <w:b/>
        </w:rPr>
        <w:lastRenderedPageBreak/>
        <w:t xml:space="preserve">6.4 Patterns of Breastfeeding and Weaning in Roman </w:t>
      </w:r>
      <w:r w:rsidR="00496B03">
        <w:rPr>
          <w:b/>
        </w:rPr>
        <w:t xml:space="preserve">South </w:t>
      </w:r>
      <w:r>
        <w:rPr>
          <w:b/>
        </w:rPr>
        <w:t>Italy</w:t>
      </w:r>
    </w:p>
    <w:p w14:paraId="395C79F4" w14:textId="77777777" w:rsidR="003820A9" w:rsidRDefault="003820A9" w:rsidP="003820A9">
      <w:pPr>
        <w:pStyle w:val="NormalWeb"/>
        <w:rPr>
          <w:b/>
        </w:rPr>
      </w:pPr>
    </w:p>
    <w:p w14:paraId="509B5C3E" w14:textId="0A76D81D" w:rsidR="0066360F" w:rsidRDefault="00742754" w:rsidP="0066360F">
      <w:pPr>
        <w:pStyle w:val="NormalWeb"/>
        <w:spacing w:line="480" w:lineRule="auto"/>
        <w:ind w:firstLine="720"/>
      </w:pPr>
      <w:r>
        <w:t xml:space="preserve">The key findings of this study provide several important avenues to understanding the variability of early childhood feeding practices between Iron Age and Roman populations of </w:t>
      </w:r>
      <w:r w:rsidR="0070293D">
        <w:t>S</w:t>
      </w:r>
      <w:r>
        <w:t xml:space="preserve">outhern Italy. </w:t>
      </w:r>
      <w:r w:rsidR="0066360F">
        <w:t>However, the majority of these Roman studies have used bone collagen to interpret breastfeeding and weaning patterns and cannot be directly compared to the dentine results found in th</w:t>
      </w:r>
      <w:r w:rsidR="00E114AA">
        <w:t xml:space="preserve">e current </w:t>
      </w:r>
      <w:r w:rsidR="0066360F">
        <w:t xml:space="preserve">study. </w:t>
      </w:r>
      <w:r w:rsidR="00E266FC">
        <w:t>S</w:t>
      </w:r>
      <w:r w:rsidR="0066360F">
        <w:t xml:space="preserve">table isotope analysis of bone collagen for early childhood diet may not be accurate due to averaged values and delayed incorporation of dietary change. For instance, estimated weaning cessation using bone data in this sample would be after 4 years of age as bone stable nitrogen and carbon values become less variable after this point (although there are no datum points for 5 or 6 years of age). </w:t>
      </w:r>
      <w:r>
        <w:t>Although</w:t>
      </w:r>
      <w:r w:rsidR="00EF2C15">
        <w:t xml:space="preserve"> estimation based on bone data</w:t>
      </w:r>
      <w:r w:rsidR="0066360F">
        <w:t xml:space="preserve"> is much later than the interpreted weaning cessation based on dental analysis</w:t>
      </w:r>
      <w:r w:rsidRPr="00742754">
        <w:t xml:space="preserve"> </w:t>
      </w:r>
      <w:r>
        <w:t>(4 years being the latest age),</w:t>
      </w:r>
      <w:r w:rsidR="0066360F">
        <w:t xml:space="preserve"> stable isotope analysis of bone collagen from the Roman period provides bioarchaeologists with some context of childrearing practices in antiquity. </w:t>
      </w:r>
    </w:p>
    <w:p w14:paraId="732E9E39" w14:textId="77777777" w:rsidR="0066360F" w:rsidRDefault="0066360F" w:rsidP="0066360F">
      <w:pPr>
        <w:pStyle w:val="NormalWeb"/>
        <w:ind w:firstLine="720"/>
      </w:pPr>
    </w:p>
    <w:p w14:paraId="5E78D988" w14:textId="12C78BB2" w:rsidR="0066360F" w:rsidRDefault="00496B03" w:rsidP="0066360F">
      <w:pPr>
        <w:pStyle w:val="NormalWeb"/>
        <w:spacing w:line="480" w:lineRule="auto"/>
        <w:ind w:firstLine="720"/>
      </w:pPr>
      <w:r>
        <w:t xml:space="preserve">The </w:t>
      </w:r>
      <w:r w:rsidR="0066360F">
        <w:t xml:space="preserve">Iron Age </w:t>
      </w:r>
      <w:r>
        <w:t xml:space="preserve">sites of </w:t>
      </w:r>
      <w:r w:rsidR="0066360F">
        <w:t>Botromagno</w:t>
      </w:r>
      <w:r>
        <w:t>, Parco San Stefano, Padreterno,</w:t>
      </w:r>
      <w:r w:rsidR="0066360F">
        <w:t xml:space="preserve"> and Roman Vagnari represent populations that inhabited the same area in southern Italy at different times in its history. </w:t>
      </w:r>
      <w:r>
        <w:t xml:space="preserve">Vagnari is approximately 12 km West of the Iron Age sites that are clustered together outside the city limits of Gravina in Puglia. </w:t>
      </w:r>
      <w:r w:rsidR="0066360F">
        <w:t>Semchuk’s (2016) analysis of diet at the rural Roman estate, Vagnari (1</w:t>
      </w:r>
      <w:r w:rsidR="0066360F">
        <w:rPr>
          <w:vertAlign w:val="superscript"/>
        </w:rPr>
        <w:t>st</w:t>
      </w:r>
      <w:r w:rsidR="0066360F">
        <w:t xml:space="preserve"> – 4</w:t>
      </w:r>
      <w:r w:rsidR="0066360F">
        <w:rPr>
          <w:vertAlign w:val="superscript"/>
        </w:rPr>
        <w:t>th</w:t>
      </w:r>
      <w:r w:rsidR="0066360F">
        <w:t xml:space="preserve"> centuries CE), used long bone data </w:t>
      </w:r>
      <w:r w:rsidR="00967A9A">
        <w:t>that indicated</w:t>
      </w:r>
      <w:r w:rsidR="0066360F">
        <w:t xml:space="preserve"> weaning completion by 5 years of age, at the latest. </w:t>
      </w:r>
      <w:r w:rsidR="0066360F">
        <w:rPr>
          <w:color w:val="000000" w:themeColor="text1"/>
        </w:rPr>
        <w:t>Subadult δ</w:t>
      </w:r>
      <w:r w:rsidR="0066360F">
        <w:rPr>
          <w:color w:val="000000" w:themeColor="text1"/>
          <w:vertAlign w:val="superscript"/>
        </w:rPr>
        <w:t>13</w:t>
      </w:r>
      <w:r w:rsidR="0066360F">
        <w:rPr>
          <w:color w:val="000000" w:themeColor="text1"/>
        </w:rPr>
        <w:t>C and δ</w:t>
      </w:r>
      <w:r w:rsidR="0066360F">
        <w:rPr>
          <w:color w:val="000000" w:themeColor="text1"/>
          <w:vertAlign w:val="superscript"/>
        </w:rPr>
        <w:t>15</w:t>
      </w:r>
      <w:r w:rsidR="0066360F">
        <w:rPr>
          <w:color w:val="000000" w:themeColor="text1"/>
        </w:rPr>
        <w:t xml:space="preserve">N bone values at Vagnari also suggest that physician-recommended weaning foods such as </w:t>
      </w:r>
      <w:r w:rsidR="0066360F">
        <w:rPr>
          <w:color w:val="000000" w:themeColor="text1"/>
        </w:rPr>
        <w:lastRenderedPageBreak/>
        <w:t>semi-liquid cereals were used at this site (Semchuk 2016). Specially, subadults were fed C</w:t>
      </w:r>
      <w:r w:rsidR="0066360F">
        <w:rPr>
          <w:color w:val="000000" w:themeColor="text1"/>
          <w:vertAlign w:val="subscript"/>
        </w:rPr>
        <w:t>3</w:t>
      </w:r>
      <w:r w:rsidR="0066360F">
        <w:rPr>
          <w:color w:val="000000" w:themeColor="text1"/>
        </w:rPr>
        <w:t xml:space="preserve"> plants and terrestrial proteins since cereals such as wheat were grown at Vagnari and could easily be incorporated in the weanling diet. Milk from cows and sheep could have also been included as subadults from this site exhibit a trophic level effect of +3‰ over the δ</w:t>
      </w:r>
      <w:r w:rsidR="0066360F">
        <w:rPr>
          <w:color w:val="000000" w:themeColor="text1"/>
          <w:vertAlign w:val="superscript"/>
        </w:rPr>
        <w:t>15</w:t>
      </w:r>
      <w:r w:rsidR="0066360F">
        <w:rPr>
          <w:color w:val="000000" w:themeColor="text1"/>
        </w:rPr>
        <w:t xml:space="preserve">N values of these animals. In Semchuk’s (2016) study mean </w:t>
      </w:r>
      <w:r w:rsidR="0066360F">
        <w:sym w:font="Symbol" w:char="F064"/>
      </w:r>
      <w:r w:rsidR="0066360F">
        <w:rPr>
          <w:vertAlign w:val="superscript"/>
        </w:rPr>
        <w:t>15</w:t>
      </w:r>
      <w:r w:rsidR="0066360F">
        <w:t xml:space="preserve">N and </w:t>
      </w:r>
      <w:r w:rsidR="0066360F">
        <w:sym w:font="Symbol" w:char="F064"/>
      </w:r>
      <w:r w:rsidR="0066360F">
        <w:rPr>
          <w:vertAlign w:val="superscript"/>
        </w:rPr>
        <w:t>13</w:t>
      </w:r>
      <w:r w:rsidR="0066360F">
        <w:t>C values were 12.6‰ and -18.0‰, respectively, for infants and young children aged from 0 to 3.9 years. These values closely resemble the bone data means measured in this study for subadults (10.8‰ and -19.3‰, correspondingly), suggesting that individuals during the Iron Age most likely consumed a similar weaning diet to that of Roman people</w:t>
      </w:r>
      <w:r w:rsidR="0070293D">
        <w:t xml:space="preserve"> from the same region</w:t>
      </w:r>
      <w:r w:rsidR="0066360F">
        <w:t xml:space="preserve">. Likewise, </w:t>
      </w:r>
      <w:r w:rsidR="0066360F">
        <w:rPr>
          <w:color w:val="000000" w:themeColor="text1"/>
        </w:rPr>
        <w:t xml:space="preserve">mean </w:t>
      </w:r>
      <w:r w:rsidR="0066360F">
        <w:sym w:font="Symbol" w:char="F064"/>
      </w:r>
      <w:r w:rsidR="0066360F">
        <w:rPr>
          <w:vertAlign w:val="superscript"/>
        </w:rPr>
        <w:t>15</w:t>
      </w:r>
      <w:r w:rsidR="0066360F">
        <w:t xml:space="preserve">N and </w:t>
      </w:r>
      <w:r w:rsidR="0066360F">
        <w:sym w:font="Symbol" w:char="F064"/>
      </w:r>
      <w:r w:rsidR="0066360F">
        <w:rPr>
          <w:vertAlign w:val="superscript"/>
        </w:rPr>
        <w:t>13</w:t>
      </w:r>
      <w:r w:rsidR="0066360F">
        <w:t xml:space="preserve">C values for children between 4 to 14.9 years were 9.3‰ and -19.0‰ in Semchuk’s (2016) analysis, consistent </w:t>
      </w:r>
      <w:r w:rsidR="00967A9A">
        <w:t>with</w:t>
      </w:r>
      <w:r w:rsidR="0066360F">
        <w:t xml:space="preserve"> the adult dentine means found in this study (9.5‰ and -19.5‰), although a direct comparison of these data must be undertaken with caution due to the large time span between occupation periods.</w:t>
      </w:r>
    </w:p>
    <w:p w14:paraId="5D3E14BD" w14:textId="77777777" w:rsidR="0066360F" w:rsidRDefault="0066360F" w:rsidP="0066360F">
      <w:pPr>
        <w:pStyle w:val="NormalWeb"/>
        <w:ind w:firstLine="720"/>
      </w:pPr>
    </w:p>
    <w:p w14:paraId="31AE8ACD" w14:textId="11C19AC3" w:rsidR="0066360F" w:rsidRDefault="0066360F" w:rsidP="0066360F">
      <w:pPr>
        <w:spacing w:line="480" w:lineRule="auto"/>
        <w:ind w:firstLine="720"/>
      </w:pPr>
      <w:r>
        <w:t xml:space="preserve">The weaning timetable presented by Semchuk’s (2016) study only moderately supports previous isotopic research conducted at other Roman sites. For instance, as stated in </w:t>
      </w:r>
      <w:r w:rsidR="00C80A2E">
        <w:t>S</w:t>
      </w:r>
      <w:r>
        <w:t>ection 2.4, Prowse and colleagues (2008) found that weaning began between 1 – 2 years and concluded by 2.5 - 3 years at Isola Sacra (1</w:t>
      </w:r>
      <w:r>
        <w:rPr>
          <w:vertAlign w:val="superscript"/>
        </w:rPr>
        <w:t>st</w:t>
      </w:r>
      <w:r>
        <w:t xml:space="preserve"> – 2</w:t>
      </w:r>
      <w:r>
        <w:rPr>
          <w:vertAlign w:val="superscript"/>
        </w:rPr>
        <w:t>nd</w:t>
      </w:r>
      <w:r>
        <w:t xml:space="preserve"> centuries CE) using rib collagen. At the same site (2</w:t>
      </w:r>
      <w:r>
        <w:rPr>
          <w:vertAlign w:val="superscript"/>
        </w:rPr>
        <w:t xml:space="preserve">nd </w:t>
      </w:r>
      <w:r>
        <w:t>- 3</w:t>
      </w:r>
      <w:r>
        <w:rPr>
          <w:vertAlign w:val="superscript"/>
        </w:rPr>
        <w:t>rd</w:t>
      </w:r>
      <w:r>
        <w:t xml:space="preserve"> centuries CE) Fitzgerald et al. (2006) used Wilson bands to suggest that weaning began around 6 months of age. Various comparable studies investigating IYCF practices during the Roman period found that weaning occurred between 6 months to 3 years, with some even suggesting that weaning ceased around 4 </w:t>
      </w:r>
      <w:r>
        <w:lastRenderedPageBreak/>
        <w:t>years of age (Fuller et al. 2006; Nehlich et al. 2011</w:t>
      </w:r>
      <w:r w:rsidR="0014186D">
        <w:t>;</w:t>
      </w:r>
      <w:r>
        <w:t xml:space="preserve"> Keenleyside et al. 2009</w:t>
      </w:r>
      <w:r w:rsidR="0014186D">
        <w:t>;</w:t>
      </w:r>
      <w:r>
        <w:t xml:space="preserve"> Howcroft et al. 2012).</w:t>
      </w:r>
    </w:p>
    <w:p w14:paraId="100FA2C8" w14:textId="77777777" w:rsidR="0066360F" w:rsidRDefault="0066360F" w:rsidP="0066360F"/>
    <w:p w14:paraId="42E490FF" w14:textId="48845482" w:rsidR="0066360F" w:rsidRDefault="0066360F" w:rsidP="0066360F">
      <w:pPr>
        <w:spacing w:line="480" w:lineRule="auto"/>
        <w:ind w:firstLine="720"/>
        <w:rPr>
          <w:color w:val="000000" w:themeColor="text1"/>
        </w:rPr>
      </w:pPr>
      <w:r>
        <w:t xml:space="preserve">Research on a contemporaneous Egyptian population (100 CE to 450 CE) located to the northwest in the Egyptian Western desert found that transitional feeding ceased at 3 years of age (Dupras </w:t>
      </w:r>
      <w:r w:rsidR="0014186D">
        <w:t>&amp;</w:t>
      </w:r>
      <w:r>
        <w:t xml:space="preserve"> Tocheri 2007).</w:t>
      </w:r>
      <w:r>
        <w:rPr>
          <w:color w:val="000000" w:themeColor="text1"/>
        </w:rPr>
        <w:t xml:space="preserve"> The researchers sampled multiple teeth from each individual (n=102) to create longitudinal profiles of stable carbon and nitrogen isotope data. This method refines the temporal resolution of isotopic values</w:t>
      </w:r>
      <w:r w:rsidR="00967A9A">
        <w:rPr>
          <w:color w:val="000000" w:themeColor="text1"/>
        </w:rPr>
        <w:t>;</w:t>
      </w:r>
      <w:r>
        <w:rPr>
          <w:color w:val="000000" w:themeColor="text1"/>
        </w:rPr>
        <w:t xml:space="preserve"> however similar to bulk bone sampling, values obtained from bulk dentine are averages over the period the tooth was formed.</w:t>
      </w:r>
    </w:p>
    <w:p w14:paraId="559B6545" w14:textId="77777777" w:rsidR="0066360F" w:rsidRDefault="0066360F" w:rsidP="003820A9">
      <w:pPr>
        <w:ind w:firstLine="720"/>
        <w:rPr>
          <w:color w:val="000000" w:themeColor="text1"/>
        </w:rPr>
      </w:pPr>
    </w:p>
    <w:p w14:paraId="31ADD7AB" w14:textId="3F648240" w:rsidR="0066360F" w:rsidRDefault="0066360F" w:rsidP="00860888">
      <w:pPr>
        <w:spacing w:line="480" w:lineRule="auto"/>
        <w:ind w:firstLine="720"/>
        <w:rPr>
          <w:color w:val="000000" w:themeColor="text1"/>
        </w:rPr>
      </w:pPr>
      <w:r>
        <w:rPr>
          <w:color w:val="000000" w:themeColor="text1"/>
        </w:rPr>
        <w:t xml:space="preserve"> </w:t>
      </w:r>
      <w:r>
        <w:t xml:space="preserve">A more recent study by Eerkens and colleagues (2018) used a dentine microsampling technique to evaluate weaning practices of Kingdom of Mereo from the northern part of Nubia (350 BCE and 350 CE). Based on seven individuals, isotopic results indicated that cessation of weaning occurred between 1.3 to 3.9 years of age.  Similar to the results presented here, there was significant intra-sample heterogeneity. </w:t>
      </w:r>
      <w:r>
        <w:rPr>
          <w:color w:val="000000" w:themeColor="text1"/>
        </w:rPr>
        <w:t xml:space="preserve">Variation within and between these societies can be a result of multiple factors including but not limited to varying local practices and beliefs, subsistence practices, gender roles, female (mother) work-load, </w:t>
      </w:r>
      <w:r w:rsidR="00967A9A">
        <w:rPr>
          <w:color w:val="000000" w:themeColor="text1"/>
        </w:rPr>
        <w:t xml:space="preserve">introduction of another pregnancy, </w:t>
      </w:r>
      <w:r>
        <w:rPr>
          <w:color w:val="000000" w:themeColor="text1"/>
        </w:rPr>
        <w:t xml:space="preserve">varying social perceptions of childhood and infancy and socioeconomic status.  </w:t>
      </w:r>
    </w:p>
    <w:p w14:paraId="636B6665" w14:textId="2A441F70" w:rsidR="00742754" w:rsidRDefault="00742754" w:rsidP="00860888">
      <w:pPr>
        <w:spacing w:line="480" w:lineRule="auto"/>
        <w:ind w:firstLine="720"/>
        <w:rPr>
          <w:color w:val="000000" w:themeColor="text1"/>
        </w:rPr>
      </w:pPr>
    </w:p>
    <w:p w14:paraId="1276D100" w14:textId="733CA126" w:rsidR="00742754" w:rsidRDefault="00742754" w:rsidP="00860888">
      <w:pPr>
        <w:spacing w:line="480" w:lineRule="auto"/>
        <w:ind w:firstLine="720"/>
        <w:rPr>
          <w:color w:val="000000" w:themeColor="text1"/>
        </w:rPr>
      </w:pPr>
    </w:p>
    <w:p w14:paraId="63D25358" w14:textId="5018C153" w:rsidR="009152A1" w:rsidRDefault="009152A1" w:rsidP="00B13223">
      <w:pPr>
        <w:rPr>
          <w:color w:val="000000" w:themeColor="text1"/>
        </w:rPr>
      </w:pPr>
    </w:p>
    <w:p w14:paraId="60BD5CE0" w14:textId="77777777" w:rsidR="00B13223" w:rsidRDefault="00B13223" w:rsidP="00B13223"/>
    <w:p w14:paraId="75377AF5" w14:textId="7857D08A" w:rsidR="0066360F" w:rsidRDefault="0066360F" w:rsidP="0066360F">
      <w:pPr>
        <w:pStyle w:val="NormalWeb"/>
        <w:rPr>
          <w:b/>
        </w:rPr>
      </w:pPr>
      <w:r>
        <w:rPr>
          <w:b/>
        </w:rPr>
        <w:lastRenderedPageBreak/>
        <w:t xml:space="preserve">6.5 </w:t>
      </w:r>
      <w:r w:rsidR="00E114AA">
        <w:rPr>
          <w:b/>
        </w:rPr>
        <w:t>Research</w:t>
      </w:r>
      <w:r>
        <w:rPr>
          <w:b/>
        </w:rPr>
        <w:t xml:space="preserve"> Limitations</w:t>
      </w:r>
    </w:p>
    <w:p w14:paraId="6C74FFEA" w14:textId="77777777" w:rsidR="0066360F" w:rsidRDefault="0066360F" w:rsidP="0066360F">
      <w:pPr>
        <w:pStyle w:val="NormalWeb"/>
      </w:pPr>
    </w:p>
    <w:p w14:paraId="5F8A9809" w14:textId="77777777" w:rsidR="0066360F" w:rsidRDefault="0066360F" w:rsidP="0066360F">
      <w:pPr>
        <w:pStyle w:val="NormalWeb"/>
      </w:pPr>
    </w:p>
    <w:p w14:paraId="62F77DFD" w14:textId="10090F16" w:rsidR="0066360F" w:rsidRDefault="0066360F" w:rsidP="0066360F">
      <w:pPr>
        <w:pStyle w:val="NormalWeb"/>
        <w:spacing w:line="480" w:lineRule="auto"/>
        <w:ind w:firstLine="720"/>
      </w:pPr>
      <w:r>
        <w:t>One of the limitations of conducting research on prehistoric populations is that bioarchaeologists do not have</w:t>
      </w:r>
      <w:r w:rsidR="00E114AA">
        <w:t xml:space="preserve"> any</w:t>
      </w:r>
      <w:r>
        <w:t xml:space="preserve"> textual evidence to compare with stable isotopic data. The Iron Age in Italy is one of those periods and this thesis is the first study where early childhood feeding is evaluated for a pre-Roman sample. Thus, this analysis aims to present contextual information on weaning practices in Iron Age southern Italy. </w:t>
      </w:r>
    </w:p>
    <w:p w14:paraId="67E3263E" w14:textId="77777777" w:rsidR="0066360F" w:rsidRDefault="0066360F" w:rsidP="00D60DD9">
      <w:pPr>
        <w:pStyle w:val="NormalWeb"/>
      </w:pPr>
    </w:p>
    <w:p w14:paraId="103F058C" w14:textId="027A8BD1" w:rsidR="0066360F" w:rsidRDefault="00742754" w:rsidP="0066360F">
      <w:pPr>
        <w:pStyle w:val="NormalWeb"/>
        <w:spacing w:line="480" w:lineRule="auto"/>
        <w:ind w:firstLine="720"/>
      </w:pPr>
      <w:r>
        <w:t xml:space="preserve">Population-level interpretations were further complicated by the relatively limited nature of this sample. Poor preservation of skeletal and dental remains and incomplete excavation records limited the </w:t>
      </w:r>
      <w:r w:rsidR="00841538">
        <w:t xml:space="preserve">sample size of this study. Still, </w:t>
      </w:r>
      <w:r w:rsidR="0066360F">
        <w:t xml:space="preserve">interpretations made in this analysis </w:t>
      </w:r>
      <w:r w:rsidR="00841538">
        <w:t>provides new insights into the lived experiences of childhood in Iron Age Italy and elucidates some of the IYCF practices of this community.</w:t>
      </w:r>
    </w:p>
    <w:p w14:paraId="5CC48A59" w14:textId="77777777" w:rsidR="0066360F" w:rsidRDefault="0066360F" w:rsidP="0066360F">
      <w:pPr>
        <w:pStyle w:val="NormalWeb"/>
        <w:ind w:firstLine="720"/>
      </w:pPr>
    </w:p>
    <w:p w14:paraId="7AFC64E6" w14:textId="71B38421" w:rsidR="0066360F" w:rsidRDefault="00841538" w:rsidP="00841538">
      <w:pPr>
        <w:pStyle w:val="NormalWeb"/>
        <w:spacing w:line="480" w:lineRule="auto"/>
        <w:ind w:firstLine="720"/>
      </w:pPr>
      <w:r>
        <w:t>I</w:t>
      </w:r>
      <w:r w:rsidR="0066360F">
        <w:t xml:space="preserve">ncremental sampling </w:t>
      </w:r>
      <w:r>
        <w:t>has also demonstrated its limitations despite its</w:t>
      </w:r>
      <w:r w:rsidR="0066360F">
        <w:t xml:space="preserve"> increasing </w:t>
      </w:r>
      <w:r>
        <w:t>application</w:t>
      </w:r>
      <w:r w:rsidR="0066360F">
        <w:t xml:space="preserve"> in bioarchaeological research and </w:t>
      </w:r>
      <w:r>
        <w:t>its ability to</w:t>
      </w:r>
      <w:r w:rsidR="0066360F">
        <w:t xml:space="preserve"> increase the individual-scale resolution of dietary changes. In this research, serial samples were not mutually exclusive in the time and growth they represented as sections overlap with preceding and subsequent sections due to dentine growth patterns. It can be argued that in the crown this problem is minimized as dentine growth lines are nearly horizontal, while in the root the growth lines are oriented at an oblique angle relative to the pulp cavity. Nonetheless, in this study when observing isotopic change through dentine serial section, it </w:t>
      </w:r>
      <w:r w:rsidR="00E114AA">
        <w:t xml:space="preserve">could </w:t>
      </w:r>
      <w:r w:rsidR="0066360F">
        <w:t xml:space="preserve">be done so with caution and with the understanding that the isotopic values are averages and not exactly representative of a particular age. </w:t>
      </w:r>
    </w:p>
    <w:p w14:paraId="3FB7D353" w14:textId="77777777" w:rsidR="0066360F" w:rsidRDefault="0066360F" w:rsidP="0066360F">
      <w:pPr>
        <w:pStyle w:val="NormalWeb"/>
        <w:ind w:firstLine="720"/>
      </w:pPr>
    </w:p>
    <w:p w14:paraId="60178926" w14:textId="7B716252" w:rsidR="0066360F" w:rsidRDefault="0066360F" w:rsidP="00860888">
      <w:pPr>
        <w:pStyle w:val="NormalWeb"/>
        <w:spacing w:line="480" w:lineRule="auto"/>
        <w:ind w:firstLine="720"/>
      </w:pPr>
      <w:r>
        <w:t>Since the introduction of dentine microsampling, the potential to obtain smaller samples has grown dramatically. This has allowed researchers to partially address the issue of time averaging by being able to collection up to 20 serial samples for adult teeth (Beaumont et al. 2014) and 14 in deciduous teeth (King et al. 2018). However, the most recent study by Czermak and colleagues (2018) has established the use of microscope images of longitudinal tooth sections using high</w:t>
      </w:r>
      <w:r>
        <w:rPr>
          <w:rFonts w:ascii="Cambria Math" w:hAnsi="Cambria Math" w:cs="Cambria Math"/>
        </w:rPr>
        <w:t>‐</w:t>
      </w:r>
      <w:r>
        <w:t>resolution transmission light microscopy to consider the directionality of incremental dentine growth structures during dentine microsampling. With that said, the microsampling technique outlined by Fuller et al. (2003) and Beaumont et al. (2013) is still an important technique in the absence of high</w:t>
      </w:r>
      <w:r>
        <w:rPr>
          <w:rFonts w:ascii="Cambria Math" w:hAnsi="Cambria Math" w:cs="Cambria Math"/>
        </w:rPr>
        <w:t>‐</w:t>
      </w:r>
      <w:r>
        <w:t xml:space="preserve">resolution transmission microscopy images. Transverse sectioning is able to provide general dietary trends by comparing increments of dentine considering dentine accumulates in an accretionary manner from the dentin–enamel junction (DEJ) to the apical root tip (ART) over ontogenetic time. This research averaged five samples per deciduous tooth and eight samples per permanent tooth; in order to ensure that enough collagen was collected from each section, sections were cut between 2 and 3.5 mm in length. The inclusion of teeth with partly developed roots, as well as teeth with excess amounts of dental wear, also limited the number of samples that could be collected. Although this study had fewer subsamples per tooth resulting in limited amount of isotopic data, it ensured adequate carbon and nitrogen in the collagen for isotope analysis. </w:t>
      </w:r>
    </w:p>
    <w:p w14:paraId="07C9B9C1" w14:textId="5BA0E167" w:rsidR="002E2C98" w:rsidRDefault="002E2C98" w:rsidP="00860888">
      <w:pPr>
        <w:pStyle w:val="NormalWeb"/>
        <w:spacing w:line="480" w:lineRule="auto"/>
        <w:ind w:firstLine="720"/>
      </w:pPr>
    </w:p>
    <w:p w14:paraId="45F41910" w14:textId="40726330" w:rsidR="00B13223" w:rsidRDefault="00B13223" w:rsidP="00860888">
      <w:pPr>
        <w:pStyle w:val="NormalWeb"/>
        <w:spacing w:line="480" w:lineRule="auto"/>
        <w:ind w:firstLine="720"/>
      </w:pPr>
    </w:p>
    <w:p w14:paraId="7F54033F" w14:textId="77777777" w:rsidR="00B13223" w:rsidRDefault="00B13223" w:rsidP="00860888">
      <w:pPr>
        <w:pStyle w:val="NormalWeb"/>
        <w:spacing w:line="480" w:lineRule="auto"/>
        <w:ind w:firstLine="720"/>
      </w:pPr>
    </w:p>
    <w:p w14:paraId="01F56ADF" w14:textId="32939886" w:rsidR="0066360F" w:rsidRDefault="0066360F" w:rsidP="0066360F">
      <w:pPr>
        <w:pStyle w:val="NormalWeb"/>
        <w:rPr>
          <w:b/>
        </w:rPr>
      </w:pPr>
      <w:r>
        <w:rPr>
          <w:b/>
        </w:rPr>
        <w:lastRenderedPageBreak/>
        <w:t xml:space="preserve">6.6 </w:t>
      </w:r>
      <w:r w:rsidR="00D60DD9">
        <w:rPr>
          <w:b/>
        </w:rPr>
        <w:t>Summary</w:t>
      </w:r>
      <w:r>
        <w:rPr>
          <w:b/>
        </w:rPr>
        <w:t xml:space="preserve"> </w:t>
      </w:r>
    </w:p>
    <w:p w14:paraId="3F11AE59" w14:textId="77777777" w:rsidR="0066360F" w:rsidRDefault="0066360F" w:rsidP="0066360F">
      <w:pPr>
        <w:spacing w:line="480" w:lineRule="auto"/>
      </w:pPr>
    </w:p>
    <w:p w14:paraId="299617D6" w14:textId="6E776251" w:rsidR="00860888" w:rsidRDefault="0066360F" w:rsidP="00FD2D16">
      <w:pPr>
        <w:spacing w:line="480" w:lineRule="auto"/>
        <w:ind w:firstLine="720"/>
      </w:pPr>
      <w:r>
        <w:t>Through stable nitrogen and carbon isotope profiles, the breastfeeding and weaning patterns were revealed in this sample of subadults and adults from Botromagno, Parco San Stefano and Padreterno. While each individual presented a unique isotopic profile, a general trend could be noted with the onset of weaning from 8 ± 3.4 months and weaning cessation by 4 years of age at the latest</w:t>
      </w:r>
      <w:r w:rsidR="00275E2B">
        <w:t>, although completion of weaning appears to have occurred earlier for those individuals who did not survive childhood</w:t>
      </w:r>
      <w:r>
        <w:t>. Variation in weaning patterns was seen between males and females</w:t>
      </w:r>
      <w:r w:rsidR="00275E2B">
        <w:t>, possibly</w:t>
      </w:r>
      <w:r>
        <w:t xml:space="preserve"> due to preferential food allocation for males and physiological differences between the sexes. Meanwhile, weaning variation between survivors and non-survivors was a result of varying lengths of weaning time and possible differential access to protein in transitional diet. Lastly, the combined analysis of serial dentine samples and bulk bone collagen provided a nuanced understanding of feeding trajectories for subadults. Bone values were consistently lower than </w:t>
      </w:r>
      <w:r>
        <w:sym w:font="Symbol" w:char="F064"/>
      </w:r>
      <w:r>
        <w:rPr>
          <w:vertAlign w:val="superscript"/>
        </w:rPr>
        <w:t>15</w:t>
      </w:r>
      <w:r>
        <w:t xml:space="preserve">N and </w:t>
      </w:r>
      <w:r>
        <w:sym w:font="Symbol" w:char="F064"/>
      </w:r>
      <w:r>
        <w:rPr>
          <w:vertAlign w:val="superscript"/>
        </w:rPr>
        <w:t>13</w:t>
      </w:r>
      <w:r>
        <w:t>C values presented by dentine as bone samples represented a period later in life, while rib values were generally lower than femoral values as a result of differences in bone turnover rates. Still, the combined analysis of tissues provided more data to evaluate the weaning process or fluctuation in isotopic profiles that could be caused by accelerated or reduced growth, or periods of physiological stress</w:t>
      </w:r>
      <w:r w:rsidR="005E4EBA">
        <w:t>.</w:t>
      </w:r>
    </w:p>
    <w:p w14:paraId="7503BE4D" w14:textId="62A25CC7" w:rsidR="00FD2D16" w:rsidRDefault="00FD2D16" w:rsidP="00FD2D16">
      <w:pPr>
        <w:spacing w:line="480" w:lineRule="auto"/>
        <w:ind w:firstLine="720"/>
      </w:pPr>
    </w:p>
    <w:p w14:paraId="09CE2732" w14:textId="44C26807" w:rsidR="00D60DD9" w:rsidRDefault="00D60DD9" w:rsidP="00FD2D16">
      <w:pPr>
        <w:spacing w:line="480" w:lineRule="auto"/>
        <w:ind w:firstLine="720"/>
      </w:pPr>
    </w:p>
    <w:p w14:paraId="711DBD97" w14:textId="1CFF3D06" w:rsidR="00D60DD9" w:rsidRDefault="00D60DD9" w:rsidP="00FD2D16">
      <w:pPr>
        <w:spacing w:line="480" w:lineRule="auto"/>
        <w:ind w:firstLine="720"/>
      </w:pPr>
    </w:p>
    <w:p w14:paraId="47CA4C81" w14:textId="77777777" w:rsidR="00D60DD9" w:rsidRDefault="00D60DD9" w:rsidP="00D60DD9">
      <w:pPr>
        <w:spacing w:line="480" w:lineRule="auto"/>
      </w:pPr>
    </w:p>
    <w:p w14:paraId="4AE9DCAB" w14:textId="77777777" w:rsidR="0066360F" w:rsidRDefault="0066360F" w:rsidP="00D836F5">
      <w:pPr>
        <w:spacing w:line="480" w:lineRule="auto"/>
        <w:jc w:val="center"/>
        <w:rPr>
          <w:rFonts w:eastAsiaTheme="minorHAnsi"/>
          <w:b/>
          <w:lang w:val="en-US"/>
        </w:rPr>
      </w:pPr>
      <w:r>
        <w:rPr>
          <w:rFonts w:eastAsiaTheme="minorHAnsi"/>
          <w:b/>
          <w:lang w:val="en-US"/>
        </w:rPr>
        <w:lastRenderedPageBreak/>
        <w:t>Chapter 7: Conclusion</w:t>
      </w:r>
    </w:p>
    <w:p w14:paraId="08C36750" w14:textId="77777777" w:rsidR="0066360F" w:rsidRDefault="0066360F" w:rsidP="005E4EBA">
      <w:pPr>
        <w:spacing w:line="480" w:lineRule="auto"/>
        <w:jc w:val="both"/>
        <w:rPr>
          <w:rFonts w:eastAsiaTheme="minorHAnsi"/>
          <w:b/>
          <w:lang w:val="en-US"/>
        </w:rPr>
      </w:pPr>
      <w:r>
        <w:rPr>
          <w:rFonts w:eastAsiaTheme="minorHAnsi"/>
          <w:b/>
          <w:lang w:val="en-US"/>
        </w:rPr>
        <w:t>7.1 Summary of Findings</w:t>
      </w:r>
    </w:p>
    <w:p w14:paraId="4B5F1DB6" w14:textId="77777777" w:rsidR="0066360F" w:rsidRDefault="0066360F" w:rsidP="0066360F">
      <w:pPr>
        <w:ind w:firstLine="720"/>
        <w:rPr>
          <w:rFonts w:eastAsiaTheme="minorHAnsi"/>
          <w:b/>
          <w:lang w:val="en-US"/>
        </w:rPr>
      </w:pPr>
    </w:p>
    <w:p w14:paraId="1B03AB0F" w14:textId="09F5D0E2" w:rsidR="0066360F" w:rsidRDefault="0066360F" w:rsidP="0066360F">
      <w:pPr>
        <w:spacing w:line="480" w:lineRule="auto"/>
      </w:pPr>
      <w:r>
        <w:rPr>
          <w:rFonts w:eastAsiaTheme="minorHAnsi"/>
          <w:b/>
          <w:lang w:val="en-US"/>
        </w:rPr>
        <w:tab/>
      </w:r>
      <w:r>
        <w:rPr>
          <w:rFonts w:eastAsiaTheme="minorHAnsi"/>
          <w:lang w:val="en-US"/>
        </w:rPr>
        <w:t xml:space="preserve">This thesis is the first to investigate early childhood feeding practices in a sample of subadults and adults interred at three Iron Age sites in South Italy. Stable carbon and nitrogen isotope values obtained from serial dentine sections and bulk bone samples demonstrated great heterogeneity in weaning patterns and diet. Yet, deciduous and permanent teeth of subadults (&lt; 10 years of age) provided the earliest isotopic data from the first year of life allowing for the estimation of an average age of weaning onset, which was calculated to be </w:t>
      </w:r>
      <w:r>
        <w:t>8 ± 3.4 months. Weaning cessation amongst subadult individuals was 2.3 ± 0.8 years based on</w:t>
      </w:r>
      <w:r>
        <w:rPr>
          <w:color w:val="000000" w:themeColor="text1"/>
        </w:rPr>
        <w:t xml:space="preserve"> a 2‰ – 3‰ offset in δ</w:t>
      </w:r>
      <w:r>
        <w:rPr>
          <w:color w:val="000000" w:themeColor="text1"/>
          <w:vertAlign w:val="superscript"/>
        </w:rPr>
        <w:t>15</w:t>
      </w:r>
      <w:r>
        <w:rPr>
          <w:color w:val="000000" w:themeColor="text1"/>
        </w:rPr>
        <w:t xml:space="preserve">N values; meanwhile, dentine samples obtained from adults (&lt;20 years) </w:t>
      </w:r>
      <w:r>
        <w:t>demonstrated weaning cessation by 4 years of age determined by plateauing of the isotopic data. Variation between subadults and adults may be a result of permanent teeth providing later a</w:t>
      </w:r>
      <w:r w:rsidR="000627B4">
        <w:t>ges, therefore later stages/phases of weaning</w:t>
      </w:r>
      <w:r>
        <w:t xml:space="preserve">. </w:t>
      </w:r>
    </w:p>
    <w:p w14:paraId="76C60D0D" w14:textId="77777777" w:rsidR="0066360F" w:rsidRDefault="0066360F" w:rsidP="0066360F"/>
    <w:p w14:paraId="26EFAB2D" w14:textId="097E4604" w:rsidR="0066360F" w:rsidRDefault="0066360F" w:rsidP="0066360F">
      <w:pPr>
        <w:spacing w:line="480" w:lineRule="auto"/>
        <w:rPr>
          <w:color w:val="000000" w:themeColor="text1"/>
        </w:rPr>
      </w:pPr>
      <w:r>
        <w:rPr>
          <w:rFonts w:eastAsiaTheme="minorHAnsi"/>
          <w:lang w:val="en-US"/>
        </w:rPr>
        <w:tab/>
      </w:r>
      <w:r>
        <w:t xml:space="preserve">The analysis of breastfeeding and weaning of survivors (individuals who survived past the weaning period) and non-survivors (subadults who were 4 years old or younger at the time of death) revealed that those who died early in childhood had </w:t>
      </w:r>
      <w:r w:rsidR="009256CD">
        <w:t xml:space="preserve">higher </w:t>
      </w:r>
      <w:r>
        <w:t xml:space="preserve">levels of </w:t>
      </w:r>
      <w:r>
        <w:rPr>
          <w:color w:val="000000" w:themeColor="text1"/>
        </w:rPr>
        <w:t>δ</w:t>
      </w:r>
      <w:r>
        <w:rPr>
          <w:color w:val="000000" w:themeColor="text1"/>
          <w:vertAlign w:val="superscript"/>
        </w:rPr>
        <w:t>15</w:t>
      </w:r>
      <w:r>
        <w:rPr>
          <w:color w:val="000000" w:themeColor="text1"/>
        </w:rPr>
        <w:t>N</w:t>
      </w:r>
      <w:r w:rsidR="009256CD">
        <w:rPr>
          <w:color w:val="000000" w:themeColor="text1"/>
        </w:rPr>
        <w:t xml:space="preserve"> during the 0-6 month period (by 1‰)</w:t>
      </w:r>
      <w:r>
        <w:rPr>
          <w:color w:val="000000" w:themeColor="text1"/>
        </w:rPr>
        <w:t>.</w:t>
      </w:r>
      <w:r w:rsidR="009256CD">
        <w:rPr>
          <w:color w:val="000000" w:themeColor="text1"/>
        </w:rPr>
        <w:t xml:space="preserve"> This could be due to physiological stress, or higher maternal δ</w:t>
      </w:r>
      <w:r w:rsidR="009256CD">
        <w:rPr>
          <w:color w:val="000000" w:themeColor="text1"/>
          <w:vertAlign w:val="superscript"/>
        </w:rPr>
        <w:t>15</w:t>
      </w:r>
      <w:r w:rsidR="009256CD">
        <w:rPr>
          <w:color w:val="000000" w:themeColor="text1"/>
        </w:rPr>
        <w:t xml:space="preserve">N levels. </w:t>
      </w:r>
      <w:r>
        <w:rPr>
          <w:color w:val="000000" w:themeColor="text1"/>
        </w:rPr>
        <w:t xml:space="preserve"> Non-survivors also demonstrated a sudden decrease δ</w:t>
      </w:r>
      <w:r>
        <w:rPr>
          <w:color w:val="000000" w:themeColor="text1"/>
          <w:vertAlign w:val="superscript"/>
        </w:rPr>
        <w:t>15</w:t>
      </w:r>
      <w:r>
        <w:rPr>
          <w:color w:val="000000" w:themeColor="text1"/>
        </w:rPr>
        <w:t xml:space="preserve">N over a shorter period of time indicating that they were weaned more rapidly. This could have ultimately caused their early demise as rapid removal of immunological benefits </w:t>
      </w:r>
      <w:r>
        <w:rPr>
          <w:color w:val="000000" w:themeColor="text1"/>
        </w:rPr>
        <w:lastRenderedPageBreak/>
        <w:t xml:space="preserve">from breastmilk along with exposure to </w:t>
      </w:r>
      <w:r>
        <w:t>environmental pathogens from the supplementary diet</w:t>
      </w:r>
      <w:r>
        <w:rPr>
          <w:color w:val="000000" w:themeColor="text1"/>
        </w:rPr>
        <w:t xml:space="preserve"> can be detrimental to childhood health. Still there are many other aspects (i.e. </w:t>
      </w:r>
      <w:r w:rsidR="009256CD">
        <w:rPr>
          <w:color w:val="000000" w:themeColor="text1"/>
        </w:rPr>
        <w:t xml:space="preserve">maternal </w:t>
      </w:r>
      <w:r>
        <w:rPr>
          <w:color w:val="000000" w:themeColor="text1"/>
        </w:rPr>
        <w:t xml:space="preserve">labour, socioeconomic status, infectious disease) which can impact mortality and early childhood feeding may not be the only contributor in this sample. </w:t>
      </w:r>
    </w:p>
    <w:p w14:paraId="5386B623" w14:textId="77777777" w:rsidR="0066360F" w:rsidRDefault="0066360F" w:rsidP="0066360F">
      <w:pPr>
        <w:rPr>
          <w:color w:val="000000" w:themeColor="text1"/>
        </w:rPr>
      </w:pPr>
    </w:p>
    <w:p w14:paraId="72063FEB" w14:textId="77777777" w:rsidR="0066360F" w:rsidRDefault="0066360F" w:rsidP="0066360F">
      <w:pPr>
        <w:spacing w:line="480" w:lineRule="auto"/>
        <w:rPr>
          <w:color w:val="000000" w:themeColor="text1"/>
        </w:rPr>
      </w:pPr>
      <w:r>
        <w:rPr>
          <w:rFonts w:eastAsiaTheme="minorHAnsi"/>
          <w:lang w:val="en-US"/>
        </w:rPr>
        <w:tab/>
        <w:t xml:space="preserve">The combined analysis of dentine and bone collagen isotopic data revealed that femur stable isotope values were consistently higher than rib values. This is due to the delayed incorporation of diet in long bones as a result of slower bone turnover rate; yet, after five years of age both bone samples demonstrated similar isotope data possibly due to consistency in post-weaning diet. The overall combination of three different body tissues provided more nuanced interpretation of dietary change and highlighted periods of fluctuating </w:t>
      </w:r>
      <w:r>
        <w:rPr>
          <w:rFonts w:eastAsiaTheme="minorHAnsi"/>
          <w:vertAlign w:val="superscript"/>
          <w:lang w:val="en-US"/>
        </w:rPr>
        <w:t>15</w:t>
      </w:r>
      <w:r>
        <w:rPr>
          <w:rFonts w:eastAsiaTheme="minorHAnsi"/>
          <w:lang w:val="en-US"/>
        </w:rPr>
        <w:t>N values that were likely a result of accelerated growth or</w:t>
      </w:r>
      <w:r>
        <w:rPr>
          <w:color w:val="000000" w:themeColor="text1"/>
        </w:rPr>
        <w:t xml:space="preserve"> physiological stress rather than transitional feeding.  </w:t>
      </w:r>
    </w:p>
    <w:p w14:paraId="74CF0717" w14:textId="77777777" w:rsidR="0066360F" w:rsidRDefault="0066360F" w:rsidP="0066360F">
      <w:pPr>
        <w:rPr>
          <w:color w:val="000000" w:themeColor="text1"/>
        </w:rPr>
      </w:pPr>
    </w:p>
    <w:p w14:paraId="454FECC6" w14:textId="77777777" w:rsidR="0066360F" w:rsidRDefault="0066360F" w:rsidP="0066360F">
      <w:pPr>
        <w:spacing w:line="480" w:lineRule="auto"/>
        <w:ind w:firstLine="360"/>
      </w:pPr>
      <w:r>
        <w:rPr>
          <w:rFonts w:eastAsiaTheme="minorHAnsi"/>
          <w:lang w:val="en-US"/>
        </w:rPr>
        <w:tab/>
      </w:r>
      <w:r>
        <w:t>Results from this thesis are significant as they show the benefits of merging incremental dentine sampling technique with bone isotope data to not only understand relationship between stable isotope values and dietary change, but also the influence of physiological growth and stress on stable isotope profiles. This analysis also emphasizes the importance of investigating early childhood feeding on an individual level along with on a population level as there are multiple factors that shape weaning strategies. Lastly, this thesis provides some pre-Roman context for early childhood feeding as no other research has been conducted on breastfeeding and weaning during this period.</w:t>
      </w:r>
    </w:p>
    <w:p w14:paraId="263B45AB" w14:textId="6C52C9DC" w:rsidR="0066360F" w:rsidRDefault="0066360F" w:rsidP="0066360F">
      <w:pPr>
        <w:ind w:firstLine="360"/>
      </w:pPr>
    </w:p>
    <w:p w14:paraId="30C6C980" w14:textId="77777777" w:rsidR="005E4EBA" w:rsidRDefault="005E4EBA" w:rsidP="0066360F">
      <w:pPr>
        <w:ind w:firstLine="360"/>
      </w:pPr>
    </w:p>
    <w:p w14:paraId="6B3223DD" w14:textId="44F5C59A" w:rsidR="0066360F" w:rsidRDefault="0066360F" w:rsidP="00817A11">
      <w:pPr>
        <w:spacing w:line="480" w:lineRule="auto"/>
        <w:rPr>
          <w:rFonts w:eastAsiaTheme="minorHAnsi"/>
          <w:b/>
          <w:lang w:val="en-US"/>
        </w:rPr>
      </w:pPr>
      <w:r>
        <w:rPr>
          <w:rFonts w:eastAsiaTheme="minorHAnsi"/>
          <w:b/>
          <w:lang w:val="en-US"/>
        </w:rPr>
        <w:lastRenderedPageBreak/>
        <w:t xml:space="preserve">7.2 Future Directions </w:t>
      </w:r>
    </w:p>
    <w:p w14:paraId="23AA9065" w14:textId="77777777" w:rsidR="00817A11" w:rsidRDefault="00817A11" w:rsidP="00817A11">
      <w:pPr>
        <w:rPr>
          <w:rFonts w:eastAsiaTheme="minorHAnsi"/>
          <w:b/>
          <w:lang w:val="en-US"/>
        </w:rPr>
      </w:pPr>
    </w:p>
    <w:p w14:paraId="19F702B8" w14:textId="278CCA0A" w:rsidR="0066360F" w:rsidRDefault="0066360F" w:rsidP="004B290E">
      <w:pPr>
        <w:spacing w:line="480" w:lineRule="auto"/>
        <w:ind w:firstLine="709"/>
        <w:rPr>
          <w:rFonts w:eastAsiaTheme="minorHAnsi"/>
          <w:lang w:val="en-US"/>
        </w:rPr>
      </w:pPr>
      <w:r>
        <w:rPr>
          <w:rFonts w:eastAsiaTheme="minorHAnsi"/>
          <w:lang w:val="en-US"/>
        </w:rPr>
        <w:t xml:space="preserve">While stable isotope analysis has been the first step towards investigating early childhood feeding in Iron Age South Italy, future research using radiocarbon dating would alleviate some uncertainty regarding intra-sample variation in weaning patterns and diet. Individuals included in this analysis were dated based on past archaeological excavation reports and previously labelled storage boxes in which they were kept; more precise dating could reveal whether significant variances in breastfeeding and weaning patterns between individuals may be a result of temporal differences. </w:t>
      </w:r>
    </w:p>
    <w:p w14:paraId="5F2FB9BF" w14:textId="77777777" w:rsidR="00817A11" w:rsidRDefault="00817A11" w:rsidP="00817A11">
      <w:pPr>
        <w:ind w:firstLine="360"/>
        <w:rPr>
          <w:rFonts w:eastAsiaTheme="minorHAnsi"/>
          <w:lang w:val="en-US"/>
        </w:rPr>
      </w:pPr>
    </w:p>
    <w:p w14:paraId="34301B98" w14:textId="77777777" w:rsidR="0066360F" w:rsidRDefault="0066360F" w:rsidP="0066360F">
      <w:pPr>
        <w:spacing w:line="480" w:lineRule="auto"/>
        <w:ind w:firstLine="360"/>
        <w:rPr>
          <w:rFonts w:eastAsiaTheme="minorHAnsi"/>
          <w:lang w:val="en-US"/>
        </w:rPr>
      </w:pPr>
      <w:r>
        <w:rPr>
          <w:rFonts w:eastAsiaTheme="minorHAnsi"/>
          <w:lang w:val="en-US"/>
        </w:rPr>
        <w:tab/>
        <w:t xml:space="preserve">Since this thesis did not include analysis of tooth enamel reserved for each individual, a potential biochemical analysis of peptides in tooth enamel could allow for sex estimation for each individual (Stewart et al. 2017). In the past, sex estimation was limited to adults but more recently the method developed by Stewart et at. (2017) is able to provide a more precise means to estimate sex for adults as well as infant and subadult remains. Sex-based variation in adults was observed in this sample, and historical sources have revealed potential differences in diet between males and females during the succeeding Roman period, thus </w:t>
      </w:r>
      <w:r>
        <w:rPr>
          <w:rFonts w:eastAsiaTheme="minorHAnsi"/>
        </w:rPr>
        <w:t xml:space="preserve">peptide analysis would enable an efficient assessment of sex-based variation in breastfeeding and weaning practice in Iron Age Italy. </w:t>
      </w:r>
    </w:p>
    <w:p w14:paraId="349F6C63" w14:textId="77777777" w:rsidR="0066360F" w:rsidRDefault="0066360F" w:rsidP="0066360F">
      <w:pPr>
        <w:ind w:firstLine="360"/>
        <w:rPr>
          <w:rFonts w:eastAsiaTheme="minorHAnsi"/>
        </w:rPr>
      </w:pPr>
    </w:p>
    <w:p w14:paraId="630DE775" w14:textId="77777777" w:rsidR="0066360F" w:rsidRDefault="0066360F" w:rsidP="004B290E">
      <w:pPr>
        <w:spacing w:line="480" w:lineRule="auto"/>
        <w:ind w:firstLine="709"/>
        <w:rPr>
          <w:rFonts w:eastAsiaTheme="minorHAnsi"/>
          <w:lang w:val="en-US"/>
        </w:rPr>
      </w:pPr>
      <w:r>
        <w:rPr>
          <w:rFonts w:eastAsiaTheme="minorHAnsi"/>
          <w:lang w:val="en-US"/>
        </w:rPr>
        <w:t xml:space="preserve">Finally, throughout this thesis it has been recognized that the sample size of adults is limited. It would be beneficial to include more adults (with a sufficient number of both males and females) in future analysis to uncover potential dietary disparities between the sexes. Future research on sex-based weaning practices in Italian Roman populations using </w:t>
      </w:r>
      <w:r>
        <w:rPr>
          <w:rFonts w:eastAsiaTheme="minorHAnsi"/>
          <w:lang w:val="en-US"/>
        </w:rPr>
        <w:lastRenderedPageBreak/>
        <w:t xml:space="preserve">peptide analysis and dentine microsampling would also be useful as it would provide comparative data for this study. </w:t>
      </w:r>
    </w:p>
    <w:p w14:paraId="381F8468" w14:textId="77777777" w:rsidR="0066360F" w:rsidRDefault="0066360F" w:rsidP="00DF7AE4">
      <w:pPr>
        <w:spacing w:line="480" w:lineRule="auto"/>
        <w:jc w:val="center"/>
        <w:rPr>
          <w:rFonts w:eastAsiaTheme="minorHAnsi"/>
          <w:b/>
          <w:lang w:val="en-US"/>
        </w:rPr>
      </w:pPr>
    </w:p>
    <w:p w14:paraId="4B0139BA" w14:textId="091067E5" w:rsidR="00826B74" w:rsidRDefault="00826B74" w:rsidP="00DF7AE4">
      <w:pPr>
        <w:spacing w:line="480" w:lineRule="auto"/>
        <w:jc w:val="center"/>
        <w:rPr>
          <w:rFonts w:eastAsiaTheme="minorHAnsi"/>
          <w:b/>
          <w:lang w:val="en-US"/>
        </w:rPr>
      </w:pPr>
    </w:p>
    <w:p w14:paraId="556E6F11" w14:textId="77777777" w:rsidR="00826B74" w:rsidRDefault="00826B74" w:rsidP="00DF7AE4">
      <w:pPr>
        <w:spacing w:line="480" w:lineRule="auto"/>
        <w:jc w:val="center"/>
        <w:rPr>
          <w:rFonts w:eastAsiaTheme="minorHAnsi"/>
          <w:b/>
          <w:lang w:val="en-US"/>
        </w:rPr>
      </w:pPr>
    </w:p>
    <w:p w14:paraId="6351488D" w14:textId="77777777" w:rsidR="00DF7AE4" w:rsidRPr="00DF7AE4" w:rsidRDefault="00DF7AE4" w:rsidP="00DF7AE4">
      <w:pPr>
        <w:spacing w:line="480" w:lineRule="auto"/>
        <w:jc w:val="center"/>
        <w:rPr>
          <w:rFonts w:eastAsiaTheme="minorHAnsi"/>
          <w:b/>
          <w:lang w:val="en-US"/>
        </w:rPr>
      </w:pPr>
    </w:p>
    <w:p w14:paraId="077D35D9" w14:textId="197203AE" w:rsidR="00CF5BB7" w:rsidRDefault="00CF5BB7">
      <w:pPr>
        <w:rPr>
          <w:color w:val="000000" w:themeColor="text1"/>
          <w:lang w:val="en-US"/>
        </w:rPr>
      </w:pPr>
    </w:p>
    <w:p w14:paraId="4603EDA5" w14:textId="1FC0BF11" w:rsidR="00D300CD" w:rsidRDefault="00D300CD">
      <w:pPr>
        <w:rPr>
          <w:color w:val="000000" w:themeColor="text1"/>
          <w:lang w:val="en-US"/>
        </w:rPr>
      </w:pPr>
    </w:p>
    <w:p w14:paraId="406EA6C6" w14:textId="7000CB39" w:rsidR="00D300CD" w:rsidRDefault="00D300CD">
      <w:pPr>
        <w:rPr>
          <w:color w:val="000000" w:themeColor="text1"/>
          <w:lang w:val="en-US"/>
        </w:rPr>
      </w:pPr>
    </w:p>
    <w:p w14:paraId="69814CFB" w14:textId="20731C04" w:rsidR="00D300CD" w:rsidRDefault="00D300CD">
      <w:pPr>
        <w:rPr>
          <w:color w:val="000000" w:themeColor="text1"/>
          <w:lang w:val="en-US"/>
        </w:rPr>
      </w:pPr>
    </w:p>
    <w:p w14:paraId="7B068F54" w14:textId="45B58D77" w:rsidR="00D300CD" w:rsidRDefault="00D300CD">
      <w:pPr>
        <w:rPr>
          <w:color w:val="000000" w:themeColor="text1"/>
          <w:lang w:val="en-US"/>
        </w:rPr>
      </w:pPr>
    </w:p>
    <w:p w14:paraId="6100E31F" w14:textId="7A1614BE" w:rsidR="00D300CD" w:rsidRDefault="00D300CD">
      <w:pPr>
        <w:rPr>
          <w:color w:val="000000" w:themeColor="text1"/>
          <w:lang w:val="en-US"/>
        </w:rPr>
      </w:pPr>
    </w:p>
    <w:p w14:paraId="3C26C039" w14:textId="35A926A5" w:rsidR="00D300CD" w:rsidRDefault="00D300CD">
      <w:pPr>
        <w:rPr>
          <w:color w:val="000000" w:themeColor="text1"/>
          <w:lang w:val="en-US"/>
        </w:rPr>
      </w:pPr>
    </w:p>
    <w:p w14:paraId="353C5CE9" w14:textId="67C52FBB" w:rsidR="00D300CD" w:rsidRDefault="00D300CD">
      <w:pPr>
        <w:rPr>
          <w:color w:val="000000" w:themeColor="text1"/>
          <w:lang w:val="en-US"/>
        </w:rPr>
      </w:pPr>
    </w:p>
    <w:p w14:paraId="12C51804" w14:textId="2E370754" w:rsidR="00D300CD" w:rsidRDefault="00D300CD">
      <w:pPr>
        <w:rPr>
          <w:color w:val="000000" w:themeColor="text1"/>
          <w:lang w:val="en-US"/>
        </w:rPr>
      </w:pPr>
    </w:p>
    <w:p w14:paraId="1020EBFF" w14:textId="5A0A5E3E" w:rsidR="00D300CD" w:rsidRDefault="00D300CD">
      <w:pPr>
        <w:rPr>
          <w:color w:val="000000" w:themeColor="text1"/>
          <w:lang w:val="en-US"/>
        </w:rPr>
      </w:pPr>
    </w:p>
    <w:p w14:paraId="5ACE4ABC" w14:textId="371602D0" w:rsidR="00D300CD" w:rsidRDefault="00D300CD">
      <w:pPr>
        <w:rPr>
          <w:color w:val="000000" w:themeColor="text1"/>
          <w:lang w:val="en-US"/>
        </w:rPr>
      </w:pPr>
    </w:p>
    <w:p w14:paraId="6276AA58" w14:textId="7D71E86D" w:rsidR="00D300CD" w:rsidRDefault="00D300CD">
      <w:pPr>
        <w:rPr>
          <w:color w:val="000000" w:themeColor="text1"/>
          <w:lang w:val="en-US"/>
        </w:rPr>
      </w:pPr>
    </w:p>
    <w:p w14:paraId="15EEA479" w14:textId="7F2867A2" w:rsidR="00D300CD" w:rsidRDefault="00D300CD">
      <w:pPr>
        <w:rPr>
          <w:color w:val="000000" w:themeColor="text1"/>
          <w:lang w:val="en-US"/>
        </w:rPr>
      </w:pPr>
    </w:p>
    <w:p w14:paraId="4C1C9C19" w14:textId="009D5ACE" w:rsidR="00D300CD" w:rsidRDefault="00D300CD">
      <w:pPr>
        <w:rPr>
          <w:color w:val="000000" w:themeColor="text1"/>
          <w:lang w:val="en-US"/>
        </w:rPr>
      </w:pPr>
    </w:p>
    <w:p w14:paraId="2FB13DA5" w14:textId="3D96AE3F" w:rsidR="00D300CD" w:rsidRDefault="00D300CD">
      <w:pPr>
        <w:rPr>
          <w:color w:val="000000" w:themeColor="text1"/>
          <w:lang w:val="en-US"/>
        </w:rPr>
      </w:pPr>
    </w:p>
    <w:p w14:paraId="58A77AEB" w14:textId="2C236B3B" w:rsidR="00D300CD" w:rsidRDefault="00D300CD">
      <w:pPr>
        <w:rPr>
          <w:color w:val="000000" w:themeColor="text1"/>
          <w:lang w:val="en-US"/>
        </w:rPr>
      </w:pPr>
    </w:p>
    <w:p w14:paraId="65D57273" w14:textId="48949293" w:rsidR="00D300CD" w:rsidRDefault="00D300CD">
      <w:pPr>
        <w:rPr>
          <w:color w:val="000000" w:themeColor="text1"/>
          <w:lang w:val="en-US"/>
        </w:rPr>
      </w:pPr>
    </w:p>
    <w:p w14:paraId="06C7E15B" w14:textId="3D1D0C44" w:rsidR="00D300CD" w:rsidRDefault="00D300CD">
      <w:pPr>
        <w:rPr>
          <w:color w:val="000000" w:themeColor="text1"/>
          <w:lang w:val="en-US"/>
        </w:rPr>
      </w:pPr>
    </w:p>
    <w:p w14:paraId="1E6C6CFD" w14:textId="409DE90C" w:rsidR="00D300CD" w:rsidRDefault="00D300CD">
      <w:pPr>
        <w:rPr>
          <w:color w:val="000000" w:themeColor="text1"/>
          <w:lang w:val="en-US"/>
        </w:rPr>
      </w:pPr>
    </w:p>
    <w:p w14:paraId="0502419D" w14:textId="429BC5C1" w:rsidR="00D300CD" w:rsidRDefault="00D300CD">
      <w:pPr>
        <w:rPr>
          <w:color w:val="000000" w:themeColor="text1"/>
          <w:lang w:val="en-US"/>
        </w:rPr>
      </w:pPr>
    </w:p>
    <w:p w14:paraId="6CFE4CE9" w14:textId="72D971A4" w:rsidR="00D300CD" w:rsidRDefault="00D300CD">
      <w:pPr>
        <w:rPr>
          <w:color w:val="000000" w:themeColor="text1"/>
          <w:lang w:val="en-US"/>
        </w:rPr>
      </w:pPr>
    </w:p>
    <w:p w14:paraId="1AE9891B" w14:textId="0C3D9346" w:rsidR="00D300CD" w:rsidRDefault="00D300CD">
      <w:pPr>
        <w:rPr>
          <w:color w:val="000000" w:themeColor="text1"/>
          <w:lang w:val="en-US"/>
        </w:rPr>
      </w:pPr>
    </w:p>
    <w:p w14:paraId="31479C54" w14:textId="23450953" w:rsidR="00D300CD" w:rsidRDefault="00D300CD">
      <w:pPr>
        <w:rPr>
          <w:color w:val="000000" w:themeColor="text1"/>
          <w:lang w:val="en-US"/>
        </w:rPr>
      </w:pPr>
    </w:p>
    <w:p w14:paraId="2A838195" w14:textId="120EEF19" w:rsidR="00D300CD" w:rsidRDefault="00D300CD">
      <w:pPr>
        <w:rPr>
          <w:color w:val="000000" w:themeColor="text1"/>
          <w:lang w:val="en-US"/>
        </w:rPr>
      </w:pPr>
    </w:p>
    <w:p w14:paraId="61F74DE0" w14:textId="67736244" w:rsidR="00D300CD" w:rsidRDefault="00D300CD">
      <w:pPr>
        <w:rPr>
          <w:color w:val="000000" w:themeColor="text1"/>
          <w:lang w:val="en-US"/>
        </w:rPr>
      </w:pPr>
    </w:p>
    <w:p w14:paraId="508DA704" w14:textId="654D15E6" w:rsidR="00D300CD" w:rsidRDefault="00D300CD">
      <w:pPr>
        <w:rPr>
          <w:color w:val="000000" w:themeColor="text1"/>
          <w:lang w:val="en-US"/>
        </w:rPr>
      </w:pPr>
    </w:p>
    <w:p w14:paraId="594E0367" w14:textId="2BA879FF" w:rsidR="00D300CD" w:rsidRDefault="00D300CD">
      <w:pPr>
        <w:rPr>
          <w:color w:val="000000" w:themeColor="text1"/>
          <w:lang w:val="en-US"/>
        </w:rPr>
      </w:pPr>
    </w:p>
    <w:p w14:paraId="795D065F" w14:textId="00CA6972" w:rsidR="00FD2D16" w:rsidRDefault="00FD2D16">
      <w:pPr>
        <w:rPr>
          <w:color w:val="000000" w:themeColor="text1"/>
          <w:lang w:val="en-US"/>
        </w:rPr>
      </w:pPr>
    </w:p>
    <w:p w14:paraId="703BE280" w14:textId="77777777" w:rsidR="00FD2D16" w:rsidRDefault="00FD2D16">
      <w:pPr>
        <w:rPr>
          <w:color w:val="000000" w:themeColor="text1"/>
          <w:lang w:val="en-US"/>
        </w:rPr>
      </w:pPr>
    </w:p>
    <w:p w14:paraId="1AC7545C" w14:textId="6BFBFD99" w:rsidR="00D300CD" w:rsidRDefault="00D300CD">
      <w:pPr>
        <w:rPr>
          <w:color w:val="000000" w:themeColor="text1"/>
          <w:lang w:val="en-US"/>
        </w:rPr>
      </w:pPr>
    </w:p>
    <w:p w14:paraId="07A5F0BD" w14:textId="36AF3599" w:rsidR="00D300CD" w:rsidRDefault="00D300CD">
      <w:pPr>
        <w:rPr>
          <w:color w:val="000000" w:themeColor="text1"/>
          <w:lang w:val="en-US"/>
        </w:rPr>
      </w:pPr>
    </w:p>
    <w:p w14:paraId="7AA80D23" w14:textId="77777777" w:rsidR="00494747" w:rsidRDefault="00494747">
      <w:pPr>
        <w:rPr>
          <w:color w:val="000000" w:themeColor="text1"/>
          <w:lang w:val="en-US"/>
        </w:rPr>
      </w:pPr>
    </w:p>
    <w:p w14:paraId="3CA96AF8" w14:textId="77777777" w:rsidR="00FD43EF" w:rsidRPr="005F7C36" w:rsidRDefault="00FD43EF" w:rsidP="00FD43EF">
      <w:pPr>
        <w:spacing w:line="480" w:lineRule="auto"/>
        <w:rPr>
          <w:rFonts w:eastAsiaTheme="minorHAnsi"/>
          <w:b/>
          <w:lang w:val="es-ES"/>
        </w:rPr>
      </w:pPr>
      <w:r w:rsidRPr="005F7C36">
        <w:rPr>
          <w:rFonts w:eastAsiaTheme="minorHAnsi"/>
          <w:b/>
          <w:lang w:val="es-ES"/>
        </w:rPr>
        <w:lastRenderedPageBreak/>
        <w:t xml:space="preserve">References </w:t>
      </w:r>
    </w:p>
    <w:p w14:paraId="4A797500" w14:textId="5E99E54D" w:rsidR="00FD43EF" w:rsidRPr="005F7C36" w:rsidRDefault="00FD43EF" w:rsidP="00FD43EF">
      <w:pPr>
        <w:rPr>
          <w:rFonts w:eastAsiaTheme="minorHAnsi"/>
          <w:lang w:val="es-ES"/>
        </w:rPr>
      </w:pPr>
      <w:r w:rsidRPr="00D836F5">
        <w:rPr>
          <w:rFonts w:eastAsiaTheme="minorHAnsi"/>
          <w:lang w:val="it-IT"/>
        </w:rPr>
        <w:t xml:space="preserve">AA.VV. (Soprintendenza archeologica della Basilicata). (1989). </w:t>
      </w:r>
      <w:r w:rsidRPr="00D836F5">
        <w:rPr>
          <w:rFonts w:eastAsiaTheme="minorHAnsi"/>
          <w:i/>
          <w:lang w:val="it-IT"/>
        </w:rPr>
        <w:t xml:space="preserve">Testimonianze </w:t>
      </w:r>
      <w:r w:rsidR="00257E9D">
        <w:rPr>
          <w:rFonts w:eastAsiaTheme="minorHAnsi"/>
          <w:i/>
          <w:lang w:val="it-IT"/>
        </w:rPr>
        <w:t>A</w:t>
      </w:r>
      <w:r w:rsidRPr="00D836F5">
        <w:rPr>
          <w:rFonts w:eastAsiaTheme="minorHAnsi"/>
          <w:i/>
          <w:lang w:val="it-IT"/>
        </w:rPr>
        <w:t xml:space="preserve">rcheologiche nel </w:t>
      </w:r>
      <w:r w:rsidR="00257E9D">
        <w:rPr>
          <w:rFonts w:eastAsiaTheme="minorHAnsi"/>
          <w:i/>
          <w:lang w:val="it-IT"/>
        </w:rPr>
        <w:t>T</w:t>
      </w:r>
      <w:r w:rsidRPr="00D836F5">
        <w:rPr>
          <w:rFonts w:eastAsiaTheme="minorHAnsi"/>
          <w:i/>
          <w:lang w:val="it-IT"/>
        </w:rPr>
        <w:t>erritorio di Tolve.</w:t>
      </w:r>
      <w:r w:rsidRPr="00D836F5">
        <w:rPr>
          <w:rFonts w:eastAsiaTheme="minorHAnsi"/>
          <w:lang w:val="it-IT"/>
        </w:rPr>
        <w:t xml:space="preserve"> </w:t>
      </w:r>
      <w:r w:rsidRPr="005F7C36">
        <w:rPr>
          <w:rFonts w:eastAsiaTheme="minorHAnsi"/>
          <w:lang w:val="es-ES"/>
        </w:rPr>
        <w:t>Matera: BMG.</w:t>
      </w:r>
    </w:p>
    <w:p w14:paraId="308A67BA" w14:textId="77777777" w:rsidR="00FD43EF" w:rsidRPr="005F7C36" w:rsidRDefault="00FD43EF" w:rsidP="00FD43EF">
      <w:pPr>
        <w:rPr>
          <w:iCs/>
          <w:color w:val="000000" w:themeColor="text1"/>
          <w:lang w:val="es-ES"/>
        </w:rPr>
      </w:pPr>
    </w:p>
    <w:p w14:paraId="48BA2588" w14:textId="0B9998A5" w:rsidR="00FD43EF" w:rsidRPr="00A27744" w:rsidRDefault="00FD43EF" w:rsidP="00FD43EF">
      <w:pPr>
        <w:rPr>
          <w:iCs/>
          <w:color w:val="000000" w:themeColor="text1"/>
          <w:lang w:val="en-US"/>
        </w:rPr>
      </w:pPr>
      <w:r w:rsidRPr="005F7C36">
        <w:rPr>
          <w:iCs/>
          <w:color w:val="000000" w:themeColor="text1"/>
          <w:lang w:val="es-ES"/>
        </w:rPr>
        <w:t xml:space="preserve">Alesan, A., Malgosa, A., &amp; Simó, C. (1999). </w:t>
      </w:r>
      <w:r w:rsidRPr="00A27744">
        <w:rPr>
          <w:iCs/>
          <w:color w:val="000000" w:themeColor="text1"/>
          <w:lang w:val="en-US"/>
        </w:rPr>
        <w:t xml:space="preserve">Looking into the </w:t>
      </w:r>
      <w:r w:rsidR="008D0838">
        <w:rPr>
          <w:iCs/>
          <w:color w:val="000000" w:themeColor="text1"/>
          <w:lang w:val="en-US"/>
        </w:rPr>
        <w:t>d</w:t>
      </w:r>
      <w:r w:rsidRPr="00A27744">
        <w:rPr>
          <w:iCs/>
          <w:color w:val="000000" w:themeColor="text1"/>
          <w:lang w:val="en-US"/>
        </w:rPr>
        <w:t xml:space="preserve">emography of an Iron Age </w:t>
      </w:r>
      <w:r w:rsidR="008D0838">
        <w:rPr>
          <w:iCs/>
          <w:color w:val="000000" w:themeColor="text1"/>
          <w:lang w:val="en-US"/>
        </w:rPr>
        <w:t>p</w:t>
      </w:r>
      <w:r w:rsidRPr="00A27744">
        <w:rPr>
          <w:iCs/>
          <w:color w:val="000000" w:themeColor="text1"/>
          <w:lang w:val="en-US"/>
        </w:rPr>
        <w:t xml:space="preserve">opulation in the </w:t>
      </w:r>
      <w:r w:rsidR="008D0838">
        <w:rPr>
          <w:iCs/>
          <w:color w:val="000000" w:themeColor="text1"/>
          <w:lang w:val="en-US"/>
        </w:rPr>
        <w:t>w</w:t>
      </w:r>
      <w:r w:rsidRPr="00A27744">
        <w:rPr>
          <w:iCs/>
          <w:color w:val="000000" w:themeColor="text1"/>
          <w:lang w:val="en-US"/>
        </w:rPr>
        <w:t>estern Mediterranean. I: Mortality. </w:t>
      </w:r>
      <w:r w:rsidRPr="00A27744">
        <w:rPr>
          <w:i/>
          <w:iCs/>
          <w:color w:val="000000" w:themeColor="text1"/>
          <w:lang w:val="en-US"/>
        </w:rPr>
        <w:t>American Journal of Physical Anthropology</w:t>
      </w:r>
      <w:r>
        <w:rPr>
          <w:i/>
          <w:iCs/>
          <w:color w:val="000000" w:themeColor="text1"/>
          <w:lang w:val="en-US"/>
        </w:rPr>
        <w:t>,</w:t>
      </w:r>
      <w:r w:rsidRPr="00A27744">
        <w:rPr>
          <w:iCs/>
          <w:color w:val="000000" w:themeColor="text1"/>
          <w:lang w:val="en-US"/>
        </w:rPr>
        <w:t> </w:t>
      </w:r>
      <w:r w:rsidRPr="007A5A7C">
        <w:rPr>
          <w:i/>
          <w:iCs/>
          <w:color w:val="000000" w:themeColor="text1"/>
          <w:lang w:val="en-US"/>
        </w:rPr>
        <w:t>110</w:t>
      </w:r>
      <w:r>
        <w:rPr>
          <w:iCs/>
          <w:color w:val="000000" w:themeColor="text1"/>
          <w:lang w:val="en-US"/>
        </w:rPr>
        <w:t>(3),</w:t>
      </w:r>
      <w:r w:rsidRPr="00A27744">
        <w:rPr>
          <w:iCs/>
          <w:color w:val="000000" w:themeColor="text1"/>
          <w:lang w:val="en-US"/>
        </w:rPr>
        <w:t xml:space="preserve"> 285</w:t>
      </w:r>
      <w:r>
        <w:rPr>
          <w:iCs/>
          <w:color w:val="000000" w:themeColor="text1"/>
          <w:lang w:val="en-US"/>
        </w:rPr>
        <w:t>-</w:t>
      </w:r>
      <w:r w:rsidRPr="00A27744">
        <w:rPr>
          <w:iCs/>
          <w:color w:val="000000" w:themeColor="text1"/>
          <w:lang w:val="en-US"/>
        </w:rPr>
        <w:t>301.</w:t>
      </w:r>
    </w:p>
    <w:p w14:paraId="283EBFE1" w14:textId="77777777" w:rsidR="00FD43EF" w:rsidRDefault="00FD43EF" w:rsidP="00FD43EF">
      <w:pPr>
        <w:rPr>
          <w:iCs/>
          <w:color w:val="000000" w:themeColor="text1"/>
          <w:lang w:val="en-US"/>
        </w:rPr>
      </w:pPr>
    </w:p>
    <w:p w14:paraId="0A53DCAE" w14:textId="50FE9A35" w:rsidR="00FD43EF" w:rsidRPr="00A856DB" w:rsidRDefault="00FD43EF" w:rsidP="00FD43EF">
      <w:pPr>
        <w:rPr>
          <w:iCs/>
          <w:color w:val="000000" w:themeColor="text1"/>
          <w:lang w:val="en-US"/>
        </w:rPr>
      </w:pPr>
      <w:r w:rsidRPr="00A856DB">
        <w:rPr>
          <w:iCs/>
          <w:color w:val="000000" w:themeColor="text1"/>
          <w:lang w:val="en-US"/>
        </w:rPr>
        <w:t>Alfonso, M</w:t>
      </w:r>
      <w:r>
        <w:rPr>
          <w:iCs/>
          <w:color w:val="000000" w:themeColor="text1"/>
          <w:lang w:val="en-US"/>
        </w:rPr>
        <w:t>.</w:t>
      </w:r>
      <w:r w:rsidRPr="00A856DB">
        <w:rPr>
          <w:iCs/>
          <w:color w:val="000000" w:themeColor="text1"/>
          <w:lang w:val="en-US"/>
        </w:rPr>
        <w:t xml:space="preserve"> P.,</w:t>
      </w:r>
      <w:r>
        <w:rPr>
          <w:iCs/>
          <w:color w:val="000000" w:themeColor="text1"/>
          <w:lang w:val="en-US"/>
        </w:rPr>
        <w:t xml:space="preserve"> </w:t>
      </w:r>
      <w:r w:rsidRPr="00A856DB">
        <w:rPr>
          <w:iCs/>
          <w:color w:val="000000" w:themeColor="text1"/>
          <w:lang w:val="en-US"/>
        </w:rPr>
        <w:t xml:space="preserve">Thompson, </w:t>
      </w:r>
      <w:r>
        <w:rPr>
          <w:iCs/>
          <w:color w:val="000000" w:themeColor="text1"/>
          <w:lang w:val="en-US"/>
        </w:rPr>
        <w:t>J.</w:t>
      </w:r>
      <w:r w:rsidR="00257E9D">
        <w:rPr>
          <w:iCs/>
          <w:color w:val="000000" w:themeColor="text1"/>
          <w:lang w:val="en-US"/>
        </w:rPr>
        <w:t xml:space="preserve"> </w:t>
      </w:r>
      <w:r>
        <w:rPr>
          <w:iCs/>
          <w:color w:val="000000" w:themeColor="text1"/>
          <w:lang w:val="en-US"/>
        </w:rPr>
        <w:t>I., &amp;</w:t>
      </w:r>
      <w:r w:rsidRPr="00A856DB">
        <w:rPr>
          <w:iCs/>
          <w:color w:val="000000" w:themeColor="text1"/>
          <w:lang w:val="en-US"/>
        </w:rPr>
        <w:t xml:space="preserve"> Standen</w:t>
      </w:r>
      <w:r>
        <w:rPr>
          <w:iCs/>
          <w:color w:val="000000" w:themeColor="text1"/>
          <w:lang w:val="en-US"/>
        </w:rPr>
        <w:t>, V.G. (2005).</w:t>
      </w:r>
      <w:r w:rsidRPr="00A856DB">
        <w:rPr>
          <w:iCs/>
          <w:color w:val="000000" w:themeColor="text1"/>
          <w:lang w:val="en-US"/>
        </w:rPr>
        <w:t xml:space="preserve"> Revaluating Harris Lines–A comparison between Harris Lines and enamel hypoplasia.</w:t>
      </w:r>
      <w:r>
        <w:rPr>
          <w:iCs/>
          <w:color w:val="000000" w:themeColor="text1"/>
          <w:lang w:val="en-US"/>
        </w:rPr>
        <w:t xml:space="preserve"> </w:t>
      </w:r>
      <w:r w:rsidRPr="00A856DB">
        <w:rPr>
          <w:i/>
          <w:iCs/>
          <w:color w:val="000000" w:themeColor="text1"/>
          <w:lang w:val="en-US"/>
        </w:rPr>
        <w:t>Collegium Antropologicum</w:t>
      </w:r>
      <w:r>
        <w:rPr>
          <w:i/>
          <w:iCs/>
          <w:color w:val="000000" w:themeColor="text1"/>
          <w:lang w:val="en-US"/>
        </w:rPr>
        <w:t>,</w:t>
      </w:r>
      <w:r w:rsidRPr="00A856DB">
        <w:rPr>
          <w:iCs/>
          <w:color w:val="000000" w:themeColor="text1"/>
          <w:lang w:val="en-US"/>
        </w:rPr>
        <w:t> </w:t>
      </w:r>
      <w:r w:rsidRPr="00046F50">
        <w:rPr>
          <w:i/>
          <w:iCs/>
          <w:color w:val="000000" w:themeColor="text1"/>
          <w:lang w:val="en-US"/>
        </w:rPr>
        <w:t>29</w:t>
      </w:r>
      <w:r>
        <w:rPr>
          <w:iCs/>
          <w:color w:val="000000" w:themeColor="text1"/>
          <w:lang w:val="en-US"/>
        </w:rPr>
        <w:t>(</w:t>
      </w:r>
      <w:r w:rsidRPr="00A856DB">
        <w:rPr>
          <w:iCs/>
          <w:color w:val="000000" w:themeColor="text1"/>
          <w:lang w:val="en-US"/>
        </w:rPr>
        <w:t>2</w:t>
      </w:r>
      <w:r>
        <w:rPr>
          <w:iCs/>
          <w:color w:val="000000" w:themeColor="text1"/>
          <w:lang w:val="en-US"/>
        </w:rPr>
        <w:t>),</w:t>
      </w:r>
      <w:r w:rsidRPr="00A856DB">
        <w:rPr>
          <w:iCs/>
          <w:color w:val="000000" w:themeColor="text1"/>
          <w:lang w:val="en-US"/>
        </w:rPr>
        <w:t xml:space="preserve"> 393-408.</w:t>
      </w:r>
    </w:p>
    <w:p w14:paraId="4E45ACB1" w14:textId="77777777" w:rsidR="00FD43EF" w:rsidRPr="008C4A6A" w:rsidRDefault="00FD43EF" w:rsidP="00FD43EF">
      <w:pPr>
        <w:rPr>
          <w:iCs/>
          <w:color w:val="000000" w:themeColor="text1"/>
          <w:lang w:val="en-US"/>
        </w:rPr>
      </w:pPr>
    </w:p>
    <w:p w14:paraId="61FEE5F4" w14:textId="526EB7EC" w:rsidR="00FD43EF" w:rsidRPr="00A27744" w:rsidRDefault="00FD43EF" w:rsidP="00FD43EF">
      <w:pPr>
        <w:rPr>
          <w:lang w:val="en-US"/>
        </w:rPr>
      </w:pPr>
      <w:r w:rsidRPr="00A27744">
        <w:rPr>
          <w:lang w:val="en-US"/>
        </w:rPr>
        <w:t>Allason-Jones, L.</w:t>
      </w:r>
      <w:r>
        <w:rPr>
          <w:lang w:val="en-US"/>
        </w:rPr>
        <w:t xml:space="preserve"> (1989)</w:t>
      </w:r>
      <w:r w:rsidR="00257E9D">
        <w:rPr>
          <w:lang w:val="en-US"/>
        </w:rPr>
        <w:t>.</w:t>
      </w:r>
      <w:r w:rsidRPr="00A27744">
        <w:rPr>
          <w:lang w:val="en-US"/>
        </w:rPr>
        <w:t xml:space="preserve"> </w:t>
      </w:r>
      <w:r w:rsidRPr="00A27744">
        <w:rPr>
          <w:i/>
          <w:lang w:val="en-US"/>
        </w:rPr>
        <w:t>Women in Roman Britain</w:t>
      </w:r>
      <w:r w:rsidRPr="00A27744">
        <w:rPr>
          <w:lang w:val="en-US"/>
        </w:rPr>
        <w:t xml:space="preserve">. </w:t>
      </w:r>
      <w:r>
        <w:rPr>
          <w:lang w:val="en-US"/>
        </w:rPr>
        <w:t>York: Council for British Archaeology</w:t>
      </w:r>
      <w:r w:rsidRPr="00A27744">
        <w:rPr>
          <w:lang w:val="en-US"/>
        </w:rPr>
        <w:t>.</w:t>
      </w:r>
    </w:p>
    <w:p w14:paraId="0AC8B1D0" w14:textId="77777777" w:rsidR="00FD43EF" w:rsidRPr="00A27744" w:rsidRDefault="00FD43EF" w:rsidP="00FD43EF">
      <w:pPr>
        <w:rPr>
          <w:lang w:val="en-US"/>
        </w:rPr>
      </w:pPr>
    </w:p>
    <w:p w14:paraId="505A28D1" w14:textId="752232E2" w:rsidR="00FD43EF" w:rsidRPr="00974FE9" w:rsidRDefault="00FD43EF" w:rsidP="00FD43EF">
      <w:pPr>
        <w:rPr>
          <w:color w:val="000000" w:themeColor="text1"/>
        </w:rPr>
      </w:pPr>
      <w:r w:rsidRPr="00A27744">
        <w:rPr>
          <w:color w:val="000000" w:themeColor="text1"/>
          <w:lang w:val="en-US"/>
        </w:rPr>
        <w:t>AlQahtani, S</w:t>
      </w:r>
      <w:r>
        <w:rPr>
          <w:color w:val="000000" w:themeColor="text1"/>
          <w:lang w:val="en-US"/>
        </w:rPr>
        <w:t>.</w:t>
      </w:r>
      <w:r w:rsidRPr="00A27744">
        <w:rPr>
          <w:color w:val="000000" w:themeColor="text1"/>
          <w:lang w:val="en-US"/>
        </w:rPr>
        <w:t xml:space="preserve"> J.</w:t>
      </w:r>
      <w:r>
        <w:rPr>
          <w:color w:val="000000" w:themeColor="text1"/>
          <w:lang w:val="en-US"/>
        </w:rPr>
        <w:t xml:space="preserve"> (2012).</w:t>
      </w:r>
      <w:r w:rsidRPr="00A27744">
        <w:rPr>
          <w:color w:val="000000" w:themeColor="text1"/>
          <w:lang w:val="en-US"/>
        </w:rPr>
        <w:t xml:space="preserve"> </w:t>
      </w:r>
      <w:r w:rsidRPr="00974FE9">
        <w:rPr>
          <w:i/>
          <w:color w:val="000000" w:themeColor="text1"/>
          <w:lang w:val="en-US"/>
        </w:rPr>
        <w:t xml:space="preserve">The London Atlas: </w:t>
      </w:r>
      <w:r w:rsidR="00257E9D">
        <w:rPr>
          <w:i/>
          <w:color w:val="000000" w:themeColor="text1"/>
          <w:lang w:val="en-US"/>
        </w:rPr>
        <w:t>D</w:t>
      </w:r>
      <w:r w:rsidRPr="00974FE9">
        <w:rPr>
          <w:i/>
          <w:color w:val="000000" w:themeColor="text1"/>
          <w:lang w:val="en-US"/>
        </w:rPr>
        <w:t xml:space="preserve">eveloping an </w:t>
      </w:r>
      <w:r w:rsidR="00257E9D">
        <w:rPr>
          <w:i/>
          <w:color w:val="000000" w:themeColor="text1"/>
          <w:lang w:val="en-US"/>
        </w:rPr>
        <w:t>A</w:t>
      </w:r>
      <w:r w:rsidRPr="00974FE9">
        <w:rPr>
          <w:i/>
          <w:color w:val="000000" w:themeColor="text1"/>
          <w:lang w:val="en-US"/>
        </w:rPr>
        <w:t xml:space="preserve">tlas of </w:t>
      </w:r>
      <w:r w:rsidR="00257E9D">
        <w:rPr>
          <w:i/>
          <w:color w:val="000000" w:themeColor="text1"/>
          <w:lang w:val="en-US"/>
        </w:rPr>
        <w:t>T</w:t>
      </w:r>
      <w:r w:rsidRPr="00974FE9">
        <w:rPr>
          <w:i/>
          <w:color w:val="000000" w:themeColor="text1"/>
          <w:lang w:val="en-US"/>
        </w:rPr>
        <w:t xml:space="preserve">ooth </w:t>
      </w:r>
      <w:r w:rsidR="00257E9D">
        <w:rPr>
          <w:i/>
          <w:color w:val="000000" w:themeColor="text1"/>
          <w:lang w:val="en-US"/>
        </w:rPr>
        <w:t>D</w:t>
      </w:r>
      <w:r w:rsidRPr="00974FE9">
        <w:rPr>
          <w:i/>
          <w:color w:val="000000" w:themeColor="text1"/>
          <w:lang w:val="en-US"/>
        </w:rPr>
        <w:t xml:space="preserve">evelopment and </w:t>
      </w:r>
      <w:r w:rsidR="00257E9D">
        <w:rPr>
          <w:i/>
          <w:color w:val="000000" w:themeColor="text1"/>
          <w:lang w:val="en-US"/>
        </w:rPr>
        <w:t>T</w:t>
      </w:r>
      <w:r w:rsidRPr="00974FE9">
        <w:rPr>
          <w:i/>
          <w:color w:val="000000" w:themeColor="text1"/>
          <w:lang w:val="en-US"/>
        </w:rPr>
        <w:t xml:space="preserve">esting its </w:t>
      </w:r>
      <w:r w:rsidR="00257E9D">
        <w:rPr>
          <w:i/>
          <w:color w:val="000000" w:themeColor="text1"/>
          <w:lang w:val="en-US"/>
        </w:rPr>
        <w:t>Q</w:t>
      </w:r>
      <w:r w:rsidRPr="00974FE9">
        <w:rPr>
          <w:i/>
          <w:color w:val="000000" w:themeColor="text1"/>
          <w:lang w:val="en-US"/>
        </w:rPr>
        <w:t xml:space="preserve">uality and </w:t>
      </w:r>
      <w:r w:rsidR="00257E9D">
        <w:rPr>
          <w:i/>
          <w:color w:val="000000" w:themeColor="text1"/>
          <w:lang w:val="en-US"/>
        </w:rPr>
        <w:t>P</w:t>
      </w:r>
      <w:r w:rsidRPr="00974FE9">
        <w:rPr>
          <w:i/>
          <w:color w:val="000000" w:themeColor="text1"/>
          <w:lang w:val="en-US"/>
        </w:rPr>
        <w:t xml:space="preserve">erformance </w:t>
      </w:r>
      <w:r w:rsidR="00257E9D">
        <w:rPr>
          <w:i/>
          <w:color w:val="000000" w:themeColor="text1"/>
          <w:lang w:val="en-US"/>
        </w:rPr>
        <w:t>M</w:t>
      </w:r>
      <w:r w:rsidRPr="00974FE9">
        <w:rPr>
          <w:i/>
          <w:color w:val="000000" w:themeColor="text1"/>
          <w:lang w:val="en-US"/>
        </w:rPr>
        <w:t>easures</w:t>
      </w:r>
      <w:r>
        <w:rPr>
          <w:color w:val="000000" w:themeColor="text1"/>
          <w:lang w:val="en-US"/>
        </w:rPr>
        <w:t xml:space="preserve"> (</w:t>
      </w:r>
      <w:r w:rsidRPr="00A27744">
        <w:rPr>
          <w:color w:val="000000" w:themeColor="text1"/>
          <w:lang w:val="en-US"/>
        </w:rPr>
        <w:t>PhD diss</w:t>
      </w:r>
      <w:r>
        <w:rPr>
          <w:color w:val="000000" w:themeColor="text1"/>
          <w:lang w:val="en-US"/>
        </w:rPr>
        <w:t>)</w:t>
      </w:r>
      <w:r w:rsidRPr="00A27744">
        <w:rPr>
          <w:color w:val="000000" w:themeColor="text1"/>
          <w:lang w:val="en-US"/>
        </w:rPr>
        <w:t xml:space="preserve">. </w:t>
      </w:r>
      <w:r>
        <w:rPr>
          <w:color w:val="000000" w:themeColor="text1"/>
          <w:lang w:val="en-US"/>
        </w:rPr>
        <w:t xml:space="preserve">Queen Mary </w:t>
      </w:r>
      <w:r w:rsidRPr="00A27744">
        <w:rPr>
          <w:color w:val="000000" w:themeColor="text1"/>
          <w:lang w:val="en-US"/>
        </w:rPr>
        <w:t xml:space="preserve">University </w:t>
      </w:r>
      <w:r>
        <w:rPr>
          <w:color w:val="000000" w:themeColor="text1"/>
          <w:lang w:val="en-US"/>
        </w:rPr>
        <w:t xml:space="preserve">of </w:t>
      </w:r>
      <w:r w:rsidRPr="00A27744">
        <w:rPr>
          <w:color w:val="000000" w:themeColor="text1"/>
          <w:lang w:val="en-US"/>
        </w:rPr>
        <w:t>London</w:t>
      </w:r>
      <w:r>
        <w:rPr>
          <w:color w:val="000000" w:themeColor="text1"/>
          <w:lang w:val="en-US"/>
        </w:rPr>
        <w:t>. Retrieved from</w:t>
      </w:r>
      <w:r w:rsidR="00024D9A">
        <w:rPr>
          <w:color w:val="000000" w:themeColor="text1"/>
          <w:lang w:val="en-US"/>
        </w:rPr>
        <w:t xml:space="preserve"> </w:t>
      </w:r>
      <w:r w:rsidRPr="00974FE9">
        <w:rPr>
          <w:color w:val="000000" w:themeColor="text1"/>
        </w:rPr>
        <w:t>http://libaccess.mcmaster.ca.libaccess.lib.mcmaster.ca/login?url=https://search-proquest-com.libaccess.lib.mcmaster.ca/docview/1774233421?accountid=12347</w:t>
      </w:r>
    </w:p>
    <w:p w14:paraId="2DDCB2DE" w14:textId="77777777" w:rsidR="00FD43EF" w:rsidRPr="00A27744" w:rsidRDefault="00FD43EF" w:rsidP="00FD43EF">
      <w:pPr>
        <w:rPr>
          <w:color w:val="000000" w:themeColor="text1"/>
          <w:lang w:val="en-US"/>
        </w:rPr>
      </w:pPr>
    </w:p>
    <w:p w14:paraId="06C6B96E" w14:textId="672846EB" w:rsidR="00FD43EF" w:rsidRPr="008C4A6A" w:rsidRDefault="00FD43EF" w:rsidP="00FD43EF">
      <w:pPr>
        <w:rPr>
          <w:iCs/>
          <w:color w:val="000000" w:themeColor="text1"/>
          <w:lang w:val="en-US"/>
        </w:rPr>
      </w:pPr>
      <w:r w:rsidRPr="008C4A6A">
        <w:rPr>
          <w:iCs/>
          <w:color w:val="000000" w:themeColor="text1"/>
          <w:lang w:val="en-US"/>
        </w:rPr>
        <w:t>Ash, A</w:t>
      </w:r>
      <w:r>
        <w:rPr>
          <w:iCs/>
          <w:color w:val="000000" w:themeColor="text1"/>
          <w:lang w:val="en-US"/>
        </w:rPr>
        <w:t>.</w:t>
      </w:r>
      <w:r w:rsidRPr="008C4A6A">
        <w:rPr>
          <w:iCs/>
          <w:color w:val="000000" w:themeColor="text1"/>
          <w:lang w:val="en-US"/>
        </w:rPr>
        <w:t>, Francken,</w:t>
      </w:r>
      <w:r>
        <w:rPr>
          <w:iCs/>
          <w:color w:val="000000" w:themeColor="text1"/>
          <w:lang w:val="en-US"/>
        </w:rPr>
        <w:t xml:space="preserve"> M.,</w:t>
      </w:r>
      <w:r w:rsidRPr="008C4A6A">
        <w:rPr>
          <w:iCs/>
          <w:color w:val="000000" w:themeColor="text1"/>
          <w:lang w:val="en-US"/>
        </w:rPr>
        <w:t xml:space="preserve"> Pap,</w:t>
      </w:r>
      <w:r>
        <w:rPr>
          <w:iCs/>
          <w:color w:val="000000" w:themeColor="text1"/>
          <w:lang w:val="en-US"/>
        </w:rPr>
        <w:t xml:space="preserve"> I.,</w:t>
      </w:r>
      <w:r w:rsidR="00A34878">
        <w:rPr>
          <w:iCs/>
          <w:color w:val="000000" w:themeColor="text1"/>
          <w:lang w:val="en-US"/>
        </w:rPr>
        <w:t xml:space="preserve"> </w:t>
      </w:r>
      <w:r w:rsidRPr="008C4A6A">
        <w:rPr>
          <w:iCs/>
          <w:color w:val="000000" w:themeColor="text1"/>
          <w:lang w:val="en-US"/>
        </w:rPr>
        <w:t>Tvrdý,</w:t>
      </w:r>
      <w:r>
        <w:rPr>
          <w:iCs/>
          <w:color w:val="000000" w:themeColor="text1"/>
          <w:lang w:val="en-US"/>
        </w:rPr>
        <w:t xml:space="preserve"> Z., </w:t>
      </w:r>
      <w:r w:rsidRPr="008C4A6A">
        <w:rPr>
          <w:iCs/>
          <w:color w:val="000000" w:themeColor="text1"/>
          <w:lang w:val="en-US"/>
        </w:rPr>
        <w:t>Wahl,</w:t>
      </w:r>
      <w:r>
        <w:rPr>
          <w:iCs/>
          <w:color w:val="000000" w:themeColor="text1"/>
          <w:lang w:val="en-US"/>
        </w:rPr>
        <w:t xml:space="preserve"> J.,</w:t>
      </w:r>
      <w:r w:rsidRPr="008C4A6A">
        <w:rPr>
          <w:iCs/>
          <w:color w:val="000000" w:themeColor="text1"/>
          <w:lang w:val="en-US"/>
        </w:rPr>
        <w:t xml:space="preserve"> </w:t>
      </w:r>
      <w:r>
        <w:rPr>
          <w:iCs/>
          <w:color w:val="000000" w:themeColor="text1"/>
          <w:lang w:val="en-US"/>
        </w:rPr>
        <w:t>&amp;</w:t>
      </w:r>
      <w:r w:rsidRPr="008C4A6A">
        <w:rPr>
          <w:iCs/>
          <w:color w:val="000000" w:themeColor="text1"/>
          <w:lang w:val="en-US"/>
        </w:rPr>
        <w:t xml:space="preserve"> Pinhasi</w:t>
      </w:r>
      <w:r>
        <w:rPr>
          <w:iCs/>
          <w:color w:val="000000" w:themeColor="text1"/>
          <w:lang w:val="en-US"/>
        </w:rPr>
        <w:t>, R</w:t>
      </w:r>
      <w:r w:rsidRPr="008C4A6A">
        <w:rPr>
          <w:iCs/>
          <w:color w:val="000000" w:themeColor="text1"/>
          <w:lang w:val="en-US"/>
        </w:rPr>
        <w:t>.</w:t>
      </w:r>
      <w:r>
        <w:rPr>
          <w:iCs/>
          <w:color w:val="000000" w:themeColor="text1"/>
          <w:lang w:val="en-US"/>
        </w:rPr>
        <w:t xml:space="preserve"> (2016).</w:t>
      </w:r>
      <w:r w:rsidRPr="008C4A6A">
        <w:rPr>
          <w:iCs/>
          <w:color w:val="000000" w:themeColor="text1"/>
          <w:lang w:val="en-US"/>
        </w:rPr>
        <w:t xml:space="preserve"> Regional differences in health, diet and weaning patterns amongst the first Neolithic farmers of central Europe. </w:t>
      </w:r>
      <w:r w:rsidRPr="008C4A6A">
        <w:rPr>
          <w:i/>
          <w:iCs/>
          <w:color w:val="000000" w:themeColor="text1"/>
          <w:lang w:val="en-US"/>
        </w:rPr>
        <w:t>Scientific Reports</w:t>
      </w:r>
      <w:r>
        <w:rPr>
          <w:i/>
          <w:iCs/>
          <w:color w:val="000000" w:themeColor="text1"/>
          <w:lang w:val="en-US"/>
        </w:rPr>
        <w:t>,</w:t>
      </w:r>
      <w:r w:rsidRPr="008C4A6A">
        <w:rPr>
          <w:iCs/>
          <w:color w:val="000000" w:themeColor="text1"/>
          <w:lang w:val="en-US"/>
        </w:rPr>
        <w:t xml:space="preserve"> </w:t>
      </w:r>
      <w:r w:rsidRPr="00745F60">
        <w:rPr>
          <w:i/>
          <w:iCs/>
          <w:color w:val="000000" w:themeColor="text1"/>
          <w:lang w:val="en-US"/>
        </w:rPr>
        <w:t>6</w:t>
      </w:r>
      <w:r>
        <w:rPr>
          <w:iCs/>
          <w:color w:val="000000" w:themeColor="text1"/>
          <w:lang w:val="en-US"/>
        </w:rPr>
        <w:t>(</w:t>
      </w:r>
      <w:r w:rsidRPr="00FD2D16">
        <w:rPr>
          <w:iCs/>
          <w:color w:val="000000" w:themeColor="text1"/>
          <w:lang w:val="en-US"/>
        </w:rPr>
        <w:t>29458</w:t>
      </w:r>
      <w:r>
        <w:rPr>
          <w:iCs/>
          <w:color w:val="000000" w:themeColor="text1"/>
          <w:lang w:val="en-US"/>
        </w:rPr>
        <w:t>),</w:t>
      </w:r>
      <w:r w:rsidRPr="008C4A6A">
        <w:rPr>
          <w:iCs/>
          <w:color w:val="000000" w:themeColor="text1"/>
          <w:lang w:val="en-US"/>
        </w:rPr>
        <w:t xml:space="preserve"> </w:t>
      </w:r>
      <w:r>
        <w:rPr>
          <w:iCs/>
          <w:color w:val="000000" w:themeColor="text1"/>
          <w:lang w:val="en-US"/>
        </w:rPr>
        <w:t>1 - 10</w:t>
      </w:r>
      <w:r w:rsidRPr="008C4A6A">
        <w:rPr>
          <w:iCs/>
          <w:color w:val="000000" w:themeColor="text1"/>
          <w:lang w:val="en-US"/>
        </w:rPr>
        <w:t>.</w:t>
      </w:r>
    </w:p>
    <w:p w14:paraId="10C46F14" w14:textId="77777777" w:rsidR="00FD43EF" w:rsidRPr="00A856DB" w:rsidRDefault="00FD43EF" w:rsidP="00FD43EF">
      <w:pPr>
        <w:rPr>
          <w:lang w:val="en-US"/>
        </w:rPr>
      </w:pPr>
    </w:p>
    <w:p w14:paraId="5AE61BFE" w14:textId="77777777" w:rsidR="00FD43EF" w:rsidRPr="00A856DB" w:rsidRDefault="00FD43EF" w:rsidP="00FD43EF">
      <w:pPr>
        <w:rPr>
          <w:color w:val="000000" w:themeColor="text1"/>
          <w:lang w:val="en-US"/>
        </w:rPr>
      </w:pPr>
      <w:r w:rsidRPr="00D836F5">
        <w:rPr>
          <w:color w:val="000000" w:themeColor="text1"/>
          <w:lang w:val="it-IT"/>
        </w:rPr>
        <w:t xml:space="preserve">Balasse, M., Bocherens, H., Mariotti, A., &amp; Ambrose, S. H. (2001). </w:t>
      </w:r>
      <w:r w:rsidRPr="00A856DB">
        <w:rPr>
          <w:color w:val="000000" w:themeColor="text1"/>
          <w:lang w:val="en-US"/>
        </w:rPr>
        <w:t xml:space="preserve">Detection of dietary changes by intra-tooth carbon and nitrogen isotopic analysis: an experimental study of dentine collagen of cattle (Bostaurus). </w:t>
      </w:r>
      <w:r w:rsidRPr="00A856DB">
        <w:rPr>
          <w:i/>
          <w:color w:val="000000" w:themeColor="text1"/>
          <w:lang w:val="en-US"/>
        </w:rPr>
        <w:t>Journal of Archaeological Science</w:t>
      </w:r>
      <w:r>
        <w:rPr>
          <w:i/>
          <w:color w:val="000000" w:themeColor="text1"/>
          <w:lang w:val="en-US"/>
        </w:rPr>
        <w:t>,</w:t>
      </w:r>
      <w:r w:rsidRPr="000C16F1">
        <w:rPr>
          <w:i/>
          <w:color w:val="000000" w:themeColor="text1"/>
          <w:lang w:val="en-US"/>
        </w:rPr>
        <w:t xml:space="preserve"> 28</w:t>
      </w:r>
      <w:r>
        <w:rPr>
          <w:color w:val="000000" w:themeColor="text1"/>
          <w:lang w:val="en-US"/>
        </w:rPr>
        <w:t>(</w:t>
      </w:r>
      <w:r w:rsidRPr="00A856DB">
        <w:rPr>
          <w:color w:val="000000" w:themeColor="text1"/>
          <w:lang w:val="en-US"/>
        </w:rPr>
        <w:t>3</w:t>
      </w:r>
      <w:r>
        <w:rPr>
          <w:color w:val="000000" w:themeColor="text1"/>
          <w:lang w:val="en-US"/>
        </w:rPr>
        <w:t>),</w:t>
      </w:r>
      <w:r w:rsidRPr="00A856DB">
        <w:rPr>
          <w:color w:val="000000" w:themeColor="text1"/>
          <w:lang w:val="en-US"/>
        </w:rPr>
        <w:t xml:space="preserve"> 235</w:t>
      </w:r>
      <w:r>
        <w:rPr>
          <w:color w:val="000000" w:themeColor="text1"/>
          <w:lang w:val="en-US"/>
        </w:rPr>
        <w:t>-</w:t>
      </w:r>
      <w:r w:rsidRPr="00A856DB">
        <w:rPr>
          <w:color w:val="000000" w:themeColor="text1"/>
          <w:lang w:val="en-US"/>
        </w:rPr>
        <w:t>245.</w:t>
      </w:r>
    </w:p>
    <w:p w14:paraId="48CCD549" w14:textId="77777777" w:rsidR="00FD43EF" w:rsidRPr="00A856DB" w:rsidRDefault="00FD43EF" w:rsidP="00FD43EF">
      <w:pPr>
        <w:rPr>
          <w:color w:val="000000" w:themeColor="text1"/>
          <w:lang w:val="en-US"/>
        </w:rPr>
      </w:pPr>
    </w:p>
    <w:p w14:paraId="751F2E94" w14:textId="77777777" w:rsidR="00FD43EF" w:rsidRPr="00A856DB" w:rsidRDefault="00FD43EF" w:rsidP="00FD43EF">
      <w:pPr>
        <w:rPr>
          <w:lang w:val="en-US"/>
        </w:rPr>
      </w:pPr>
      <w:r w:rsidRPr="00A856DB">
        <w:rPr>
          <w:lang w:val="en-US"/>
        </w:rPr>
        <w:t>Barbiera, I</w:t>
      </w:r>
      <w:r>
        <w:rPr>
          <w:lang w:val="en-US"/>
        </w:rPr>
        <w:t>.</w:t>
      </w:r>
      <w:r w:rsidRPr="00A856DB">
        <w:rPr>
          <w:lang w:val="en-US"/>
        </w:rPr>
        <w:t xml:space="preserve">, </w:t>
      </w:r>
      <w:r>
        <w:rPr>
          <w:lang w:val="en-US"/>
        </w:rPr>
        <w:t>&amp;</w:t>
      </w:r>
      <w:r w:rsidRPr="00A856DB">
        <w:rPr>
          <w:lang w:val="en-US"/>
        </w:rPr>
        <w:t xml:space="preserve"> Dalla</w:t>
      </w:r>
      <w:r w:rsidRPr="00A856DB">
        <w:rPr>
          <w:rFonts w:ascii="Cambria Math" w:hAnsi="Cambria Math" w:cs="Cambria Math"/>
          <w:lang w:val="en-US"/>
        </w:rPr>
        <w:t>‐</w:t>
      </w:r>
      <w:r w:rsidRPr="00A856DB">
        <w:rPr>
          <w:lang w:val="en-US"/>
        </w:rPr>
        <w:t>Zuanna</w:t>
      </w:r>
      <w:r>
        <w:rPr>
          <w:lang w:val="en-US"/>
        </w:rPr>
        <w:t xml:space="preserve">, G. (2009). </w:t>
      </w:r>
      <w:r w:rsidRPr="00A856DB">
        <w:rPr>
          <w:lang w:val="en-US"/>
        </w:rPr>
        <w:t xml:space="preserve">Population dynamics in Italy in the Middle Ages: new insights from archaeological findings. </w:t>
      </w:r>
      <w:r w:rsidRPr="00A856DB">
        <w:rPr>
          <w:i/>
          <w:lang w:val="en-US"/>
        </w:rPr>
        <w:t>Population and Development Review</w:t>
      </w:r>
      <w:r>
        <w:rPr>
          <w:i/>
          <w:lang w:val="en-US"/>
        </w:rPr>
        <w:t>,</w:t>
      </w:r>
      <w:r w:rsidRPr="00A856DB">
        <w:rPr>
          <w:lang w:val="en-US"/>
        </w:rPr>
        <w:t xml:space="preserve"> </w:t>
      </w:r>
      <w:r w:rsidRPr="000D21B3">
        <w:rPr>
          <w:i/>
          <w:lang w:val="en-US"/>
        </w:rPr>
        <w:t>35</w:t>
      </w:r>
      <w:r>
        <w:rPr>
          <w:lang w:val="en-US"/>
        </w:rPr>
        <w:t>(</w:t>
      </w:r>
      <w:r w:rsidRPr="00A856DB">
        <w:rPr>
          <w:lang w:val="en-US"/>
        </w:rPr>
        <w:t>2</w:t>
      </w:r>
      <w:r>
        <w:rPr>
          <w:lang w:val="en-US"/>
        </w:rPr>
        <w:t>),</w:t>
      </w:r>
      <w:r w:rsidRPr="00A856DB">
        <w:rPr>
          <w:lang w:val="en-US"/>
        </w:rPr>
        <w:t xml:space="preserve"> 367-389.</w:t>
      </w:r>
    </w:p>
    <w:p w14:paraId="484AD488" w14:textId="1B7DD0B9" w:rsidR="00FD43EF" w:rsidRDefault="00FD43EF" w:rsidP="00FD43EF">
      <w:pPr>
        <w:rPr>
          <w:lang w:val="en-US"/>
        </w:rPr>
      </w:pPr>
    </w:p>
    <w:p w14:paraId="20AF7D54" w14:textId="4712AB01" w:rsidR="00425B22" w:rsidRDefault="00425B22" w:rsidP="00425B22">
      <w:pPr>
        <w:rPr>
          <w:lang w:val="en-US"/>
        </w:rPr>
      </w:pPr>
      <w:r w:rsidRPr="00425B22">
        <w:rPr>
          <w:lang w:val="en-US"/>
        </w:rPr>
        <w:t xml:space="preserve">Beauchesne, P., &amp; Agarwal, S. C. (2018). </w:t>
      </w:r>
      <w:r w:rsidRPr="00024D9A">
        <w:rPr>
          <w:i/>
          <w:lang w:val="en-US"/>
        </w:rPr>
        <w:t>Children and Childhood in Bioarchaeology</w:t>
      </w:r>
      <w:r w:rsidRPr="00425B22">
        <w:rPr>
          <w:lang w:val="en-US"/>
        </w:rPr>
        <w:t xml:space="preserve">. </w:t>
      </w:r>
      <w:r w:rsidR="00024D9A">
        <w:rPr>
          <w:lang w:val="en-US"/>
        </w:rPr>
        <w:t xml:space="preserve">Gainesville: </w:t>
      </w:r>
      <w:r w:rsidRPr="00425B22">
        <w:rPr>
          <w:lang w:val="en-US"/>
        </w:rPr>
        <w:t>University Press of Florida.</w:t>
      </w:r>
    </w:p>
    <w:p w14:paraId="44BCF929" w14:textId="77777777" w:rsidR="00425B22" w:rsidRPr="00A856DB" w:rsidRDefault="00425B22" w:rsidP="00FD43EF">
      <w:pPr>
        <w:rPr>
          <w:lang w:val="en-US"/>
        </w:rPr>
      </w:pPr>
    </w:p>
    <w:p w14:paraId="79C84D7A" w14:textId="61B03F31" w:rsidR="00FD43EF" w:rsidRPr="00A856DB" w:rsidRDefault="00FD43EF" w:rsidP="00FD43EF">
      <w:pPr>
        <w:rPr>
          <w:color w:val="000000" w:themeColor="text1"/>
          <w:lang w:val="en-US"/>
        </w:rPr>
      </w:pPr>
      <w:r w:rsidRPr="00A856DB">
        <w:rPr>
          <w:color w:val="000000" w:themeColor="text1"/>
          <w:lang w:val="en-US"/>
        </w:rPr>
        <w:t>Beaumont, J</w:t>
      </w:r>
      <w:r>
        <w:rPr>
          <w:color w:val="000000" w:themeColor="text1"/>
          <w:lang w:val="en-US"/>
        </w:rPr>
        <w:t>.</w:t>
      </w:r>
      <w:r w:rsidRPr="00A856DB">
        <w:rPr>
          <w:color w:val="000000" w:themeColor="text1"/>
          <w:lang w:val="en-US"/>
        </w:rPr>
        <w:t>,</w:t>
      </w:r>
      <w:r>
        <w:rPr>
          <w:color w:val="000000" w:themeColor="text1"/>
          <w:lang w:val="en-US"/>
        </w:rPr>
        <w:t xml:space="preserve"> </w:t>
      </w:r>
      <w:r w:rsidRPr="00A856DB">
        <w:rPr>
          <w:color w:val="000000" w:themeColor="text1"/>
          <w:lang w:val="en-US"/>
        </w:rPr>
        <w:t>Montgomery,</w:t>
      </w:r>
      <w:r>
        <w:rPr>
          <w:color w:val="000000" w:themeColor="text1"/>
          <w:lang w:val="en-US"/>
        </w:rPr>
        <w:t xml:space="preserve"> J.,</w:t>
      </w:r>
      <w:r w:rsidRPr="00A856DB">
        <w:rPr>
          <w:color w:val="000000" w:themeColor="text1"/>
          <w:lang w:val="en-US"/>
        </w:rPr>
        <w:t xml:space="preserve"> Buckberry,</w:t>
      </w:r>
      <w:r>
        <w:rPr>
          <w:color w:val="000000" w:themeColor="text1"/>
          <w:lang w:val="en-US"/>
        </w:rPr>
        <w:t xml:space="preserve"> J.,</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Jay</w:t>
      </w:r>
      <w:r>
        <w:rPr>
          <w:color w:val="000000" w:themeColor="text1"/>
          <w:lang w:val="en-US"/>
        </w:rPr>
        <w:t>, M. (2015a).</w:t>
      </w:r>
      <w:r w:rsidRPr="00A856DB">
        <w:rPr>
          <w:color w:val="000000" w:themeColor="text1"/>
          <w:lang w:val="en-US"/>
        </w:rPr>
        <w:t xml:space="preserve"> Infant mortality and isotopic complexity: New approaches to stress, maternal health, and weaning. </w:t>
      </w:r>
      <w:r w:rsidRPr="00A856DB">
        <w:rPr>
          <w:i/>
          <w:iCs/>
          <w:color w:val="000000" w:themeColor="text1"/>
          <w:lang w:val="en-US"/>
        </w:rPr>
        <w:t>American Journal of Physical Anthropology</w:t>
      </w:r>
      <w:r w:rsidR="00A34878">
        <w:rPr>
          <w:i/>
          <w:iCs/>
          <w:color w:val="000000" w:themeColor="text1"/>
          <w:lang w:val="en-US"/>
        </w:rPr>
        <w:t>,</w:t>
      </w:r>
      <w:r w:rsidRPr="00A856DB">
        <w:rPr>
          <w:color w:val="000000" w:themeColor="text1"/>
          <w:lang w:val="en-US"/>
        </w:rPr>
        <w:t> </w:t>
      </w:r>
      <w:r w:rsidRPr="00947316">
        <w:rPr>
          <w:i/>
          <w:color w:val="000000" w:themeColor="text1"/>
          <w:lang w:val="en-US"/>
        </w:rPr>
        <w:t>157</w:t>
      </w:r>
      <w:r>
        <w:rPr>
          <w:color w:val="000000" w:themeColor="text1"/>
          <w:lang w:val="en-US"/>
        </w:rPr>
        <w:t>(</w:t>
      </w:r>
      <w:r w:rsidRPr="00A856DB">
        <w:rPr>
          <w:color w:val="000000" w:themeColor="text1"/>
          <w:lang w:val="en-US"/>
        </w:rPr>
        <w:t>3</w:t>
      </w:r>
      <w:r>
        <w:rPr>
          <w:color w:val="000000" w:themeColor="text1"/>
          <w:lang w:val="en-US"/>
        </w:rPr>
        <w:t>),</w:t>
      </w:r>
      <w:r w:rsidRPr="00A856DB">
        <w:rPr>
          <w:color w:val="000000" w:themeColor="text1"/>
          <w:lang w:val="en-US"/>
        </w:rPr>
        <w:t xml:space="preserve"> 441-457.</w:t>
      </w:r>
    </w:p>
    <w:p w14:paraId="14514CFD" w14:textId="77777777" w:rsidR="00FD43EF" w:rsidRPr="00A856DB" w:rsidRDefault="00FD43EF" w:rsidP="00FD43EF">
      <w:pPr>
        <w:rPr>
          <w:color w:val="000000" w:themeColor="text1"/>
          <w:lang w:val="en-US"/>
        </w:rPr>
      </w:pPr>
    </w:p>
    <w:p w14:paraId="0E034F91" w14:textId="6E1E5244" w:rsidR="00FD43EF" w:rsidRPr="00A856DB" w:rsidRDefault="00FD43EF" w:rsidP="00FD43EF">
      <w:pPr>
        <w:rPr>
          <w:color w:val="000000" w:themeColor="text1"/>
          <w:lang w:val="en-US"/>
        </w:rPr>
      </w:pPr>
      <w:r w:rsidRPr="00A856DB">
        <w:rPr>
          <w:color w:val="000000" w:themeColor="text1"/>
          <w:lang w:val="en-US"/>
        </w:rPr>
        <w:t>Beaumont, J</w:t>
      </w:r>
      <w:r>
        <w:rPr>
          <w:color w:val="000000" w:themeColor="text1"/>
          <w:lang w:val="en-US"/>
        </w:rPr>
        <w:t>.</w:t>
      </w:r>
      <w:r w:rsidRPr="00A856DB">
        <w:rPr>
          <w:color w:val="000000" w:themeColor="text1"/>
          <w:lang w:val="en-US"/>
        </w:rPr>
        <w:t>,</w:t>
      </w:r>
      <w:r>
        <w:rPr>
          <w:color w:val="000000" w:themeColor="text1"/>
          <w:lang w:val="en-US"/>
        </w:rPr>
        <w:t xml:space="preserve"> &amp; </w:t>
      </w:r>
      <w:r w:rsidRPr="00A856DB">
        <w:rPr>
          <w:color w:val="000000" w:themeColor="text1"/>
          <w:lang w:val="en-US"/>
        </w:rPr>
        <w:t>Montgomery</w:t>
      </w:r>
      <w:r>
        <w:rPr>
          <w:color w:val="000000" w:themeColor="text1"/>
          <w:lang w:val="en-US"/>
        </w:rPr>
        <w:t>, J</w:t>
      </w:r>
      <w:r w:rsidRPr="00A856DB">
        <w:rPr>
          <w:color w:val="000000" w:themeColor="text1"/>
          <w:lang w:val="en-US"/>
        </w:rPr>
        <w:t>.</w:t>
      </w:r>
      <w:r>
        <w:rPr>
          <w:color w:val="000000" w:themeColor="text1"/>
          <w:lang w:val="en-US"/>
        </w:rPr>
        <w:t xml:space="preserve"> (2015b).</w:t>
      </w:r>
      <w:r w:rsidRPr="00A856DB">
        <w:rPr>
          <w:color w:val="000000" w:themeColor="text1"/>
          <w:lang w:val="en-US"/>
        </w:rPr>
        <w:t xml:space="preserve"> Oral histories: </w:t>
      </w:r>
      <w:r w:rsidR="008D0838">
        <w:rPr>
          <w:color w:val="000000" w:themeColor="text1"/>
          <w:lang w:val="en-US"/>
        </w:rPr>
        <w:t>A</w:t>
      </w:r>
      <w:r w:rsidRPr="00A856DB">
        <w:rPr>
          <w:color w:val="000000" w:themeColor="text1"/>
          <w:lang w:val="en-US"/>
        </w:rPr>
        <w:t xml:space="preserve"> simple method of assigning chronological age to isotopic values from human dentine collagen. </w:t>
      </w:r>
      <w:r w:rsidRPr="00A856DB">
        <w:rPr>
          <w:i/>
          <w:color w:val="000000" w:themeColor="text1"/>
          <w:lang w:val="en-US"/>
        </w:rPr>
        <w:t xml:space="preserve">Annals of Human </w:t>
      </w:r>
      <w:r w:rsidRPr="00C64D07">
        <w:rPr>
          <w:i/>
          <w:color w:val="000000" w:themeColor="text1"/>
          <w:lang w:val="en-US"/>
        </w:rPr>
        <w:t>Biology 42</w:t>
      </w:r>
      <w:r>
        <w:rPr>
          <w:color w:val="000000" w:themeColor="text1"/>
          <w:lang w:val="en-US"/>
        </w:rPr>
        <w:t>(</w:t>
      </w:r>
      <w:r w:rsidRPr="00A856DB">
        <w:rPr>
          <w:color w:val="000000" w:themeColor="text1"/>
          <w:lang w:val="en-US"/>
        </w:rPr>
        <w:t>4</w:t>
      </w:r>
      <w:r>
        <w:rPr>
          <w:color w:val="000000" w:themeColor="text1"/>
          <w:lang w:val="en-US"/>
        </w:rPr>
        <w:t xml:space="preserve">), </w:t>
      </w:r>
      <w:r w:rsidRPr="00A856DB">
        <w:rPr>
          <w:color w:val="000000" w:themeColor="text1"/>
          <w:lang w:val="en-US"/>
        </w:rPr>
        <w:t>407-414.</w:t>
      </w:r>
    </w:p>
    <w:p w14:paraId="3010365C" w14:textId="77777777" w:rsidR="00FD43EF" w:rsidRDefault="00FD43EF" w:rsidP="00FD43EF">
      <w:pPr>
        <w:rPr>
          <w:lang w:val="en-US"/>
        </w:rPr>
      </w:pPr>
    </w:p>
    <w:p w14:paraId="7902223D" w14:textId="24177FD2" w:rsidR="00FD43EF" w:rsidRPr="00D86B24" w:rsidRDefault="00FD43EF" w:rsidP="00FD43EF">
      <w:pPr>
        <w:rPr>
          <w:color w:val="000000" w:themeColor="text1"/>
        </w:rPr>
      </w:pPr>
      <w:r w:rsidRPr="00D86B24">
        <w:rPr>
          <w:color w:val="000000" w:themeColor="text1"/>
        </w:rPr>
        <w:t>Beaumont, J</w:t>
      </w:r>
      <w:r>
        <w:rPr>
          <w:color w:val="000000" w:themeColor="text1"/>
        </w:rPr>
        <w:t>.</w:t>
      </w:r>
      <w:r w:rsidRPr="00D86B24">
        <w:rPr>
          <w:color w:val="000000" w:themeColor="text1"/>
        </w:rPr>
        <w:t>, Geber,</w:t>
      </w:r>
      <w:r>
        <w:rPr>
          <w:color w:val="000000" w:themeColor="text1"/>
        </w:rPr>
        <w:t xml:space="preserve"> J.,</w:t>
      </w:r>
      <w:r w:rsidRPr="00D86B24">
        <w:rPr>
          <w:color w:val="000000" w:themeColor="text1"/>
        </w:rPr>
        <w:t xml:space="preserve"> Powers,</w:t>
      </w:r>
      <w:r>
        <w:rPr>
          <w:color w:val="000000" w:themeColor="text1"/>
        </w:rPr>
        <w:t xml:space="preserve"> N.,</w:t>
      </w:r>
      <w:r w:rsidRPr="00D86B24">
        <w:rPr>
          <w:color w:val="000000" w:themeColor="text1"/>
        </w:rPr>
        <w:t xml:space="preserve"> Lee-Thorp,</w:t>
      </w:r>
      <w:r>
        <w:rPr>
          <w:color w:val="000000" w:themeColor="text1"/>
        </w:rPr>
        <w:t xml:space="preserve"> J.,</w:t>
      </w:r>
      <w:r w:rsidRPr="00D86B24">
        <w:rPr>
          <w:color w:val="000000" w:themeColor="text1"/>
        </w:rPr>
        <w:t xml:space="preserve"> Wilson,</w:t>
      </w:r>
      <w:r>
        <w:rPr>
          <w:color w:val="000000" w:themeColor="text1"/>
        </w:rPr>
        <w:t xml:space="preserve"> A.,</w:t>
      </w:r>
      <w:r w:rsidRPr="00D86B24">
        <w:rPr>
          <w:color w:val="000000" w:themeColor="text1"/>
        </w:rPr>
        <w:t xml:space="preserve"> Gledhill,</w:t>
      </w:r>
      <w:r>
        <w:rPr>
          <w:color w:val="000000" w:themeColor="text1"/>
        </w:rPr>
        <w:t xml:space="preserve"> A.,</w:t>
      </w:r>
      <w:r w:rsidRPr="00D86B24">
        <w:rPr>
          <w:color w:val="000000" w:themeColor="text1"/>
        </w:rPr>
        <w:t xml:space="preserve"> </w:t>
      </w:r>
      <w:r>
        <w:rPr>
          <w:color w:val="000000" w:themeColor="text1"/>
        </w:rPr>
        <w:t>&amp;</w:t>
      </w:r>
      <w:r w:rsidRPr="00D86B24">
        <w:rPr>
          <w:color w:val="000000" w:themeColor="text1"/>
        </w:rPr>
        <w:t xml:space="preserve"> Montgomery</w:t>
      </w:r>
      <w:r>
        <w:rPr>
          <w:color w:val="000000" w:themeColor="text1"/>
        </w:rPr>
        <w:t>, J. (2012).</w:t>
      </w:r>
      <w:r w:rsidRPr="00D86B24">
        <w:rPr>
          <w:color w:val="000000" w:themeColor="text1"/>
        </w:rPr>
        <w:t xml:space="preserve"> The Great Irish Famine: </w:t>
      </w:r>
      <w:r w:rsidR="008D0838">
        <w:rPr>
          <w:color w:val="000000" w:themeColor="text1"/>
        </w:rPr>
        <w:t>P</w:t>
      </w:r>
      <w:r w:rsidRPr="00D86B24">
        <w:rPr>
          <w:color w:val="000000" w:themeColor="text1"/>
        </w:rPr>
        <w:t>roducing</w:t>
      </w:r>
      <w:r w:rsidR="00A34878">
        <w:rPr>
          <w:color w:val="000000" w:themeColor="text1"/>
        </w:rPr>
        <w:t xml:space="preserve"> “</w:t>
      </w:r>
      <w:r w:rsidRPr="00D86B24">
        <w:rPr>
          <w:color w:val="000000" w:themeColor="text1"/>
        </w:rPr>
        <w:t>lifeways</w:t>
      </w:r>
      <w:r w:rsidR="00A34878">
        <w:rPr>
          <w:color w:val="000000" w:themeColor="text1"/>
        </w:rPr>
        <w:t>”</w:t>
      </w:r>
      <w:r w:rsidRPr="00D86B24">
        <w:rPr>
          <w:color w:val="000000" w:themeColor="text1"/>
        </w:rPr>
        <w:t xml:space="preserve"> for victims and survivors using isotope ratios and elemental concentrations.</w:t>
      </w:r>
      <w:r>
        <w:rPr>
          <w:color w:val="000000" w:themeColor="text1"/>
        </w:rPr>
        <w:t xml:space="preserve"> </w:t>
      </w:r>
      <w:r w:rsidRPr="00D86B24">
        <w:rPr>
          <w:i/>
          <w:iCs/>
          <w:color w:val="000000" w:themeColor="text1"/>
        </w:rPr>
        <w:t xml:space="preserve">American Journal </w:t>
      </w:r>
      <w:r w:rsidR="00FD25D7">
        <w:rPr>
          <w:i/>
          <w:iCs/>
          <w:color w:val="000000" w:themeColor="text1"/>
        </w:rPr>
        <w:t>o</w:t>
      </w:r>
      <w:r w:rsidRPr="00D86B24">
        <w:rPr>
          <w:i/>
          <w:iCs/>
          <w:color w:val="000000" w:themeColor="text1"/>
        </w:rPr>
        <w:t>f Physical Anthropology</w:t>
      </w:r>
      <w:r w:rsidRPr="00D86B24">
        <w:rPr>
          <w:color w:val="000000" w:themeColor="text1"/>
        </w:rPr>
        <w:t>,</w:t>
      </w:r>
      <w:r w:rsidRPr="0089523F">
        <w:rPr>
          <w:i/>
          <w:color w:val="000000" w:themeColor="text1"/>
        </w:rPr>
        <w:t xml:space="preserve"> 147</w:t>
      </w:r>
      <w:r>
        <w:rPr>
          <w:color w:val="000000" w:themeColor="text1"/>
        </w:rPr>
        <w:t>(1)</w:t>
      </w:r>
      <w:r w:rsidRPr="00D86B24">
        <w:rPr>
          <w:color w:val="000000" w:themeColor="text1"/>
        </w:rPr>
        <w:t xml:space="preserve">, 94-94. </w:t>
      </w:r>
    </w:p>
    <w:p w14:paraId="0D7BDEFA" w14:textId="77777777" w:rsidR="00425B22" w:rsidRDefault="00425B22" w:rsidP="00FD43EF">
      <w:pPr>
        <w:rPr>
          <w:lang w:val="en-US"/>
        </w:rPr>
      </w:pPr>
    </w:p>
    <w:p w14:paraId="2CE602BF" w14:textId="3EEBD95B" w:rsidR="00FD43EF" w:rsidRPr="00A856DB" w:rsidRDefault="00FD43EF" w:rsidP="00FD43EF">
      <w:pPr>
        <w:rPr>
          <w:lang w:val="en-US"/>
        </w:rPr>
      </w:pPr>
      <w:r w:rsidRPr="00A856DB">
        <w:rPr>
          <w:lang w:val="en-US"/>
        </w:rPr>
        <w:t>Beaumont, J</w:t>
      </w:r>
      <w:r>
        <w:rPr>
          <w:lang w:val="en-US"/>
        </w:rPr>
        <w:t>.</w:t>
      </w:r>
      <w:r w:rsidRPr="00A856DB">
        <w:rPr>
          <w:lang w:val="en-US"/>
        </w:rPr>
        <w:t>,</w:t>
      </w:r>
      <w:r>
        <w:rPr>
          <w:lang w:val="en-US"/>
        </w:rPr>
        <w:t xml:space="preserve"> </w:t>
      </w:r>
      <w:r w:rsidRPr="00A856DB">
        <w:rPr>
          <w:lang w:val="en-US"/>
        </w:rPr>
        <w:t>Gledhill,</w:t>
      </w:r>
      <w:r>
        <w:rPr>
          <w:lang w:val="en-US"/>
        </w:rPr>
        <w:t xml:space="preserve"> A.,</w:t>
      </w:r>
      <w:r w:rsidRPr="00A856DB">
        <w:rPr>
          <w:lang w:val="en-US"/>
        </w:rPr>
        <w:t xml:space="preserve"> Lee</w:t>
      </w:r>
      <w:r w:rsidRPr="00A856DB">
        <w:rPr>
          <w:rFonts w:ascii="Cambria Math" w:hAnsi="Cambria Math" w:cs="Cambria Math"/>
          <w:lang w:val="en-US"/>
        </w:rPr>
        <w:t>‐</w:t>
      </w:r>
      <w:r w:rsidRPr="00A856DB">
        <w:rPr>
          <w:lang w:val="en-US"/>
        </w:rPr>
        <w:t>Thorp,</w:t>
      </w:r>
      <w:r>
        <w:rPr>
          <w:lang w:val="en-US"/>
        </w:rPr>
        <w:t xml:space="preserve"> J.,</w:t>
      </w:r>
      <w:r w:rsidRPr="00A856DB">
        <w:rPr>
          <w:lang w:val="en-US"/>
        </w:rPr>
        <w:t xml:space="preserve"> </w:t>
      </w:r>
      <w:r>
        <w:rPr>
          <w:lang w:val="en-US"/>
        </w:rPr>
        <w:t>&amp;</w:t>
      </w:r>
      <w:r w:rsidRPr="00A856DB">
        <w:rPr>
          <w:lang w:val="en-US"/>
        </w:rPr>
        <w:t xml:space="preserve"> Montgomery</w:t>
      </w:r>
      <w:r>
        <w:rPr>
          <w:lang w:val="en-US"/>
        </w:rPr>
        <w:t>, J.</w:t>
      </w:r>
      <w:r w:rsidRPr="00A856DB">
        <w:rPr>
          <w:lang w:val="en-US"/>
        </w:rPr>
        <w:t xml:space="preserve"> </w:t>
      </w:r>
      <w:r>
        <w:rPr>
          <w:lang w:val="en-US"/>
        </w:rPr>
        <w:t xml:space="preserve">(2013). </w:t>
      </w:r>
      <w:r w:rsidRPr="00A856DB">
        <w:rPr>
          <w:lang w:val="en-US"/>
        </w:rPr>
        <w:t xml:space="preserve">Childhood diet: </w:t>
      </w:r>
      <w:r w:rsidR="008D0838">
        <w:rPr>
          <w:lang w:val="en-US"/>
        </w:rPr>
        <w:t>A</w:t>
      </w:r>
      <w:r w:rsidRPr="00A856DB">
        <w:rPr>
          <w:lang w:val="en-US"/>
        </w:rPr>
        <w:t xml:space="preserve"> closer examination of the evidence from dental tissues using stable isotope analysis of incremental human dentine.</w:t>
      </w:r>
      <w:r>
        <w:rPr>
          <w:lang w:val="en-US"/>
        </w:rPr>
        <w:t xml:space="preserve"> </w:t>
      </w:r>
      <w:r w:rsidRPr="00A856DB">
        <w:rPr>
          <w:i/>
          <w:lang w:val="en-US"/>
        </w:rPr>
        <w:t>Archaeometry</w:t>
      </w:r>
      <w:r w:rsidR="00A34878">
        <w:rPr>
          <w:i/>
          <w:lang w:val="en-US"/>
        </w:rPr>
        <w:t>,</w:t>
      </w:r>
      <w:r w:rsidRPr="00A856DB">
        <w:rPr>
          <w:lang w:val="en-US"/>
        </w:rPr>
        <w:t xml:space="preserve"> </w:t>
      </w:r>
      <w:r w:rsidRPr="00A24CCB">
        <w:rPr>
          <w:i/>
          <w:lang w:val="en-US"/>
        </w:rPr>
        <w:t>55</w:t>
      </w:r>
      <w:r>
        <w:rPr>
          <w:lang w:val="en-US"/>
        </w:rPr>
        <w:t>(</w:t>
      </w:r>
      <w:r w:rsidRPr="00A856DB">
        <w:rPr>
          <w:lang w:val="en-US"/>
        </w:rPr>
        <w:t>2</w:t>
      </w:r>
      <w:r>
        <w:rPr>
          <w:lang w:val="en-US"/>
        </w:rPr>
        <w:t>),</w:t>
      </w:r>
      <w:r w:rsidRPr="00A856DB">
        <w:rPr>
          <w:lang w:val="en-US"/>
        </w:rPr>
        <w:t xml:space="preserve"> 277-295.</w:t>
      </w:r>
    </w:p>
    <w:p w14:paraId="0F0425F7" w14:textId="77777777" w:rsidR="00FD43EF" w:rsidRPr="00A856DB" w:rsidRDefault="00FD43EF" w:rsidP="00FD43EF">
      <w:pPr>
        <w:rPr>
          <w:lang w:val="en-US"/>
        </w:rPr>
      </w:pPr>
    </w:p>
    <w:p w14:paraId="2D3140A2" w14:textId="4EE95E1D" w:rsidR="00FD43EF" w:rsidRDefault="00FD43EF" w:rsidP="00FD43EF">
      <w:pPr>
        <w:rPr>
          <w:color w:val="000000" w:themeColor="text1"/>
          <w:lang w:val="en-US"/>
        </w:rPr>
      </w:pPr>
      <w:r w:rsidRPr="00A856DB">
        <w:rPr>
          <w:color w:val="000000" w:themeColor="text1"/>
          <w:lang w:val="en-US"/>
        </w:rPr>
        <w:t>Beaumont, J</w:t>
      </w:r>
      <w:r>
        <w:rPr>
          <w:color w:val="000000" w:themeColor="text1"/>
          <w:lang w:val="en-US"/>
        </w:rPr>
        <w:t>.</w:t>
      </w:r>
      <w:r w:rsidRPr="00A856DB">
        <w:rPr>
          <w:color w:val="000000" w:themeColor="text1"/>
          <w:lang w:val="en-US"/>
        </w:rPr>
        <w:t>, Gledhill,</w:t>
      </w:r>
      <w:r>
        <w:rPr>
          <w:color w:val="000000" w:themeColor="text1"/>
          <w:lang w:val="en-US"/>
        </w:rPr>
        <w:t xml:space="preserve"> A.,</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Montgomery</w:t>
      </w:r>
      <w:r>
        <w:rPr>
          <w:color w:val="000000" w:themeColor="text1"/>
          <w:lang w:val="en-US"/>
        </w:rPr>
        <w:t>, J. (2014).</w:t>
      </w:r>
      <w:r w:rsidRPr="00A856DB">
        <w:rPr>
          <w:color w:val="000000" w:themeColor="text1"/>
          <w:lang w:val="en-US"/>
        </w:rPr>
        <w:t xml:space="preserve"> Isotope analysis of incremental human dentine: </w:t>
      </w:r>
      <w:r w:rsidR="008D0838">
        <w:rPr>
          <w:color w:val="000000" w:themeColor="text1"/>
          <w:lang w:val="en-US"/>
        </w:rPr>
        <w:t>T</w:t>
      </w:r>
      <w:r w:rsidRPr="00A856DB">
        <w:rPr>
          <w:color w:val="000000" w:themeColor="text1"/>
          <w:lang w:val="en-US"/>
        </w:rPr>
        <w:t xml:space="preserve">owards higher temporal resolution. </w:t>
      </w:r>
      <w:r w:rsidRPr="00A856DB">
        <w:rPr>
          <w:i/>
          <w:color w:val="000000" w:themeColor="text1"/>
          <w:lang w:val="en-US"/>
        </w:rPr>
        <w:t>Bulletin of the International Association for Paleodontology</w:t>
      </w:r>
      <w:r w:rsidR="00A34878">
        <w:rPr>
          <w:i/>
          <w:color w:val="000000" w:themeColor="text1"/>
          <w:lang w:val="en-US"/>
        </w:rPr>
        <w:t>,</w:t>
      </w:r>
      <w:r w:rsidRPr="007C598D">
        <w:rPr>
          <w:i/>
          <w:color w:val="000000" w:themeColor="text1"/>
          <w:lang w:val="en-US"/>
        </w:rPr>
        <w:t xml:space="preserve"> 8</w:t>
      </w:r>
      <w:r>
        <w:rPr>
          <w:color w:val="000000" w:themeColor="text1"/>
          <w:lang w:val="en-US"/>
        </w:rPr>
        <w:t>(</w:t>
      </w:r>
      <w:r w:rsidRPr="00A856DB">
        <w:rPr>
          <w:color w:val="000000" w:themeColor="text1"/>
          <w:lang w:val="en-US"/>
        </w:rPr>
        <w:t>2</w:t>
      </w:r>
      <w:r>
        <w:rPr>
          <w:color w:val="000000" w:themeColor="text1"/>
          <w:lang w:val="en-US"/>
        </w:rPr>
        <w:t>),</w:t>
      </w:r>
      <w:r w:rsidRPr="00A856DB">
        <w:rPr>
          <w:color w:val="000000" w:themeColor="text1"/>
          <w:lang w:val="en-US"/>
        </w:rPr>
        <w:t xml:space="preserve"> 212-223.</w:t>
      </w:r>
    </w:p>
    <w:p w14:paraId="558960C4" w14:textId="77777777" w:rsidR="00FD43EF" w:rsidRDefault="00FD43EF" w:rsidP="00FD43EF">
      <w:pPr>
        <w:rPr>
          <w:color w:val="000000" w:themeColor="text1"/>
          <w:lang w:val="en-US"/>
        </w:rPr>
      </w:pPr>
    </w:p>
    <w:p w14:paraId="125217D9" w14:textId="7C907B8C" w:rsidR="00FD43EF" w:rsidRPr="0089523F" w:rsidRDefault="00FD43EF" w:rsidP="00FD43EF">
      <w:pPr>
        <w:rPr>
          <w:color w:val="000000" w:themeColor="text1"/>
        </w:rPr>
      </w:pPr>
      <w:r w:rsidRPr="00D86B24">
        <w:rPr>
          <w:color w:val="000000" w:themeColor="text1"/>
        </w:rPr>
        <w:t>Beaumont, J</w:t>
      </w:r>
      <w:r>
        <w:rPr>
          <w:color w:val="000000" w:themeColor="text1"/>
        </w:rPr>
        <w:t>. &amp;</w:t>
      </w:r>
      <w:r w:rsidRPr="00D86B24">
        <w:rPr>
          <w:color w:val="000000" w:themeColor="text1"/>
        </w:rPr>
        <w:t xml:space="preserve"> Montgomery</w:t>
      </w:r>
      <w:r>
        <w:rPr>
          <w:color w:val="000000" w:themeColor="text1"/>
        </w:rPr>
        <w:t>, J</w:t>
      </w:r>
      <w:r w:rsidRPr="00D86B24">
        <w:rPr>
          <w:color w:val="000000" w:themeColor="text1"/>
        </w:rPr>
        <w:t xml:space="preserve">. </w:t>
      </w:r>
      <w:r>
        <w:rPr>
          <w:color w:val="000000" w:themeColor="text1"/>
        </w:rPr>
        <w:t xml:space="preserve">(2016). </w:t>
      </w:r>
      <w:r w:rsidRPr="00D86B24">
        <w:rPr>
          <w:color w:val="000000" w:themeColor="text1"/>
        </w:rPr>
        <w:t xml:space="preserve">The Great Irish Famine: </w:t>
      </w:r>
      <w:r w:rsidR="008D0838">
        <w:rPr>
          <w:color w:val="000000" w:themeColor="text1"/>
        </w:rPr>
        <w:t>i</w:t>
      </w:r>
      <w:r w:rsidRPr="00D86B24">
        <w:rPr>
          <w:color w:val="000000" w:themeColor="text1"/>
        </w:rPr>
        <w:t>dentifying starvation in the tissues of victims using stable isotope analysis of bone and incremental dentine collagen</w:t>
      </w:r>
      <w:r>
        <w:rPr>
          <w:color w:val="000000" w:themeColor="text1"/>
        </w:rPr>
        <w:t>.</w:t>
      </w:r>
      <w:r w:rsidRPr="00D86B24">
        <w:rPr>
          <w:color w:val="000000" w:themeColor="text1"/>
        </w:rPr>
        <w:t> </w:t>
      </w:r>
      <w:r w:rsidRPr="00D86B24">
        <w:rPr>
          <w:i/>
          <w:iCs/>
          <w:color w:val="000000" w:themeColor="text1"/>
        </w:rPr>
        <w:t>PLoS One</w:t>
      </w:r>
      <w:r>
        <w:rPr>
          <w:i/>
          <w:iCs/>
          <w:color w:val="000000" w:themeColor="text1"/>
        </w:rPr>
        <w:t>,</w:t>
      </w:r>
      <w:r w:rsidRPr="00D86B24">
        <w:rPr>
          <w:color w:val="000000" w:themeColor="text1"/>
        </w:rPr>
        <w:t> 11</w:t>
      </w:r>
      <w:r>
        <w:rPr>
          <w:color w:val="000000" w:themeColor="text1"/>
        </w:rPr>
        <w:t>(</w:t>
      </w:r>
      <w:r w:rsidRPr="00D86B24">
        <w:rPr>
          <w:color w:val="000000" w:themeColor="text1"/>
        </w:rPr>
        <w:t>8</w:t>
      </w:r>
      <w:r>
        <w:rPr>
          <w:color w:val="000000" w:themeColor="text1"/>
        </w:rPr>
        <w:t>),</w:t>
      </w:r>
      <w:r w:rsidRPr="00D86B24">
        <w:rPr>
          <w:color w:val="000000" w:themeColor="text1"/>
        </w:rPr>
        <w:t xml:space="preserve"> e0160065.</w:t>
      </w:r>
    </w:p>
    <w:p w14:paraId="72698EBC" w14:textId="77777777" w:rsidR="00FD43EF" w:rsidRPr="00A856DB" w:rsidRDefault="00FD43EF" w:rsidP="00FD43EF">
      <w:pPr>
        <w:rPr>
          <w:color w:val="000000" w:themeColor="text1"/>
          <w:lang w:val="en-US"/>
        </w:rPr>
      </w:pPr>
    </w:p>
    <w:p w14:paraId="5695B742" w14:textId="4F3AA147" w:rsidR="00FD43EF" w:rsidRDefault="00FD43EF" w:rsidP="00FD43EF">
      <w:pPr>
        <w:rPr>
          <w:color w:val="000000" w:themeColor="text1"/>
          <w:lang w:val="en-US"/>
        </w:rPr>
      </w:pPr>
      <w:r w:rsidRPr="00A856DB">
        <w:rPr>
          <w:color w:val="000000" w:themeColor="text1"/>
          <w:lang w:val="en-US"/>
        </w:rPr>
        <w:t xml:space="preserve">Bellis, </w:t>
      </w:r>
      <w:r>
        <w:rPr>
          <w:color w:val="000000" w:themeColor="text1"/>
          <w:lang w:val="en-US"/>
        </w:rPr>
        <w:t>D.</w:t>
      </w:r>
      <w:r w:rsidRPr="00A856DB">
        <w:rPr>
          <w:color w:val="000000" w:themeColor="text1"/>
          <w:lang w:val="en-US"/>
        </w:rPr>
        <w:t xml:space="preserve"> J., Hetter,</w:t>
      </w:r>
      <w:r>
        <w:rPr>
          <w:color w:val="000000" w:themeColor="text1"/>
          <w:lang w:val="en-US"/>
        </w:rPr>
        <w:t xml:space="preserve"> K.</w:t>
      </w:r>
      <w:r w:rsidR="00A34878">
        <w:rPr>
          <w:color w:val="000000" w:themeColor="text1"/>
          <w:lang w:val="en-US"/>
        </w:rPr>
        <w:t xml:space="preserve"> </w:t>
      </w:r>
      <w:r>
        <w:rPr>
          <w:color w:val="000000" w:themeColor="text1"/>
          <w:lang w:val="en-US"/>
        </w:rPr>
        <w:t>M.,</w:t>
      </w:r>
      <w:r w:rsidRPr="00A856DB">
        <w:rPr>
          <w:color w:val="000000" w:themeColor="text1"/>
          <w:lang w:val="en-US"/>
        </w:rPr>
        <w:t xml:space="preserve"> Jones, </w:t>
      </w:r>
      <w:r>
        <w:rPr>
          <w:color w:val="000000" w:themeColor="text1"/>
          <w:lang w:val="en-US"/>
        </w:rPr>
        <w:t>J.,</w:t>
      </w:r>
      <w:r w:rsidRPr="00A856DB">
        <w:rPr>
          <w:color w:val="000000" w:themeColor="text1"/>
          <w:lang w:val="en-US"/>
        </w:rPr>
        <w:t xml:space="preserve"> Amarasiriwardena,</w:t>
      </w:r>
      <w:r>
        <w:rPr>
          <w:color w:val="000000" w:themeColor="text1"/>
          <w:lang w:val="en-US"/>
        </w:rPr>
        <w:t xml:space="preserve"> D., &amp;</w:t>
      </w:r>
      <w:r w:rsidRPr="00A856DB">
        <w:rPr>
          <w:color w:val="000000" w:themeColor="text1"/>
          <w:lang w:val="en-US"/>
        </w:rPr>
        <w:t xml:space="preserve"> Parsons</w:t>
      </w:r>
      <w:r>
        <w:rPr>
          <w:color w:val="000000" w:themeColor="text1"/>
          <w:lang w:val="en-US"/>
        </w:rPr>
        <w:t xml:space="preserve">, P.J. (2006). </w:t>
      </w:r>
      <w:r w:rsidRPr="00A856DB">
        <w:rPr>
          <w:color w:val="000000" w:themeColor="text1"/>
          <w:lang w:val="en-US"/>
        </w:rPr>
        <w:t xml:space="preserve">Calibration of laser ablation inductively coupled plasma mass spectrometry for quantitative measurements of lead in bone. </w:t>
      </w:r>
      <w:r w:rsidRPr="00A856DB">
        <w:rPr>
          <w:i/>
          <w:color w:val="000000" w:themeColor="text1"/>
          <w:lang w:val="en-US"/>
        </w:rPr>
        <w:t>Journal of Analytical Atomic Spectrometry</w:t>
      </w:r>
      <w:r w:rsidR="00A34878">
        <w:rPr>
          <w:i/>
          <w:color w:val="000000" w:themeColor="text1"/>
          <w:lang w:val="en-US"/>
        </w:rPr>
        <w:t>,</w:t>
      </w:r>
      <w:r w:rsidRPr="00A856DB">
        <w:rPr>
          <w:color w:val="000000" w:themeColor="text1"/>
          <w:lang w:val="en-US"/>
        </w:rPr>
        <w:t xml:space="preserve"> </w:t>
      </w:r>
      <w:r w:rsidRPr="00342ECE">
        <w:rPr>
          <w:i/>
          <w:color w:val="000000" w:themeColor="text1"/>
          <w:lang w:val="en-US"/>
        </w:rPr>
        <w:t>21</w:t>
      </w:r>
      <w:r>
        <w:rPr>
          <w:color w:val="000000" w:themeColor="text1"/>
          <w:lang w:val="en-US"/>
        </w:rPr>
        <w:t>(</w:t>
      </w:r>
      <w:r w:rsidRPr="00A856DB">
        <w:rPr>
          <w:color w:val="000000" w:themeColor="text1"/>
          <w:lang w:val="en-US"/>
        </w:rPr>
        <w:t>9</w:t>
      </w:r>
      <w:r>
        <w:rPr>
          <w:color w:val="000000" w:themeColor="text1"/>
          <w:lang w:val="en-US"/>
        </w:rPr>
        <w:t xml:space="preserve">), </w:t>
      </w:r>
      <w:r w:rsidRPr="00A856DB">
        <w:rPr>
          <w:color w:val="000000" w:themeColor="text1"/>
          <w:lang w:val="en-US"/>
        </w:rPr>
        <w:t>948-954.</w:t>
      </w:r>
    </w:p>
    <w:p w14:paraId="48A44DA5" w14:textId="77777777" w:rsidR="00FD43EF" w:rsidRDefault="00FD43EF" w:rsidP="00FD43EF">
      <w:pPr>
        <w:rPr>
          <w:color w:val="000000" w:themeColor="text1"/>
          <w:lang w:val="en-US"/>
        </w:rPr>
      </w:pPr>
    </w:p>
    <w:p w14:paraId="624397A5" w14:textId="156688F4" w:rsidR="00FD43EF" w:rsidRPr="00D836F5" w:rsidRDefault="00FD43EF" w:rsidP="00FD43EF">
      <w:pPr>
        <w:rPr>
          <w:rStyle w:val="SubtleEmphasis"/>
          <w:lang w:val="es-ES"/>
        </w:rPr>
      </w:pPr>
      <w:r w:rsidRPr="00D86B24">
        <w:rPr>
          <w:color w:val="000000" w:themeColor="text1"/>
        </w:rPr>
        <w:t>Bello, S</w:t>
      </w:r>
      <w:r>
        <w:rPr>
          <w:color w:val="000000" w:themeColor="text1"/>
        </w:rPr>
        <w:t>.</w:t>
      </w:r>
      <w:r w:rsidRPr="00D86B24">
        <w:rPr>
          <w:color w:val="000000" w:themeColor="text1"/>
        </w:rPr>
        <w:t xml:space="preserve">, </w:t>
      </w:r>
      <w:r>
        <w:rPr>
          <w:color w:val="000000" w:themeColor="text1"/>
        </w:rPr>
        <w:t>&amp;</w:t>
      </w:r>
      <w:r w:rsidRPr="00D86B24">
        <w:rPr>
          <w:color w:val="000000" w:themeColor="text1"/>
        </w:rPr>
        <w:t xml:space="preserve"> Boëtsch</w:t>
      </w:r>
      <w:r>
        <w:rPr>
          <w:color w:val="000000" w:themeColor="text1"/>
        </w:rPr>
        <w:t xml:space="preserve">, G. (2007). </w:t>
      </w:r>
      <w:r w:rsidRPr="00D836F5">
        <w:rPr>
          <w:color w:val="000000" w:themeColor="text1"/>
          <w:lang w:val="en-US"/>
        </w:rPr>
        <w:t>Naître en maison d'accouchement à Marseille au XIX ème siècle: prématuré et poids de naissance. </w:t>
      </w:r>
      <w:r w:rsidRPr="008C2954">
        <w:rPr>
          <w:i/>
          <w:iCs/>
          <w:color w:val="000000" w:themeColor="text1"/>
          <w:lang w:val="es-ES"/>
        </w:rPr>
        <w:t xml:space="preserve">Biométrie Humaine et Anthropologie-revue de la Société de </w:t>
      </w:r>
      <w:r w:rsidR="00FD25D7">
        <w:rPr>
          <w:i/>
          <w:iCs/>
          <w:color w:val="000000" w:themeColor="text1"/>
          <w:lang w:val="es-ES"/>
        </w:rPr>
        <w:t>B</w:t>
      </w:r>
      <w:r w:rsidRPr="008C2954">
        <w:rPr>
          <w:i/>
          <w:iCs/>
          <w:color w:val="000000" w:themeColor="text1"/>
          <w:lang w:val="es-ES"/>
        </w:rPr>
        <w:t xml:space="preserve">iométrie </w:t>
      </w:r>
      <w:r w:rsidR="00FD25D7">
        <w:rPr>
          <w:i/>
          <w:iCs/>
          <w:color w:val="000000" w:themeColor="text1"/>
          <w:lang w:val="es-ES"/>
        </w:rPr>
        <w:t>H</w:t>
      </w:r>
      <w:r w:rsidRPr="008C2954">
        <w:rPr>
          <w:i/>
          <w:iCs/>
          <w:color w:val="000000" w:themeColor="text1"/>
          <w:lang w:val="es-ES"/>
        </w:rPr>
        <w:t>umaine</w:t>
      </w:r>
      <w:r>
        <w:rPr>
          <w:i/>
          <w:iCs/>
          <w:color w:val="000000" w:themeColor="text1"/>
          <w:lang w:val="es-ES"/>
        </w:rPr>
        <w:t>,</w:t>
      </w:r>
      <w:r w:rsidRPr="008C2954">
        <w:rPr>
          <w:color w:val="000000" w:themeColor="text1"/>
          <w:lang w:val="es-ES"/>
        </w:rPr>
        <w:t> </w:t>
      </w:r>
      <w:r w:rsidRPr="007847C6">
        <w:rPr>
          <w:i/>
          <w:color w:val="000000" w:themeColor="text1"/>
          <w:lang w:val="es-ES"/>
        </w:rPr>
        <w:t>25</w:t>
      </w:r>
      <w:r>
        <w:rPr>
          <w:color w:val="000000" w:themeColor="text1"/>
          <w:lang w:val="es-ES"/>
        </w:rPr>
        <w:t>(</w:t>
      </w:r>
      <w:r w:rsidRPr="008C2954">
        <w:rPr>
          <w:color w:val="000000" w:themeColor="text1"/>
          <w:lang w:val="es-ES"/>
        </w:rPr>
        <w:t>3-4</w:t>
      </w:r>
      <w:r>
        <w:rPr>
          <w:color w:val="000000" w:themeColor="text1"/>
          <w:lang w:val="es-ES"/>
        </w:rPr>
        <w:t xml:space="preserve">), </w:t>
      </w:r>
      <w:r w:rsidRPr="008C2954">
        <w:rPr>
          <w:color w:val="000000" w:themeColor="text1"/>
          <w:lang w:val="es-ES"/>
        </w:rPr>
        <w:t>231-240.</w:t>
      </w:r>
    </w:p>
    <w:p w14:paraId="561D7393" w14:textId="77777777" w:rsidR="00FD43EF" w:rsidRDefault="00FD43EF" w:rsidP="00FD43EF">
      <w:pPr>
        <w:rPr>
          <w:color w:val="000000" w:themeColor="text1"/>
          <w:lang w:val="es-ES"/>
        </w:rPr>
      </w:pPr>
    </w:p>
    <w:p w14:paraId="42E7B80D" w14:textId="70BCEDF1" w:rsidR="00FD43EF" w:rsidRPr="005F7C36" w:rsidRDefault="00FD43EF" w:rsidP="00FD43EF">
      <w:pPr>
        <w:rPr>
          <w:color w:val="000000" w:themeColor="text1"/>
          <w:lang w:val="en-US"/>
        </w:rPr>
      </w:pPr>
      <w:r w:rsidRPr="005F7C36">
        <w:rPr>
          <w:color w:val="000000" w:themeColor="text1"/>
          <w:lang w:val="en-US"/>
        </w:rPr>
        <w:t xml:space="preserve">Blakey, M. L., Leslie, T. E., &amp; Reidy, J. P. (1994). Frequency and chronological distribution of dental enamel hypoplasia in enslaved African Americans: </w:t>
      </w:r>
      <w:r w:rsidR="008D0838">
        <w:rPr>
          <w:color w:val="000000" w:themeColor="text1"/>
          <w:lang w:val="en-US"/>
        </w:rPr>
        <w:t>A</w:t>
      </w:r>
      <w:r w:rsidRPr="005F7C36">
        <w:rPr>
          <w:color w:val="000000" w:themeColor="text1"/>
          <w:lang w:val="en-US"/>
        </w:rPr>
        <w:t xml:space="preserve"> test of the weaning hypothesis. </w:t>
      </w:r>
      <w:r w:rsidRPr="005F7C36">
        <w:rPr>
          <w:i/>
          <w:color w:val="000000" w:themeColor="text1"/>
          <w:lang w:val="en-US"/>
        </w:rPr>
        <w:t>American Journal of Physical Anthropology, 95</w:t>
      </w:r>
      <w:r w:rsidRPr="005F7C36">
        <w:rPr>
          <w:color w:val="000000" w:themeColor="text1"/>
          <w:lang w:val="en-US"/>
        </w:rPr>
        <w:t>(4), 371-383.</w:t>
      </w:r>
    </w:p>
    <w:p w14:paraId="4E8CA8E8" w14:textId="77777777" w:rsidR="00FD43EF" w:rsidRPr="005F7C36" w:rsidRDefault="00FD43EF" w:rsidP="00FD43EF">
      <w:pPr>
        <w:rPr>
          <w:color w:val="000000" w:themeColor="text1"/>
          <w:lang w:val="en-US"/>
        </w:rPr>
      </w:pPr>
    </w:p>
    <w:p w14:paraId="0538B27D" w14:textId="77777777" w:rsidR="00FD43EF" w:rsidRPr="00A856DB" w:rsidRDefault="00FD43EF" w:rsidP="00FD43EF">
      <w:pPr>
        <w:rPr>
          <w:lang w:val="en-US"/>
        </w:rPr>
      </w:pPr>
      <w:r w:rsidRPr="00A856DB">
        <w:rPr>
          <w:lang w:val="en-US"/>
        </w:rPr>
        <w:t>Bongaarts, J.</w:t>
      </w:r>
      <w:r>
        <w:rPr>
          <w:lang w:val="en-US"/>
        </w:rPr>
        <w:t xml:space="preserve"> (1978). </w:t>
      </w:r>
      <w:r w:rsidRPr="00A856DB">
        <w:rPr>
          <w:lang w:val="en-US"/>
        </w:rPr>
        <w:t xml:space="preserve">A framework for analyzing the proximate determinants of fertility. </w:t>
      </w:r>
      <w:r w:rsidRPr="00A856DB">
        <w:rPr>
          <w:i/>
          <w:lang w:val="en-US"/>
        </w:rPr>
        <w:t>Population and Development Review</w:t>
      </w:r>
      <w:r w:rsidRPr="00687662">
        <w:rPr>
          <w:i/>
          <w:lang w:val="en-US"/>
        </w:rPr>
        <w:t xml:space="preserve"> 4</w:t>
      </w:r>
      <w:r>
        <w:rPr>
          <w:lang w:val="en-US"/>
        </w:rPr>
        <w:t>(</w:t>
      </w:r>
      <w:r w:rsidRPr="00A856DB">
        <w:rPr>
          <w:lang w:val="en-US"/>
        </w:rPr>
        <w:t>1</w:t>
      </w:r>
      <w:r>
        <w:rPr>
          <w:lang w:val="en-US"/>
        </w:rPr>
        <w:t xml:space="preserve">), </w:t>
      </w:r>
      <w:r w:rsidRPr="00A856DB">
        <w:rPr>
          <w:lang w:val="en-US"/>
        </w:rPr>
        <w:t>105-132.</w:t>
      </w:r>
    </w:p>
    <w:p w14:paraId="6B240F98" w14:textId="77777777" w:rsidR="00FD43EF" w:rsidRPr="00A856DB" w:rsidRDefault="00FD43EF" w:rsidP="00FD43EF">
      <w:pPr>
        <w:rPr>
          <w:lang w:val="en-US"/>
        </w:rPr>
      </w:pPr>
    </w:p>
    <w:p w14:paraId="61771E2C" w14:textId="15B4173E" w:rsidR="00FD43EF" w:rsidRDefault="00FD43EF" w:rsidP="00FD43EF">
      <w:pPr>
        <w:rPr>
          <w:lang w:val="en-US"/>
        </w:rPr>
      </w:pPr>
      <w:r w:rsidRPr="00A856DB">
        <w:rPr>
          <w:lang w:val="en-US"/>
        </w:rPr>
        <w:t>Bongaarts, J.</w:t>
      </w:r>
      <w:r>
        <w:rPr>
          <w:lang w:val="en-US"/>
        </w:rPr>
        <w:t xml:space="preserve"> (1982).</w:t>
      </w:r>
      <w:r w:rsidRPr="00A856DB">
        <w:rPr>
          <w:lang w:val="en-US"/>
        </w:rPr>
        <w:t xml:space="preserve"> The fertility-inhibiting effects of the intermediate fertility variables. </w:t>
      </w:r>
      <w:r w:rsidRPr="00A856DB">
        <w:rPr>
          <w:i/>
          <w:lang w:val="en-US"/>
        </w:rPr>
        <w:t>Studies in Family Planning</w:t>
      </w:r>
      <w:r>
        <w:rPr>
          <w:lang w:val="en-US"/>
        </w:rPr>
        <w:t>,</w:t>
      </w:r>
      <w:r w:rsidRPr="00A856DB">
        <w:rPr>
          <w:lang w:val="en-US"/>
        </w:rPr>
        <w:t xml:space="preserve"> </w:t>
      </w:r>
      <w:r w:rsidR="00A34878" w:rsidRPr="00A34878">
        <w:rPr>
          <w:i/>
          <w:lang w:val="en-US"/>
        </w:rPr>
        <w:t>13</w:t>
      </w:r>
      <w:r w:rsidR="00A34878">
        <w:rPr>
          <w:lang w:val="en-US"/>
        </w:rPr>
        <w:t>(6-7)</w:t>
      </w:r>
      <w:r w:rsidRPr="00A856DB">
        <w:rPr>
          <w:lang w:val="en-US"/>
        </w:rPr>
        <w:t>179-189.</w:t>
      </w:r>
    </w:p>
    <w:p w14:paraId="31CD63D0" w14:textId="77777777" w:rsidR="00FD43EF" w:rsidRDefault="00FD43EF" w:rsidP="00FD43EF">
      <w:pPr>
        <w:rPr>
          <w:lang w:val="en-US"/>
        </w:rPr>
      </w:pPr>
    </w:p>
    <w:p w14:paraId="2F7AF6A2" w14:textId="61BF008B" w:rsidR="00FD43EF" w:rsidRPr="001E7DBF" w:rsidRDefault="00FD43EF" w:rsidP="00FD43EF">
      <w:pPr>
        <w:rPr>
          <w:color w:val="000000" w:themeColor="text1"/>
        </w:rPr>
      </w:pPr>
      <w:r w:rsidRPr="00D86B24">
        <w:rPr>
          <w:color w:val="000000" w:themeColor="text1"/>
        </w:rPr>
        <w:t>Bouman, A</w:t>
      </w:r>
      <w:r>
        <w:rPr>
          <w:color w:val="000000" w:themeColor="text1"/>
        </w:rPr>
        <w:t>.</w:t>
      </w:r>
      <w:r w:rsidRPr="00D86B24">
        <w:rPr>
          <w:color w:val="000000" w:themeColor="text1"/>
        </w:rPr>
        <w:t>,</w:t>
      </w:r>
      <w:r>
        <w:rPr>
          <w:color w:val="000000" w:themeColor="text1"/>
        </w:rPr>
        <w:t xml:space="preserve"> </w:t>
      </w:r>
      <w:r w:rsidRPr="00D86B24">
        <w:rPr>
          <w:color w:val="000000" w:themeColor="text1"/>
        </w:rPr>
        <w:t>Jan Heineman,</w:t>
      </w:r>
      <w:r>
        <w:rPr>
          <w:color w:val="000000" w:themeColor="text1"/>
        </w:rPr>
        <w:t xml:space="preserve"> M.&amp;</w:t>
      </w:r>
      <w:r w:rsidRPr="00D86B24">
        <w:rPr>
          <w:color w:val="000000" w:themeColor="text1"/>
        </w:rPr>
        <w:t xml:space="preserve"> Faas</w:t>
      </w:r>
      <w:r>
        <w:rPr>
          <w:color w:val="000000" w:themeColor="text1"/>
        </w:rPr>
        <w:t>, M.M. (2005).</w:t>
      </w:r>
      <w:r w:rsidRPr="00D86B24">
        <w:rPr>
          <w:color w:val="000000" w:themeColor="text1"/>
        </w:rPr>
        <w:t xml:space="preserve"> Sex hormones and the immune response in humans. </w:t>
      </w:r>
      <w:r w:rsidRPr="00D86B24">
        <w:rPr>
          <w:i/>
          <w:iCs/>
          <w:color w:val="000000" w:themeColor="text1"/>
        </w:rPr>
        <w:t xml:space="preserve">Human </w:t>
      </w:r>
      <w:r w:rsidR="003D00CA">
        <w:rPr>
          <w:i/>
          <w:iCs/>
          <w:color w:val="000000" w:themeColor="text1"/>
        </w:rPr>
        <w:t>R</w:t>
      </w:r>
      <w:r w:rsidRPr="00D86B24">
        <w:rPr>
          <w:i/>
          <w:iCs/>
          <w:color w:val="000000" w:themeColor="text1"/>
        </w:rPr>
        <w:t xml:space="preserve">eproduction </w:t>
      </w:r>
      <w:r w:rsidR="003D00CA">
        <w:rPr>
          <w:i/>
          <w:iCs/>
          <w:color w:val="000000" w:themeColor="text1"/>
        </w:rPr>
        <w:t>U</w:t>
      </w:r>
      <w:r w:rsidRPr="00D86B24">
        <w:rPr>
          <w:i/>
          <w:iCs/>
          <w:color w:val="000000" w:themeColor="text1"/>
        </w:rPr>
        <w:t>pdate</w:t>
      </w:r>
      <w:r>
        <w:rPr>
          <w:i/>
          <w:iCs/>
          <w:color w:val="000000" w:themeColor="text1"/>
        </w:rPr>
        <w:t>,</w:t>
      </w:r>
      <w:r w:rsidRPr="00D86B24">
        <w:rPr>
          <w:color w:val="000000" w:themeColor="text1"/>
        </w:rPr>
        <w:t> </w:t>
      </w:r>
      <w:r w:rsidRPr="000E13EE">
        <w:rPr>
          <w:i/>
          <w:color w:val="000000" w:themeColor="text1"/>
        </w:rPr>
        <w:t>11</w:t>
      </w:r>
      <w:r>
        <w:rPr>
          <w:color w:val="000000" w:themeColor="text1"/>
        </w:rPr>
        <w:t>(</w:t>
      </w:r>
      <w:r w:rsidRPr="00D86B24">
        <w:rPr>
          <w:color w:val="000000" w:themeColor="text1"/>
        </w:rPr>
        <w:t>4</w:t>
      </w:r>
      <w:r>
        <w:rPr>
          <w:color w:val="000000" w:themeColor="text1"/>
        </w:rPr>
        <w:t>),</w:t>
      </w:r>
      <w:r w:rsidRPr="00D86B24">
        <w:rPr>
          <w:color w:val="000000" w:themeColor="text1"/>
        </w:rPr>
        <w:t xml:space="preserve"> 411-423.</w:t>
      </w:r>
    </w:p>
    <w:p w14:paraId="1B54770D" w14:textId="77777777" w:rsidR="00FD43EF" w:rsidRPr="00A856DB" w:rsidRDefault="00FD43EF" w:rsidP="00FD43EF">
      <w:pPr>
        <w:rPr>
          <w:lang w:val="en-US"/>
        </w:rPr>
      </w:pPr>
    </w:p>
    <w:p w14:paraId="1267EB2B" w14:textId="27DE61C5" w:rsidR="00FD43EF" w:rsidRPr="008C4A6A" w:rsidRDefault="00FD43EF" w:rsidP="00FD43EF">
      <w:pPr>
        <w:rPr>
          <w:color w:val="000000" w:themeColor="text1"/>
          <w:lang w:val="en-US"/>
        </w:rPr>
      </w:pPr>
      <w:r w:rsidRPr="008C4A6A">
        <w:rPr>
          <w:color w:val="000000" w:themeColor="text1"/>
          <w:lang w:val="en-US"/>
        </w:rPr>
        <w:t>Brady, A.</w:t>
      </w:r>
      <w:r>
        <w:rPr>
          <w:color w:val="000000" w:themeColor="text1"/>
          <w:lang w:val="en-US"/>
        </w:rPr>
        <w:t xml:space="preserve"> (2004).</w:t>
      </w:r>
      <w:r w:rsidRPr="008C4A6A">
        <w:rPr>
          <w:color w:val="000000" w:themeColor="text1"/>
          <w:lang w:val="en-US"/>
        </w:rPr>
        <w:t xml:space="preserve"> Laser </w:t>
      </w:r>
      <w:r w:rsidR="008D0838">
        <w:rPr>
          <w:color w:val="000000" w:themeColor="text1"/>
          <w:lang w:val="en-US"/>
        </w:rPr>
        <w:t>a</w:t>
      </w:r>
      <w:r w:rsidRPr="008C4A6A">
        <w:rPr>
          <w:color w:val="000000" w:themeColor="text1"/>
          <w:lang w:val="en-US"/>
        </w:rPr>
        <w:t xml:space="preserve">blation as a </w:t>
      </w:r>
      <w:r w:rsidR="008D0838">
        <w:rPr>
          <w:color w:val="000000" w:themeColor="text1"/>
          <w:lang w:val="en-US"/>
        </w:rPr>
        <w:t>v</w:t>
      </w:r>
      <w:r w:rsidRPr="008C4A6A">
        <w:rPr>
          <w:color w:val="000000" w:themeColor="text1"/>
          <w:lang w:val="en-US"/>
        </w:rPr>
        <w:t xml:space="preserve">aluable </w:t>
      </w:r>
      <w:r w:rsidR="008D0838">
        <w:rPr>
          <w:color w:val="000000" w:themeColor="text1"/>
          <w:lang w:val="en-US"/>
        </w:rPr>
        <w:t>t</w:t>
      </w:r>
      <w:r w:rsidRPr="008C4A6A">
        <w:rPr>
          <w:color w:val="000000" w:themeColor="text1"/>
          <w:lang w:val="en-US"/>
        </w:rPr>
        <w:t xml:space="preserve">ool in the </w:t>
      </w:r>
      <w:r w:rsidR="008D0838">
        <w:rPr>
          <w:color w:val="000000" w:themeColor="text1"/>
          <w:lang w:val="en-US"/>
        </w:rPr>
        <w:t>s</w:t>
      </w:r>
      <w:r w:rsidRPr="008C4A6A">
        <w:rPr>
          <w:color w:val="000000" w:themeColor="text1"/>
          <w:lang w:val="en-US"/>
        </w:rPr>
        <w:t xml:space="preserve">table </w:t>
      </w:r>
      <w:r w:rsidR="008D0838">
        <w:rPr>
          <w:color w:val="000000" w:themeColor="text1"/>
          <w:lang w:val="en-US"/>
        </w:rPr>
        <w:t>i</w:t>
      </w:r>
      <w:r w:rsidRPr="008C4A6A">
        <w:rPr>
          <w:color w:val="000000" w:themeColor="text1"/>
          <w:lang w:val="en-US"/>
        </w:rPr>
        <w:t xml:space="preserve">sotope </w:t>
      </w:r>
      <w:r w:rsidR="008D0838">
        <w:rPr>
          <w:color w:val="000000" w:themeColor="text1"/>
          <w:lang w:val="en-US"/>
        </w:rPr>
        <w:t>a</w:t>
      </w:r>
      <w:r w:rsidRPr="008C4A6A">
        <w:rPr>
          <w:color w:val="000000" w:themeColor="text1"/>
          <w:lang w:val="en-US"/>
        </w:rPr>
        <w:t xml:space="preserve">nalysis of </w:t>
      </w:r>
      <w:r w:rsidR="008D0838">
        <w:rPr>
          <w:color w:val="000000" w:themeColor="text1"/>
          <w:lang w:val="en-US"/>
        </w:rPr>
        <w:t>a</w:t>
      </w:r>
      <w:r w:rsidRPr="008C4A6A">
        <w:rPr>
          <w:color w:val="000000" w:themeColor="text1"/>
          <w:lang w:val="en-US"/>
        </w:rPr>
        <w:t xml:space="preserve">rchaeological </w:t>
      </w:r>
      <w:r w:rsidR="008D0838">
        <w:rPr>
          <w:color w:val="000000" w:themeColor="text1"/>
          <w:lang w:val="en-US"/>
        </w:rPr>
        <w:t>m</w:t>
      </w:r>
      <w:r w:rsidRPr="008C4A6A">
        <w:rPr>
          <w:color w:val="000000" w:themeColor="text1"/>
          <w:lang w:val="en-US"/>
        </w:rPr>
        <w:t xml:space="preserve">aterial. </w:t>
      </w:r>
      <w:r w:rsidRPr="008C4A6A">
        <w:rPr>
          <w:i/>
          <w:color w:val="000000" w:themeColor="text1"/>
          <w:lang w:val="en-US"/>
        </w:rPr>
        <w:t>Totem: The University of Western Ontario Journal of Anthropology</w:t>
      </w:r>
      <w:r>
        <w:rPr>
          <w:i/>
          <w:color w:val="000000" w:themeColor="text1"/>
          <w:lang w:val="en-US"/>
        </w:rPr>
        <w:t>,</w:t>
      </w:r>
      <w:r w:rsidRPr="008C4A6A">
        <w:rPr>
          <w:color w:val="000000" w:themeColor="text1"/>
          <w:lang w:val="en-US"/>
        </w:rPr>
        <w:t xml:space="preserve"> </w:t>
      </w:r>
      <w:r w:rsidRPr="00687662">
        <w:rPr>
          <w:i/>
          <w:color w:val="000000" w:themeColor="text1"/>
          <w:lang w:val="en-US"/>
        </w:rPr>
        <w:t>12</w:t>
      </w:r>
      <w:r>
        <w:rPr>
          <w:color w:val="000000" w:themeColor="text1"/>
          <w:lang w:val="en-US"/>
        </w:rPr>
        <w:t>(</w:t>
      </w:r>
      <w:r w:rsidRPr="008C4A6A">
        <w:rPr>
          <w:color w:val="000000" w:themeColor="text1"/>
          <w:lang w:val="en-US"/>
        </w:rPr>
        <w:t>1</w:t>
      </w:r>
      <w:r>
        <w:rPr>
          <w:color w:val="000000" w:themeColor="text1"/>
          <w:lang w:val="en-US"/>
        </w:rPr>
        <w:t>), 27-32</w:t>
      </w:r>
      <w:r w:rsidRPr="008C4A6A">
        <w:rPr>
          <w:color w:val="000000" w:themeColor="text1"/>
          <w:lang w:val="en-US"/>
        </w:rPr>
        <w:t>.</w:t>
      </w:r>
    </w:p>
    <w:p w14:paraId="37B58200" w14:textId="77777777" w:rsidR="00FD43EF" w:rsidRPr="008C4A6A" w:rsidRDefault="00FD43EF" w:rsidP="00FD43EF">
      <w:pPr>
        <w:rPr>
          <w:i/>
          <w:color w:val="000000" w:themeColor="text1"/>
          <w:lang w:val="en-US"/>
        </w:rPr>
      </w:pPr>
    </w:p>
    <w:p w14:paraId="49490860" w14:textId="77777777" w:rsidR="00FD43EF" w:rsidRPr="00A856DB" w:rsidRDefault="00FD43EF" w:rsidP="00FD43EF">
      <w:pPr>
        <w:rPr>
          <w:color w:val="000000" w:themeColor="text1"/>
          <w:lang w:val="en-US"/>
        </w:rPr>
      </w:pPr>
      <w:r w:rsidRPr="00A856DB">
        <w:rPr>
          <w:color w:val="000000" w:themeColor="text1"/>
          <w:lang w:val="en-US"/>
        </w:rPr>
        <w:lastRenderedPageBreak/>
        <w:t>Britton, K</w:t>
      </w:r>
      <w:r>
        <w:rPr>
          <w:color w:val="000000" w:themeColor="text1"/>
          <w:lang w:val="en-US"/>
        </w:rPr>
        <w:t>.</w:t>
      </w:r>
      <w:r w:rsidRPr="00A856DB">
        <w:rPr>
          <w:color w:val="000000" w:themeColor="text1"/>
          <w:lang w:val="en-US"/>
        </w:rPr>
        <w:t xml:space="preserve">, Fuller, </w:t>
      </w:r>
      <w:r>
        <w:rPr>
          <w:color w:val="000000" w:themeColor="text1"/>
          <w:lang w:val="en-US"/>
        </w:rPr>
        <w:t xml:space="preserve">B.T., </w:t>
      </w:r>
      <w:r w:rsidRPr="00A856DB">
        <w:rPr>
          <w:color w:val="000000" w:themeColor="text1"/>
          <w:lang w:val="en-US"/>
        </w:rPr>
        <w:t>Tütken,</w:t>
      </w:r>
      <w:r>
        <w:rPr>
          <w:color w:val="000000" w:themeColor="text1"/>
          <w:lang w:val="en-US"/>
        </w:rPr>
        <w:t xml:space="preserve"> T.,</w:t>
      </w:r>
      <w:r w:rsidRPr="00A856DB">
        <w:rPr>
          <w:color w:val="000000" w:themeColor="text1"/>
          <w:lang w:val="en-US"/>
        </w:rPr>
        <w:t xml:space="preserve"> Mays,</w:t>
      </w:r>
      <w:r>
        <w:rPr>
          <w:color w:val="000000" w:themeColor="text1"/>
          <w:lang w:val="en-US"/>
        </w:rPr>
        <w:t xml:space="preserve"> S.,</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Richards</w:t>
      </w:r>
      <w:r>
        <w:rPr>
          <w:color w:val="000000" w:themeColor="text1"/>
          <w:lang w:val="en-US"/>
        </w:rPr>
        <w:t xml:space="preserve">, M.P. (2015). </w:t>
      </w:r>
      <w:r w:rsidRPr="00A856DB">
        <w:rPr>
          <w:color w:val="000000" w:themeColor="text1"/>
          <w:lang w:val="en-US"/>
        </w:rPr>
        <w:t>Oxygen isotope analysis of human bone phosphate evidences weaning age in archaeological populations.</w:t>
      </w:r>
      <w:r>
        <w:rPr>
          <w:color w:val="000000" w:themeColor="text1"/>
          <w:lang w:val="en-US"/>
        </w:rPr>
        <w:t xml:space="preserve"> </w:t>
      </w:r>
      <w:r w:rsidRPr="00A856DB">
        <w:rPr>
          <w:i/>
          <w:color w:val="000000" w:themeColor="text1"/>
          <w:lang w:val="en-US"/>
        </w:rPr>
        <w:t>American Journal of Physical Anthropology</w:t>
      </w:r>
      <w:r>
        <w:rPr>
          <w:i/>
          <w:color w:val="000000" w:themeColor="text1"/>
          <w:lang w:val="en-US"/>
        </w:rPr>
        <w:t>,</w:t>
      </w:r>
      <w:r w:rsidRPr="00A856DB">
        <w:rPr>
          <w:color w:val="000000" w:themeColor="text1"/>
          <w:lang w:val="en-US"/>
        </w:rPr>
        <w:t xml:space="preserve"> </w:t>
      </w:r>
      <w:r w:rsidRPr="00B71AE3">
        <w:rPr>
          <w:i/>
          <w:color w:val="000000" w:themeColor="text1"/>
          <w:lang w:val="en-US"/>
        </w:rPr>
        <w:t>157</w:t>
      </w:r>
      <w:r>
        <w:rPr>
          <w:color w:val="000000" w:themeColor="text1"/>
          <w:lang w:val="en-US"/>
        </w:rPr>
        <w:t>(</w:t>
      </w:r>
      <w:r w:rsidRPr="00A856DB">
        <w:rPr>
          <w:color w:val="000000" w:themeColor="text1"/>
          <w:lang w:val="en-US"/>
        </w:rPr>
        <w:t>2</w:t>
      </w:r>
      <w:r>
        <w:rPr>
          <w:color w:val="000000" w:themeColor="text1"/>
          <w:lang w:val="en-US"/>
        </w:rPr>
        <w:t>),</w:t>
      </w:r>
      <w:r w:rsidRPr="00A856DB">
        <w:rPr>
          <w:color w:val="000000" w:themeColor="text1"/>
          <w:lang w:val="en-US"/>
        </w:rPr>
        <w:t xml:space="preserve"> 226-241.</w:t>
      </w:r>
    </w:p>
    <w:p w14:paraId="11D32491" w14:textId="77777777" w:rsidR="00FD43EF" w:rsidRPr="00A856DB" w:rsidRDefault="00FD43EF" w:rsidP="00FD43EF">
      <w:pPr>
        <w:rPr>
          <w:color w:val="000000" w:themeColor="text1"/>
          <w:lang w:val="en-US"/>
        </w:rPr>
      </w:pPr>
    </w:p>
    <w:p w14:paraId="6C2E9269" w14:textId="77777777" w:rsidR="00FD43EF" w:rsidRDefault="00FD43EF" w:rsidP="00FD43EF">
      <w:pPr>
        <w:rPr>
          <w:color w:val="000000" w:themeColor="text1"/>
          <w:lang w:val="en-US"/>
        </w:rPr>
      </w:pPr>
      <w:r w:rsidRPr="00A856DB">
        <w:rPr>
          <w:color w:val="000000" w:themeColor="text1"/>
          <w:lang w:val="en-US"/>
        </w:rPr>
        <w:t>Brooks, R. T.,</w:t>
      </w:r>
      <w:r>
        <w:rPr>
          <w:color w:val="000000" w:themeColor="text1"/>
          <w:lang w:val="en-US"/>
        </w:rPr>
        <w:t xml:space="preserve"> </w:t>
      </w:r>
      <w:r w:rsidRPr="00A856DB">
        <w:rPr>
          <w:color w:val="000000" w:themeColor="text1"/>
          <w:lang w:val="en-US"/>
        </w:rPr>
        <w:t>Small,</w:t>
      </w:r>
      <w:r>
        <w:rPr>
          <w:color w:val="000000" w:themeColor="text1"/>
          <w:lang w:val="en-US"/>
        </w:rPr>
        <w:t xml:space="preserve"> A.,</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Ward-Perkins</w:t>
      </w:r>
      <w:r>
        <w:rPr>
          <w:color w:val="000000" w:themeColor="text1"/>
          <w:lang w:val="en-US"/>
        </w:rPr>
        <w:t xml:space="preserve">, J.B. (1966). </w:t>
      </w:r>
      <w:r w:rsidRPr="00A856DB">
        <w:rPr>
          <w:color w:val="000000" w:themeColor="text1"/>
          <w:lang w:val="en-US"/>
        </w:rPr>
        <w:t>Trial excavations on the site of Botromagno, Gravina di Puglia</w:t>
      </w:r>
      <w:r>
        <w:rPr>
          <w:color w:val="000000" w:themeColor="text1"/>
          <w:lang w:val="en-US"/>
        </w:rPr>
        <w:t>.</w:t>
      </w:r>
      <w:r w:rsidRPr="00A856DB">
        <w:rPr>
          <w:color w:val="000000" w:themeColor="text1"/>
          <w:lang w:val="en-US"/>
        </w:rPr>
        <w:t xml:space="preserve"> </w:t>
      </w:r>
      <w:r w:rsidRPr="00A856DB">
        <w:rPr>
          <w:i/>
          <w:color w:val="000000" w:themeColor="text1"/>
          <w:lang w:val="en-US"/>
        </w:rPr>
        <w:t>Papers of the British School at Rome</w:t>
      </w:r>
      <w:r w:rsidRPr="00A856DB">
        <w:rPr>
          <w:color w:val="000000" w:themeColor="text1"/>
          <w:lang w:val="en-US"/>
        </w:rPr>
        <w:t xml:space="preserve"> </w:t>
      </w:r>
      <w:r w:rsidRPr="00B71AE3">
        <w:rPr>
          <w:i/>
          <w:color w:val="000000" w:themeColor="text1"/>
          <w:lang w:val="en-US"/>
        </w:rPr>
        <w:t>34</w:t>
      </w:r>
      <w:r>
        <w:rPr>
          <w:color w:val="000000" w:themeColor="text1"/>
          <w:lang w:val="en-US"/>
        </w:rPr>
        <w:t>(1),</w:t>
      </w:r>
      <w:r w:rsidRPr="00A856DB">
        <w:rPr>
          <w:color w:val="000000" w:themeColor="text1"/>
          <w:lang w:val="en-US"/>
        </w:rPr>
        <w:t xml:space="preserve"> 131-150.</w:t>
      </w:r>
    </w:p>
    <w:p w14:paraId="51B3A7C6" w14:textId="77777777" w:rsidR="00FD43EF" w:rsidRDefault="00FD43EF" w:rsidP="00FD43EF">
      <w:pPr>
        <w:rPr>
          <w:color w:val="000000" w:themeColor="text1"/>
          <w:lang w:val="en-US"/>
        </w:rPr>
      </w:pPr>
    </w:p>
    <w:p w14:paraId="74384AD7" w14:textId="4F88C84B" w:rsidR="00FD43EF" w:rsidRDefault="00FD43EF" w:rsidP="00FD43EF">
      <w:pPr>
        <w:rPr>
          <w:color w:val="000000" w:themeColor="text1"/>
          <w:lang w:val="en-US"/>
        </w:rPr>
      </w:pPr>
      <w:r w:rsidRPr="0042372C">
        <w:rPr>
          <w:color w:val="000000" w:themeColor="text1"/>
          <w:lang w:val="en-US"/>
        </w:rPr>
        <w:t xml:space="preserve">Brooks, S., &amp; Suchey, J. M. (1990). Skeletal age determination based on the os pubis: </w:t>
      </w:r>
      <w:r w:rsidR="008D0838">
        <w:rPr>
          <w:color w:val="000000" w:themeColor="text1"/>
          <w:lang w:val="en-US"/>
        </w:rPr>
        <w:t>A</w:t>
      </w:r>
      <w:r w:rsidRPr="0042372C">
        <w:rPr>
          <w:color w:val="000000" w:themeColor="text1"/>
          <w:lang w:val="en-US"/>
        </w:rPr>
        <w:t xml:space="preserve"> comparison of the Acsádi-Nemeskéri and Suchey-Brooks methods. </w:t>
      </w:r>
      <w:r w:rsidRPr="005F7C36">
        <w:rPr>
          <w:i/>
          <w:iCs/>
          <w:color w:val="000000" w:themeColor="text1"/>
          <w:lang w:val="en-US"/>
        </w:rPr>
        <w:t xml:space="preserve">Human </w:t>
      </w:r>
      <w:r w:rsidR="00FD25D7" w:rsidRPr="005F7C36">
        <w:rPr>
          <w:i/>
          <w:iCs/>
          <w:color w:val="000000" w:themeColor="text1"/>
          <w:lang w:val="en-US"/>
        </w:rPr>
        <w:t>E</w:t>
      </w:r>
      <w:r w:rsidRPr="005F7C36">
        <w:rPr>
          <w:i/>
          <w:iCs/>
          <w:color w:val="000000" w:themeColor="text1"/>
          <w:lang w:val="en-US"/>
        </w:rPr>
        <w:t>volution</w:t>
      </w:r>
      <w:r w:rsidRPr="0042372C">
        <w:rPr>
          <w:color w:val="000000" w:themeColor="text1"/>
          <w:lang w:val="en-US"/>
        </w:rPr>
        <w:t xml:space="preserve">, </w:t>
      </w:r>
      <w:r w:rsidRPr="00A34878">
        <w:rPr>
          <w:i/>
          <w:color w:val="000000" w:themeColor="text1"/>
          <w:lang w:val="en-US"/>
        </w:rPr>
        <w:t>5</w:t>
      </w:r>
      <w:r w:rsidRPr="0042372C">
        <w:rPr>
          <w:color w:val="000000" w:themeColor="text1"/>
          <w:lang w:val="en-US"/>
        </w:rPr>
        <w:t>(3), 227-238.</w:t>
      </w:r>
    </w:p>
    <w:p w14:paraId="4D78D39D" w14:textId="2F5B1D3B" w:rsidR="00760215" w:rsidRDefault="00760215" w:rsidP="00FD43EF">
      <w:pPr>
        <w:rPr>
          <w:color w:val="000000" w:themeColor="text1"/>
          <w:lang w:val="en-US"/>
        </w:rPr>
      </w:pPr>
    </w:p>
    <w:p w14:paraId="557D2930" w14:textId="56A0392B" w:rsidR="00760215" w:rsidRPr="00A856DB" w:rsidRDefault="00760215" w:rsidP="00760215">
      <w:pPr>
        <w:rPr>
          <w:color w:val="000000" w:themeColor="text1"/>
          <w:lang w:val="en-US"/>
        </w:rPr>
      </w:pPr>
      <w:r w:rsidRPr="00760215">
        <w:rPr>
          <w:color w:val="000000" w:themeColor="text1"/>
          <w:lang w:val="en-US"/>
        </w:rPr>
        <w:t>Budd, P.</w:t>
      </w:r>
      <w:r>
        <w:rPr>
          <w:color w:val="000000" w:themeColor="text1"/>
          <w:lang w:val="en-US"/>
        </w:rPr>
        <w:t xml:space="preserve">, </w:t>
      </w:r>
      <w:r w:rsidRPr="00760215">
        <w:rPr>
          <w:color w:val="000000" w:themeColor="text1"/>
          <w:lang w:val="en-US"/>
        </w:rPr>
        <w:t>Montgomery, J.</w:t>
      </w:r>
      <w:r>
        <w:rPr>
          <w:color w:val="000000" w:themeColor="text1"/>
          <w:lang w:val="en-US"/>
        </w:rPr>
        <w:t xml:space="preserve">, </w:t>
      </w:r>
      <w:r w:rsidRPr="00760215">
        <w:rPr>
          <w:color w:val="000000" w:themeColor="text1"/>
          <w:lang w:val="en-US"/>
        </w:rPr>
        <w:t>Barreiro, B.</w:t>
      </w:r>
      <w:r>
        <w:rPr>
          <w:color w:val="000000" w:themeColor="text1"/>
          <w:lang w:val="en-US"/>
        </w:rPr>
        <w:t>, &amp;</w:t>
      </w:r>
      <w:r w:rsidRPr="00760215">
        <w:rPr>
          <w:color w:val="000000" w:themeColor="text1"/>
          <w:lang w:val="en-US"/>
        </w:rPr>
        <w:t xml:space="preserve"> Thomas, R.G. (2000) Differential diagenesis of strontium in archaeological human dental tissues. </w:t>
      </w:r>
      <w:r w:rsidRPr="00760215">
        <w:rPr>
          <w:i/>
          <w:color w:val="000000" w:themeColor="text1"/>
          <w:lang w:val="en-US"/>
        </w:rPr>
        <w:t>Applied geochemistry</w:t>
      </w:r>
      <w:r w:rsidRPr="00760215">
        <w:rPr>
          <w:color w:val="000000" w:themeColor="text1"/>
          <w:lang w:val="en-US"/>
        </w:rPr>
        <w:t>, 15 (5)</w:t>
      </w:r>
      <w:r>
        <w:rPr>
          <w:color w:val="000000" w:themeColor="text1"/>
          <w:lang w:val="en-US"/>
        </w:rPr>
        <w:t>,</w:t>
      </w:r>
      <w:r w:rsidRPr="00760215">
        <w:rPr>
          <w:color w:val="000000" w:themeColor="text1"/>
          <w:lang w:val="en-US"/>
        </w:rPr>
        <w:t xml:space="preserve"> 687-694.</w:t>
      </w:r>
    </w:p>
    <w:p w14:paraId="2E9C1A3C" w14:textId="77777777" w:rsidR="00FD43EF" w:rsidRPr="00A856DB" w:rsidRDefault="00FD43EF" w:rsidP="00FD43EF">
      <w:pPr>
        <w:rPr>
          <w:color w:val="000000" w:themeColor="text1"/>
          <w:lang w:val="en-US"/>
        </w:rPr>
      </w:pPr>
    </w:p>
    <w:p w14:paraId="35A73AA7" w14:textId="77777777" w:rsidR="00FD43EF" w:rsidRDefault="00FD43EF" w:rsidP="00FD43EF">
      <w:pPr>
        <w:rPr>
          <w:lang w:val="en-US"/>
        </w:rPr>
      </w:pPr>
      <w:r w:rsidRPr="00A856DB">
        <w:rPr>
          <w:lang w:val="en-US"/>
        </w:rPr>
        <w:t>Buikstra, J</w:t>
      </w:r>
      <w:r>
        <w:rPr>
          <w:lang w:val="en-US"/>
        </w:rPr>
        <w:t>.</w:t>
      </w:r>
      <w:r w:rsidRPr="00A856DB">
        <w:rPr>
          <w:lang w:val="en-US"/>
        </w:rPr>
        <w:t xml:space="preserve"> E., Konigsberg,</w:t>
      </w:r>
      <w:r>
        <w:rPr>
          <w:lang w:val="en-US"/>
        </w:rPr>
        <w:t xml:space="preserve"> L.W.,</w:t>
      </w:r>
      <w:r w:rsidRPr="00A856DB">
        <w:rPr>
          <w:lang w:val="en-US"/>
        </w:rPr>
        <w:t xml:space="preserve"> </w:t>
      </w:r>
      <w:r>
        <w:rPr>
          <w:lang w:val="en-US"/>
        </w:rPr>
        <w:t>&amp;</w:t>
      </w:r>
      <w:r w:rsidRPr="00A856DB">
        <w:rPr>
          <w:lang w:val="en-US"/>
        </w:rPr>
        <w:t xml:space="preserve"> Bullington</w:t>
      </w:r>
      <w:r>
        <w:rPr>
          <w:lang w:val="en-US"/>
        </w:rPr>
        <w:t>, J. (1986).</w:t>
      </w:r>
      <w:r w:rsidRPr="00A856DB">
        <w:rPr>
          <w:lang w:val="en-US"/>
        </w:rPr>
        <w:t xml:space="preserve"> Fertility and the development of agriculture in the prehistoric Midwest. </w:t>
      </w:r>
      <w:r w:rsidRPr="00A856DB">
        <w:rPr>
          <w:i/>
          <w:lang w:val="en-US"/>
        </w:rPr>
        <w:t>American Antiquity</w:t>
      </w:r>
      <w:r>
        <w:rPr>
          <w:i/>
          <w:lang w:val="en-US"/>
        </w:rPr>
        <w:t>,</w:t>
      </w:r>
      <w:r w:rsidRPr="00A856DB">
        <w:rPr>
          <w:lang w:val="en-US"/>
        </w:rPr>
        <w:t xml:space="preserve"> </w:t>
      </w:r>
      <w:r w:rsidRPr="00DB3D37">
        <w:rPr>
          <w:i/>
          <w:lang w:val="en-US"/>
        </w:rPr>
        <w:t>51</w:t>
      </w:r>
      <w:r>
        <w:rPr>
          <w:lang w:val="en-US"/>
        </w:rPr>
        <w:t>(</w:t>
      </w:r>
      <w:r w:rsidRPr="00A856DB">
        <w:rPr>
          <w:lang w:val="en-US"/>
        </w:rPr>
        <w:t>3</w:t>
      </w:r>
      <w:r>
        <w:rPr>
          <w:lang w:val="en-US"/>
        </w:rPr>
        <w:t>),</w:t>
      </w:r>
      <w:r w:rsidRPr="00A856DB">
        <w:rPr>
          <w:lang w:val="en-US"/>
        </w:rPr>
        <w:t xml:space="preserve"> 528-546.</w:t>
      </w:r>
    </w:p>
    <w:p w14:paraId="6B81DDC0" w14:textId="77777777" w:rsidR="00FD43EF" w:rsidRPr="00A856DB" w:rsidRDefault="00FD43EF" w:rsidP="00FD43EF">
      <w:pPr>
        <w:rPr>
          <w:lang w:val="en-US"/>
        </w:rPr>
      </w:pPr>
    </w:p>
    <w:p w14:paraId="7024FAB8" w14:textId="571E77BC" w:rsidR="00FD43EF" w:rsidRDefault="00FD43EF" w:rsidP="00FD43EF">
      <w:r w:rsidRPr="00A856DB">
        <w:rPr>
          <w:color w:val="000000" w:themeColor="text1"/>
          <w:lang w:val="en-US"/>
        </w:rPr>
        <w:t>Buikstra, J</w:t>
      </w:r>
      <w:r>
        <w:rPr>
          <w:color w:val="000000" w:themeColor="text1"/>
          <w:lang w:val="en-US"/>
        </w:rPr>
        <w:t>.</w:t>
      </w:r>
      <w:r w:rsidRPr="00A856DB">
        <w:rPr>
          <w:color w:val="000000" w:themeColor="text1"/>
          <w:lang w:val="en-US"/>
        </w:rPr>
        <w:t>E.,</w:t>
      </w:r>
      <w:r>
        <w:rPr>
          <w:color w:val="000000" w:themeColor="text1"/>
          <w:lang w:val="en-US"/>
        </w:rPr>
        <w:t xml:space="preserve"> &amp;</w:t>
      </w:r>
      <w:r w:rsidRPr="00A856DB">
        <w:rPr>
          <w:color w:val="000000" w:themeColor="text1"/>
          <w:lang w:val="en-US"/>
        </w:rPr>
        <w:t xml:space="preserve"> Ubelaker</w:t>
      </w:r>
      <w:r>
        <w:rPr>
          <w:color w:val="000000" w:themeColor="text1"/>
          <w:lang w:val="en-US"/>
        </w:rPr>
        <w:t xml:space="preserve">, D.E. (1994). </w:t>
      </w:r>
      <w:r w:rsidRPr="00DB3D37">
        <w:rPr>
          <w:i/>
        </w:rPr>
        <w:t xml:space="preserve">Standards for </w:t>
      </w:r>
      <w:r w:rsidR="00FD25D7">
        <w:rPr>
          <w:i/>
        </w:rPr>
        <w:t>D</w:t>
      </w:r>
      <w:r w:rsidRPr="00DB3D37">
        <w:rPr>
          <w:i/>
        </w:rPr>
        <w:t xml:space="preserve">ata </w:t>
      </w:r>
      <w:r w:rsidR="00FD25D7">
        <w:rPr>
          <w:i/>
        </w:rPr>
        <w:t>C</w:t>
      </w:r>
      <w:r w:rsidRPr="00DB3D37">
        <w:rPr>
          <w:i/>
        </w:rPr>
        <w:t xml:space="preserve">ollection from </w:t>
      </w:r>
      <w:r w:rsidR="00FD25D7">
        <w:rPr>
          <w:i/>
        </w:rPr>
        <w:t>H</w:t>
      </w:r>
      <w:r w:rsidRPr="00DB3D37">
        <w:rPr>
          <w:i/>
        </w:rPr>
        <w:t xml:space="preserve">uman </w:t>
      </w:r>
      <w:r w:rsidR="00FD25D7">
        <w:rPr>
          <w:i/>
        </w:rPr>
        <w:t>S</w:t>
      </w:r>
      <w:r w:rsidRPr="00DB3D37">
        <w:rPr>
          <w:i/>
        </w:rPr>
        <w:t xml:space="preserve">keletal </w:t>
      </w:r>
      <w:r w:rsidR="00FD25D7">
        <w:rPr>
          <w:i/>
        </w:rPr>
        <w:t>R</w:t>
      </w:r>
      <w:r w:rsidRPr="00DB3D37">
        <w:rPr>
          <w:i/>
        </w:rPr>
        <w:t>emains</w:t>
      </w:r>
      <w:r>
        <w:t>. Fayetteville, Arkansas: Arkansas Archaeological Survey.</w:t>
      </w:r>
    </w:p>
    <w:p w14:paraId="55B35B4E" w14:textId="77777777" w:rsidR="00FD43EF" w:rsidRPr="00A856DB" w:rsidRDefault="00FD43EF" w:rsidP="00FD43EF">
      <w:pPr>
        <w:rPr>
          <w:lang w:val="en-US"/>
        </w:rPr>
      </w:pPr>
    </w:p>
    <w:p w14:paraId="5CC29FEB" w14:textId="2B4CB5CF" w:rsidR="00FD43EF" w:rsidRPr="00A856DB" w:rsidRDefault="00FD43EF" w:rsidP="003910B5">
      <w:pPr>
        <w:ind w:right="20"/>
        <w:rPr>
          <w:color w:val="000000" w:themeColor="text1"/>
          <w:lang w:val="en-US"/>
        </w:rPr>
      </w:pPr>
      <w:r w:rsidRPr="00A856DB">
        <w:rPr>
          <w:color w:val="000000" w:themeColor="text1"/>
          <w:lang w:val="en-US"/>
        </w:rPr>
        <w:t>Burt, N</w:t>
      </w:r>
      <w:r>
        <w:rPr>
          <w:color w:val="000000" w:themeColor="text1"/>
          <w:lang w:val="en-US"/>
        </w:rPr>
        <w:t>.</w:t>
      </w:r>
      <w:r w:rsidRPr="00A856DB">
        <w:rPr>
          <w:color w:val="000000" w:themeColor="text1"/>
          <w:lang w:val="en-US"/>
        </w:rPr>
        <w:t xml:space="preserve"> M.</w:t>
      </w:r>
      <w:r>
        <w:rPr>
          <w:color w:val="000000" w:themeColor="text1"/>
          <w:lang w:val="en-US"/>
        </w:rPr>
        <w:t xml:space="preserve"> (2015).</w:t>
      </w:r>
      <w:r w:rsidRPr="00A856DB">
        <w:rPr>
          <w:color w:val="000000" w:themeColor="text1"/>
          <w:lang w:val="en-US"/>
        </w:rPr>
        <w:t xml:space="preserve"> Individual dietary patterns during childhood: </w:t>
      </w:r>
      <w:r w:rsidR="008D0838">
        <w:rPr>
          <w:color w:val="000000" w:themeColor="text1"/>
          <w:lang w:val="en-US"/>
        </w:rPr>
        <w:t>A</w:t>
      </w:r>
      <w:r w:rsidRPr="00A856DB">
        <w:rPr>
          <w:color w:val="000000" w:themeColor="text1"/>
          <w:lang w:val="en-US"/>
        </w:rPr>
        <w:t xml:space="preserve">n archaeological application of a stable isotope microsampling method for tooth dentin. </w:t>
      </w:r>
      <w:r w:rsidRPr="00A856DB">
        <w:rPr>
          <w:i/>
          <w:color w:val="000000" w:themeColor="text1"/>
          <w:lang w:val="en-US"/>
        </w:rPr>
        <w:t>Journal of Archaeological Science</w:t>
      </w:r>
      <w:r w:rsidR="00B1485D">
        <w:rPr>
          <w:i/>
          <w:color w:val="000000" w:themeColor="text1"/>
          <w:lang w:val="en-US"/>
        </w:rPr>
        <w:t>,</w:t>
      </w:r>
      <w:r w:rsidRPr="00A856DB">
        <w:rPr>
          <w:color w:val="000000" w:themeColor="text1"/>
          <w:lang w:val="en-US"/>
        </w:rPr>
        <w:t xml:space="preserve"> </w:t>
      </w:r>
      <w:r w:rsidRPr="00DB3D37">
        <w:rPr>
          <w:i/>
          <w:color w:val="000000" w:themeColor="text1"/>
          <w:lang w:val="en-US"/>
        </w:rPr>
        <w:t>53</w:t>
      </w:r>
      <w:r>
        <w:rPr>
          <w:color w:val="000000" w:themeColor="text1"/>
          <w:lang w:val="en-US"/>
        </w:rPr>
        <w:t>(1),</w:t>
      </w:r>
      <w:r w:rsidRPr="00A856DB">
        <w:rPr>
          <w:color w:val="000000" w:themeColor="text1"/>
          <w:lang w:val="en-US"/>
        </w:rPr>
        <w:t xml:space="preserve"> 277-290.</w:t>
      </w:r>
    </w:p>
    <w:p w14:paraId="317DD962" w14:textId="77777777" w:rsidR="00FD43EF" w:rsidRPr="00A856DB" w:rsidRDefault="00FD43EF" w:rsidP="00FD43EF">
      <w:pPr>
        <w:rPr>
          <w:color w:val="000000" w:themeColor="text1"/>
          <w:lang w:val="en-US"/>
        </w:rPr>
      </w:pPr>
    </w:p>
    <w:p w14:paraId="4409445E" w14:textId="77777777" w:rsidR="00FD43EF" w:rsidRPr="00A856DB" w:rsidRDefault="00FD43EF" w:rsidP="00FD43EF">
      <w:pPr>
        <w:rPr>
          <w:color w:val="000000" w:themeColor="text1"/>
          <w:lang w:val="en-US"/>
        </w:rPr>
      </w:pPr>
      <w:r w:rsidRPr="00A856DB">
        <w:rPr>
          <w:color w:val="000000" w:themeColor="text1"/>
          <w:lang w:val="en-US"/>
        </w:rPr>
        <w:t>Burt, N</w:t>
      </w:r>
      <w:r>
        <w:rPr>
          <w:color w:val="000000" w:themeColor="text1"/>
          <w:lang w:val="en-US"/>
        </w:rPr>
        <w:t>.</w:t>
      </w:r>
      <w:r w:rsidRPr="00A856DB">
        <w:rPr>
          <w:color w:val="000000" w:themeColor="text1"/>
          <w:lang w:val="en-US"/>
        </w:rPr>
        <w:t xml:space="preserve"> M., </w:t>
      </w:r>
      <w:r>
        <w:rPr>
          <w:color w:val="000000" w:themeColor="text1"/>
          <w:lang w:val="en-US"/>
        </w:rPr>
        <w:t>&amp;</w:t>
      </w:r>
      <w:r w:rsidRPr="00A856DB">
        <w:rPr>
          <w:color w:val="000000" w:themeColor="text1"/>
          <w:lang w:val="en-US"/>
        </w:rPr>
        <w:t xml:space="preserve"> Amin</w:t>
      </w:r>
      <w:r>
        <w:rPr>
          <w:color w:val="000000" w:themeColor="text1"/>
          <w:lang w:val="en-US"/>
        </w:rPr>
        <w:t xml:space="preserve">, M. (2014). </w:t>
      </w:r>
      <w:r w:rsidRPr="00A856DB">
        <w:rPr>
          <w:color w:val="000000" w:themeColor="text1"/>
          <w:lang w:val="en-US"/>
        </w:rPr>
        <w:t>A mini me?: Exploring early childhood diet with stable isotope ratio analysis using primary teeth dentin.</w:t>
      </w:r>
      <w:r>
        <w:rPr>
          <w:color w:val="000000" w:themeColor="text1"/>
          <w:lang w:val="en-US"/>
        </w:rPr>
        <w:t xml:space="preserve"> </w:t>
      </w:r>
      <w:r w:rsidRPr="00A856DB">
        <w:rPr>
          <w:i/>
          <w:color w:val="000000" w:themeColor="text1"/>
          <w:lang w:val="en-US"/>
        </w:rPr>
        <w:t>Archives of Oral Biology</w:t>
      </w:r>
      <w:r>
        <w:rPr>
          <w:color w:val="000000" w:themeColor="text1"/>
          <w:lang w:val="en-US"/>
        </w:rPr>
        <w:t xml:space="preserve">, </w:t>
      </w:r>
      <w:r w:rsidRPr="00DB3D37">
        <w:rPr>
          <w:i/>
          <w:color w:val="000000" w:themeColor="text1"/>
          <w:lang w:val="en-US"/>
        </w:rPr>
        <w:t>59</w:t>
      </w:r>
      <w:r>
        <w:rPr>
          <w:color w:val="000000" w:themeColor="text1"/>
          <w:lang w:val="en-US"/>
        </w:rPr>
        <w:t>(</w:t>
      </w:r>
      <w:r w:rsidRPr="00A856DB">
        <w:rPr>
          <w:color w:val="000000" w:themeColor="text1"/>
          <w:lang w:val="en-US"/>
        </w:rPr>
        <w:t>11</w:t>
      </w:r>
      <w:r>
        <w:rPr>
          <w:color w:val="000000" w:themeColor="text1"/>
          <w:lang w:val="en-US"/>
        </w:rPr>
        <w:t>),</w:t>
      </w:r>
      <w:r w:rsidRPr="00A856DB">
        <w:rPr>
          <w:color w:val="000000" w:themeColor="text1"/>
          <w:lang w:val="en-US"/>
        </w:rPr>
        <w:t xml:space="preserve"> 1226-1232.</w:t>
      </w:r>
    </w:p>
    <w:p w14:paraId="329093BB" w14:textId="77777777" w:rsidR="00FD43EF" w:rsidRDefault="00FD43EF" w:rsidP="00FD43EF">
      <w:pPr>
        <w:rPr>
          <w:color w:val="000000" w:themeColor="text1"/>
          <w:lang w:val="en-US"/>
        </w:rPr>
      </w:pPr>
    </w:p>
    <w:p w14:paraId="6F802EA5" w14:textId="77777777" w:rsidR="00FD43EF" w:rsidRPr="00D86B24" w:rsidRDefault="00FD43EF" w:rsidP="00FD43EF">
      <w:r w:rsidRPr="00D86B24">
        <w:t>Burt, N</w:t>
      </w:r>
      <w:r>
        <w:t xml:space="preserve">. </w:t>
      </w:r>
      <w:r w:rsidRPr="00D86B24">
        <w:t>M.</w:t>
      </w:r>
      <w:r>
        <w:t xml:space="preserve"> (2013).</w:t>
      </w:r>
      <w:r w:rsidRPr="00D86B24">
        <w:t xml:space="preserve"> Stable isotope ratio analysis of breastfeeding and weaning practices of children from medieval Fishergate House York, UK. </w:t>
      </w:r>
      <w:r w:rsidRPr="00D86B24">
        <w:rPr>
          <w:i/>
          <w:iCs/>
        </w:rPr>
        <w:t>American Journal of Physical Anthropology</w:t>
      </w:r>
      <w:r>
        <w:rPr>
          <w:i/>
          <w:iCs/>
        </w:rPr>
        <w:t>,</w:t>
      </w:r>
      <w:r w:rsidRPr="00D86B24">
        <w:t> </w:t>
      </w:r>
      <w:r w:rsidRPr="000E13EE">
        <w:rPr>
          <w:i/>
        </w:rPr>
        <w:t>152</w:t>
      </w:r>
      <w:r>
        <w:t>(</w:t>
      </w:r>
      <w:r w:rsidRPr="00D86B24">
        <w:t>3</w:t>
      </w:r>
      <w:r>
        <w:t xml:space="preserve">), </w:t>
      </w:r>
      <w:r w:rsidRPr="00D86B24">
        <w:t>407-416.</w:t>
      </w:r>
    </w:p>
    <w:p w14:paraId="238A553F" w14:textId="77777777" w:rsidR="00FD43EF" w:rsidRPr="00A856DB" w:rsidRDefault="00FD43EF" w:rsidP="00FD43EF">
      <w:pPr>
        <w:rPr>
          <w:color w:val="000000" w:themeColor="text1"/>
          <w:lang w:val="en-US"/>
        </w:rPr>
      </w:pPr>
    </w:p>
    <w:p w14:paraId="0CF51B8B" w14:textId="77777777" w:rsidR="00FD43EF" w:rsidRPr="00A856DB" w:rsidRDefault="00FD43EF" w:rsidP="00FD43EF">
      <w:pPr>
        <w:rPr>
          <w:color w:val="000000" w:themeColor="text1"/>
          <w:lang w:val="en-US"/>
        </w:rPr>
      </w:pPr>
      <w:r w:rsidRPr="00A856DB">
        <w:rPr>
          <w:color w:val="000000" w:themeColor="text1"/>
          <w:lang w:val="en-US"/>
        </w:rPr>
        <w:t>Burt, N</w:t>
      </w:r>
      <w:r>
        <w:rPr>
          <w:color w:val="000000" w:themeColor="text1"/>
          <w:lang w:val="en-US"/>
        </w:rPr>
        <w:t>.</w:t>
      </w:r>
      <w:r w:rsidRPr="00A856DB">
        <w:rPr>
          <w:color w:val="000000" w:themeColor="text1"/>
          <w:lang w:val="en-US"/>
        </w:rPr>
        <w:t xml:space="preserve"> M., </w:t>
      </w:r>
      <w:r>
        <w:rPr>
          <w:color w:val="000000" w:themeColor="text1"/>
          <w:lang w:val="en-US"/>
        </w:rPr>
        <w:t xml:space="preserve">&amp; </w:t>
      </w:r>
      <w:r w:rsidRPr="00A856DB">
        <w:rPr>
          <w:color w:val="000000" w:themeColor="text1"/>
          <w:lang w:val="en-US"/>
        </w:rPr>
        <w:t>Garvie-Lok</w:t>
      </w:r>
      <w:r>
        <w:rPr>
          <w:color w:val="000000" w:themeColor="text1"/>
          <w:lang w:val="en-US"/>
        </w:rPr>
        <w:t xml:space="preserve">, S. (2013). </w:t>
      </w:r>
      <w:r w:rsidRPr="00A856DB">
        <w:rPr>
          <w:color w:val="000000" w:themeColor="text1"/>
          <w:lang w:val="en-US"/>
        </w:rPr>
        <w:t xml:space="preserve">A new method of dentine microsampling of deciduous teeth for stable isotope ratio analysis. </w:t>
      </w:r>
      <w:r w:rsidRPr="00A856DB">
        <w:rPr>
          <w:i/>
          <w:color w:val="000000" w:themeColor="text1"/>
          <w:lang w:val="en-US"/>
        </w:rPr>
        <w:t>Journal of Archaeological Science</w:t>
      </w:r>
      <w:r>
        <w:rPr>
          <w:color w:val="000000" w:themeColor="text1"/>
          <w:lang w:val="en-US"/>
        </w:rPr>
        <w:t xml:space="preserve">, </w:t>
      </w:r>
      <w:r w:rsidRPr="00DB3D37">
        <w:rPr>
          <w:i/>
          <w:color w:val="000000" w:themeColor="text1"/>
          <w:lang w:val="en-US"/>
        </w:rPr>
        <w:t>40</w:t>
      </w:r>
      <w:r>
        <w:rPr>
          <w:color w:val="000000" w:themeColor="text1"/>
          <w:lang w:val="en-US"/>
        </w:rPr>
        <w:t>(</w:t>
      </w:r>
      <w:r w:rsidRPr="00A856DB">
        <w:rPr>
          <w:color w:val="000000" w:themeColor="text1"/>
          <w:lang w:val="en-US"/>
        </w:rPr>
        <w:t>1</w:t>
      </w:r>
      <w:r>
        <w:rPr>
          <w:color w:val="000000" w:themeColor="text1"/>
          <w:lang w:val="en-US"/>
        </w:rPr>
        <w:t>1),</w:t>
      </w:r>
      <w:r w:rsidRPr="00A856DB">
        <w:rPr>
          <w:color w:val="000000" w:themeColor="text1"/>
          <w:lang w:val="en-US"/>
        </w:rPr>
        <w:t xml:space="preserve"> 3854-3864.</w:t>
      </w:r>
    </w:p>
    <w:p w14:paraId="322E6C2D" w14:textId="77777777" w:rsidR="00FD43EF" w:rsidRDefault="00FD43EF" w:rsidP="00FD43EF">
      <w:pPr>
        <w:rPr>
          <w:color w:val="000000" w:themeColor="text1"/>
          <w:lang w:val="en-US"/>
        </w:rPr>
      </w:pPr>
    </w:p>
    <w:p w14:paraId="39F8DB88" w14:textId="77777777" w:rsidR="00FD43EF" w:rsidRDefault="00FD43EF" w:rsidP="00FD43EF">
      <w:pPr>
        <w:rPr>
          <w:color w:val="000000" w:themeColor="text1"/>
          <w:lang w:val="en-US"/>
        </w:rPr>
      </w:pPr>
      <w:r w:rsidRPr="0042372C">
        <w:rPr>
          <w:color w:val="000000" w:themeColor="text1"/>
          <w:lang w:val="en-US"/>
        </w:rPr>
        <w:t xml:space="preserve">Cardoso, H. F. (2008). Sample-specific (universal) metric approaches for determining the sex of immature human skeletal remains using permanent tooth dimensions. </w:t>
      </w:r>
      <w:r w:rsidRPr="0042372C">
        <w:rPr>
          <w:i/>
          <w:color w:val="000000" w:themeColor="text1"/>
          <w:lang w:val="en-US"/>
        </w:rPr>
        <w:t>Journal of Archaeological Science, 35</w:t>
      </w:r>
      <w:r w:rsidRPr="0042372C">
        <w:rPr>
          <w:color w:val="000000" w:themeColor="text1"/>
          <w:lang w:val="en-US"/>
        </w:rPr>
        <w:t>(1), 158-168.</w:t>
      </w:r>
    </w:p>
    <w:p w14:paraId="1B0ABA70" w14:textId="77777777" w:rsidR="00FD43EF" w:rsidRPr="00A856DB" w:rsidRDefault="00FD43EF" w:rsidP="00FD43EF">
      <w:pPr>
        <w:rPr>
          <w:color w:val="000000" w:themeColor="text1"/>
          <w:lang w:val="en-US"/>
        </w:rPr>
      </w:pPr>
    </w:p>
    <w:p w14:paraId="059F1FDA" w14:textId="77777777" w:rsidR="00FD43EF" w:rsidRPr="00A856DB" w:rsidRDefault="00FD43EF" w:rsidP="00FD43EF">
      <w:pPr>
        <w:rPr>
          <w:lang w:val="en-US"/>
        </w:rPr>
      </w:pPr>
      <w:r w:rsidRPr="00A856DB">
        <w:rPr>
          <w:lang w:val="en-US"/>
        </w:rPr>
        <w:t>Carroll, M.</w:t>
      </w:r>
      <w:r>
        <w:rPr>
          <w:lang w:val="en-US"/>
        </w:rPr>
        <w:t xml:space="preserve"> (2018).</w:t>
      </w:r>
      <w:r w:rsidRPr="00A856DB">
        <w:rPr>
          <w:lang w:val="en-US"/>
        </w:rPr>
        <w:t xml:space="preserve"> </w:t>
      </w:r>
      <w:r w:rsidRPr="00A856DB">
        <w:rPr>
          <w:i/>
          <w:lang w:val="en-US"/>
        </w:rPr>
        <w:t>Infancy and Earliest Childhood in the Roman World: A Fragment of Time.</w:t>
      </w:r>
      <w:r w:rsidRPr="00A856DB">
        <w:rPr>
          <w:lang w:val="en-US"/>
        </w:rPr>
        <w:t xml:space="preserve"> Oxford: Oxford University Press</w:t>
      </w:r>
      <w:r>
        <w:rPr>
          <w:lang w:val="en-US"/>
        </w:rPr>
        <w:t>.</w:t>
      </w:r>
    </w:p>
    <w:p w14:paraId="44959469" w14:textId="77777777" w:rsidR="00FD43EF" w:rsidRPr="00A856DB" w:rsidRDefault="00FD43EF" w:rsidP="00FD43EF">
      <w:pPr>
        <w:rPr>
          <w:lang w:val="en-US"/>
        </w:rPr>
      </w:pPr>
    </w:p>
    <w:p w14:paraId="396B4C0C" w14:textId="602B550E" w:rsidR="00FD43EF" w:rsidRPr="00A7672E" w:rsidRDefault="00FD43EF" w:rsidP="00FD43EF">
      <w:r w:rsidRPr="00A7672E">
        <w:lastRenderedPageBreak/>
        <w:t>Carter, J. C., Morter, J., &amp; Toxey, A. P. (Eds.). (1998). </w:t>
      </w:r>
      <w:r w:rsidRPr="00A7672E">
        <w:rPr>
          <w:i/>
          <w:iCs/>
        </w:rPr>
        <w:t xml:space="preserve">The </w:t>
      </w:r>
      <w:r w:rsidR="00FD25D7">
        <w:rPr>
          <w:i/>
          <w:iCs/>
        </w:rPr>
        <w:t>C</w:t>
      </w:r>
      <w:r w:rsidRPr="00A7672E">
        <w:rPr>
          <w:i/>
          <w:iCs/>
        </w:rPr>
        <w:t xml:space="preserve">hora of Metaponto: </w:t>
      </w:r>
      <w:r w:rsidR="00FD25D7">
        <w:rPr>
          <w:i/>
          <w:iCs/>
        </w:rPr>
        <w:t>T</w:t>
      </w:r>
      <w:r w:rsidRPr="00A7672E">
        <w:rPr>
          <w:i/>
          <w:iCs/>
        </w:rPr>
        <w:t xml:space="preserve">he </w:t>
      </w:r>
      <w:r w:rsidR="00FD25D7">
        <w:rPr>
          <w:i/>
          <w:iCs/>
        </w:rPr>
        <w:t>N</w:t>
      </w:r>
      <w:r w:rsidRPr="00A7672E">
        <w:rPr>
          <w:i/>
          <w:iCs/>
        </w:rPr>
        <w:t>ecropoleis</w:t>
      </w:r>
      <w:r>
        <w:rPr>
          <w:i/>
          <w:iCs/>
        </w:rPr>
        <w:t xml:space="preserve"> </w:t>
      </w:r>
      <w:r w:rsidRPr="00A7672E">
        <w:t xml:space="preserve">(Vol. 2). </w:t>
      </w:r>
      <w:r>
        <w:t xml:space="preserve">Austin: </w:t>
      </w:r>
      <w:r w:rsidRPr="00A7672E">
        <w:t>University of Texas Press.</w:t>
      </w:r>
    </w:p>
    <w:p w14:paraId="64514245" w14:textId="77777777" w:rsidR="00FD43EF" w:rsidRPr="00A856DB" w:rsidRDefault="00FD43EF" w:rsidP="00FD43EF">
      <w:pPr>
        <w:rPr>
          <w:lang w:val="en-US"/>
        </w:rPr>
      </w:pPr>
    </w:p>
    <w:p w14:paraId="1C685013" w14:textId="77777777" w:rsidR="00FD43EF" w:rsidRPr="00A856DB" w:rsidRDefault="00FD43EF" w:rsidP="00FD43EF">
      <w:pPr>
        <w:rPr>
          <w:lang w:val="en-US"/>
        </w:rPr>
      </w:pPr>
      <w:r w:rsidRPr="00A856DB">
        <w:rPr>
          <w:lang w:val="en-US"/>
        </w:rPr>
        <w:t>Charnov, E</w:t>
      </w:r>
      <w:r>
        <w:rPr>
          <w:lang w:val="en-US"/>
        </w:rPr>
        <w:t>.</w:t>
      </w:r>
      <w:r w:rsidRPr="00A856DB">
        <w:rPr>
          <w:lang w:val="en-US"/>
        </w:rPr>
        <w:t xml:space="preserve"> L., </w:t>
      </w:r>
      <w:r>
        <w:rPr>
          <w:lang w:val="en-US"/>
        </w:rPr>
        <w:t>&amp;</w:t>
      </w:r>
      <w:r w:rsidRPr="00A856DB">
        <w:rPr>
          <w:lang w:val="en-US"/>
        </w:rPr>
        <w:t xml:space="preserve"> Berrigan</w:t>
      </w:r>
      <w:r>
        <w:rPr>
          <w:lang w:val="en-US"/>
        </w:rPr>
        <w:t>, D</w:t>
      </w:r>
      <w:r w:rsidRPr="00A856DB">
        <w:rPr>
          <w:lang w:val="en-US"/>
        </w:rPr>
        <w:t xml:space="preserve">. </w:t>
      </w:r>
      <w:r>
        <w:rPr>
          <w:lang w:val="en-US"/>
        </w:rPr>
        <w:t xml:space="preserve">(1993). </w:t>
      </w:r>
      <w:r w:rsidRPr="00A856DB">
        <w:rPr>
          <w:lang w:val="en-US"/>
        </w:rPr>
        <w:t xml:space="preserve">Why do female primates have such long lifespans and so few babies? Or life in the slow lane. </w:t>
      </w:r>
      <w:r w:rsidRPr="00A856DB">
        <w:rPr>
          <w:i/>
          <w:lang w:val="en-US"/>
        </w:rPr>
        <w:t>Evolutionary Anthropology: Issues, News, and Reviews</w:t>
      </w:r>
      <w:r w:rsidRPr="00A856DB">
        <w:rPr>
          <w:lang w:val="en-US"/>
        </w:rPr>
        <w:t xml:space="preserve">, </w:t>
      </w:r>
      <w:r w:rsidRPr="00A7672E">
        <w:rPr>
          <w:i/>
          <w:lang w:val="en-US"/>
        </w:rPr>
        <w:t>1</w:t>
      </w:r>
      <w:r>
        <w:rPr>
          <w:lang w:val="en-US"/>
        </w:rPr>
        <w:t>(</w:t>
      </w:r>
      <w:r w:rsidRPr="00A856DB">
        <w:rPr>
          <w:lang w:val="en-US"/>
        </w:rPr>
        <w:t>6</w:t>
      </w:r>
      <w:r>
        <w:rPr>
          <w:lang w:val="en-US"/>
        </w:rPr>
        <w:t>),</w:t>
      </w:r>
      <w:r w:rsidRPr="00A856DB">
        <w:rPr>
          <w:lang w:val="en-US"/>
        </w:rPr>
        <w:t xml:space="preserve"> 191-194.</w:t>
      </w:r>
    </w:p>
    <w:p w14:paraId="68D497CE" w14:textId="77777777" w:rsidR="00FD43EF" w:rsidRPr="00A856DB" w:rsidRDefault="00FD43EF" w:rsidP="00FD43EF">
      <w:pPr>
        <w:rPr>
          <w:lang w:val="en-US"/>
        </w:rPr>
      </w:pPr>
    </w:p>
    <w:p w14:paraId="3ED0AECD" w14:textId="77777777" w:rsidR="00FD43EF" w:rsidRPr="00A856DB" w:rsidRDefault="00FD43EF" w:rsidP="00FD43EF">
      <w:pPr>
        <w:rPr>
          <w:lang w:val="en-US"/>
        </w:rPr>
      </w:pPr>
      <w:r w:rsidRPr="00A856DB">
        <w:rPr>
          <w:lang w:val="en-US"/>
        </w:rPr>
        <w:t>Chisholm, B</w:t>
      </w:r>
      <w:r>
        <w:rPr>
          <w:lang w:val="en-US"/>
        </w:rPr>
        <w:t>.</w:t>
      </w:r>
      <w:r w:rsidRPr="00A856DB">
        <w:rPr>
          <w:lang w:val="en-US"/>
        </w:rPr>
        <w:t>S., Nelson,</w:t>
      </w:r>
      <w:r>
        <w:rPr>
          <w:lang w:val="en-US"/>
        </w:rPr>
        <w:t xml:space="preserve"> D.E.,</w:t>
      </w:r>
      <w:r w:rsidRPr="00A856DB">
        <w:rPr>
          <w:lang w:val="en-US"/>
        </w:rPr>
        <w:t xml:space="preserve"> </w:t>
      </w:r>
      <w:r>
        <w:rPr>
          <w:lang w:val="en-US"/>
        </w:rPr>
        <w:t>&amp;</w:t>
      </w:r>
      <w:r w:rsidRPr="00A856DB">
        <w:rPr>
          <w:lang w:val="en-US"/>
        </w:rPr>
        <w:t xml:space="preserve"> Schwarcz</w:t>
      </w:r>
      <w:r>
        <w:rPr>
          <w:lang w:val="en-US"/>
        </w:rPr>
        <w:t>, H.P. (1982).</w:t>
      </w:r>
      <w:r w:rsidRPr="00A856DB">
        <w:rPr>
          <w:lang w:val="en-US"/>
        </w:rPr>
        <w:t xml:space="preserve"> Stable-carbon isotope ratios as a measure of marine versus terrestrial protein in ancient diets. </w:t>
      </w:r>
      <w:r w:rsidRPr="00A856DB">
        <w:rPr>
          <w:i/>
          <w:lang w:val="en-US"/>
        </w:rPr>
        <w:t>Science</w:t>
      </w:r>
      <w:r>
        <w:rPr>
          <w:i/>
          <w:lang w:val="en-US"/>
        </w:rPr>
        <w:t>,</w:t>
      </w:r>
      <w:r w:rsidRPr="00A856DB">
        <w:rPr>
          <w:lang w:val="en-US"/>
        </w:rPr>
        <w:t xml:space="preserve"> </w:t>
      </w:r>
      <w:r w:rsidRPr="00A7672E">
        <w:rPr>
          <w:i/>
          <w:lang w:val="en-US"/>
        </w:rPr>
        <w:t>216</w:t>
      </w:r>
      <w:r>
        <w:rPr>
          <w:lang w:val="en-US"/>
        </w:rPr>
        <w:t>(</w:t>
      </w:r>
      <w:r w:rsidRPr="00A856DB">
        <w:rPr>
          <w:lang w:val="en-US"/>
        </w:rPr>
        <w:t>4550</w:t>
      </w:r>
      <w:r>
        <w:rPr>
          <w:lang w:val="en-US"/>
        </w:rPr>
        <w:t xml:space="preserve">), </w:t>
      </w:r>
      <w:r w:rsidRPr="00A856DB">
        <w:rPr>
          <w:lang w:val="en-US"/>
        </w:rPr>
        <w:t>1131-1132.</w:t>
      </w:r>
    </w:p>
    <w:p w14:paraId="66CEB6B4" w14:textId="77777777" w:rsidR="00FD43EF" w:rsidRPr="00A856DB" w:rsidRDefault="00FD43EF" w:rsidP="00FD43EF">
      <w:pPr>
        <w:rPr>
          <w:lang w:val="en-US"/>
        </w:rPr>
      </w:pPr>
    </w:p>
    <w:p w14:paraId="2343F521" w14:textId="24F13F7A" w:rsidR="00FD43EF" w:rsidRPr="00A856DB" w:rsidRDefault="00FD43EF" w:rsidP="00FD43EF">
      <w:pPr>
        <w:rPr>
          <w:color w:val="000000" w:themeColor="text1"/>
          <w:lang w:val="en-US"/>
        </w:rPr>
      </w:pPr>
      <w:r w:rsidRPr="00A856DB">
        <w:rPr>
          <w:color w:val="000000" w:themeColor="text1"/>
          <w:lang w:val="en-US"/>
        </w:rPr>
        <w:t>Ciancio, A.</w:t>
      </w:r>
      <w:r>
        <w:rPr>
          <w:color w:val="000000" w:themeColor="text1"/>
          <w:lang w:val="en-US"/>
        </w:rPr>
        <w:t xml:space="preserve"> (2008).</w:t>
      </w:r>
      <w:r w:rsidRPr="00A856DB">
        <w:rPr>
          <w:color w:val="000000" w:themeColor="text1"/>
          <w:lang w:val="en-US"/>
        </w:rPr>
        <w:t xml:space="preserve"> Necropolis and urban areas: </w:t>
      </w:r>
      <w:r w:rsidR="008D0838">
        <w:rPr>
          <w:color w:val="000000" w:themeColor="text1"/>
          <w:lang w:val="en-US"/>
        </w:rPr>
        <w:t>T</w:t>
      </w:r>
      <w:r w:rsidRPr="00A856DB">
        <w:rPr>
          <w:color w:val="000000" w:themeColor="text1"/>
          <w:lang w:val="en-US"/>
        </w:rPr>
        <w:t xml:space="preserve">he Apulian use of burying intra and extra muros in the Peucezia of the period between the sixth and third centuries BC. </w:t>
      </w:r>
      <w:r w:rsidRPr="00A856DB">
        <w:rPr>
          <w:i/>
          <w:color w:val="000000" w:themeColor="text1"/>
          <w:lang w:val="en-US"/>
        </w:rPr>
        <w:t>Antiquity Sciences</w:t>
      </w:r>
      <w:r>
        <w:rPr>
          <w:i/>
          <w:color w:val="000000" w:themeColor="text1"/>
          <w:lang w:val="en-US"/>
        </w:rPr>
        <w:t>,</w:t>
      </w:r>
      <w:r w:rsidRPr="00A856DB">
        <w:rPr>
          <w:color w:val="000000" w:themeColor="text1"/>
          <w:lang w:val="en-US"/>
        </w:rPr>
        <w:t xml:space="preserve"> </w:t>
      </w:r>
      <w:r w:rsidRPr="00A7672E">
        <w:rPr>
          <w:i/>
          <w:color w:val="000000" w:themeColor="text1"/>
          <w:lang w:val="en-US"/>
        </w:rPr>
        <w:t>14</w:t>
      </w:r>
      <w:r>
        <w:rPr>
          <w:color w:val="000000" w:themeColor="text1"/>
          <w:lang w:val="en-US"/>
        </w:rPr>
        <w:t>(</w:t>
      </w:r>
      <w:r w:rsidRPr="00A856DB">
        <w:rPr>
          <w:color w:val="000000" w:themeColor="text1"/>
          <w:lang w:val="en-US"/>
        </w:rPr>
        <w:t>1</w:t>
      </w:r>
      <w:r>
        <w:rPr>
          <w:color w:val="000000" w:themeColor="text1"/>
          <w:lang w:val="en-US"/>
        </w:rPr>
        <w:t>4),</w:t>
      </w:r>
      <w:r w:rsidRPr="00A856DB">
        <w:rPr>
          <w:color w:val="000000" w:themeColor="text1"/>
          <w:lang w:val="en-US"/>
        </w:rPr>
        <w:t xml:space="preserve"> 895-918.</w:t>
      </w:r>
    </w:p>
    <w:p w14:paraId="011FAF62" w14:textId="77777777" w:rsidR="00FD43EF" w:rsidRPr="00A856DB" w:rsidRDefault="00FD43EF" w:rsidP="00FD43EF">
      <w:pPr>
        <w:rPr>
          <w:color w:val="000000" w:themeColor="text1"/>
          <w:lang w:val="en-US"/>
        </w:rPr>
      </w:pPr>
    </w:p>
    <w:p w14:paraId="37980583" w14:textId="2E8D5369" w:rsidR="00FD43EF" w:rsidRPr="00A856DB" w:rsidRDefault="00FD43EF" w:rsidP="00FD43EF">
      <w:pPr>
        <w:rPr>
          <w:color w:val="000000" w:themeColor="text1"/>
          <w:lang w:val="en-US"/>
        </w:rPr>
      </w:pPr>
      <w:r w:rsidRPr="00A856DB">
        <w:rPr>
          <w:color w:val="000000" w:themeColor="text1"/>
          <w:lang w:val="en-US"/>
        </w:rPr>
        <w:t>Colivicchi, F.</w:t>
      </w:r>
      <w:r>
        <w:rPr>
          <w:color w:val="000000" w:themeColor="text1"/>
          <w:lang w:val="en-US"/>
        </w:rPr>
        <w:t xml:space="preserve"> (2012).</w:t>
      </w:r>
      <w:r w:rsidRPr="00A856DB">
        <w:rPr>
          <w:color w:val="000000" w:themeColor="text1"/>
          <w:lang w:val="en-US"/>
        </w:rPr>
        <w:t xml:space="preserve"> Apulian landscapes in the longue durée </w:t>
      </w:r>
      <w:r w:rsidR="008D0838">
        <w:rPr>
          <w:color w:val="000000" w:themeColor="text1"/>
          <w:lang w:val="en-US"/>
        </w:rPr>
        <w:t>G</w:t>
      </w:r>
      <w:r w:rsidRPr="00A856DB">
        <w:rPr>
          <w:color w:val="000000" w:themeColor="text1"/>
          <w:lang w:val="en-US"/>
        </w:rPr>
        <w:t xml:space="preserve">offredo Roberto, Aufidus. </w:t>
      </w:r>
      <w:r w:rsidRPr="00A856DB">
        <w:rPr>
          <w:i/>
          <w:color w:val="000000" w:themeColor="text1"/>
          <w:lang w:val="en-US"/>
        </w:rPr>
        <w:t>Journal of Roman Archaeology</w:t>
      </w:r>
      <w:r w:rsidR="00B1485D">
        <w:rPr>
          <w:i/>
          <w:color w:val="000000" w:themeColor="text1"/>
          <w:lang w:val="en-US"/>
        </w:rPr>
        <w:t>,</w:t>
      </w:r>
      <w:r w:rsidRPr="00A7672E">
        <w:rPr>
          <w:i/>
          <w:color w:val="000000" w:themeColor="text1"/>
          <w:lang w:val="en-US"/>
        </w:rPr>
        <w:t xml:space="preserve"> 25</w:t>
      </w:r>
      <w:r>
        <w:rPr>
          <w:color w:val="000000" w:themeColor="text1"/>
          <w:lang w:val="en-US"/>
        </w:rPr>
        <w:t>(1),</w:t>
      </w:r>
      <w:r w:rsidRPr="00A856DB">
        <w:rPr>
          <w:color w:val="000000" w:themeColor="text1"/>
          <w:lang w:val="en-US"/>
        </w:rPr>
        <w:t xml:space="preserve"> 586-592.</w:t>
      </w:r>
    </w:p>
    <w:p w14:paraId="5E18544C" w14:textId="77777777" w:rsidR="00FD43EF" w:rsidRPr="00A856DB" w:rsidRDefault="00FD43EF" w:rsidP="00FD43EF">
      <w:pPr>
        <w:rPr>
          <w:color w:val="000000" w:themeColor="text1"/>
          <w:lang w:val="en-US"/>
        </w:rPr>
      </w:pPr>
    </w:p>
    <w:p w14:paraId="6666C784" w14:textId="3DF80283" w:rsidR="00FD43EF" w:rsidRPr="00A856DB" w:rsidRDefault="00FD43EF" w:rsidP="00FD43EF">
      <w:pPr>
        <w:pStyle w:val="NormalWeb"/>
        <w:rPr>
          <w:lang w:val="en-US"/>
        </w:rPr>
      </w:pPr>
      <w:r w:rsidRPr="00A856DB">
        <w:rPr>
          <w:lang w:val="en-US"/>
        </w:rPr>
        <w:t>Cornell</w:t>
      </w:r>
      <w:r w:rsidR="00B1485D">
        <w:rPr>
          <w:lang w:val="en-US"/>
        </w:rPr>
        <w:t>,</w:t>
      </w:r>
      <w:r w:rsidRPr="00A856DB">
        <w:rPr>
          <w:lang w:val="en-US"/>
        </w:rPr>
        <w:t xml:space="preserve"> T.</w:t>
      </w:r>
      <w:r>
        <w:rPr>
          <w:lang w:val="en-US"/>
        </w:rPr>
        <w:t xml:space="preserve"> (1995).</w:t>
      </w:r>
      <w:r w:rsidRPr="00A856DB">
        <w:rPr>
          <w:lang w:val="en-US"/>
        </w:rPr>
        <w:t xml:space="preserve"> </w:t>
      </w:r>
      <w:r w:rsidRPr="00A856DB">
        <w:rPr>
          <w:i/>
          <w:lang w:val="en-US"/>
        </w:rPr>
        <w:t>The Beginnings of Rome: Italy and Rome From the Bronze Age to the Punic Wars (c. 1000 - 264 BC).</w:t>
      </w:r>
      <w:r w:rsidRPr="00A856DB">
        <w:rPr>
          <w:lang w:val="en-US"/>
        </w:rPr>
        <w:t xml:space="preserve"> London: Routledge</w:t>
      </w:r>
      <w:r>
        <w:rPr>
          <w:lang w:val="en-US"/>
        </w:rPr>
        <w:t>.</w:t>
      </w:r>
    </w:p>
    <w:p w14:paraId="1000FFFA" w14:textId="77777777" w:rsidR="00FD43EF" w:rsidRDefault="00FD43EF" w:rsidP="00FD43EF">
      <w:pPr>
        <w:pStyle w:val="NormalWeb"/>
        <w:rPr>
          <w:lang w:val="en-US"/>
        </w:rPr>
      </w:pPr>
    </w:p>
    <w:p w14:paraId="1168D850" w14:textId="06EFA404" w:rsidR="00FD43EF" w:rsidRPr="00D86B24" w:rsidRDefault="00FD43EF" w:rsidP="00FD43EF">
      <w:pPr>
        <w:rPr>
          <w:color w:val="000000" w:themeColor="text1"/>
        </w:rPr>
      </w:pPr>
      <w:r w:rsidRPr="00D86B24">
        <w:rPr>
          <w:color w:val="000000" w:themeColor="text1"/>
        </w:rPr>
        <w:t>Cunningham</w:t>
      </w:r>
      <w:r w:rsidR="00B1485D">
        <w:rPr>
          <w:color w:val="000000" w:themeColor="text1"/>
        </w:rPr>
        <w:t>,</w:t>
      </w:r>
      <w:r w:rsidRPr="00D86B24">
        <w:rPr>
          <w:color w:val="000000" w:themeColor="text1"/>
        </w:rPr>
        <w:t xml:space="preserve"> H. </w:t>
      </w:r>
      <w:r w:rsidR="00B1485D">
        <w:rPr>
          <w:color w:val="000000" w:themeColor="text1"/>
        </w:rPr>
        <w:t>(</w:t>
      </w:r>
      <w:r w:rsidRPr="00D86B24">
        <w:rPr>
          <w:color w:val="000000" w:themeColor="text1"/>
        </w:rPr>
        <w:t>1995</w:t>
      </w:r>
      <w:r w:rsidR="00B1485D">
        <w:rPr>
          <w:color w:val="000000" w:themeColor="text1"/>
        </w:rPr>
        <w:t>)</w:t>
      </w:r>
      <w:r w:rsidRPr="00D86B24">
        <w:rPr>
          <w:color w:val="000000" w:themeColor="text1"/>
        </w:rPr>
        <w:t xml:space="preserve">. </w:t>
      </w:r>
      <w:r w:rsidRPr="000E13EE">
        <w:rPr>
          <w:i/>
          <w:color w:val="000000" w:themeColor="text1"/>
        </w:rPr>
        <w:t xml:space="preserve">Children and </w:t>
      </w:r>
      <w:r w:rsidR="00FD25D7">
        <w:rPr>
          <w:i/>
          <w:color w:val="000000" w:themeColor="text1"/>
        </w:rPr>
        <w:t>C</w:t>
      </w:r>
      <w:r w:rsidRPr="000E13EE">
        <w:rPr>
          <w:i/>
          <w:color w:val="000000" w:themeColor="text1"/>
        </w:rPr>
        <w:t xml:space="preserve">hildhood in Western </w:t>
      </w:r>
      <w:r w:rsidR="00FD25D7">
        <w:rPr>
          <w:i/>
          <w:color w:val="000000" w:themeColor="text1"/>
        </w:rPr>
        <w:t>S</w:t>
      </w:r>
      <w:r w:rsidRPr="000E13EE">
        <w:rPr>
          <w:i/>
          <w:color w:val="000000" w:themeColor="text1"/>
        </w:rPr>
        <w:t xml:space="preserve">ociety </w:t>
      </w:r>
      <w:r w:rsidR="00FD25D7">
        <w:rPr>
          <w:i/>
          <w:color w:val="000000" w:themeColor="text1"/>
        </w:rPr>
        <w:t>S</w:t>
      </w:r>
      <w:r w:rsidRPr="000E13EE">
        <w:rPr>
          <w:i/>
          <w:color w:val="000000" w:themeColor="text1"/>
        </w:rPr>
        <w:t>ince 1500</w:t>
      </w:r>
      <w:r w:rsidRPr="00D86B24">
        <w:rPr>
          <w:color w:val="000000" w:themeColor="text1"/>
        </w:rPr>
        <w:t>. London: Longman.</w:t>
      </w:r>
    </w:p>
    <w:p w14:paraId="7E3F3B44" w14:textId="77777777" w:rsidR="00FD43EF" w:rsidRPr="00A856DB" w:rsidRDefault="00FD43EF" w:rsidP="00FD43EF">
      <w:pPr>
        <w:pStyle w:val="NormalWeb"/>
        <w:rPr>
          <w:lang w:val="en-US"/>
        </w:rPr>
      </w:pPr>
    </w:p>
    <w:p w14:paraId="5AD1A779" w14:textId="77777777" w:rsidR="00FD43EF" w:rsidRPr="00A856DB" w:rsidRDefault="00FD43EF" w:rsidP="00FD43EF">
      <w:pPr>
        <w:rPr>
          <w:color w:val="000000" w:themeColor="text1"/>
          <w:lang w:val="en-US"/>
        </w:rPr>
      </w:pPr>
      <w:r w:rsidRPr="00A856DB">
        <w:rPr>
          <w:color w:val="000000" w:themeColor="text1"/>
          <w:lang w:val="en-US"/>
        </w:rPr>
        <w:t>Czermak, A</w:t>
      </w:r>
      <w:r>
        <w:rPr>
          <w:color w:val="000000" w:themeColor="text1"/>
          <w:lang w:val="en-US"/>
        </w:rPr>
        <w:t>.</w:t>
      </w:r>
      <w:r w:rsidRPr="00A856DB">
        <w:rPr>
          <w:color w:val="000000" w:themeColor="text1"/>
          <w:lang w:val="en-US"/>
        </w:rPr>
        <w:t>, Schermelleh,</w:t>
      </w:r>
      <w:r>
        <w:rPr>
          <w:color w:val="000000" w:themeColor="text1"/>
          <w:lang w:val="en-US"/>
        </w:rPr>
        <w:t xml:space="preserve"> L.,</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Lee</w:t>
      </w:r>
      <w:r w:rsidRPr="00A856DB">
        <w:rPr>
          <w:rFonts w:ascii="Cambria Math" w:hAnsi="Cambria Math" w:cs="Cambria Math"/>
          <w:color w:val="000000" w:themeColor="text1"/>
          <w:lang w:val="en-US"/>
        </w:rPr>
        <w:t>‐</w:t>
      </w:r>
      <w:r w:rsidRPr="00A856DB">
        <w:rPr>
          <w:color w:val="000000" w:themeColor="text1"/>
          <w:lang w:val="en-US"/>
        </w:rPr>
        <w:t>Thorp</w:t>
      </w:r>
      <w:r>
        <w:rPr>
          <w:color w:val="000000" w:themeColor="text1"/>
          <w:lang w:val="en-US"/>
        </w:rPr>
        <w:t>, J. (2018).</w:t>
      </w:r>
      <w:r w:rsidRPr="00A856DB">
        <w:rPr>
          <w:color w:val="000000" w:themeColor="text1"/>
          <w:lang w:val="en-US"/>
        </w:rPr>
        <w:t xml:space="preserve"> Imaging</w:t>
      </w:r>
      <w:r w:rsidRPr="00A856DB">
        <w:rPr>
          <w:rFonts w:ascii="Cambria Math" w:hAnsi="Cambria Math" w:cs="Cambria Math"/>
          <w:color w:val="000000" w:themeColor="text1"/>
          <w:lang w:val="en-US"/>
        </w:rPr>
        <w:t>‐</w:t>
      </w:r>
      <w:r w:rsidRPr="00A856DB">
        <w:rPr>
          <w:color w:val="000000" w:themeColor="text1"/>
          <w:lang w:val="en-US"/>
        </w:rPr>
        <w:t>assisted time</w:t>
      </w:r>
      <w:r w:rsidRPr="00A856DB">
        <w:rPr>
          <w:rFonts w:ascii="Cambria Math" w:hAnsi="Cambria Math" w:cs="Cambria Math"/>
          <w:color w:val="000000" w:themeColor="text1"/>
          <w:lang w:val="en-US"/>
        </w:rPr>
        <w:t>‐</w:t>
      </w:r>
      <w:r w:rsidRPr="00A856DB">
        <w:rPr>
          <w:color w:val="000000" w:themeColor="text1"/>
          <w:lang w:val="en-US"/>
        </w:rPr>
        <w:t xml:space="preserve">resolved dentine sampling to track weaning histories. </w:t>
      </w:r>
      <w:r w:rsidRPr="00A856DB">
        <w:rPr>
          <w:i/>
          <w:color w:val="000000" w:themeColor="text1"/>
          <w:lang w:val="en-US"/>
        </w:rPr>
        <w:t>International Journal of Osteoarchaeology</w:t>
      </w:r>
      <w:r>
        <w:rPr>
          <w:i/>
          <w:color w:val="000000" w:themeColor="text1"/>
          <w:lang w:val="en-US"/>
        </w:rPr>
        <w:t>,</w:t>
      </w:r>
      <w:r w:rsidRPr="00A856DB">
        <w:rPr>
          <w:color w:val="000000" w:themeColor="text1"/>
          <w:lang w:val="en-US"/>
        </w:rPr>
        <w:t xml:space="preserve"> </w:t>
      </w:r>
      <w:r w:rsidRPr="006E7EC7">
        <w:rPr>
          <w:i/>
          <w:color w:val="000000" w:themeColor="text1"/>
          <w:lang w:val="en-US"/>
        </w:rPr>
        <w:t>28</w:t>
      </w:r>
      <w:r>
        <w:rPr>
          <w:color w:val="000000" w:themeColor="text1"/>
          <w:lang w:val="en-US"/>
        </w:rPr>
        <w:t>(</w:t>
      </w:r>
      <w:r w:rsidRPr="00A856DB">
        <w:rPr>
          <w:color w:val="000000" w:themeColor="text1"/>
          <w:lang w:val="en-US"/>
        </w:rPr>
        <w:t>5</w:t>
      </w:r>
      <w:r>
        <w:rPr>
          <w:color w:val="000000" w:themeColor="text1"/>
          <w:lang w:val="en-US"/>
        </w:rPr>
        <w:t>),</w:t>
      </w:r>
      <w:r w:rsidRPr="00A856DB">
        <w:rPr>
          <w:color w:val="000000" w:themeColor="text1"/>
          <w:lang w:val="en-US"/>
        </w:rPr>
        <w:t xml:space="preserve"> 535-541.</w:t>
      </w:r>
    </w:p>
    <w:p w14:paraId="3812ABE4" w14:textId="77777777" w:rsidR="00FD43EF" w:rsidRPr="00A856DB" w:rsidRDefault="00FD43EF" w:rsidP="00FD43EF">
      <w:pPr>
        <w:rPr>
          <w:color w:val="000000" w:themeColor="text1"/>
          <w:lang w:val="en-US"/>
        </w:rPr>
      </w:pPr>
    </w:p>
    <w:p w14:paraId="3F5928FD" w14:textId="77777777" w:rsidR="00FD43EF" w:rsidRPr="00A856DB" w:rsidRDefault="00FD43EF" w:rsidP="00FD43EF">
      <w:pPr>
        <w:rPr>
          <w:color w:val="000000" w:themeColor="text1"/>
          <w:lang w:val="en-US"/>
        </w:rPr>
      </w:pPr>
      <w:r w:rsidRPr="00A856DB">
        <w:rPr>
          <w:color w:val="000000" w:themeColor="text1"/>
          <w:lang w:val="en-US"/>
        </w:rPr>
        <w:t>Dauphin, Y</w:t>
      </w:r>
      <w:r>
        <w:rPr>
          <w:color w:val="000000" w:themeColor="text1"/>
          <w:lang w:val="en-US"/>
        </w:rPr>
        <w:t>.</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Williams</w:t>
      </w:r>
      <w:r>
        <w:rPr>
          <w:color w:val="000000" w:themeColor="text1"/>
          <w:lang w:val="en-US"/>
        </w:rPr>
        <w:t xml:space="preserve">, C.T. (2004). </w:t>
      </w:r>
      <w:r w:rsidRPr="00A856DB">
        <w:rPr>
          <w:color w:val="000000" w:themeColor="text1"/>
          <w:lang w:val="en-US"/>
        </w:rPr>
        <w:t xml:space="preserve">Diagenetic trends of dental tissues. </w:t>
      </w:r>
      <w:r w:rsidRPr="00A856DB">
        <w:rPr>
          <w:i/>
          <w:color w:val="000000" w:themeColor="text1"/>
          <w:lang w:val="en-US"/>
        </w:rPr>
        <w:t>Comptes Rendus Palevol</w:t>
      </w:r>
      <w:r>
        <w:rPr>
          <w:i/>
          <w:color w:val="000000" w:themeColor="text1"/>
          <w:lang w:val="en-US"/>
        </w:rPr>
        <w:t>,</w:t>
      </w:r>
      <w:r w:rsidRPr="00A856DB">
        <w:rPr>
          <w:color w:val="000000" w:themeColor="text1"/>
          <w:lang w:val="en-US"/>
        </w:rPr>
        <w:t xml:space="preserve"> </w:t>
      </w:r>
      <w:r w:rsidRPr="006E7EC7">
        <w:rPr>
          <w:i/>
          <w:color w:val="000000" w:themeColor="text1"/>
          <w:lang w:val="en-US"/>
        </w:rPr>
        <w:t>3</w:t>
      </w:r>
      <w:r>
        <w:rPr>
          <w:color w:val="000000" w:themeColor="text1"/>
          <w:lang w:val="en-US"/>
        </w:rPr>
        <w:t>(</w:t>
      </w:r>
      <w:r w:rsidRPr="00A856DB">
        <w:rPr>
          <w:color w:val="000000" w:themeColor="text1"/>
          <w:lang w:val="en-US"/>
        </w:rPr>
        <w:t>6-7</w:t>
      </w:r>
      <w:r>
        <w:rPr>
          <w:color w:val="000000" w:themeColor="text1"/>
          <w:lang w:val="en-US"/>
        </w:rPr>
        <w:t>),</w:t>
      </w:r>
      <w:r w:rsidRPr="00A856DB">
        <w:rPr>
          <w:color w:val="000000" w:themeColor="text1"/>
          <w:lang w:val="en-US"/>
        </w:rPr>
        <w:t xml:space="preserve"> 583-590.</w:t>
      </w:r>
    </w:p>
    <w:p w14:paraId="5A863F9C" w14:textId="77777777" w:rsidR="00FD43EF" w:rsidRPr="00A856DB" w:rsidRDefault="00FD43EF" w:rsidP="00FD43EF">
      <w:pPr>
        <w:rPr>
          <w:color w:val="000000" w:themeColor="text1"/>
          <w:lang w:val="en-US"/>
        </w:rPr>
      </w:pPr>
    </w:p>
    <w:p w14:paraId="6B432B5F" w14:textId="0D956C2C" w:rsidR="00FD43EF" w:rsidRPr="00374D93" w:rsidRDefault="00FD43EF" w:rsidP="00FD43EF">
      <w:r w:rsidRPr="00A856DB">
        <w:rPr>
          <w:lang w:val="en-US"/>
        </w:rPr>
        <w:t>de Armas,</w:t>
      </w:r>
      <w:r>
        <w:rPr>
          <w:lang w:val="en-US"/>
        </w:rPr>
        <w:t xml:space="preserve"> </w:t>
      </w:r>
      <w:r w:rsidRPr="00A856DB">
        <w:rPr>
          <w:lang w:val="en-US"/>
        </w:rPr>
        <w:t>Y</w:t>
      </w:r>
      <w:r>
        <w:rPr>
          <w:lang w:val="en-US"/>
        </w:rPr>
        <w:t>.</w:t>
      </w:r>
      <w:r w:rsidRPr="00A856DB">
        <w:rPr>
          <w:lang w:val="en-US"/>
        </w:rPr>
        <w:t>C</w:t>
      </w:r>
      <w:r>
        <w:rPr>
          <w:lang w:val="en-US"/>
        </w:rPr>
        <w:t>.</w:t>
      </w:r>
      <w:r w:rsidRPr="00A856DB">
        <w:rPr>
          <w:lang w:val="en-US"/>
        </w:rPr>
        <w:t>, Roksandic,</w:t>
      </w:r>
      <w:r>
        <w:rPr>
          <w:lang w:val="en-US"/>
        </w:rPr>
        <w:t xml:space="preserve"> M.,</w:t>
      </w:r>
      <w:r w:rsidRPr="00A856DB">
        <w:rPr>
          <w:lang w:val="en-US"/>
        </w:rPr>
        <w:t xml:space="preserve"> Nikitović,</w:t>
      </w:r>
      <w:r>
        <w:rPr>
          <w:lang w:val="en-US"/>
        </w:rPr>
        <w:t xml:space="preserve"> D.,</w:t>
      </w:r>
      <w:r w:rsidRPr="00A856DB">
        <w:rPr>
          <w:lang w:val="en-US"/>
        </w:rPr>
        <w:t xml:space="preserve"> Suárez,</w:t>
      </w:r>
      <w:r>
        <w:rPr>
          <w:lang w:val="en-US"/>
        </w:rPr>
        <w:t xml:space="preserve"> R.</w:t>
      </w:r>
      <w:r w:rsidR="00B1485D">
        <w:rPr>
          <w:lang w:val="en-US"/>
        </w:rPr>
        <w:t xml:space="preserve"> </w:t>
      </w:r>
      <w:r>
        <w:rPr>
          <w:lang w:val="en-US"/>
        </w:rPr>
        <w:t>R.,</w:t>
      </w:r>
      <w:r w:rsidRPr="00A856DB">
        <w:rPr>
          <w:lang w:val="en-US"/>
        </w:rPr>
        <w:t xml:space="preserve"> Smith,</w:t>
      </w:r>
      <w:r>
        <w:rPr>
          <w:lang w:val="en-US"/>
        </w:rPr>
        <w:t xml:space="preserve"> D.,</w:t>
      </w:r>
      <w:r w:rsidRPr="00A856DB">
        <w:rPr>
          <w:lang w:val="en-US"/>
        </w:rPr>
        <w:t xml:space="preserve"> Kanik,</w:t>
      </w:r>
      <w:r>
        <w:rPr>
          <w:lang w:val="en-US"/>
        </w:rPr>
        <w:t xml:space="preserve"> N., </w:t>
      </w:r>
      <w:r w:rsidRPr="00A856DB">
        <w:rPr>
          <w:lang w:val="en-US"/>
        </w:rPr>
        <w:t>Jordá,</w:t>
      </w:r>
      <w:r>
        <w:rPr>
          <w:lang w:val="en-US"/>
        </w:rPr>
        <w:t xml:space="preserve"> D.G., &amp;</w:t>
      </w:r>
      <w:r w:rsidRPr="00A856DB">
        <w:rPr>
          <w:lang w:val="en-US"/>
        </w:rPr>
        <w:t xml:space="preserve"> Buhay</w:t>
      </w:r>
      <w:r>
        <w:rPr>
          <w:lang w:val="en-US"/>
        </w:rPr>
        <w:t>, W.M. (2017).</w:t>
      </w:r>
      <w:r w:rsidRPr="00A856DB">
        <w:rPr>
          <w:lang w:val="en-US"/>
        </w:rPr>
        <w:t xml:space="preserve"> Isotopic reconstruction of the weaning process in the archaeological population of Canímar Abajo, Cuba: A Bayesian probability mixing model approach. </w:t>
      </w:r>
      <w:r w:rsidRPr="00131AC5">
        <w:rPr>
          <w:i/>
        </w:rPr>
        <w:t xml:space="preserve">PloS </w:t>
      </w:r>
      <w:r w:rsidRPr="000B2139">
        <w:rPr>
          <w:i/>
        </w:rPr>
        <w:t>O</w:t>
      </w:r>
      <w:r w:rsidRPr="003C7398">
        <w:rPr>
          <w:i/>
        </w:rPr>
        <w:t>ne</w:t>
      </w:r>
      <w:r>
        <w:rPr>
          <w:i/>
        </w:rPr>
        <w:t>,</w:t>
      </w:r>
      <w:r w:rsidRPr="003C7398">
        <w:t xml:space="preserve"> </w:t>
      </w:r>
      <w:r w:rsidRPr="006E7EC7">
        <w:rPr>
          <w:i/>
        </w:rPr>
        <w:t>12</w:t>
      </w:r>
      <w:r>
        <w:t>(</w:t>
      </w:r>
      <w:r w:rsidRPr="003C7398">
        <w:t>5</w:t>
      </w:r>
      <w:r>
        <w:t>),</w:t>
      </w:r>
      <w:r w:rsidRPr="003C7398">
        <w:t xml:space="preserve"> e0176065.</w:t>
      </w:r>
    </w:p>
    <w:p w14:paraId="0AE3C457" w14:textId="77777777" w:rsidR="00FD43EF" w:rsidRPr="00676F42" w:rsidRDefault="00FD43EF" w:rsidP="00FD43EF"/>
    <w:p w14:paraId="5EEFF593" w14:textId="38638404" w:rsidR="00FD43EF" w:rsidRPr="00A856DB" w:rsidRDefault="00FD43EF" w:rsidP="00FD43EF">
      <w:pPr>
        <w:rPr>
          <w:color w:val="000000" w:themeColor="text1"/>
          <w:lang w:val="en-US"/>
        </w:rPr>
      </w:pPr>
      <w:r w:rsidRPr="00C166FA">
        <w:rPr>
          <w:color w:val="000000" w:themeColor="text1"/>
        </w:rPr>
        <w:t>Dean, M. C.</w:t>
      </w:r>
      <w:r w:rsidRPr="003100E2">
        <w:rPr>
          <w:color w:val="000000" w:themeColor="text1"/>
        </w:rPr>
        <w:t xml:space="preserve">, </w:t>
      </w:r>
      <w:r>
        <w:rPr>
          <w:color w:val="000000" w:themeColor="text1"/>
        </w:rPr>
        <w:t xml:space="preserve">&amp; </w:t>
      </w:r>
      <w:r w:rsidRPr="00A856DB">
        <w:rPr>
          <w:color w:val="000000" w:themeColor="text1"/>
          <w:lang w:val="en-US"/>
        </w:rPr>
        <w:t>Scandrett</w:t>
      </w:r>
      <w:r>
        <w:rPr>
          <w:color w:val="000000" w:themeColor="text1"/>
          <w:lang w:val="en-US"/>
        </w:rPr>
        <w:t>, A.</w:t>
      </w:r>
      <w:r w:rsidR="00B1485D">
        <w:rPr>
          <w:color w:val="000000" w:themeColor="text1"/>
          <w:lang w:val="en-US"/>
        </w:rPr>
        <w:t xml:space="preserve"> </w:t>
      </w:r>
      <w:r>
        <w:rPr>
          <w:color w:val="000000" w:themeColor="text1"/>
          <w:lang w:val="en-US"/>
        </w:rPr>
        <w:t>E. (1995).</w:t>
      </w:r>
      <w:r w:rsidRPr="00A856DB">
        <w:rPr>
          <w:color w:val="000000" w:themeColor="text1"/>
          <w:lang w:val="en-US"/>
        </w:rPr>
        <w:t xml:space="preserve"> Rates of dentine mineralization in permanent human teeth. </w:t>
      </w:r>
      <w:r w:rsidRPr="00A856DB">
        <w:rPr>
          <w:i/>
          <w:color w:val="000000" w:themeColor="text1"/>
          <w:lang w:val="en-US"/>
        </w:rPr>
        <w:t>International Journal of Osteoarchaeology</w:t>
      </w:r>
      <w:r>
        <w:rPr>
          <w:i/>
          <w:color w:val="000000" w:themeColor="text1"/>
          <w:lang w:val="en-US"/>
        </w:rPr>
        <w:t>,</w:t>
      </w:r>
      <w:r w:rsidRPr="00A856DB">
        <w:rPr>
          <w:color w:val="000000" w:themeColor="text1"/>
          <w:lang w:val="en-US"/>
        </w:rPr>
        <w:t xml:space="preserve"> </w:t>
      </w:r>
      <w:r w:rsidRPr="006E7EC7">
        <w:rPr>
          <w:i/>
          <w:color w:val="000000" w:themeColor="text1"/>
          <w:lang w:val="en-US"/>
        </w:rPr>
        <w:t>5</w:t>
      </w:r>
      <w:r>
        <w:rPr>
          <w:color w:val="000000" w:themeColor="text1"/>
          <w:lang w:val="en-US"/>
        </w:rPr>
        <w:t>(</w:t>
      </w:r>
      <w:r w:rsidRPr="00A856DB">
        <w:rPr>
          <w:color w:val="000000" w:themeColor="text1"/>
          <w:lang w:val="en-US"/>
        </w:rPr>
        <w:t>4</w:t>
      </w:r>
      <w:r>
        <w:rPr>
          <w:color w:val="000000" w:themeColor="text1"/>
          <w:lang w:val="en-US"/>
        </w:rPr>
        <w:t xml:space="preserve">), </w:t>
      </w:r>
      <w:r w:rsidRPr="00A856DB">
        <w:rPr>
          <w:color w:val="000000" w:themeColor="text1"/>
          <w:lang w:val="en-US"/>
        </w:rPr>
        <w:t>349-358.</w:t>
      </w:r>
    </w:p>
    <w:p w14:paraId="36ACFC8B" w14:textId="77777777" w:rsidR="00FD43EF" w:rsidRPr="00A856DB" w:rsidRDefault="00FD43EF" w:rsidP="00FD43EF">
      <w:pPr>
        <w:rPr>
          <w:color w:val="000000" w:themeColor="text1"/>
          <w:lang w:val="en-US"/>
        </w:rPr>
      </w:pPr>
    </w:p>
    <w:p w14:paraId="256128CE" w14:textId="5CCC687D" w:rsidR="00FD43EF" w:rsidRPr="00A856DB" w:rsidRDefault="00FD43EF" w:rsidP="00FD43EF">
      <w:pPr>
        <w:rPr>
          <w:color w:val="000000" w:themeColor="text1"/>
          <w:lang w:val="en-US"/>
        </w:rPr>
      </w:pPr>
      <w:r w:rsidRPr="00A856DB">
        <w:rPr>
          <w:color w:val="000000" w:themeColor="text1"/>
          <w:lang w:val="en-US"/>
        </w:rPr>
        <w:t>DeNiro, M</w:t>
      </w:r>
      <w:r>
        <w:rPr>
          <w:color w:val="000000" w:themeColor="text1"/>
          <w:lang w:val="en-US"/>
        </w:rPr>
        <w:t>.</w:t>
      </w:r>
      <w:r w:rsidRPr="00A856DB">
        <w:rPr>
          <w:color w:val="000000" w:themeColor="text1"/>
          <w:lang w:val="en-US"/>
        </w:rPr>
        <w:t xml:space="preserve"> J.</w:t>
      </w:r>
      <w:r w:rsidR="00B1485D">
        <w:rPr>
          <w:color w:val="000000" w:themeColor="text1"/>
          <w:lang w:val="en-US"/>
        </w:rPr>
        <w:t>,</w:t>
      </w:r>
      <w:r>
        <w:rPr>
          <w:color w:val="000000" w:themeColor="text1"/>
          <w:lang w:val="en-US"/>
        </w:rPr>
        <w:t xml:space="preserve"> (1985).</w:t>
      </w:r>
      <w:r w:rsidRPr="00A856DB">
        <w:rPr>
          <w:color w:val="000000" w:themeColor="text1"/>
          <w:lang w:val="en-US"/>
        </w:rPr>
        <w:t xml:space="preserve"> Postmortem preservation and alteration of in vivo bone collagen isotope ratios in relation to palaeodietary reconstruction.</w:t>
      </w:r>
      <w:r>
        <w:rPr>
          <w:color w:val="000000" w:themeColor="text1"/>
          <w:lang w:val="en-US"/>
        </w:rPr>
        <w:t xml:space="preserve"> </w:t>
      </w:r>
      <w:r w:rsidRPr="00A856DB">
        <w:rPr>
          <w:i/>
          <w:iCs/>
          <w:color w:val="000000" w:themeColor="text1"/>
          <w:lang w:val="en-US"/>
        </w:rPr>
        <w:t>Nature</w:t>
      </w:r>
      <w:r>
        <w:rPr>
          <w:i/>
          <w:iCs/>
          <w:color w:val="000000" w:themeColor="text1"/>
          <w:lang w:val="en-US"/>
        </w:rPr>
        <w:t>,</w:t>
      </w:r>
      <w:r w:rsidRPr="00A856DB">
        <w:rPr>
          <w:color w:val="000000" w:themeColor="text1"/>
          <w:lang w:val="en-US"/>
        </w:rPr>
        <w:t xml:space="preserve"> </w:t>
      </w:r>
      <w:r w:rsidRPr="00A856DB">
        <w:rPr>
          <w:i/>
          <w:iCs/>
          <w:color w:val="000000" w:themeColor="text1"/>
          <w:lang w:val="en-US"/>
        </w:rPr>
        <w:t>317</w:t>
      </w:r>
      <w:r>
        <w:rPr>
          <w:color w:val="000000" w:themeColor="text1"/>
          <w:lang w:val="en-US"/>
        </w:rPr>
        <w:t>(</w:t>
      </w:r>
      <w:r w:rsidRPr="00A856DB">
        <w:rPr>
          <w:color w:val="000000" w:themeColor="text1"/>
          <w:lang w:val="en-US"/>
        </w:rPr>
        <w:t>6040</w:t>
      </w:r>
      <w:r>
        <w:rPr>
          <w:color w:val="000000" w:themeColor="text1"/>
          <w:lang w:val="en-US"/>
        </w:rPr>
        <w:t xml:space="preserve">), </w:t>
      </w:r>
      <w:r w:rsidRPr="00A856DB">
        <w:rPr>
          <w:color w:val="000000" w:themeColor="text1"/>
          <w:lang w:val="en-US"/>
        </w:rPr>
        <w:t xml:space="preserve">806–809. </w:t>
      </w:r>
    </w:p>
    <w:p w14:paraId="1B67252E" w14:textId="77777777" w:rsidR="00FD43EF" w:rsidRPr="00A856DB" w:rsidRDefault="00FD43EF" w:rsidP="00FD43EF">
      <w:pPr>
        <w:rPr>
          <w:color w:val="000000" w:themeColor="text1"/>
          <w:lang w:val="en-US"/>
        </w:rPr>
      </w:pPr>
    </w:p>
    <w:p w14:paraId="5F0A0DFB" w14:textId="77777777" w:rsidR="00FD43EF" w:rsidRDefault="00FD43EF" w:rsidP="00FD43EF">
      <w:r w:rsidRPr="00A856DB">
        <w:rPr>
          <w:lang w:val="en-US"/>
        </w:rPr>
        <w:t>DeNiro, M</w:t>
      </w:r>
      <w:r>
        <w:rPr>
          <w:lang w:val="en-US"/>
        </w:rPr>
        <w:t>.</w:t>
      </w:r>
      <w:r w:rsidRPr="00A856DB">
        <w:rPr>
          <w:lang w:val="en-US"/>
        </w:rPr>
        <w:t xml:space="preserve"> J., </w:t>
      </w:r>
      <w:r>
        <w:rPr>
          <w:lang w:val="en-US"/>
        </w:rPr>
        <w:t>&amp;</w:t>
      </w:r>
      <w:r w:rsidRPr="00A856DB">
        <w:rPr>
          <w:lang w:val="en-US"/>
        </w:rPr>
        <w:t xml:space="preserve"> Epstein</w:t>
      </w:r>
      <w:r>
        <w:rPr>
          <w:lang w:val="en-US"/>
        </w:rPr>
        <w:t>, S. (1978).</w:t>
      </w:r>
      <w:r w:rsidRPr="00A856DB">
        <w:rPr>
          <w:lang w:val="en-US"/>
        </w:rPr>
        <w:t xml:space="preserve"> Influence of diet on the distribution of carbon isotopes in animals. </w:t>
      </w:r>
      <w:r w:rsidRPr="00131AC5">
        <w:rPr>
          <w:i/>
        </w:rPr>
        <w:t xml:space="preserve">Geochimica et </w:t>
      </w:r>
      <w:r w:rsidRPr="000B2139">
        <w:rPr>
          <w:i/>
        </w:rPr>
        <w:t>C</w:t>
      </w:r>
      <w:r w:rsidRPr="003C7398">
        <w:rPr>
          <w:i/>
        </w:rPr>
        <w:t>osmochimica A</w:t>
      </w:r>
      <w:r w:rsidRPr="00676F42">
        <w:rPr>
          <w:i/>
        </w:rPr>
        <w:t>cta</w:t>
      </w:r>
      <w:r>
        <w:rPr>
          <w:i/>
        </w:rPr>
        <w:t>,</w:t>
      </w:r>
      <w:r w:rsidRPr="00C166FA">
        <w:t xml:space="preserve"> </w:t>
      </w:r>
      <w:r w:rsidRPr="006E7EC7">
        <w:rPr>
          <w:i/>
        </w:rPr>
        <w:t>42</w:t>
      </w:r>
      <w:r>
        <w:t>(</w:t>
      </w:r>
      <w:r w:rsidRPr="00C166FA">
        <w:t>5</w:t>
      </w:r>
      <w:r>
        <w:t>),</w:t>
      </w:r>
      <w:r w:rsidRPr="00C166FA">
        <w:t xml:space="preserve"> 495-506</w:t>
      </w:r>
      <w:r>
        <w:t>.</w:t>
      </w:r>
    </w:p>
    <w:p w14:paraId="1FC73FD6" w14:textId="77777777" w:rsidR="00FD43EF" w:rsidRDefault="00FD43EF" w:rsidP="00FD43EF"/>
    <w:p w14:paraId="40E7378C" w14:textId="347E455F" w:rsidR="00FD25D7" w:rsidRPr="00B20807" w:rsidRDefault="00FD43EF" w:rsidP="00FD43EF">
      <w:pPr>
        <w:rPr>
          <w:lang w:val="es-ES"/>
        </w:rPr>
      </w:pPr>
      <w:r w:rsidRPr="00825774">
        <w:t>De</w:t>
      </w:r>
      <w:r w:rsidRPr="004F5C83">
        <w:t>Niro, M</w:t>
      </w:r>
      <w:r>
        <w:t>.</w:t>
      </w:r>
      <w:r w:rsidRPr="004F5C83">
        <w:t xml:space="preserve"> J., </w:t>
      </w:r>
      <w:r>
        <w:t>&amp;</w:t>
      </w:r>
      <w:r w:rsidRPr="004F5C83">
        <w:t xml:space="preserve"> Epstein</w:t>
      </w:r>
      <w:r>
        <w:t>, S. (1981).</w:t>
      </w:r>
      <w:r w:rsidRPr="004F5C83">
        <w:t xml:space="preserve"> </w:t>
      </w:r>
      <w:r w:rsidRPr="00A856DB">
        <w:rPr>
          <w:lang w:val="en-US"/>
        </w:rPr>
        <w:t xml:space="preserve">Influence of diet on the distribution of nitrogen isotopes in animals. </w:t>
      </w:r>
      <w:r w:rsidRPr="00D836F5">
        <w:rPr>
          <w:i/>
          <w:lang w:val="es-ES"/>
        </w:rPr>
        <w:t>Geochimica et Cosmochimica Acta, 45</w:t>
      </w:r>
      <w:r w:rsidRPr="00D836F5">
        <w:rPr>
          <w:lang w:val="es-ES"/>
        </w:rPr>
        <w:t>(3), 341-351.</w:t>
      </w:r>
    </w:p>
    <w:p w14:paraId="2E6AD390" w14:textId="77777777" w:rsidR="00FD25D7" w:rsidRDefault="00FD25D7" w:rsidP="00FD43EF">
      <w:pPr>
        <w:rPr>
          <w:iCs/>
          <w:color w:val="000000" w:themeColor="text1"/>
          <w:lang w:val="es-ES"/>
        </w:rPr>
      </w:pPr>
    </w:p>
    <w:p w14:paraId="276DF681" w14:textId="7F8328A9" w:rsidR="00FD43EF" w:rsidRPr="008C4A6A" w:rsidRDefault="00FD43EF" w:rsidP="00FD43EF">
      <w:pPr>
        <w:rPr>
          <w:rFonts w:ascii="MS Mincho" w:eastAsia="MS Mincho" w:hAnsi="MS Mincho" w:cs="MS Mincho"/>
          <w:iCs/>
          <w:color w:val="000000" w:themeColor="text1"/>
          <w:lang w:val="en-US"/>
        </w:rPr>
      </w:pPr>
      <w:r w:rsidRPr="005F7C36">
        <w:rPr>
          <w:iCs/>
          <w:color w:val="000000" w:themeColor="text1"/>
          <w:lang w:val="en-US"/>
        </w:rPr>
        <w:t>Dewey</w:t>
      </w:r>
      <w:r w:rsidR="00B1485D">
        <w:rPr>
          <w:iCs/>
          <w:color w:val="000000" w:themeColor="text1"/>
          <w:lang w:val="en-US"/>
        </w:rPr>
        <w:t>,</w:t>
      </w:r>
      <w:r w:rsidRPr="005F7C36">
        <w:rPr>
          <w:iCs/>
          <w:color w:val="000000" w:themeColor="text1"/>
          <w:lang w:val="en-US"/>
        </w:rPr>
        <w:t xml:space="preserve"> K</w:t>
      </w:r>
      <w:r w:rsidR="00B1485D">
        <w:rPr>
          <w:iCs/>
          <w:color w:val="000000" w:themeColor="text1"/>
          <w:lang w:val="en-US"/>
        </w:rPr>
        <w:t xml:space="preserve">. </w:t>
      </w:r>
      <w:r w:rsidRPr="005F7C36">
        <w:rPr>
          <w:iCs/>
          <w:color w:val="000000" w:themeColor="text1"/>
          <w:lang w:val="en-US"/>
        </w:rPr>
        <w:t>G, Cohen, R.</w:t>
      </w:r>
      <w:r w:rsidR="00B1485D">
        <w:rPr>
          <w:iCs/>
          <w:color w:val="000000" w:themeColor="text1"/>
          <w:lang w:val="en-US"/>
        </w:rPr>
        <w:t xml:space="preserve"> </w:t>
      </w:r>
      <w:r w:rsidRPr="005F7C36">
        <w:rPr>
          <w:iCs/>
          <w:color w:val="000000" w:themeColor="text1"/>
          <w:lang w:val="en-US"/>
        </w:rPr>
        <w:t>J., Brown, K.</w:t>
      </w:r>
      <w:r w:rsidR="00B1485D">
        <w:rPr>
          <w:iCs/>
          <w:color w:val="000000" w:themeColor="text1"/>
          <w:lang w:val="en-US"/>
        </w:rPr>
        <w:t xml:space="preserve"> </w:t>
      </w:r>
      <w:r w:rsidRPr="005F7C36">
        <w:rPr>
          <w:iCs/>
          <w:color w:val="000000" w:themeColor="text1"/>
          <w:lang w:val="en-US"/>
        </w:rPr>
        <w:t xml:space="preserve">H., &amp; Rivera, L.L. (1999). </w:t>
      </w:r>
      <w:r w:rsidRPr="008C4A6A">
        <w:rPr>
          <w:iCs/>
          <w:color w:val="000000" w:themeColor="text1"/>
          <w:lang w:val="en-US"/>
        </w:rPr>
        <w:t xml:space="preserve">Age of introduction of complementary foods and growth of term, low-birth-weight, breast-fed infants: </w:t>
      </w:r>
      <w:r w:rsidR="008D0838">
        <w:rPr>
          <w:iCs/>
          <w:color w:val="000000" w:themeColor="text1"/>
          <w:lang w:val="en-US"/>
        </w:rPr>
        <w:t>A</w:t>
      </w:r>
      <w:r w:rsidRPr="008C4A6A">
        <w:rPr>
          <w:iCs/>
          <w:color w:val="000000" w:themeColor="text1"/>
          <w:lang w:val="en-US"/>
        </w:rPr>
        <w:t xml:space="preserve"> randomized intervention study in Honduras. </w:t>
      </w:r>
      <w:r w:rsidRPr="008C4A6A">
        <w:rPr>
          <w:i/>
          <w:iCs/>
          <w:color w:val="000000" w:themeColor="text1"/>
          <w:lang w:val="en-US"/>
        </w:rPr>
        <w:t>American Journal of Clinical Nutrition</w:t>
      </w:r>
      <w:r>
        <w:rPr>
          <w:i/>
          <w:iCs/>
          <w:color w:val="000000" w:themeColor="text1"/>
          <w:lang w:val="en-US"/>
        </w:rPr>
        <w:t>,</w:t>
      </w:r>
      <w:r w:rsidRPr="008C4A6A">
        <w:rPr>
          <w:iCs/>
          <w:color w:val="000000" w:themeColor="text1"/>
          <w:lang w:val="en-US"/>
        </w:rPr>
        <w:t xml:space="preserve"> </w:t>
      </w:r>
      <w:r w:rsidRPr="006E7EC7">
        <w:rPr>
          <w:i/>
          <w:iCs/>
          <w:color w:val="000000" w:themeColor="text1"/>
          <w:lang w:val="en-US"/>
        </w:rPr>
        <w:t>69</w:t>
      </w:r>
      <w:r>
        <w:rPr>
          <w:iCs/>
          <w:color w:val="000000" w:themeColor="text1"/>
          <w:lang w:val="en-US"/>
        </w:rPr>
        <w:t>(4),</w:t>
      </w:r>
      <w:r w:rsidRPr="008C4A6A">
        <w:rPr>
          <w:iCs/>
          <w:color w:val="000000" w:themeColor="text1"/>
          <w:lang w:val="en-US"/>
        </w:rPr>
        <w:t xml:space="preserve"> 679</w:t>
      </w:r>
      <w:r>
        <w:rPr>
          <w:iCs/>
          <w:color w:val="000000" w:themeColor="text1"/>
          <w:lang w:val="en-US"/>
        </w:rPr>
        <w:t>-</w:t>
      </w:r>
      <w:r w:rsidRPr="008C4A6A">
        <w:rPr>
          <w:iCs/>
          <w:color w:val="000000" w:themeColor="text1"/>
          <w:lang w:val="en-US"/>
        </w:rPr>
        <w:t xml:space="preserve">86. </w:t>
      </w:r>
      <w:r w:rsidRPr="008C4A6A">
        <w:rPr>
          <w:rFonts w:ascii="MS Mincho" w:eastAsia="MS Mincho" w:hAnsi="MS Mincho" w:cs="MS Mincho"/>
          <w:iCs/>
          <w:color w:val="000000" w:themeColor="text1"/>
          <w:lang w:val="en-US"/>
        </w:rPr>
        <w:t> </w:t>
      </w:r>
    </w:p>
    <w:p w14:paraId="40967074" w14:textId="77777777" w:rsidR="00FD43EF" w:rsidRPr="008C4A6A" w:rsidRDefault="00FD43EF" w:rsidP="00FD43EF">
      <w:pPr>
        <w:rPr>
          <w:iCs/>
          <w:color w:val="000000" w:themeColor="text1"/>
          <w:lang w:val="en-US"/>
        </w:rPr>
      </w:pPr>
    </w:p>
    <w:p w14:paraId="6664F7D1" w14:textId="717A1E9F" w:rsidR="00FD43EF" w:rsidRPr="008C4A6A" w:rsidRDefault="00FD43EF" w:rsidP="00FD43EF">
      <w:pPr>
        <w:rPr>
          <w:iCs/>
          <w:color w:val="000000" w:themeColor="text1"/>
          <w:lang w:val="en-US"/>
        </w:rPr>
      </w:pPr>
      <w:r w:rsidRPr="008C4A6A">
        <w:rPr>
          <w:iCs/>
          <w:color w:val="000000" w:themeColor="text1"/>
          <w:lang w:val="en-US"/>
        </w:rPr>
        <w:t>Dewey</w:t>
      </w:r>
      <w:r>
        <w:rPr>
          <w:iCs/>
          <w:color w:val="000000" w:themeColor="text1"/>
          <w:lang w:val="en-US"/>
        </w:rPr>
        <w:t>,</w:t>
      </w:r>
      <w:r w:rsidRPr="008C4A6A">
        <w:rPr>
          <w:iCs/>
          <w:color w:val="000000" w:themeColor="text1"/>
          <w:lang w:val="en-US"/>
        </w:rPr>
        <w:t xml:space="preserve"> K</w:t>
      </w:r>
      <w:r>
        <w:rPr>
          <w:iCs/>
          <w:color w:val="000000" w:themeColor="text1"/>
          <w:lang w:val="en-US"/>
        </w:rPr>
        <w:t>.</w:t>
      </w:r>
      <w:r w:rsidR="00B1485D">
        <w:rPr>
          <w:iCs/>
          <w:color w:val="000000" w:themeColor="text1"/>
          <w:lang w:val="en-US"/>
        </w:rPr>
        <w:t xml:space="preserve"> </w:t>
      </w:r>
      <w:r w:rsidRPr="008C4A6A">
        <w:rPr>
          <w:iCs/>
          <w:color w:val="000000" w:themeColor="text1"/>
          <w:lang w:val="en-US"/>
        </w:rPr>
        <w:t>G</w:t>
      </w:r>
      <w:r>
        <w:rPr>
          <w:iCs/>
          <w:color w:val="000000" w:themeColor="text1"/>
          <w:lang w:val="en-US"/>
        </w:rPr>
        <w:t>.</w:t>
      </w:r>
      <w:r w:rsidRPr="008C4A6A">
        <w:rPr>
          <w:iCs/>
          <w:color w:val="000000" w:themeColor="text1"/>
          <w:lang w:val="en-US"/>
        </w:rPr>
        <w:t>, Cohen</w:t>
      </w:r>
      <w:r>
        <w:rPr>
          <w:iCs/>
          <w:color w:val="000000" w:themeColor="text1"/>
          <w:lang w:val="en-US"/>
        </w:rPr>
        <w:t>,</w:t>
      </w:r>
      <w:r w:rsidRPr="008C4A6A">
        <w:rPr>
          <w:iCs/>
          <w:color w:val="000000" w:themeColor="text1"/>
          <w:lang w:val="en-US"/>
        </w:rPr>
        <w:t xml:space="preserve"> R</w:t>
      </w:r>
      <w:r>
        <w:rPr>
          <w:iCs/>
          <w:color w:val="000000" w:themeColor="text1"/>
          <w:lang w:val="en-US"/>
        </w:rPr>
        <w:t>.</w:t>
      </w:r>
      <w:r w:rsidR="00B1485D">
        <w:rPr>
          <w:iCs/>
          <w:color w:val="000000" w:themeColor="text1"/>
          <w:lang w:val="en-US"/>
        </w:rPr>
        <w:t xml:space="preserve"> </w:t>
      </w:r>
      <w:r w:rsidRPr="008C4A6A">
        <w:rPr>
          <w:iCs/>
          <w:color w:val="000000" w:themeColor="text1"/>
          <w:lang w:val="en-US"/>
        </w:rPr>
        <w:t>J</w:t>
      </w:r>
      <w:r>
        <w:rPr>
          <w:iCs/>
          <w:color w:val="000000" w:themeColor="text1"/>
          <w:lang w:val="en-US"/>
        </w:rPr>
        <w:t>.</w:t>
      </w:r>
      <w:r w:rsidRPr="008C4A6A">
        <w:rPr>
          <w:iCs/>
          <w:color w:val="000000" w:themeColor="text1"/>
          <w:lang w:val="en-US"/>
        </w:rPr>
        <w:t>, Brown</w:t>
      </w:r>
      <w:r>
        <w:rPr>
          <w:iCs/>
          <w:color w:val="000000" w:themeColor="text1"/>
          <w:lang w:val="en-US"/>
        </w:rPr>
        <w:t>,</w:t>
      </w:r>
      <w:r w:rsidRPr="008C4A6A">
        <w:rPr>
          <w:iCs/>
          <w:color w:val="000000" w:themeColor="text1"/>
          <w:lang w:val="en-US"/>
        </w:rPr>
        <w:t xml:space="preserve"> K</w:t>
      </w:r>
      <w:r>
        <w:rPr>
          <w:iCs/>
          <w:color w:val="000000" w:themeColor="text1"/>
          <w:lang w:val="en-US"/>
        </w:rPr>
        <w:t>.</w:t>
      </w:r>
      <w:r w:rsidR="00B1485D">
        <w:rPr>
          <w:iCs/>
          <w:color w:val="000000" w:themeColor="text1"/>
          <w:lang w:val="en-US"/>
        </w:rPr>
        <w:t xml:space="preserve"> </w:t>
      </w:r>
      <w:r w:rsidRPr="008C4A6A">
        <w:rPr>
          <w:iCs/>
          <w:color w:val="000000" w:themeColor="text1"/>
          <w:lang w:val="en-US"/>
        </w:rPr>
        <w:t>H</w:t>
      </w:r>
      <w:r>
        <w:rPr>
          <w:iCs/>
          <w:color w:val="000000" w:themeColor="text1"/>
          <w:lang w:val="en-US"/>
        </w:rPr>
        <w:t>.</w:t>
      </w:r>
      <w:r w:rsidRPr="008C4A6A">
        <w:rPr>
          <w:iCs/>
          <w:color w:val="000000" w:themeColor="text1"/>
          <w:lang w:val="en-US"/>
        </w:rPr>
        <w:t xml:space="preserve">, </w:t>
      </w:r>
      <w:r>
        <w:rPr>
          <w:iCs/>
          <w:color w:val="000000" w:themeColor="text1"/>
          <w:lang w:val="en-US"/>
        </w:rPr>
        <w:t>&amp;</w:t>
      </w:r>
      <w:r w:rsidRPr="008C4A6A">
        <w:rPr>
          <w:iCs/>
          <w:color w:val="000000" w:themeColor="text1"/>
          <w:lang w:val="en-US"/>
        </w:rPr>
        <w:t xml:space="preserve"> Rivera</w:t>
      </w:r>
      <w:r>
        <w:rPr>
          <w:iCs/>
          <w:color w:val="000000" w:themeColor="text1"/>
          <w:lang w:val="en-US"/>
        </w:rPr>
        <w:t>,</w:t>
      </w:r>
      <w:r w:rsidRPr="008C4A6A">
        <w:rPr>
          <w:iCs/>
          <w:color w:val="000000" w:themeColor="text1"/>
          <w:lang w:val="en-US"/>
        </w:rPr>
        <w:t xml:space="preserve"> L</w:t>
      </w:r>
      <w:r>
        <w:rPr>
          <w:iCs/>
          <w:color w:val="000000" w:themeColor="text1"/>
          <w:lang w:val="en-US"/>
        </w:rPr>
        <w:t>.</w:t>
      </w:r>
      <w:r w:rsidR="00B1485D">
        <w:rPr>
          <w:iCs/>
          <w:color w:val="000000" w:themeColor="text1"/>
          <w:lang w:val="en-US"/>
        </w:rPr>
        <w:t xml:space="preserve"> </w:t>
      </w:r>
      <w:r w:rsidRPr="008C4A6A">
        <w:rPr>
          <w:iCs/>
          <w:color w:val="000000" w:themeColor="text1"/>
          <w:lang w:val="en-US"/>
        </w:rPr>
        <w:t>L.</w:t>
      </w:r>
      <w:r>
        <w:rPr>
          <w:iCs/>
          <w:color w:val="000000" w:themeColor="text1"/>
          <w:lang w:val="en-US"/>
        </w:rPr>
        <w:t xml:space="preserve"> (2001).</w:t>
      </w:r>
      <w:r w:rsidRPr="008C4A6A">
        <w:rPr>
          <w:iCs/>
          <w:color w:val="000000" w:themeColor="text1"/>
          <w:lang w:val="en-US"/>
        </w:rPr>
        <w:t xml:space="preserve"> Effects of exclusive breastfeeding for four versus six months on maternal nutritional status and infant motor development: </w:t>
      </w:r>
      <w:r w:rsidR="008D0838">
        <w:rPr>
          <w:iCs/>
          <w:color w:val="000000" w:themeColor="text1"/>
          <w:lang w:val="en-US"/>
        </w:rPr>
        <w:t>R</w:t>
      </w:r>
      <w:r w:rsidRPr="008C4A6A">
        <w:rPr>
          <w:iCs/>
          <w:color w:val="000000" w:themeColor="text1"/>
          <w:lang w:val="en-US"/>
        </w:rPr>
        <w:t xml:space="preserve">esults of two randomized trials in Honduras. </w:t>
      </w:r>
      <w:r w:rsidRPr="008C4A6A">
        <w:rPr>
          <w:i/>
          <w:iCs/>
          <w:color w:val="000000" w:themeColor="text1"/>
          <w:lang w:val="en-US"/>
        </w:rPr>
        <w:t>Journal of Nutrition</w:t>
      </w:r>
      <w:r w:rsidRPr="008C4A6A">
        <w:rPr>
          <w:iCs/>
          <w:color w:val="000000" w:themeColor="text1"/>
          <w:lang w:val="en-US"/>
        </w:rPr>
        <w:t>,</w:t>
      </w:r>
      <w:r w:rsidRPr="006E7EC7">
        <w:rPr>
          <w:i/>
          <w:iCs/>
          <w:color w:val="000000" w:themeColor="text1"/>
          <w:lang w:val="en-US"/>
        </w:rPr>
        <w:t xml:space="preserve"> 13</w:t>
      </w:r>
      <w:r>
        <w:rPr>
          <w:i/>
          <w:iCs/>
          <w:color w:val="000000" w:themeColor="text1"/>
          <w:lang w:val="en-US"/>
        </w:rPr>
        <w:t>1</w:t>
      </w:r>
      <w:r>
        <w:rPr>
          <w:iCs/>
          <w:color w:val="000000" w:themeColor="text1"/>
          <w:lang w:val="en-US"/>
        </w:rPr>
        <w:t xml:space="preserve">(2), </w:t>
      </w:r>
      <w:r w:rsidRPr="008C4A6A">
        <w:rPr>
          <w:iCs/>
          <w:color w:val="000000" w:themeColor="text1"/>
          <w:lang w:val="en-US"/>
        </w:rPr>
        <w:t>262</w:t>
      </w:r>
      <w:r>
        <w:rPr>
          <w:iCs/>
          <w:color w:val="000000" w:themeColor="text1"/>
          <w:lang w:val="en-US"/>
        </w:rPr>
        <w:t>-</w:t>
      </w:r>
      <w:r w:rsidRPr="008C4A6A">
        <w:rPr>
          <w:iCs/>
          <w:color w:val="000000" w:themeColor="text1"/>
          <w:lang w:val="en-US"/>
        </w:rPr>
        <w:t>67.</w:t>
      </w:r>
    </w:p>
    <w:p w14:paraId="4A83F96C" w14:textId="77777777" w:rsidR="00FD43EF" w:rsidRPr="008C4A6A" w:rsidRDefault="00FD43EF" w:rsidP="00FD43EF">
      <w:pPr>
        <w:rPr>
          <w:iCs/>
          <w:color w:val="000000" w:themeColor="text1"/>
          <w:lang w:val="en-US"/>
        </w:rPr>
      </w:pPr>
    </w:p>
    <w:p w14:paraId="44047EAC" w14:textId="77777777" w:rsidR="00FD43EF" w:rsidRDefault="00FD43EF" w:rsidP="00FD43EF">
      <w:pPr>
        <w:rPr>
          <w:color w:val="000000" w:themeColor="text1"/>
        </w:rPr>
      </w:pPr>
      <w:r w:rsidRPr="00A856DB">
        <w:rPr>
          <w:color w:val="000000" w:themeColor="text1"/>
          <w:lang w:val="en-US"/>
        </w:rPr>
        <w:t>Dietler, M.</w:t>
      </w:r>
      <w:r>
        <w:rPr>
          <w:color w:val="000000" w:themeColor="text1"/>
          <w:lang w:val="en-US"/>
        </w:rPr>
        <w:t xml:space="preserve"> (2007).</w:t>
      </w:r>
      <w:r w:rsidRPr="00A856DB">
        <w:rPr>
          <w:color w:val="000000" w:themeColor="text1"/>
          <w:lang w:val="en-US"/>
        </w:rPr>
        <w:t xml:space="preserve"> </w:t>
      </w:r>
      <w:r w:rsidRPr="00F94FD1">
        <w:rPr>
          <w:color w:val="000000" w:themeColor="text1"/>
          <w:lang w:val="en-US"/>
        </w:rPr>
        <w:t>The Iron Age in the Western Mediterranean.</w:t>
      </w:r>
      <w:r w:rsidRPr="00A856DB">
        <w:rPr>
          <w:color w:val="000000" w:themeColor="text1"/>
          <w:lang w:val="en-US"/>
        </w:rPr>
        <w:t xml:space="preserve"> </w:t>
      </w:r>
      <w:r w:rsidRPr="00F94FD1">
        <w:rPr>
          <w:color w:val="000000" w:themeColor="text1"/>
        </w:rPr>
        <w:t>In</w:t>
      </w:r>
      <w:r>
        <w:rPr>
          <w:color w:val="000000" w:themeColor="text1"/>
        </w:rPr>
        <w:t xml:space="preserve"> </w:t>
      </w:r>
      <w:r w:rsidRPr="00F94FD1">
        <w:rPr>
          <w:color w:val="000000" w:themeColor="text1"/>
        </w:rPr>
        <w:t>Scheidel</w:t>
      </w:r>
      <w:r>
        <w:rPr>
          <w:color w:val="000000" w:themeColor="text1"/>
        </w:rPr>
        <w:t>,</w:t>
      </w:r>
      <w:r w:rsidRPr="00F94FD1">
        <w:rPr>
          <w:color w:val="000000" w:themeColor="text1"/>
        </w:rPr>
        <w:t xml:space="preserve"> W</w:t>
      </w:r>
      <w:r>
        <w:rPr>
          <w:color w:val="000000" w:themeColor="text1"/>
        </w:rPr>
        <w:t>.</w:t>
      </w:r>
      <w:r w:rsidRPr="00F94FD1">
        <w:rPr>
          <w:color w:val="000000" w:themeColor="text1"/>
        </w:rPr>
        <w:t>, Morris</w:t>
      </w:r>
      <w:r>
        <w:rPr>
          <w:color w:val="000000" w:themeColor="text1"/>
        </w:rPr>
        <w:t xml:space="preserve">, </w:t>
      </w:r>
      <w:r w:rsidRPr="00F94FD1">
        <w:rPr>
          <w:color w:val="000000" w:themeColor="text1"/>
        </w:rPr>
        <w:t>I</w:t>
      </w:r>
      <w:r>
        <w:rPr>
          <w:color w:val="000000" w:themeColor="text1"/>
        </w:rPr>
        <w:t>.</w:t>
      </w:r>
      <w:r w:rsidRPr="00F94FD1">
        <w:rPr>
          <w:color w:val="000000" w:themeColor="text1"/>
        </w:rPr>
        <w:t>, Saller</w:t>
      </w:r>
      <w:r>
        <w:rPr>
          <w:color w:val="000000" w:themeColor="text1"/>
        </w:rPr>
        <w:t>,</w:t>
      </w:r>
      <w:r w:rsidRPr="00F94FD1">
        <w:rPr>
          <w:color w:val="000000" w:themeColor="text1"/>
        </w:rPr>
        <w:t xml:space="preserve"> R</w:t>
      </w:r>
      <w:r>
        <w:rPr>
          <w:color w:val="000000" w:themeColor="text1"/>
        </w:rPr>
        <w:t>. (E</w:t>
      </w:r>
      <w:r w:rsidRPr="00F94FD1">
        <w:rPr>
          <w:color w:val="000000" w:themeColor="text1"/>
        </w:rPr>
        <w:t>ds.</w:t>
      </w:r>
      <w:r>
        <w:rPr>
          <w:color w:val="000000" w:themeColor="text1"/>
        </w:rPr>
        <w:t>)</w:t>
      </w:r>
      <w:r w:rsidRPr="00F94FD1">
        <w:rPr>
          <w:color w:val="000000" w:themeColor="text1"/>
        </w:rPr>
        <w:t xml:space="preserve"> </w:t>
      </w:r>
      <w:r w:rsidRPr="00F94FD1">
        <w:rPr>
          <w:i/>
          <w:color w:val="000000" w:themeColor="text1"/>
        </w:rPr>
        <w:t>The Cambridge Economic History of the Greco-Roman World</w:t>
      </w:r>
      <w:r>
        <w:rPr>
          <w:i/>
          <w:color w:val="000000" w:themeColor="text1"/>
        </w:rPr>
        <w:t xml:space="preserve"> </w:t>
      </w:r>
      <w:r>
        <w:rPr>
          <w:color w:val="000000" w:themeColor="text1"/>
        </w:rPr>
        <w:t>(pp. 242-276)</w:t>
      </w:r>
      <w:r w:rsidRPr="00F94FD1">
        <w:rPr>
          <w:color w:val="000000" w:themeColor="text1"/>
        </w:rPr>
        <w:t xml:space="preserve">. Cambridge: Cambridge University Press. </w:t>
      </w:r>
    </w:p>
    <w:p w14:paraId="7B7C6F89" w14:textId="77777777" w:rsidR="00FD43EF" w:rsidRDefault="00FD43EF" w:rsidP="00FD43EF">
      <w:pPr>
        <w:rPr>
          <w:color w:val="000000" w:themeColor="text1"/>
        </w:rPr>
      </w:pPr>
    </w:p>
    <w:p w14:paraId="6FCFDFEA" w14:textId="77777777" w:rsidR="00FD43EF" w:rsidRPr="00F94FD1" w:rsidRDefault="00FD43EF" w:rsidP="00FD43EF">
      <w:pPr>
        <w:rPr>
          <w:color w:val="000000" w:themeColor="text1"/>
        </w:rPr>
      </w:pPr>
      <w:r w:rsidRPr="00781E7D">
        <w:rPr>
          <w:color w:val="000000" w:themeColor="text1"/>
        </w:rPr>
        <w:t xml:space="preserve">Dobberstein, R. C., Collins, M. J., Craig, O. E., Taylor, G., Penkman, K. E., &amp; Ritz-Timme, S. (2009). Archaeological collagen: Why worry about collagen diagenesis? </w:t>
      </w:r>
      <w:r w:rsidRPr="00781E7D">
        <w:rPr>
          <w:i/>
          <w:color w:val="000000" w:themeColor="text1"/>
        </w:rPr>
        <w:t>Archaeological and Anthropological Sciences</w:t>
      </w:r>
      <w:r w:rsidRPr="00781E7D">
        <w:rPr>
          <w:color w:val="000000" w:themeColor="text1"/>
        </w:rPr>
        <w:t xml:space="preserve">, </w:t>
      </w:r>
      <w:r w:rsidRPr="00781E7D">
        <w:rPr>
          <w:i/>
          <w:color w:val="000000" w:themeColor="text1"/>
        </w:rPr>
        <w:t>1</w:t>
      </w:r>
      <w:r w:rsidRPr="00781E7D">
        <w:rPr>
          <w:color w:val="000000" w:themeColor="text1"/>
        </w:rPr>
        <w:t>(1), 31-42.</w:t>
      </w:r>
    </w:p>
    <w:p w14:paraId="14CE0BAC" w14:textId="77777777" w:rsidR="00FD43EF" w:rsidRPr="00A856DB" w:rsidRDefault="00FD43EF" w:rsidP="00FD43EF">
      <w:pPr>
        <w:rPr>
          <w:color w:val="000000" w:themeColor="text1"/>
          <w:lang w:val="en-US"/>
        </w:rPr>
      </w:pPr>
    </w:p>
    <w:p w14:paraId="3FA27C1C" w14:textId="77777777" w:rsidR="00FD43EF" w:rsidRPr="00A856DB" w:rsidRDefault="00FD43EF" w:rsidP="00FD43EF">
      <w:pPr>
        <w:rPr>
          <w:color w:val="000000" w:themeColor="text1"/>
          <w:lang w:val="en-US"/>
        </w:rPr>
      </w:pPr>
      <w:r w:rsidRPr="00A856DB">
        <w:rPr>
          <w:color w:val="000000" w:themeColor="text1"/>
          <w:lang w:val="en-US"/>
        </w:rPr>
        <w:t>Dunbabin</w:t>
      </w:r>
      <w:r>
        <w:rPr>
          <w:color w:val="000000" w:themeColor="text1"/>
          <w:lang w:val="en-US"/>
        </w:rPr>
        <w:t xml:space="preserve">, </w:t>
      </w:r>
      <w:r w:rsidRPr="00A856DB">
        <w:rPr>
          <w:color w:val="000000" w:themeColor="text1"/>
          <w:lang w:val="en-US"/>
        </w:rPr>
        <w:t>T</w:t>
      </w:r>
      <w:r>
        <w:rPr>
          <w:color w:val="000000" w:themeColor="text1"/>
          <w:lang w:val="en-US"/>
        </w:rPr>
        <w:t>.</w:t>
      </w:r>
      <w:r w:rsidRPr="00A856DB">
        <w:rPr>
          <w:color w:val="000000" w:themeColor="text1"/>
          <w:lang w:val="en-US"/>
        </w:rPr>
        <w:t>J.</w:t>
      </w:r>
      <w:r>
        <w:rPr>
          <w:color w:val="000000" w:themeColor="text1"/>
          <w:lang w:val="en-US"/>
        </w:rPr>
        <w:t xml:space="preserve"> (1979).</w:t>
      </w:r>
      <w:r w:rsidRPr="00A856DB">
        <w:rPr>
          <w:color w:val="000000" w:themeColor="text1"/>
          <w:lang w:val="en-US"/>
        </w:rPr>
        <w:t xml:space="preserve"> </w:t>
      </w:r>
      <w:r w:rsidRPr="00A856DB">
        <w:rPr>
          <w:i/>
          <w:color w:val="000000" w:themeColor="text1"/>
          <w:lang w:val="en-US"/>
        </w:rPr>
        <w:t>The Western Greeks: The History of Sicily and South Italy From the Foundation of the Greek Colonies to 480 BC</w:t>
      </w:r>
      <w:r w:rsidRPr="00A856DB">
        <w:rPr>
          <w:color w:val="000000" w:themeColor="text1"/>
          <w:lang w:val="en-US"/>
        </w:rPr>
        <w:t>. Chicago: ARES Publisher Inc</w:t>
      </w:r>
      <w:r>
        <w:rPr>
          <w:color w:val="000000" w:themeColor="text1"/>
          <w:lang w:val="en-US"/>
        </w:rPr>
        <w:t>.</w:t>
      </w:r>
      <w:r w:rsidRPr="00A856DB">
        <w:rPr>
          <w:color w:val="000000" w:themeColor="text1"/>
          <w:lang w:val="en-US"/>
        </w:rPr>
        <w:t xml:space="preserve"> </w:t>
      </w:r>
    </w:p>
    <w:p w14:paraId="5780019B" w14:textId="77777777" w:rsidR="00FD43EF" w:rsidRPr="00A856DB" w:rsidRDefault="00FD43EF" w:rsidP="00FD43EF">
      <w:pPr>
        <w:rPr>
          <w:color w:val="000000" w:themeColor="text1"/>
          <w:lang w:val="en-US"/>
        </w:rPr>
      </w:pPr>
    </w:p>
    <w:p w14:paraId="64CA836E" w14:textId="4367CA71" w:rsidR="00FD43EF" w:rsidRPr="00A856DB" w:rsidRDefault="00FD43EF" w:rsidP="00FD43EF">
      <w:pPr>
        <w:rPr>
          <w:color w:val="000000" w:themeColor="text1"/>
          <w:lang w:val="en-US"/>
        </w:rPr>
      </w:pPr>
      <w:r>
        <w:rPr>
          <w:color w:val="000000" w:themeColor="text1"/>
          <w:lang w:val="en-US"/>
        </w:rPr>
        <w:t>d</w:t>
      </w:r>
      <w:r w:rsidRPr="00A856DB">
        <w:rPr>
          <w:color w:val="000000" w:themeColor="text1"/>
          <w:lang w:val="en-US"/>
        </w:rPr>
        <w:t>u Plat Taylor, J.</w:t>
      </w:r>
      <w:r>
        <w:rPr>
          <w:color w:val="000000" w:themeColor="text1"/>
          <w:lang w:val="en-US"/>
        </w:rPr>
        <w:t xml:space="preserve"> (1977). </w:t>
      </w:r>
      <w:r w:rsidRPr="00A856DB">
        <w:rPr>
          <w:color w:val="000000" w:themeColor="text1"/>
          <w:lang w:val="en-US"/>
        </w:rPr>
        <w:t xml:space="preserve">Gravina-di-Puglia III </w:t>
      </w:r>
      <w:r w:rsidR="008D0838">
        <w:rPr>
          <w:color w:val="000000" w:themeColor="text1"/>
          <w:lang w:val="en-US"/>
        </w:rPr>
        <w:t>h</w:t>
      </w:r>
      <w:r w:rsidRPr="00A856DB">
        <w:rPr>
          <w:color w:val="000000" w:themeColor="text1"/>
          <w:lang w:val="en-US"/>
        </w:rPr>
        <w:t xml:space="preserve">ouses and a </w:t>
      </w:r>
      <w:r w:rsidR="008D0838">
        <w:rPr>
          <w:color w:val="000000" w:themeColor="text1"/>
          <w:lang w:val="en-US"/>
        </w:rPr>
        <w:t>c</w:t>
      </w:r>
      <w:r w:rsidRPr="00A856DB">
        <w:rPr>
          <w:color w:val="000000" w:themeColor="text1"/>
          <w:lang w:val="en-US"/>
        </w:rPr>
        <w:t xml:space="preserve">emetery of the Iron Age and Classical </w:t>
      </w:r>
      <w:r w:rsidR="008D0838">
        <w:rPr>
          <w:color w:val="000000" w:themeColor="text1"/>
          <w:lang w:val="en-US"/>
        </w:rPr>
        <w:t>p</w:t>
      </w:r>
      <w:r w:rsidRPr="00A856DB">
        <w:rPr>
          <w:color w:val="000000" w:themeColor="text1"/>
          <w:lang w:val="en-US"/>
        </w:rPr>
        <w:t xml:space="preserve">eriods. </w:t>
      </w:r>
      <w:r w:rsidRPr="00A856DB">
        <w:rPr>
          <w:i/>
          <w:color w:val="000000" w:themeColor="text1"/>
          <w:lang w:val="en-US"/>
        </w:rPr>
        <w:t>Papers of the British School at Rome</w:t>
      </w:r>
      <w:r>
        <w:rPr>
          <w:i/>
          <w:color w:val="000000" w:themeColor="text1"/>
          <w:lang w:val="en-US"/>
        </w:rPr>
        <w:t>,</w:t>
      </w:r>
      <w:r w:rsidRPr="00A856DB">
        <w:rPr>
          <w:color w:val="000000" w:themeColor="text1"/>
          <w:lang w:val="en-US"/>
        </w:rPr>
        <w:t xml:space="preserve"> </w:t>
      </w:r>
      <w:r w:rsidRPr="00F94FD1">
        <w:rPr>
          <w:i/>
          <w:color w:val="000000" w:themeColor="text1"/>
          <w:lang w:val="en-US"/>
        </w:rPr>
        <w:t>45</w:t>
      </w:r>
      <w:r>
        <w:rPr>
          <w:color w:val="000000" w:themeColor="text1"/>
          <w:lang w:val="en-US"/>
        </w:rPr>
        <w:t>(1),</w:t>
      </w:r>
      <w:r w:rsidRPr="00A856DB">
        <w:rPr>
          <w:color w:val="000000" w:themeColor="text1"/>
          <w:lang w:val="en-US"/>
        </w:rPr>
        <w:t xml:space="preserve"> 69-137.</w:t>
      </w:r>
    </w:p>
    <w:p w14:paraId="4820F0EC" w14:textId="77777777" w:rsidR="00FD43EF" w:rsidRPr="00A856DB" w:rsidRDefault="00FD43EF" w:rsidP="00FD43EF">
      <w:pPr>
        <w:rPr>
          <w:color w:val="000000" w:themeColor="text1"/>
          <w:lang w:val="en-US"/>
        </w:rPr>
      </w:pPr>
    </w:p>
    <w:p w14:paraId="32C75F08" w14:textId="77777777" w:rsidR="00FD43EF" w:rsidRPr="00A856DB" w:rsidRDefault="00FD43EF" w:rsidP="00FD43EF">
      <w:pPr>
        <w:rPr>
          <w:color w:val="000000" w:themeColor="text1"/>
          <w:lang w:val="en-US"/>
        </w:rPr>
      </w:pPr>
      <w:r w:rsidRPr="00A856DB">
        <w:rPr>
          <w:color w:val="000000" w:themeColor="text1"/>
          <w:lang w:val="en-US"/>
        </w:rPr>
        <w:t>du Plat Taylor, J., Dorrell,</w:t>
      </w:r>
      <w:r>
        <w:rPr>
          <w:color w:val="000000" w:themeColor="text1"/>
          <w:lang w:val="en-US"/>
        </w:rPr>
        <w:t xml:space="preserve"> P.G.,</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Small</w:t>
      </w:r>
      <w:r>
        <w:rPr>
          <w:color w:val="000000" w:themeColor="text1"/>
          <w:lang w:val="en-US"/>
        </w:rPr>
        <w:t xml:space="preserve">, A. (1976). </w:t>
      </w:r>
      <w:r w:rsidRPr="00A856DB">
        <w:rPr>
          <w:color w:val="000000" w:themeColor="text1"/>
          <w:lang w:val="en-US"/>
        </w:rPr>
        <w:t>Gravina-di-Puglia III: Houses and a Cemetery of the Iron Age and Classical Periods.</w:t>
      </w:r>
      <w:r>
        <w:rPr>
          <w:color w:val="000000" w:themeColor="text1"/>
          <w:lang w:val="en-US"/>
        </w:rPr>
        <w:t xml:space="preserve"> </w:t>
      </w:r>
      <w:r w:rsidRPr="00A856DB">
        <w:rPr>
          <w:i/>
          <w:color w:val="000000" w:themeColor="text1"/>
          <w:lang w:val="en-US"/>
        </w:rPr>
        <w:t>Papers of the British School at Rome</w:t>
      </w:r>
      <w:r>
        <w:rPr>
          <w:i/>
          <w:color w:val="000000" w:themeColor="text1"/>
          <w:lang w:val="en-US"/>
        </w:rPr>
        <w:t>,</w:t>
      </w:r>
      <w:r w:rsidRPr="00A856DB">
        <w:rPr>
          <w:color w:val="000000" w:themeColor="text1"/>
          <w:lang w:val="en-US"/>
        </w:rPr>
        <w:t xml:space="preserve"> </w:t>
      </w:r>
      <w:r w:rsidRPr="003D61A4">
        <w:rPr>
          <w:i/>
          <w:color w:val="000000" w:themeColor="text1"/>
          <w:lang w:val="en-US"/>
        </w:rPr>
        <w:t>44</w:t>
      </w:r>
      <w:r>
        <w:rPr>
          <w:color w:val="000000" w:themeColor="text1"/>
          <w:lang w:val="en-US"/>
        </w:rPr>
        <w:t>(1),</w:t>
      </w:r>
      <w:r w:rsidRPr="00A856DB">
        <w:rPr>
          <w:color w:val="000000" w:themeColor="text1"/>
          <w:lang w:val="en-US"/>
        </w:rPr>
        <w:t xml:space="preserve"> 48-132.</w:t>
      </w:r>
    </w:p>
    <w:p w14:paraId="259592D2" w14:textId="77777777" w:rsidR="00FD43EF" w:rsidRPr="00A856DB" w:rsidRDefault="00FD43EF" w:rsidP="00FD43EF">
      <w:pPr>
        <w:rPr>
          <w:color w:val="000000" w:themeColor="text1"/>
          <w:lang w:val="en-US"/>
        </w:rPr>
      </w:pPr>
    </w:p>
    <w:p w14:paraId="762E3EC1" w14:textId="5F987247" w:rsidR="00FD43EF" w:rsidRPr="00A856DB" w:rsidRDefault="00FD43EF" w:rsidP="00FD43EF">
      <w:pPr>
        <w:rPr>
          <w:lang w:val="en-US"/>
        </w:rPr>
      </w:pPr>
      <w:r w:rsidRPr="00A856DB">
        <w:rPr>
          <w:lang w:val="en-US"/>
        </w:rPr>
        <w:t xml:space="preserve">Dupras, </w:t>
      </w:r>
      <w:r>
        <w:rPr>
          <w:lang w:val="en-US"/>
        </w:rPr>
        <w:t>T.</w:t>
      </w:r>
      <w:r w:rsidRPr="00A856DB">
        <w:rPr>
          <w:lang w:val="en-US"/>
        </w:rPr>
        <w:t xml:space="preserve"> L., Schwarcz,</w:t>
      </w:r>
      <w:r>
        <w:rPr>
          <w:lang w:val="en-US"/>
        </w:rPr>
        <w:t xml:space="preserve"> H.</w:t>
      </w:r>
      <w:r w:rsidR="000E7230">
        <w:rPr>
          <w:lang w:val="en-US"/>
        </w:rPr>
        <w:t xml:space="preserve"> </w:t>
      </w:r>
      <w:r>
        <w:rPr>
          <w:lang w:val="en-US"/>
        </w:rPr>
        <w:t>P.,</w:t>
      </w:r>
      <w:r w:rsidRPr="00A856DB">
        <w:rPr>
          <w:lang w:val="en-US"/>
        </w:rPr>
        <w:t xml:space="preserve"> </w:t>
      </w:r>
      <w:r>
        <w:rPr>
          <w:lang w:val="en-US"/>
        </w:rPr>
        <w:t>&amp;</w:t>
      </w:r>
      <w:r w:rsidRPr="00A856DB">
        <w:rPr>
          <w:lang w:val="en-US"/>
        </w:rPr>
        <w:t xml:space="preserve"> Fairgrieve</w:t>
      </w:r>
      <w:r>
        <w:rPr>
          <w:lang w:val="en-US"/>
        </w:rPr>
        <w:t>, S.</w:t>
      </w:r>
      <w:r w:rsidR="000E7230">
        <w:rPr>
          <w:lang w:val="en-US"/>
        </w:rPr>
        <w:t xml:space="preserve"> </w:t>
      </w:r>
      <w:r>
        <w:rPr>
          <w:lang w:val="en-US"/>
        </w:rPr>
        <w:t>I. (2001).</w:t>
      </w:r>
      <w:r w:rsidRPr="00A856DB">
        <w:rPr>
          <w:lang w:val="en-US"/>
        </w:rPr>
        <w:t xml:space="preserve"> Infant feeding and weaning practices in Roman Egypt. </w:t>
      </w:r>
      <w:r w:rsidRPr="00A856DB">
        <w:rPr>
          <w:i/>
          <w:lang w:val="en-US"/>
        </w:rPr>
        <w:t>American Journal of Physical Anthropology</w:t>
      </w:r>
      <w:r>
        <w:rPr>
          <w:i/>
          <w:lang w:val="en-US"/>
        </w:rPr>
        <w:t>,</w:t>
      </w:r>
      <w:r w:rsidRPr="00A856DB">
        <w:rPr>
          <w:lang w:val="en-US"/>
        </w:rPr>
        <w:t xml:space="preserve"> </w:t>
      </w:r>
      <w:r w:rsidRPr="003A74E0">
        <w:rPr>
          <w:i/>
          <w:lang w:val="en-US"/>
        </w:rPr>
        <w:t>115</w:t>
      </w:r>
      <w:r>
        <w:rPr>
          <w:lang w:val="en-US"/>
        </w:rPr>
        <w:t>(</w:t>
      </w:r>
      <w:r w:rsidRPr="00A856DB">
        <w:rPr>
          <w:lang w:val="en-US"/>
        </w:rPr>
        <w:t>3</w:t>
      </w:r>
      <w:r>
        <w:rPr>
          <w:lang w:val="en-US"/>
        </w:rPr>
        <w:t xml:space="preserve">), </w:t>
      </w:r>
      <w:r w:rsidRPr="00A856DB">
        <w:rPr>
          <w:lang w:val="en-US"/>
        </w:rPr>
        <w:t>204-212.</w:t>
      </w:r>
    </w:p>
    <w:p w14:paraId="672A625B" w14:textId="77777777" w:rsidR="00FD43EF" w:rsidRPr="00A856DB" w:rsidRDefault="00FD43EF" w:rsidP="00FD43EF">
      <w:pPr>
        <w:rPr>
          <w:b/>
          <w:lang w:val="en-US"/>
        </w:rPr>
      </w:pPr>
    </w:p>
    <w:p w14:paraId="600C1ACB" w14:textId="77777777" w:rsidR="00FD43EF" w:rsidRPr="00D86B24" w:rsidRDefault="00FD43EF" w:rsidP="00FD43EF">
      <w:pPr>
        <w:rPr>
          <w:color w:val="000000" w:themeColor="text1"/>
        </w:rPr>
      </w:pPr>
      <w:r w:rsidRPr="00D86B24">
        <w:rPr>
          <w:color w:val="000000" w:themeColor="text1"/>
        </w:rPr>
        <w:t>Dupras, T</w:t>
      </w:r>
      <w:r>
        <w:rPr>
          <w:color w:val="000000" w:themeColor="text1"/>
        </w:rPr>
        <w:t>.</w:t>
      </w:r>
      <w:r w:rsidRPr="00D86B24">
        <w:rPr>
          <w:color w:val="000000" w:themeColor="text1"/>
        </w:rPr>
        <w:t xml:space="preserve"> L., </w:t>
      </w:r>
      <w:r>
        <w:rPr>
          <w:color w:val="000000" w:themeColor="text1"/>
        </w:rPr>
        <w:t>&amp;</w:t>
      </w:r>
      <w:r w:rsidRPr="00D86B24">
        <w:rPr>
          <w:color w:val="000000" w:themeColor="text1"/>
        </w:rPr>
        <w:t xml:space="preserve"> Tocheri</w:t>
      </w:r>
      <w:r>
        <w:rPr>
          <w:color w:val="000000" w:themeColor="text1"/>
        </w:rPr>
        <w:t>, M. W. (2007).</w:t>
      </w:r>
      <w:r w:rsidRPr="00D86B24">
        <w:rPr>
          <w:color w:val="000000" w:themeColor="text1"/>
        </w:rPr>
        <w:t xml:space="preserve"> Reconstructing infant weaning histories at Roman period Kellis, Egypt using stable isotope analysis of dentition. </w:t>
      </w:r>
      <w:r w:rsidRPr="00D86B24">
        <w:rPr>
          <w:i/>
          <w:iCs/>
          <w:color w:val="000000" w:themeColor="text1"/>
        </w:rPr>
        <w:t>American Journal of Physical Anthropology</w:t>
      </w:r>
      <w:r w:rsidRPr="000E13EE">
        <w:rPr>
          <w:iCs/>
          <w:color w:val="000000" w:themeColor="text1"/>
        </w:rPr>
        <w:t>,</w:t>
      </w:r>
      <w:r w:rsidRPr="000E13EE">
        <w:rPr>
          <w:i/>
          <w:iCs/>
          <w:color w:val="000000" w:themeColor="text1"/>
        </w:rPr>
        <w:t xml:space="preserve"> </w:t>
      </w:r>
      <w:r w:rsidRPr="000E13EE">
        <w:rPr>
          <w:i/>
          <w:color w:val="000000" w:themeColor="text1"/>
        </w:rPr>
        <w:t>134</w:t>
      </w:r>
      <w:r>
        <w:rPr>
          <w:color w:val="000000" w:themeColor="text1"/>
        </w:rPr>
        <w:t>(</w:t>
      </w:r>
      <w:r w:rsidRPr="00D86B24">
        <w:rPr>
          <w:color w:val="000000" w:themeColor="text1"/>
        </w:rPr>
        <w:t>1</w:t>
      </w:r>
      <w:r>
        <w:rPr>
          <w:color w:val="000000" w:themeColor="text1"/>
        </w:rPr>
        <w:t>),</w:t>
      </w:r>
      <w:r w:rsidRPr="00D86B24">
        <w:rPr>
          <w:color w:val="000000" w:themeColor="text1"/>
        </w:rPr>
        <w:t xml:space="preserve"> 63-74.</w:t>
      </w:r>
    </w:p>
    <w:p w14:paraId="4B6CC080" w14:textId="77777777" w:rsidR="00FD43EF" w:rsidRDefault="00FD43EF" w:rsidP="00FD43EF">
      <w:pPr>
        <w:rPr>
          <w:color w:val="000000" w:themeColor="text1"/>
          <w:lang w:val="en-US"/>
        </w:rPr>
      </w:pPr>
    </w:p>
    <w:p w14:paraId="2621D7C7" w14:textId="77777777" w:rsidR="00FD43EF" w:rsidRPr="00A856DB" w:rsidRDefault="00FD43EF" w:rsidP="00FD43EF">
      <w:pPr>
        <w:rPr>
          <w:color w:val="000000" w:themeColor="text1"/>
          <w:lang w:val="en-US"/>
        </w:rPr>
      </w:pPr>
      <w:r w:rsidRPr="00A856DB">
        <w:rPr>
          <w:color w:val="000000" w:themeColor="text1"/>
          <w:lang w:val="en-US"/>
        </w:rPr>
        <w:t>Eerkens, J</w:t>
      </w:r>
      <w:r>
        <w:rPr>
          <w:color w:val="000000" w:themeColor="text1"/>
          <w:lang w:val="en-US"/>
        </w:rPr>
        <w:t>.</w:t>
      </w:r>
      <w:r w:rsidRPr="00A856DB">
        <w:rPr>
          <w:color w:val="000000" w:themeColor="text1"/>
          <w:lang w:val="en-US"/>
        </w:rPr>
        <w:t xml:space="preserve"> W., Berget,</w:t>
      </w:r>
      <w:r>
        <w:rPr>
          <w:color w:val="000000" w:themeColor="text1"/>
          <w:lang w:val="en-US"/>
        </w:rPr>
        <w:t xml:space="preserve"> A.G.,</w:t>
      </w:r>
      <w:r w:rsidRPr="00A856DB">
        <w:rPr>
          <w:color w:val="000000" w:themeColor="text1"/>
          <w:lang w:val="en-US"/>
        </w:rPr>
        <w:t xml:space="preserve"> </w:t>
      </w:r>
      <w:r>
        <w:rPr>
          <w:color w:val="000000" w:themeColor="text1"/>
          <w:lang w:val="en-US"/>
        </w:rPr>
        <w:t xml:space="preserve">&amp; </w:t>
      </w:r>
      <w:r w:rsidRPr="00A856DB">
        <w:rPr>
          <w:color w:val="000000" w:themeColor="text1"/>
          <w:lang w:val="en-US"/>
        </w:rPr>
        <w:t>Bartelink</w:t>
      </w:r>
      <w:r>
        <w:rPr>
          <w:color w:val="000000" w:themeColor="text1"/>
          <w:lang w:val="en-US"/>
        </w:rPr>
        <w:t>, E.J. (2011).</w:t>
      </w:r>
      <w:r w:rsidRPr="00A856DB">
        <w:rPr>
          <w:color w:val="000000" w:themeColor="text1"/>
          <w:lang w:val="en-US"/>
        </w:rPr>
        <w:t xml:space="preserve"> Estimating weaning and early childhood diet from serial micro-samples of dentin collagen. </w:t>
      </w:r>
      <w:r w:rsidRPr="00A856DB">
        <w:rPr>
          <w:i/>
          <w:color w:val="000000" w:themeColor="text1"/>
          <w:lang w:val="en-US"/>
        </w:rPr>
        <w:t>Journal of Archaeological Science</w:t>
      </w:r>
      <w:r>
        <w:rPr>
          <w:i/>
          <w:color w:val="000000" w:themeColor="text1"/>
          <w:lang w:val="en-US"/>
        </w:rPr>
        <w:t>,</w:t>
      </w:r>
      <w:r w:rsidRPr="00A856DB">
        <w:rPr>
          <w:color w:val="000000" w:themeColor="text1"/>
          <w:lang w:val="en-US"/>
        </w:rPr>
        <w:t xml:space="preserve"> </w:t>
      </w:r>
      <w:r w:rsidRPr="003A74E0">
        <w:rPr>
          <w:i/>
          <w:color w:val="000000" w:themeColor="text1"/>
          <w:lang w:val="en-US"/>
        </w:rPr>
        <w:t>38</w:t>
      </w:r>
      <w:r>
        <w:rPr>
          <w:color w:val="000000" w:themeColor="text1"/>
          <w:lang w:val="en-US"/>
        </w:rPr>
        <w:t>(</w:t>
      </w:r>
      <w:r w:rsidRPr="00A856DB">
        <w:rPr>
          <w:color w:val="000000" w:themeColor="text1"/>
          <w:lang w:val="en-US"/>
        </w:rPr>
        <w:t>11</w:t>
      </w:r>
      <w:r>
        <w:rPr>
          <w:color w:val="000000" w:themeColor="text1"/>
          <w:lang w:val="en-US"/>
        </w:rPr>
        <w:t xml:space="preserve">), </w:t>
      </w:r>
      <w:r w:rsidRPr="00A856DB">
        <w:rPr>
          <w:color w:val="000000" w:themeColor="text1"/>
          <w:lang w:val="en-US"/>
        </w:rPr>
        <w:t>3101-3111.</w:t>
      </w:r>
    </w:p>
    <w:p w14:paraId="7B5FA8A2" w14:textId="77777777" w:rsidR="00FD43EF" w:rsidRDefault="00FD43EF" w:rsidP="00FD43EF">
      <w:pPr>
        <w:rPr>
          <w:color w:val="000000" w:themeColor="text1"/>
          <w:lang w:val="en-US"/>
        </w:rPr>
      </w:pPr>
    </w:p>
    <w:p w14:paraId="1FD549A9" w14:textId="77777777" w:rsidR="00FD43EF" w:rsidRPr="00D86B24" w:rsidRDefault="00FD43EF" w:rsidP="00FD43EF">
      <w:pPr>
        <w:rPr>
          <w:color w:val="000000" w:themeColor="text1"/>
        </w:rPr>
      </w:pPr>
      <w:r w:rsidRPr="00D86B24">
        <w:rPr>
          <w:color w:val="000000" w:themeColor="text1"/>
        </w:rPr>
        <w:lastRenderedPageBreak/>
        <w:t>Eerkens, J</w:t>
      </w:r>
      <w:r>
        <w:rPr>
          <w:color w:val="000000" w:themeColor="text1"/>
        </w:rPr>
        <w:t>.</w:t>
      </w:r>
      <w:r w:rsidRPr="00D86B24">
        <w:rPr>
          <w:color w:val="000000" w:themeColor="text1"/>
        </w:rPr>
        <w:t xml:space="preserve"> W., de Voogt,</w:t>
      </w:r>
      <w:r>
        <w:rPr>
          <w:color w:val="000000" w:themeColor="text1"/>
        </w:rPr>
        <w:t xml:space="preserve"> A.,</w:t>
      </w:r>
      <w:r w:rsidRPr="00D86B24">
        <w:rPr>
          <w:color w:val="000000" w:themeColor="text1"/>
        </w:rPr>
        <w:t xml:space="preserve"> Dupras,</w:t>
      </w:r>
      <w:r>
        <w:rPr>
          <w:color w:val="000000" w:themeColor="text1"/>
        </w:rPr>
        <w:t xml:space="preserve"> T. L.,</w:t>
      </w:r>
      <w:r w:rsidRPr="00D86B24">
        <w:rPr>
          <w:color w:val="000000" w:themeColor="text1"/>
        </w:rPr>
        <w:t xml:space="preserve"> Francigny, </w:t>
      </w:r>
      <w:r>
        <w:rPr>
          <w:color w:val="000000" w:themeColor="text1"/>
        </w:rPr>
        <w:t xml:space="preserve">V., &amp; </w:t>
      </w:r>
      <w:r w:rsidRPr="00D86B24">
        <w:rPr>
          <w:color w:val="000000" w:themeColor="text1"/>
        </w:rPr>
        <w:t>Greenwald</w:t>
      </w:r>
      <w:r>
        <w:rPr>
          <w:color w:val="000000" w:themeColor="text1"/>
        </w:rPr>
        <w:t>, A.M. (2018).</w:t>
      </w:r>
      <w:r w:rsidRPr="00D86B24">
        <w:rPr>
          <w:color w:val="000000" w:themeColor="text1"/>
        </w:rPr>
        <w:t xml:space="preserve"> Early childhood diets on the Nile: δ</w:t>
      </w:r>
      <w:r w:rsidRPr="008D0838">
        <w:rPr>
          <w:color w:val="000000" w:themeColor="text1"/>
          <w:vertAlign w:val="superscript"/>
        </w:rPr>
        <w:t>13</w:t>
      </w:r>
      <w:r w:rsidRPr="00D86B24">
        <w:rPr>
          <w:color w:val="000000" w:themeColor="text1"/>
        </w:rPr>
        <w:t>C and δ</w:t>
      </w:r>
      <w:r w:rsidRPr="008D0838">
        <w:rPr>
          <w:color w:val="000000" w:themeColor="text1"/>
          <w:vertAlign w:val="superscript"/>
        </w:rPr>
        <w:t>15</w:t>
      </w:r>
      <w:r w:rsidRPr="00D86B24">
        <w:rPr>
          <w:color w:val="000000" w:themeColor="text1"/>
        </w:rPr>
        <w:t>N in serial samples of permanent first molars in an elite Meroitic population from Sai Island, Sudan. </w:t>
      </w:r>
      <w:r w:rsidRPr="00D86B24">
        <w:rPr>
          <w:i/>
          <w:iCs/>
          <w:color w:val="000000" w:themeColor="text1"/>
        </w:rPr>
        <w:t>International Journal of Osteoarchaeology</w:t>
      </w:r>
      <w:r>
        <w:rPr>
          <w:i/>
          <w:iCs/>
          <w:color w:val="000000" w:themeColor="text1"/>
        </w:rPr>
        <w:t>,</w:t>
      </w:r>
      <w:r w:rsidRPr="00D86B24">
        <w:rPr>
          <w:color w:val="000000" w:themeColor="text1"/>
        </w:rPr>
        <w:t> </w:t>
      </w:r>
      <w:r w:rsidRPr="000E13EE">
        <w:rPr>
          <w:i/>
          <w:color w:val="000000" w:themeColor="text1"/>
        </w:rPr>
        <w:t>28</w:t>
      </w:r>
      <w:r>
        <w:rPr>
          <w:color w:val="000000" w:themeColor="text1"/>
        </w:rPr>
        <w:t>(</w:t>
      </w:r>
      <w:r w:rsidRPr="00D86B24">
        <w:rPr>
          <w:color w:val="000000" w:themeColor="text1"/>
        </w:rPr>
        <w:t>5</w:t>
      </w:r>
      <w:r>
        <w:rPr>
          <w:color w:val="000000" w:themeColor="text1"/>
        </w:rPr>
        <w:t xml:space="preserve">), </w:t>
      </w:r>
      <w:r w:rsidRPr="00D86B24">
        <w:rPr>
          <w:color w:val="000000" w:themeColor="text1"/>
        </w:rPr>
        <w:t>552-562.</w:t>
      </w:r>
    </w:p>
    <w:p w14:paraId="5477A725" w14:textId="77777777" w:rsidR="00FD43EF" w:rsidRPr="00A856DB" w:rsidRDefault="00FD43EF" w:rsidP="00FD43EF">
      <w:pPr>
        <w:rPr>
          <w:color w:val="000000" w:themeColor="text1"/>
          <w:lang w:val="en-US"/>
        </w:rPr>
      </w:pPr>
    </w:p>
    <w:p w14:paraId="0D540C9D" w14:textId="77777777" w:rsidR="00FD43EF" w:rsidRDefault="00FD43EF" w:rsidP="00FD43EF">
      <w:pPr>
        <w:rPr>
          <w:color w:val="000000" w:themeColor="text1"/>
          <w:lang w:val="en-US"/>
        </w:rPr>
      </w:pPr>
      <w:r w:rsidRPr="00A856DB">
        <w:rPr>
          <w:color w:val="000000" w:themeColor="text1"/>
          <w:lang w:val="en-US"/>
        </w:rPr>
        <w:t>Elamin, F</w:t>
      </w:r>
      <w:r>
        <w:rPr>
          <w:color w:val="000000" w:themeColor="text1"/>
          <w:lang w:val="en-US"/>
        </w:rPr>
        <w:t>.</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Liversidge</w:t>
      </w:r>
      <w:r>
        <w:rPr>
          <w:color w:val="000000" w:themeColor="text1"/>
          <w:lang w:val="en-US"/>
        </w:rPr>
        <w:t>, H.M. (2013).</w:t>
      </w:r>
      <w:r w:rsidRPr="00A856DB">
        <w:rPr>
          <w:color w:val="000000" w:themeColor="text1"/>
          <w:lang w:val="en-US"/>
        </w:rPr>
        <w:t xml:space="preserve"> Malnutrition has no effect on the timing of human tooth formation.</w:t>
      </w:r>
      <w:r>
        <w:rPr>
          <w:color w:val="000000" w:themeColor="text1"/>
          <w:lang w:val="en-US"/>
        </w:rPr>
        <w:t xml:space="preserve"> </w:t>
      </w:r>
      <w:r w:rsidRPr="00A856DB">
        <w:rPr>
          <w:i/>
          <w:color w:val="000000" w:themeColor="text1"/>
          <w:lang w:val="en-US"/>
        </w:rPr>
        <w:t>PloS One</w:t>
      </w:r>
      <w:r>
        <w:rPr>
          <w:i/>
          <w:color w:val="000000" w:themeColor="text1"/>
          <w:lang w:val="en-US"/>
        </w:rPr>
        <w:t>,</w:t>
      </w:r>
      <w:r w:rsidRPr="00A856DB">
        <w:rPr>
          <w:color w:val="000000" w:themeColor="text1"/>
          <w:lang w:val="en-US"/>
        </w:rPr>
        <w:t xml:space="preserve"> </w:t>
      </w:r>
      <w:r w:rsidRPr="003A74E0">
        <w:rPr>
          <w:i/>
          <w:color w:val="000000" w:themeColor="text1"/>
          <w:lang w:val="en-US"/>
        </w:rPr>
        <w:t>8</w:t>
      </w:r>
      <w:r>
        <w:rPr>
          <w:color w:val="000000" w:themeColor="text1"/>
          <w:lang w:val="en-US"/>
        </w:rPr>
        <w:t>(</w:t>
      </w:r>
      <w:r w:rsidRPr="00A856DB">
        <w:rPr>
          <w:color w:val="000000" w:themeColor="text1"/>
          <w:lang w:val="en-US"/>
        </w:rPr>
        <w:t>8</w:t>
      </w:r>
      <w:r>
        <w:rPr>
          <w:color w:val="000000" w:themeColor="text1"/>
          <w:lang w:val="en-US"/>
        </w:rPr>
        <w:t>),</w:t>
      </w:r>
      <w:r w:rsidRPr="00A856DB">
        <w:rPr>
          <w:color w:val="000000" w:themeColor="text1"/>
          <w:lang w:val="en-US"/>
        </w:rPr>
        <w:t xml:space="preserve"> e72274.</w:t>
      </w:r>
    </w:p>
    <w:p w14:paraId="6C74922A" w14:textId="77777777" w:rsidR="00FD43EF" w:rsidRPr="00A856DB" w:rsidRDefault="00FD43EF" w:rsidP="00FD43EF">
      <w:pPr>
        <w:rPr>
          <w:color w:val="000000" w:themeColor="text1"/>
          <w:lang w:val="en-US"/>
        </w:rPr>
      </w:pPr>
    </w:p>
    <w:p w14:paraId="4F1838C3" w14:textId="77777777" w:rsidR="00FD43EF" w:rsidRPr="00A856DB" w:rsidRDefault="00FD43EF" w:rsidP="00FD43EF">
      <w:pPr>
        <w:rPr>
          <w:color w:val="000000" w:themeColor="text1"/>
          <w:lang w:val="en-US"/>
        </w:rPr>
      </w:pPr>
      <w:r w:rsidRPr="00A856DB">
        <w:rPr>
          <w:color w:val="000000" w:themeColor="text1"/>
          <w:lang w:val="en-US"/>
        </w:rPr>
        <w:t>Evacitas, F</w:t>
      </w:r>
      <w:r>
        <w:rPr>
          <w:color w:val="000000" w:themeColor="text1"/>
          <w:lang w:val="en-US"/>
        </w:rPr>
        <w:t>.</w:t>
      </w:r>
      <w:r w:rsidRPr="00A856DB">
        <w:rPr>
          <w:color w:val="000000" w:themeColor="text1"/>
          <w:lang w:val="en-US"/>
        </w:rPr>
        <w:t xml:space="preserve"> C</w:t>
      </w:r>
      <w:r>
        <w:rPr>
          <w:color w:val="000000" w:themeColor="text1"/>
          <w:lang w:val="en-US"/>
        </w:rPr>
        <w:t>.</w:t>
      </w:r>
      <w:r w:rsidRPr="00A856DB">
        <w:rPr>
          <w:color w:val="000000" w:themeColor="text1"/>
          <w:lang w:val="en-US"/>
        </w:rPr>
        <w:t>, Worthy,</w:t>
      </w:r>
      <w:r>
        <w:rPr>
          <w:color w:val="000000" w:themeColor="text1"/>
          <w:lang w:val="en-US"/>
        </w:rPr>
        <w:t xml:space="preserve"> G.A.J.,</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Chou</w:t>
      </w:r>
      <w:r>
        <w:rPr>
          <w:color w:val="000000" w:themeColor="text1"/>
          <w:lang w:val="en-US"/>
        </w:rPr>
        <w:t>, L.S. (2016).</w:t>
      </w:r>
      <w:r w:rsidRPr="00A856DB">
        <w:rPr>
          <w:color w:val="000000" w:themeColor="text1"/>
          <w:lang w:val="en-US"/>
        </w:rPr>
        <w:t xml:space="preserve"> Alternative method for subsampling annual dentin layers in small mammalian teeth for stable isotope analysis. </w:t>
      </w:r>
      <w:r w:rsidRPr="00A856DB">
        <w:rPr>
          <w:i/>
          <w:color w:val="000000" w:themeColor="text1"/>
          <w:lang w:val="en-US"/>
        </w:rPr>
        <w:t>Journal of Archaeological Science</w:t>
      </w:r>
      <w:r>
        <w:rPr>
          <w:i/>
          <w:color w:val="000000" w:themeColor="text1"/>
          <w:lang w:val="en-US"/>
        </w:rPr>
        <w:t>,</w:t>
      </w:r>
      <w:r w:rsidRPr="00C018BA">
        <w:rPr>
          <w:i/>
          <w:color w:val="000000" w:themeColor="text1"/>
          <w:lang w:val="en-US"/>
        </w:rPr>
        <w:t xml:space="preserve"> 66</w:t>
      </w:r>
      <w:r>
        <w:rPr>
          <w:color w:val="000000" w:themeColor="text1"/>
          <w:lang w:val="en-US"/>
        </w:rPr>
        <w:t xml:space="preserve">(1), </w:t>
      </w:r>
      <w:r w:rsidRPr="00A856DB">
        <w:rPr>
          <w:color w:val="000000" w:themeColor="text1"/>
          <w:lang w:val="en-US"/>
        </w:rPr>
        <w:t>112-119.</w:t>
      </w:r>
    </w:p>
    <w:p w14:paraId="6F467311" w14:textId="77777777" w:rsidR="00FD43EF" w:rsidRPr="00A856DB" w:rsidRDefault="00FD43EF" w:rsidP="00FD43EF">
      <w:pPr>
        <w:rPr>
          <w:color w:val="000000" w:themeColor="text1"/>
          <w:lang w:val="en-US"/>
        </w:rPr>
      </w:pPr>
    </w:p>
    <w:p w14:paraId="7CB95865" w14:textId="2C54F1B3" w:rsidR="00FD43EF" w:rsidRPr="00A856DB" w:rsidRDefault="00FD43EF" w:rsidP="00FD43EF">
      <w:pPr>
        <w:rPr>
          <w:color w:val="000000" w:themeColor="text1"/>
          <w:lang w:val="en-US"/>
        </w:rPr>
      </w:pPr>
      <w:r w:rsidRPr="00A856DB">
        <w:rPr>
          <w:color w:val="000000" w:themeColor="text1"/>
          <w:lang w:val="en-US"/>
        </w:rPr>
        <w:t>Faber, A.</w:t>
      </w:r>
      <w:r>
        <w:rPr>
          <w:color w:val="000000" w:themeColor="text1"/>
          <w:lang w:val="en-US"/>
        </w:rPr>
        <w:t xml:space="preserve"> (1998).</w:t>
      </w:r>
      <w:r w:rsidRPr="00A856DB">
        <w:rPr>
          <w:color w:val="000000" w:themeColor="text1"/>
          <w:lang w:val="en-US"/>
        </w:rPr>
        <w:t xml:space="preserve"> </w:t>
      </w:r>
      <w:r w:rsidRPr="00A856DB">
        <w:rPr>
          <w:i/>
          <w:iCs/>
          <w:color w:val="000000" w:themeColor="text1"/>
          <w:lang w:val="en-US"/>
        </w:rPr>
        <w:t xml:space="preserve">Das </w:t>
      </w:r>
      <w:r w:rsidR="00FD25D7">
        <w:rPr>
          <w:i/>
          <w:iCs/>
          <w:color w:val="000000" w:themeColor="text1"/>
          <w:lang w:val="en-US"/>
        </w:rPr>
        <w:t>R</w:t>
      </w:r>
      <w:r w:rsidRPr="00A856DB">
        <w:rPr>
          <w:i/>
          <w:iCs/>
          <w:color w:val="000000" w:themeColor="text1"/>
          <w:lang w:val="en-US"/>
        </w:rPr>
        <w:t>ömische Gräberfeld auf der Keckwiese in Kempten</w:t>
      </w:r>
      <w:r w:rsidRPr="00A856DB">
        <w:rPr>
          <w:color w:val="000000" w:themeColor="text1"/>
          <w:lang w:val="en-US"/>
        </w:rPr>
        <w:t>. Kallmünz: Verlag Michael Laßleben</w:t>
      </w:r>
      <w:r>
        <w:rPr>
          <w:color w:val="000000" w:themeColor="text1"/>
          <w:lang w:val="en-US"/>
        </w:rPr>
        <w:t>.</w:t>
      </w:r>
    </w:p>
    <w:p w14:paraId="6D811965" w14:textId="77777777" w:rsidR="00FD43EF" w:rsidRPr="00A856DB" w:rsidRDefault="00FD43EF" w:rsidP="00FD43EF">
      <w:pPr>
        <w:rPr>
          <w:color w:val="000000" w:themeColor="text1"/>
          <w:lang w:val="en-US"/>
        </w:rPr>
      </w:pPr>
    </w:p>
    <w:p w14:paraId="0CB81787" w14:textId="7D3D09B6" w:rsidR="00FD43EF" w:rsidRPr="00A856DB" w:rsidRDefault="00FD43EF" w:rsidP="00FD43EF">
      <w:pPr>
        <w:rPr>
          <w:color w:val="000000" w:themeColor="text1"/>
          <w:lang w:val="en-US"/>
        </w:rPr>
      </w:pPr>
      <w:r w:rsidRPr="00A856DB">
        <w:rPr>
          <w:color w:val="000000" w:themeColor="text1"/>
          <w:lang w:val="en-US"/>
        </w:rPr>
        <w:t>Fildes, V.</w:t>
      </w:r>
      <w:r>
        <w:rPr>
          <w:color w:val="000000" w:themeColor="text1"/>
          <w:lang w:val="en-US"/>
        </w:rPr>
        <w:t xml:space="preserve"> (1986).</w:t>
      </w:r>
      <w:r w:rsidRPr="00A856DB">
        <w:rPr>
          <w:color w:val="000000" w:themeColor="text1"/>
          <w:lang w:val="en-US"/>
        </w:rPr>
        <w:t xml:space="preserve"> </w:t>
      </w:r>
      <w:r w:rsidRPr="00A856DB">
        <w:rPr>
          <w:i/>
          <w:color w:val="000000" w:themeColor="text1"/>
          <w:lang w:val="en-US"/>
        </w:rPr>
        <w:t xml:space="preserve">Breasts, </w:t>
      </w:r>
      <w:r w:rsidR="00FD25D7">
        <w:rPr>
          <w:i/>
          <w:color w:val="000000" w:themeColor="text1"/>
          <w:lang w:val="en-US"/>
        </w:rPr>
        <w:t>B</w:t>
      </w:r>
      <w:r w:rsidRPr="00A856DB">
        <w:rPr>
          <w:i/>
          <w:color w:val="000000" w:themeColor="text1"/>
          <w:lang w:val="en-US"/>
        </w:rPr>
        <w:t xml:space="preserve">ottles, and </w:t>
      </w:r>
      <w:r w:rsidR="00FD25D7">
        <w:rPr>
          <w:i/>
          <w:color w:val="000000" w:themeColor="text1"/>
          <w:lang w:val="en-US"/>
        </w:rPr>
        <w:t>B</w:t>
      </w:r>
      <w:r w:rsidRPr="00A856DB">
        <w:rPr>
          <w:i/>
          <w:color w:val="000000" w:themeColor="text1"/>
          <w:lang w:val="en-US"/>
        </w:rPr>
        <w:t xml:space="preserve">abies: </w:t>
      </w:r>
      <w:r w:rsidR="00FD25D7">
        <w:rPr>
          <w:i/>
          <w:color w:val="000000" w:themeColor="text1"/>
          <w:lang w:val="en-US"/>
        </w:rPr>
        <w:t>A</w:t>
      </w:r>
      <w:r w:rsidRPr="00A856DB">
        <w:rPr>
          <w:i/>
          <w:color w:val="000000" w:themeColor="text1"/>
          <w:lang w:val="en-US"/>
        </w:rPr>
        <w:t xml:space="preserve"> </w:t>
      </w:r>
      <w:r w:rsidR="00FD25D7">
        <w:rPr>
          <w:i/>
          <w:color w:val="000000" w:themeColor="text1"/>
          <w:lang w:val="en-US"/>
        </w:rPr>
        <w:t>H</w:t>
      </w:r>
      <w:r w:rsidRPr="00A856DB">
        <w:rPr>
          <w:i/>
          <w:color w:val="000000" w:themeColor="text1"/>
          <w:lang w:val="en-US"/>
        </w:rPr>
        <w:t xml:space="preserve">istory of </w:t>
      </w:r>
      <w:r w:rsidR="00FD25D7">
        <w:rPr>
          <w:i/>
          <w:color w:val="000000" w:themeColor="text1"/>
          <w:lang w:val="en-US"/>
        </w:rPr>
        <w:t>I</w:t>
      </w:r>
      <w:r w:rsidRPr="00A856DB">
        <w:rPr>
          <w:i/>
          <w:color w:val="000000" w:themeColor="text1"/>
          <w:lang w:val="en-US"/>
        </w:rPr>
        <w:t xml:space="preserve">nfant </w:t>
      </w:r>
      <w:r w:rsidR="00FD25D7">
        <w:rPr>
          <w:i/>
          <w:color w:val="000000" w:themeColor="text1"/>
          <w:lang w:val="en-US"/>
        </w:rPr>
        <w:t>F</w:t>
      </w:r>
      <w:r w:rsidRPr="00A856DB">
        <w:rPr>
          <w:i/>
          <w:color w:val="000000" w:themeColor="text1"/>
          <w:lang w:val="en-US"/>
        </w:rPr>
        <w:t xml:space="preserve">eeding. </w:t>
      </w:r>
      <w:r w:rsidRPr="00A856DB">
        <w:rPr>
          <w:color w:val="000000" w:themeColor="text1"/>
          <w:lang w:val="en-US"/>
        </w:rPr>
        <w:t>Edinburgh: Edinburgh University Press</w:t>
      </w:r>
      <w:r>
        <w:rPr>
          <w:color w:val="000000" w:themeColor="text1"/>
          <w:lang w:val="en-US"/>
        </w:rPr>
        <w:t>.</w:t>
      </w:r>
    </w:p>
    <w:p w14:paraId="0D6B55CF" w14:textId="77777777" w:rsidR="00FD43EF" w:rsidRPr="00A856DB" w:rsidRDefault="00FD43EF" w:rsidP="00FD43EF">
      <w:pPr>
        <w:rPr>
          <w:color w:val="000000" w:themeColor="text1"/>
          <w:lang w:val="en-US"/>
        </w:rPr>
      </w:pPr>
    </w:p>
    <w:p w14:paraId="69C7AFC7" w14:textId="77777777" w:rsidR="00FD43EF" w:rsidRPr="003228EA" w:rsidRDefault="00FD43EF" w:rsidP="00FD43EF">
      <w:r w:rsidRPr="00A856DB">
        <w:rPr>
          <w:lang w:val="en-US"/>
        </w:rPr>
        <w:t xml:space="preserve">Fildes, </w:t>
      </w:r>
      <w:r>
        <w:rPr>
          <w:lang w:val="en-US"/>
        </w:rPr>
        <w:t>V.</w:t>
      </w:r>
      <w:r w:rsidRPr="00A856DB">
        <w:rPr>
          <w:lang w:val="en-US"/>
        </w:rPr>
        <w:t>, Stuart-Macadam,</w:t>
      </w:r>
      <w:r>
        <w:rPr>
          <w:lang w:val="en-US"/>
        </w:rPr>
        <w:t xml:space="preserve"> P.,</w:t>
      </w:r>
      <w:r w:rsidRPr="00A856DB">
        <w:rPr>
          <w:lang w:val="en-US"/>
        </w:rPr>
        <w:t xml:space="preserve"> </w:t>
      </w:r>
      <w:r>
        <w:rPr>
          <w:lang w:val="en-US"/>
        </w:rPr>
        <w:t xml:space="preserve">&amp; </w:t>
      </w:r>
      <w:r w:rsidRPr="00A856DB">
        <w:rPr>
          <w:lang w:val="en-US"/>
        </w:rPr>
        <w:t>Dettwyler</w:t>
      </w:r>
      <w:r>
        <w:rPr>
          <w:lang w:val="en-US"/>
        </w:rPr>
        <w:t>, K.A. (1995).</w:t>
      </w:r>
      <w:r w:rsidRPr="00A856DB">
        <w:rPr>
          <w:lang w:val="en-US"/>
        </w:rPr>
        <w:t xml:space="preserve"> </w:t>
      </w:r>
      <w:r w:rsidRPr="003228EA">
        <w:rPr>
          <w:i/>
          <w:lang w:val="en-US"/>
        </w:rPr>
        <w:t>Breastfeeding: Biocultural Perspectives</w:t>
      </w:r>
      <w:r w:rsidRPr="00A856DB">
        <w:rPr>
          <w:lang w:val="en-US"/>
        </w:rPr>
        <w:t>.</w:t>
      </w:r>
      <w:r>
        <w:rPr>
          <w:lang w:val="en-US"/>
        </w:rPr>
        <w:t xml:space="preserve"> New York: </w:t>
      </w:r>
      <w:r>
        <w:t xml:space="preserve">Routledge. </w:t>
      </w:r>
    </w:p>
    <w:p w14:paraId="2CAF4D5F" w14:textId="77777777" w:rsidR="00FD43EF" w:rsidRPr="00A856DB" w:rsidRDefault="00FD43EF" w:rsidP="00FD43EF">
      <w:pPr>
        <w:rPr>
          <w:lang w:val="en-US"/>
        </w:rPr>
      </w:pPr>
    </w:p>
    <w:p w14:paraId="5C37F473" w14:textId="7665041A" w:rsidR="00FD43EF" w:rsidRPr="00A856DB" w:rsidRDefault="00FD43EF" w:rsidP="00FD43EF">
      <w:pPr>
        <w:rPr>
          <w:lang w:val="en-US"/>
        </w:rPr>
      </w:pPr>
      <w:r w:rsidRPr="00A856DB">
        <w:rPr>
          <w:lang w:val="en-US"/>
        </w:rPr>
        <w:t>FitzGerald, C</w:t>
      </w:r>
      <w:r>
        <w:rPr>
          <w:lang w:val="en-US"/>
        </w:rPr>
        <w:t>.</w:t>
      </w:r>
      <w:r w:rsidRPr="00A856DB">
        <w:rPr>
          <w:lang w:val="en-US"/>
        </w:rPr>
        <w:t xml:space="preserve"> M., </w:t>
      </w:r>
      <w:r>
        <w:rPr>
          <w:lang w:val="en-US"/>
        </w:rPr>
        <w:t>&amp;</w:t>
      </w:r>
      <w:r w:rsidRPr="00A856DB">
        <w:rPr>
          <w:lang w:val="en-US"/>
        </w:rPr>
        <w:t xml:space="preserve"> Saunders</w:t>
      </w:r>
      <w:r>
        <w:rPr>
          <w:lang w:val="en-US"/>
        </w:rPr>
        <w:t>, S.</w:t>
      </w:r>
      <w:r w:rsidR="000E7230">
        <w:rPr>
          <w:lang w:val="en-US"/>
        </w:rPr>
        <w:t xml:space="preserve"> </w:t>
      </w:r>
      <w:r>
        <w:rPr>
          <w:lang w:val="en-US"/>
        </w:rPr>
        <w:t>R. (2005).</w:t>
      </w:r>
      <w:r w:rsidRPr="00A856DB">
        <w:rPr>
          <w:lang w:val="en-US"/>
        </w:rPr>
        <w:t xml:space="preserve"> Test of histological methods of determining chronology of accentuated striae in deciduous teeth. </w:t>
      </w:r>
      <w:r w:rsidRPr="00A856DB">
        <w:rPr>
          <w:i/>
          <w:lang w:val="en-US"/>
        </w:rPr>
        <w:t>American Journal of Physical Anthropology</w:t>
      </w:r>
      <w:r>
        <w:rPr>
          <w:i/>
          <w:lang w:val="en-US"/>
        </w:rPr>
        <w:t xml:space="preserve">, </w:t>
      </w:r>
      <w:r w:rsidRPr="003228EA">
        <w:rPr>
          <w:i/>
          <w:lang w:val="en-US"/>
        </w:rPr>
        <w:t>127</w:t>
      </w:r>
      <w:r>
        <w:rPr>
          <w:lang w:val="en-US"/>
        </w:rPr>
        <w:t xml:space="preserve">(3), </w:t>
      </w:r>
      <w:r w:rsidRPr="00A856DB">
        <w:rPr>
          <w:lang w:val="en-US"/>
        </w:rPr>
        <w:t>277-290.</w:t>
      </w:r>
    </w:p>
    <w:p w14:paraId="69A9CFCB" w14:textId="77777777" w:rsidR="00FD43EF" w:rsidRPr="00A856DB" w:rsidRDefault="00FD43EF" w:rsidP="00FD43EF">
      <w:pPr>
        <w:rPr>
          <w:lang w:val="en-US"/>
        </w:rPr>
      </w:pPr>
    </w:p>
    <w:p w14:paraId="32958DCA" w14:textId="2233AB4E" w:rsidR="00FD43EF" w:rsidRPr="00A856DB" w:rsidRDefault="00FD43EF" w:rsidP="00FD43EF">
      <w:pPr>
        <w:rPr>
          <w:lang w:val="en-US"/>
        </w:rPr>
      </w:pPr>
      <w:r w:rsidRPr="00A856DB">
        <w:rPr>
          <w:lang w:val="en-US"/>
        </w:rPr>
        <w:t>FitzGerald, C</w:t>
      </w:r>
      <w:r>
        <w:rPr>
          <w:lang w:val="en-US"/>
        </w:rPr>
        <w:t>.</w:t>
      </w:r>
      <w:r w:rsidRPr="00A856DB">
        <w:rPr>
          <w:lang w:val="en-US"/>
        </w:rPr>
        <w:t xml:space="preserve">, Saunders, </w:t>
      </w:r>
      <w:r>
        <w:rPr>
          <w:lang w:val="en-US"/>
        </w:rPr>
        <w:t xml:space="preserve">S., </w:t>
      </w:r>
      <w:r w:rsidRPr="00A856DB">
        <w:rPr>
          <w:lang w:val="en-US"/>
        </w:rPr>
        <w:t>Bondioli,</w:t>
      </w:r>
      <w:r>
        <w:rPr>
          <w:lang w:val="en-US"/>
        </w:rPr>
        <w:t xml:space="preserve"> L.,</w:t>
      </w:r>
      <w:r w:rsidRPr="00A856DB">
        <w:rPr>
          <w:lang w:val="en-US"/>
        </w:rPr>
        <w:t xml:space="preserve"> </w:t>
      </w:r>
      <w:r>
        <w:rPr>
          <w:lang w:val="en-US"/>
        </w:rPr>
        <w:t>&amp;</w:t>
      </w:r>
      <w:r w:rsidRPr="00A856DB">
        <w:rPr>
          <w:lang w:val="en-US"/>
        </w:rPr>
        <w:t xml:space="preserve"> Macchiarelli</w:t>
      </w:r>
      <w:r>
        <w:rPr>
          <w:lang w:val="en-US"/>
        </w:rPr>
        <w:t>, R. (2006).</w:t>
      </w:r>
      <w:r w:rsidRPr="00A856DB">
        <w:rPr>
          <w:lang w:val="en-US"/>
        </w:rPr>
        <w:t xml:space="preserve"> Health of infants in an Imperial Roman skeletal sample: </w:t>
      </w:r>
      <w:r w:rsidR="008D0838">
        <w:rPr>
          <w:lang w:val="en-US"/>
        </w:rPr>
        <w:t>P</w:t>
      </w:r>
      <w:r w:rsidRPr="00A856DB">
        <w:rPr>
          <w:lang w:val="en-US"/>
        </w:rPr>
        <w:t xml:space="preserve">erspective from dental microstructure. </w:t>
      </w:r>
      <w:r w:rsidRPr="00A856DB">
        <w:rPr>
          <w:i/>
          <w:lang w:val="en-US"/>
        </w:rPr>
        <w:t>American Journal of Physical Anthropology</w:t>
      </w:r>
      <w:r>
        <w:rPr>
          <w:i/>
          <w:lang w:val="en-US"/>
        </w:rPr>
        <w:t>,</w:t>
      </w:r>
      <w:r w:rsidRPr="00A856DB">
        <w:rPr>
          <w:lang w:val="en-US"/>
        </w:rPr>
        <w:t xml:space="preserve"> </w:t>
      </w:r>
      <w:r w:rsidRPr="00C21D9E">
        <w:rPr>
          <w:i/>
          <w:lang w:val="en-US"/>
        </w:rPr>
        <w:t>130</w:t>
      </w:r>
      <w:r>
        <w:rPr>
          <w:lang w:val="en-US"/>
        </w:rPr>
        <w:t xml:space="preserve">(2), </w:t>
      </w:r>
      <w:r w:rsidRPr="00A856DB">
        <w:rPr>
          <w:lang w:val="en-US"/>
        </w:rPr>
        <w:t>179-189.</w:t>
      </w:r>
    </w:p>
    <w:p w14:paraId="2E6D5F91" w14:textId="77777777" w:rsidR="00FD43EF" w:rsidRPr="00A856DB" w:rsidRDefault="00FD43EF" w:rsidP="00FD43EF">
      <w:pPr>
        <w:rPr>
          <w:lang w:val="en-US"/>
        </w:rPr>
      </w:pPr>
    </w:p>
    <w:p w14:paraId="34F807B5" w14:textId="77777777" w:rsidR="00FD43EF" w:rsidRPr="00A856DB" w:rsidRDefault="00FD43EF" w:rsidP="00FD43EF">
      <w:pPr>
        <w:rPr>
          <w:lang w:val="en-US"/>
        </w:rPr>
      </w:pPr>
      <w:r w:rsidRPr="00A856DB">
        <w:rPr>
          <w:lang w:val="en-US"/>
        </w:rPr>
        <w:t>Fletcher</w:t>
      </w:r>
      <w:r>
        <w:rPr>
          <w:lang w:val="en-US"/>
        </w:rPr>
        <w:t>,</w:t>
      </w:r>
      <w:r w:rsidRPr="00A856DB">
        <w:rPr>
          <w:lang w:val="en-US"/>
        </w:rPr>
        <w:t xml:space="preserve"> R</w:t>
      </w:r>
      <w:r>
        <w:rPr>
          <w:lang w:val="en-US"/>
        </w:rPr>
        <w:t>.</w:t>
      </w:r>
      <w:r w:rsidRPr="00A856DB">
        <w:rPr>
          <w:lang w:val="en-US"/>
        </w:rPr>
        <w:t>N.</w:t>
      </w:r>
      <w:r>
        <w:rPr>
          <w:lang w:val="en-US"/>
        </w:rPr>
        <w:t xml:space="preserve"> (2007).</w:t>
      </w:r>
      <w:r w:rsidRPr="00A856DB">
        <w:rPr>
          <w:lang w:val="en-US"/>
        </w:rPr>
        <w:t xml:space="preserve"> </w:t>
      </w:r>
      <w:r w:rsidRPr="00A856DB">
        <w:rPr>
          <w:i/>
          <w:lang w:val="en-US"/>
        </w:rPr>
        <w:t>Patterns of Imports in Iron Age Italy</w:t>
      </w:r>
      <w:r w:rsidRPr="00A856DB">
        <w:rPr>
          <w:lang w:val="en-US"/>
        </w:rPr>
        <w:t>. Oxford: Archeopress</w:t>
      </w:r>
      <w:r>
        <w:rPr>
          <w:lang w:val="en-US"/>
        </w:rPr>
        <w:t>.</w:t>
      </w:r>
    </w:p>
    <w:p w14:paraId="2A4C6FEA" w14:textId="77777777" w:rsidR="00FD43EF" w:rsidRPr="00A856DB" w:rsidRDefault="00FD43EF" w:rsidP="00FD43EF">
      <w:pPr>
        <w:rPr>
          <w:lang w:val="en-US"/>
        </w:rPr>
      </w:pPr>
    </w:p>
    <w:p w14:paraId="516E3095" w14:textId="77777777" w:rsidR="00FD43EF" w:rsidRPr="00A856DB" w:rsidRDefault="00FD43EF" w:rsidP="00FD43EF">
      <w:pPr>
        <w:rPr>
          <w:lang w:val="en-US"/>
        </w:rPr>
      </w:pPr>
      <w:r w:rsidRPr="00A856DB">
        <w:rPr>
          <w:lang w:val="en-US"/>
        </w:rPr>
        <w:t xml:space="preserve">Fogel, M. L., Tuross, N., &amp; Owsley, D. W. </w:t>
      </w:r>
      <w:r>
        <w:rPr>
          <w:lang w:val="en-US"/>
        </w:rPr>
        <w:t xml:space="preserve">(1989). </w:t>
      </w:r>
      <w:r w:rsidRPr="00A856DB">
        <w:rPr>
          <w:lang w:val="en-US"/>
        </w:rPr>
        <w:t xml:space="preserve">Nitrogen isotope tracers of human lactation in modern and archaeological populations. </w:t>
      </w:r>
      <w:r w:rsidRPr="00A856DB">
        <w:rPr>
          <w:i/>
          <w:lang w:val="en-US"/>
        </w:rPr>
        <w:t>Carnegie Institution of Washington Yearbook</w:t>
      </w:r>
      <w:r>
        <w:rPr>
          <w:i/>
          <w:lang w:val="en-US"/>
        </w:rPr>
        <w:t>,</w:t>
      </w:r>
      <w:r w:rsidRPr="00A856DB">
        <w:rPr>
          <w:lang w:val="en-US"/>
        </w:rPr>
        <w:t xml:space="preserve"> </w:t>
      </w:r>
      <w:r w:rsidRPr="00C21D9E">
        <w:rPr>
          <w:i/>
          <w:lang w:val="en-US"/>
        </w:rPr>
        <w:t>88</w:t>
      </w:r>
      <w:r>
        <w:rPr>
          <w:lang w:val="en-US"/>
        </w:rPr>
        <w:t>(1),</w:t>
      </w:r>
      <w:r w:rsidRPr="00A856DB">
        <w:rPr>
          <w:lang w:val="en-US"/>
        </w:rPr>
        <w:t xml:space="preserve"> 111-117.</w:t>
      </w:r>
    </w:p>
    <w:p w14:paraId="0B4AB666" w14:textId="77777777" w:rsidR="00FD43EF" w:rsidRPr="00A856DB" w:rsidRDefault="00FD43EF" w:rsidP="00FD43EF">
      <w:pPr>
        <w:rPr>
          <w:lang w:val="en-US"/>
        </w:rPr>
      </w:pPr>
    </w:p>
    <w:p w14:paraId="4C441A9B" w14:textId="77777777" w:rsidR="00FD43EF" w:rsidRPr="00A856DB" w:rsidRDefault="00FD43EF" w:rsidP="00FD43EF">
      <w:pPr>
        <w:rPr>
          <w:color w:val="000000" w:themeColor="text1"/>
          <w:lang w:val="en-US"/>
        </w:rPr>
      </w:pPr>
      <w:r w:rsidRPr="00A856DB">
        <w:rPr>
          <w:color w:val="000000" w:themeColor="text1"/>
          <w:lang w:val="en-US"/>
        </w:rPr>
        <w:t>Forfar, J. O., Arneil, G. C., Campbell, A. G. M., &amp; McIntosh, N. (Eds.)</w:t>
      </w:r>
      <w:r>
        <w:rPr>
          <w:color w:val="000000" w:themeColor="text1"/>
          <w:lang w:val="en-US"/>
        </w:rPr>
        <w:t>. (1998).</w:t>
      </w:r>
      <w:r w:rsidRPr="00A856DB">
        <w:rPr>
          <w:color w:val="000000" w:themeColor="text1"/>
          <w:lang w:val="en-US"/>
        </w:rPr>
        <w:t xml:space="preserve"> </w:t>
      </w:r>
      <w:r w:rsidRPr="00A856DB">
        <w:rPr>
          <w:i/>
          <w:color w:val="000000" w:themeColor="text1"/>
          <w:lang w:val="en-US"/>
        </w:rPr>
        <w:t xml:space="preserve">Forfar and Arneil's </w:t>
      </w:r>
      <w:r w:rsidRPr="00D36C8B">
        <w:rPr>
          <w:i/>
          <w:color w:val="000000" w:themeColor="text1"/>
          <w:lang w:val="en-US"/>
        </w:rPr>
        <w:t>T</w:t>
      </w:r>
      <w:r w:rsidRPr="00A856DB">
        <w:rPr>
          <w:i/>
          <w:color w:val="000000" w:themeColor="text1"/>
          <w:lang w:val="en-US"/>
        </w:rPr>
        <w:t>extbook of Paediatrics</w:t>
      </w:r>
      <w:r w:rsidRPr="00A856DB">
        <w:rPr>
          <w:color w:val="000000" w:themeColor="text1"/>
          <w:lang w:val="en-US"/>
        </w:rPr>
        <w:t>. New York: Churchill Livingstone</w:t>
      </w:r>
      <w:r>
        <w:rPr>
          <w:color w:val="000000" w:themeColor="text1"/>
          <w:lang w:val="en-US"/>
        </w:rPr>
        <w:t>.</w:t>
      </w:r>
    </w:p>
    <w:p w14:paraId="6BBD84F2" w14:textId="77777777" w:rsidR="00FD43EF" w:rsidRPr="00A856DB" w:rsidRDefault="00FD43EF" w:rsidP="00FD43EF">
      <w:pPr>
        <w:rPr>
          <w:color w:val="000000" w:themeColor="text1"/>
          <w:lang w:val="en-US"/>
        </w:rPr>
      </w:pPr>
    </w:p>
    <w:p w14:paraId="60A2338B" w14:textId="77777777" w:rsidR="00FD43EF" w:rsidRPr="00A856DB" w:rsidRDefault="00FD43EF" w:rsidP="00FD43EF">
      <w:pPr>
        <w:rPr>
          <w:color w:val="000000" w:themeColor="text1"/>
          <w:lang w:val="en-US"/>
        </w:rPr>
      </w:pPr>
      <w:r w:rsidRPr="004E566A">
        <w:rPr>
          <w:color w:val="000000" w:themeColor="text1"/>
          <w:lang w:val="en-US"/>
        </w:rPr>
        <w:t xml:space="preserve">Forfar, J. O., Arneil, G. C., McIntosh, N., Helms, P. J., &amp; Smyth, R. L. (Eds.). (2003). </w:t>
      </w:r>
      <w:r w:rsidRPr="004E566A">
        <w:rPr>
          <w:i/>
          <w:color w:val="000000" w:themeColor="text1"/>
          <w:lang w:val="en-US"/>
        </w:rPr>
        <w:t>Forfar and Arneil's Textbook of Pediatrics.</w:t>
      </w:r>
      <w:r w:rsidRPr="004E566A">
        <w:rPr>
          <w:color w:val="000000" w:themeColor="text1"/>
          <w:lang w:val="en-US"/>
        </w:rPr>
        <w:t xml:space="preserve"> 2</w:t>
      </w:r>
      <w:r w:rsidRPr="004E566A">
        <w:rPr>
          <w:color w:val="000000" w:themeColor="text1"/>
          <w:vertAlign w:val="superscript"/>
          <w:lang w:val="en-US"/>
        </w:rPr>
        <w:t>nd</w:t>
      </w:r>
      <w:r w:rsidRPr="004E566A">
        <w:rPr>
          <w:color w:val="000000" w:themeColor="text1"/>
          <w:lang w:val="en-US"/>
        </w:rPr>
        <w:t xml:space="preserve"> Edition. Edinburgh: Churchill Livingstone.</w:t>
      </w:r>
    </w:p>
    <w:p w14:paraId="49A0509C" w14:textId="77777777" w:rsidR="00FD43EF" w:rsidRPr="00A856DB" w:rsidRDefault="00FD43EF" w:rsidP="00FD43EF">
      <w:pPr>
        <w:rPr>
          <w:color w:val="000000" w:themeColor="text1"/>
          <w:lang w:val="en-US"/>
        </w:rPr>
      </w:pPr>
    </w:p>
    <w:p w14:paraId="264146D7" w14:textId="77777777" w:rsidR="00FD43EF" w:rsidRPr="00A856DB" w:rsidRDefault="00FD43EF" w:rsidP="00FD43EF">
      <w:pPr>
        <w:rPr>
          <w:color w:val="000000" w:themeColor="text1"/>
          <w:lang w:val="en-US"/>
        </w:rPr>
      </w:pPr>
      <w:r w:rsidRPr="00A856DB">
        <w:rPr>
          <w:color w:val="000000" w:themeColor="text1"/>
          <w:lang w:val="en-US"/>
        </w:rPr>
        <w:lastRenderedPageBreak/>
        <w:t>Franz-Odendaal, T</w:t>
      </w:r>
      <w:r>
        <w:rPr>
          <w:color w:val="000000" w:themeColor="text1"/>
          <w:lang w:val="en-US"/>
        </w:rPr>
        <w:t>.</w:t>
      </w:r>
      <w:r w:rsidRPr="00A856DB">
        <w:rPr>
          <w:color w:val="000000" w:themeColor="text1"/>
          <w:lang w:val="en-US"/>
        </w:rPr>
        <w:t xml:space="preserve"> A., Lee-Thorp,</w:t>
      </w:r>
      <w:r>
        <w:rPr>
          <w:color w:val="000000" w:themeColor="text1"/>
          <w:lang w:val="en-US"/>
        </w:rPr>
        <w:t xml:space="preserve"> J.A.,</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Chinsamy</w:t>
      </w:r>
      <w:r>
        <w:rPr>
          <w:color w:val="000000" w:themeColor="text1"/>
          <w:lang w:val="en-US"/>
        </w:rPr>
        <w:t xml:space="preserve">, A. (2003). </w:t>
      </w:r>
      <w:r w:rsidRPr="00A856DB">
        <w:rPr>
          <w:color w:val="000000" w:themeColor="text1"/>
          <w:lang w:val="en-US"/>
        </w:rPr>
        <w:t>Insights from stable light isotopes on enamel defects and weaning in Pliocene herbivores.</w:t>
      </w:r>
      <w:r>
        <w:rPr>
          <w:color w:val="000000" w:themeColor="text1"/>
          <w:lang w:val="en-US"/>
        </w:rPr>
        <w:t xml:space="preserve"> </w:t>
      </w:r>
      <w:r w:rsidRPr="00A856DB">
        <w:rPr>
          <w:i/>
          <w:color w:val="000000" w:themeColor="text1"/>
          <w:lang w:val="en-US"/>
        </w:rPr>
        <w:t>Journal of Biosciences</w:t>
      </w:r>
      <w:r>
        <w:rPr>
          <w:i/>
          <w:color w:val="000000" w:themeColor="text1"/>
          <w:lang w:val="en-US"/>
        </w:rPr>
        <w:t>,</w:t>
      </w:r>
      <w:r w:rsidRPr="00A856DB">
        <w:rPr>
          <w:color w:val="000000" w:themeColor="text1"/>
          <w:lang w:val="en-US"/>
        </w:rPr>
        <w:t xml:space="preserve"> </w:t>
      </w:r>
      <w:r w:rsidRPr="00262BFC">
        <w:rPr>
          <w:i/>
          <w:color w:val="000000" w:themeColor="text1"/>
          <w:lang w:val="en-US"/>
        </w:rPr>
        <w:t>28</w:t>
      </w:r>
      <w:r>
        <w:rPr>
          <w:color w:val="000000" w:themeColor="text1"/>
          <w:lang w:val="en-US"/>
        </w:rPr>
        <w:t>(6),</w:t>
      </w:r>
      <w:r w:rsidRPr="00A856DB">
        <w:rPr>
          <w:color w:val="000000" w:themeColor="text1"/>
          <w:lang w:val="en-US"/>
        </w:rPr>
        <w:t xml:space="preserve"> 765-773.</w:t>
      </w:r>
    </w:p>
    <w:p w14:paraId="31477B9A" w14:textId="77777777" w:rsidR="00FD43EF" w:rsidRPr="00A856DB" w:rsidRDefault="00FD43EF" w:rsidP="00FD43EF">
      <w:pPr>
        <w:rPr>
          <w:color w:val="000000" w:themeColor="text1"/>
          <w:lang w:val="en-US"/>
        </w:rPr>
      </w:pPr>
    </w:p>
    <w:p w14:paraId="1E5D8017" w14:textId="2A220DDA" w:rsidR="00FD43EF" w:rsidRPr="00A856DB" w:rsidRDefault="00FD43EF" w:rsidP="00FD43EF">
      <w:pPr>
        <w:rPr>
          <w:color w:val="000000" w:themeColor="text1"/>
          <w:shd w:val="clear" w:color="auto" w:fill="FFFFFF"/>
          <w:lang w:val="en-US"/>
        </w:rPr>
      </w:pPr>
      <w:r w:rsidRPr="00A856DB">
        <w:rPr>
          <w:color w:val="000000" w:themeColor="text1"/>
          <w:shd w:val="clear" w:color="auto" w:fill="FFFFFF"/>
          <w:lang w:val="en-US"/>
        </w:rPr>
        <w:t>Fuller, B</w:t>
      </w:r>
      <w:r>
        <w:rPr>
          <w:color w:val="000000" w:themeColor="text1"/>
          <w:shd w:val="clear" w:color="auto" w:fill="FFFFFF"/>
          <w:lang w:val="en-US"/>
        </w:rPr>
        <w:t>.</w:t>
      </w:r>
      <w:r w:rsidR="000E7230">
        <w:rPr>
          <w:color w:val="000000" w:themeColor="text1"/>
          <w:shd w:val="clear" w:color="auto" w:fill="FFFFFF"/>
          <w:lang w:val="en-US"/>
        </w:rPr>
        <w:t xml:space="preserve"> </w:t>
      </w:r>
      <w:r w:rsidRPr="00A856DB">
        <w:rPr>
          <w:color w:val="000000" w:themeColor="text1"/>
          <w:shd w:val="clear" w:color="auto" w:fill="FFFFFF"/>
          <w:lang w:val="en-US"/>
        </w:rPr>
        <w:t>T., Fuller,</w:t>
      </w:r>
      <w:r>
        <w:rPr>
          <w:color w:val="000000" w:themeColor="text1"/>
          <w:shd w:val="clear" w:color="auto" w:fill="FFFFFF"/>
          <w:lang w:val="en-US"/>
        </w:rPr>
        <w:t xml:space="preserve"> J. L.,</w:t>
      </w:r>
      <w:r w:rsidRPr="00A856DB">
        <w:rPr>
          <w:color w:val="000000" w:themeColor="text1"/>
          <w:shd w:val="clear" w:color="auto" w:fill="FFFFFF"/>
          <w:lang w:val="en-US"/>
        </w:rPr>
        <w:t xml:space="preserve"> </w:t>
      </w:r>
      <w:r>
        <w:rPr>
          <w:color w:val="000000" w:themeColor="text1"/>
          <w:shd w:val="clear" w:color="auto" w:fill="FFFFFF"/>
          <w:lang w:val="en-US"/>
        </w:rPr>
        <w:t>Sage, N. E.,</w:t>
      </w:r>
      <w:r w:rsidRPr="00A856DB">
        <w:rPr>
          <w:color w:val="000000" w:themeColor="text1"/>
          <w:shd w:val="clear" w:color="auto" w:fill="FFFFFF"/>
          <w:lang w:val="en-US"/>
        </w:rPr>
        <w:t xml:space="preserve"> Harris,</w:t>
      </w:r>
      <w:r>
        <w:rPr>
          <w:color w:val="000000" w:themeColor="text1"/>
          <w:shd w:val="clear" w:color="auto" w:fill="FFFFFF"/>
          <w:lang w:val="en-US"/>
        </w:rPr>
        <w:t xml:space="preserve"> D. A.,</w:t>
      </w:r>
      <w:r w:rsidRPr="00A856DB">
        <w:rPr>
          <w:color w:val="000000" w:themeColor="text1"/>
          <w:shd w:val="clear" w:color="auto" w:fill="FFFFFF"/>
          <w:lang w:val="en-US"/>
        </w:rPr>
        <w:t xml:space="preserve"> O'Connell,</w:t>
      </w:r>
      <w:r>
        <w:rPr>
          <w:color w:val="000000" w:themeColor="text1"/>
          <w:shd w:val="clear" w:color="auto" w:fill="FFFFFF"/>
          <w:lang w:val="en-US"/>
        </w:rPr>
        <w:t xml:space="preserve"> T. C.,</w:t>
      </w:r>
      <w:r w:rsidRPr="00A856DB">
        <w:rPr>
          <w:color w:val="000000" w:themeColor="text1"/>
          <w:shd w:val="clear" w:color="auto" w:fill="FFFFFF"/>
          <w:lang w:val="en-US"/>
        </w:rPr>
        <w:t xml:space="preserve"> </w:t>
      </w:r>
      <w:r>
        <w:rPr>
          <w:color w:val="000000" w:themeColor="text1"/>
          <w:shd w:val="clear" w:color="auto" w:fill="FFFFFF"/>
          <w:lang w:val="en-US"/>
        </w:rPr>
        <w:t>&amp;</w:t>
      </w:r>
      <w:r w:rsidRPr="00A856DB">
        <w:rPr>
          <w:color w:val="000000" w:themeColor="text1"/>
          <w:shd w:val="clear" w:color="auto" w:fill="FFFFFF"/>
          <w:lang w:val="en-US"/>
        </w:rPr>
        <w:t xml:space="preserve"> Hedges</w:t>
      </w:r>
      <w:r>
        <w:rPr>
          <w:color w:val="000000" w:themeColor="text1"/>
          <w:shd w:val="clear" w:color="auto" w:fill="FFFFFF"/>
          <w:lang w:val="en-US"/>
        </w:rPr>
        <w:t>, R.E.M. (2005).</w:t>
      </w:r>
      <w:r w:rsidRPr="00A856DB">
        <w:rPr>
          <w:color w:val="000000" w:themeColor="text1"/>
          <w:shd w:val="clear" w:color="auto" w:fill="FFFFFF"/>
          <w:lang w:val="en-US"/>
        </w:rPr>
        <w:t xml:space="preserve"> Nitrogen balance and δ</w:t>
      </w:r>
      <w:r w:rsidRPr="00A856DB">
        <w:rPr>
          <w:color w:val="000000" w:themeColor="text1"/>
          <w:shd w:val="clear" w:color="auto" w:fill="FFFFFF"/>
          <w:vertAlign w:val="superscript"/>
          <w:lang w:val="en-US"/>
        </w:rPr>
        <w:t>15</w:t>
      </w:r>
      <w:r w:rsidRPr="00A856DB">
        <w:rPr>
          <w:color w:val="000000" w:themeColor="text1"/>
          <w:shd w:val="clear" w:color="auto" w:fill="FFFFFF"/>
          <w:lang w:val="en-US"/>
        </w:rPr>
        <w:t xml:space="preserve">N: </w:t>
      </w:r>
      <w:r w:rsidR="008D0838">
        <w:rPr>
          <w:color w:val="000000" w:themeColor="text1"/>
          <w:shd w:val="clear" w:color="auto" w:fill="FFFFFF"/>
          <w:lang w:val="en-US"/>
        </w:rPr>
        <w:t>W</w:t>
      </w:r>
      <w:r w:rsidRPr="00A856DB">
        <w:rPr>
          <w:color w:val="000000" w:themeColor="text1"/>
          <w:shd w:val="clear" w:color="auto" w:fill="FFFFFF"/>
          <w:lang w:val="en-US"/>
        </w:rPr>
        <w:t>hy you're not what you eat during nutritional stress. </w:t>
      </w:r>
      <w:r w:rsidRPr="00A856DB">
        <w:rPr>
          <w:i/>
          <w:iCs/>
          <w:color w:val="000000" w:themeColor="text1"/>
          <w:shd w:val="clear" w:color="auto" w:fill="FFFFFF"/>
          <w:lang w:val="en-US"/>
        </w:rPr>
        <w:t>Rapid Communications in Mass Spectrometry</w:t>
      </w:r>
      <w:r>
        <w:rPr>
          <w:i/>
          <w:iCs/>
          <w:color w:val="000000" w:themeColor="text1"/>
          <w:shd w:val="clear" w:color="auto" w:fill="FFFFFF"/>
          <w:lang w:val="en-US"/>
        </w:rPr>
        <w:t>,</w:t>
      </w:r>
      <w:r w:rsidRPr="00A856DB" w:rsidDel="00A810D8">
        <w:rPr>
          <w:i/>
          <w:iCs/>
          <w:color w:val="000000" w:themeColor="text1"/>
          <w:shd w:val="clear" w:color="auto" w:fill="FFFFFF"/>
          <w:lang w:val="en-US"/>
        </w:rPr>
        <w:t xml:space="preserve"> </w:t>
      </w:r>
      <w:r w:rsidRPr="00874505">
        <w:rPr>
          <w:i/>
          <w:color w:val="000000" w:themeColor="text1"/>
          <w:shd w:val="clear" w:color="auto" w:fill="FFFFFF"/>
          <w:lang w:val="en-US"/>
        </w:rPr>
        <w:t>19</w:t>
      </w:r>
      <w:r>
        <w:rPr>
          <w:color w:val="000000" w:themeColor="text1"/>
          <w:shd w:val="clear" w:color="auto" w:fill="FFFFFF"/>
          <w:lang w:val="en-US"/>
        </w:rPr>
        <w:t>(</w:t>
      </w:r>
      <w:r w:rsidRPr="00A856DB">
        <w:rPr>
          <w:color w:val="000000" w:themeColor="text1"/>
          <w:shd w:val="clear" w:color="auto" w:fill="FFFFFF"/>
          <w:lang w:val="en-US"/>
        </w:rPr>
        <w:t>18</w:t>
      </w:r>
      <w:r>
        <w:rPr>
          <w:color w:val="000000" w:themeColor="text1"/>
          <w:shd w:val="clear" w:color="auto" w:fill="FFFFFF"/>
          <w:lang w:val="en-US"/>
        </w:rPr>
        <w:t>),</w:t>
      </w:r>
      <w:r w:rsidRPr="00A856DB">
        <w:rPr>
          <w:color w:val="000000" w:themeColor="text1"/>
          <w:shd w:val="clear" w:color="auto" w:fill="FFFFFF"/>
          <w:lang w:val="en-US"/>
        </w:rPr>
        <w:t xml:space="preserve"> 2497-2506.</w:t>
      </w:r>
    </w:p>
    <w:p w14:paraId="0407AE3A" w14:textId="77777777" w:rsidR="00FD43EF" w:rsidRPr="00A856DB" w:rsidRDefault="00FD43EF" w:rsidP="00FD43EF">
      <w:pPr>
        <w:rPr>
          <w:color w:val="000000" w:themeColor="text1"/>
          <w:lang w:val="en-US"/>
        </w:rPr>
      </w:pPr>
    </w:p>
    <w:p w14:paraId="35B39F91" w14:textId="13F9184C" w:rsidR="00FD43EF" w:rsidRPr="00A856DB" w:rsidRDefault="00FD43EF" w:rsidP="00FD43EF">
      <w:pPr>
        <w:rPr>
          <w:color w:val="000000" w:themeColor="text1"/>
          <w:lang w:val="en-US"/>
        </w:rPr>
      </w:pPr>
      <w:r w:rsidRPr="00A856DB">
        <w:rPr>
          <w:color w:val="000000" w:themeColor="text1"/>
          <w:lang w:val="en-US"/>
        </w:rPr>
        <w:t>Fuller, B</w:t>
      </w:r>
      <w:r>
        <w:rPr>
          <w:color w:val="000000" w:themeColor="text1"/>
          <w:lang w:val="en-US"/>
        </w:rPr>
        <w:t>.</w:t>
      </w:r>
      <w:r w:rsidRPr="00A856DB">
        <w:rPr>
          <w:color w:val="000000" w:themeColor="text1"/>
          <w:lang w:val="en-US"/>
        </w:rPr>
        <w:t xml:space="preserve"> T., Fuller,</w:t>
      </w:r>
      <w:r>
        <w:rPr>
          <w:color w:val="000000" w:themeColor="text1"/>
          <w:lang w:val="en-US"/>
        </w:rPr>
        <w:t xml:space="preserve"> J.</w:t>
      </w:r>
      <w:r w:rsidR="000E7230">
        <w:rPr>
          <w:color w:val="000000" w:themeColor="text1"/>
          <w:lang w:val="en-US"/>
        </w:rPr>
        <w:t xml:space="preserve"> </w:t>
      </w:r>
      <w:r>
        <w:rPr>
          <w:color w:val="000000" w:themeColor="text1"/>
          <w:lang w:val="en-US"/>
        </w:rPr>
        <w:t>L.,</w:t>
      </w:r>
      <w:r w:rsidRPr="00A856DB">
        <w:rPr>
          <w:color w:val="000000" w:themeColor="text1"/>
          <w:lang w:val="en-US"/>
        </w:rPr>
        <w:t xml:space="preserve"> Sage,</w:t>
      </w:r>
      <w:r>
        <w:rPr>
          <w:color w:val="000000" w:themeColor="text1"/>
          <w:lang w:val="en-US"/>
        </w:rPr>
        <w:t xml:space="preserve"> N. E.,</w:t>
      </w:r>
      <w:r w:rsidRPr="00A856DB">
        <w:rPr>
          <w:color w:val="000000" w:themeColor="text1"/>
          <w:lang w:val="en-US"/>
        </w:rPr>
        <w:t xml:space="preserve"> Harris,</w:t>
      </w:r>
      <w:r>
        <w:rPr>
          <w:color w:val="000000" w:themeColor="text1"/>
          <w:lang w:val="en-US"/>
        </w:rPr>
        <w:t xml:space="preserve"> D. A., </w:t>
      </w:r>
      <w:r w:rsidRPr="00A856DB">
        <w:rPr>
          <w:color w:val="000000" w:themeColor="text1"/>
          <w:lang w:val="en-US"/>
        </w:rPr>
        <w:t>O'Connell,</w:t>
      </w:r>
      <w:r>
        <w:rPr>
          <w:color w:val="000000" w:themeColor="text1"/>
          <w:lang w:val="en-US"/>
        </w:rPr>
        <w:t xml:space="preserve"> T. C.,</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Hedges</w:t>
      </w:r>
      <w:r>
        <w:rPr>
          <w:color w:val="000000" w:themeColor="text1"/>
          <w:lang w:val="en-US"/>
        </w:rPr>
        <w:t>, R.E.M. (2004).</w:t>
      </w:r>
      <w:r w:rsidRPr="00A856DB">
        <w:rPr>
          <w:color w:val="000000" w:themeColor="text1"/>
          <w:lang w:val="en-US"/>
        </w:rPr>
        <w:t xml:space="preserve"> Nitrogen balance and δ</w:t>
      </w:r>
      <w:r w:rsidRPr="00A856DB">
        <w:rPr>
          <w:color w:val="000000" w:themeColor="text1"/>
          <w:vertAlign w:val="superscript"/>
          <w:lang w:val="en-US"/>
        </w:rPr>
        <w:t>15</w:t>
      </w:r>
      <w:r w:rsidRPr="00A856DB">
        <w:rPr>
          <w:color w:val="000000" w:themeColor="text1"/>
          <w:lang w:val="en-US"/>
        </w:rPr>
        <w:t xml:space="preserve">N: </w:t>
      </w:r>
      <w:r w:rsidR="00A211B8">
        <w:rPr>
          <w:color w:val="000000" w:themeColor="text1"/>
          <w:lang w:val="en-US"/>
        </w:rPr>
        <w:t>W</w:t>
      </w:r>
      <w:r w:rsidRPr="00A856DB">
        <w:rPr>
          <w:color w:val="000000" w:themeColor="text1"/>
          <w:lang w:val="en-US"/>
        </w:rPr>
        <w:t>hy you're not what you eat during pregnancy.</w:t>
      </w:r>
      <w:r>
        <w:rPr>
          <w:color w:val="000000" w:themeColor="text1"/>
          <w:lang w:val="en-US"/>
        </w:rPr>
        <w:t xml:space="preserve"> </w:t>
      </w:r>
      <w:r w:rsidRPr="00A856DB">
        <w:rPr>
          <w:i/>
          <w:iCs/>
          <w:color w:val="000000" w:themeColor="text1"/>
          <w:lang w:val="en-US"/>
        </w:rPr>
        <w:t>Rapid Communications in Mass Spectrometry</w:t>
      </w:r>
      <w:r>
        <w:rPr>
          <w:i/>
          <w:iCs/>
          <w:color w:val="000000" w:themeColor="text1"/>
          <w:lang w:val="en-US"/>
        </w:rPr>
        <w:t>,</w:t>
      </w:r>
      <w:r w:rsidRPr="00A856DB">
        <w:rPr>
          <w:color w:val="000000" w:themeColor="text1"/>
          <w:lang w:val="en-US"/>
        </w:rPr>
        <w:t> </w:t>
      </w:r>
      <w:r w:rsidRPr="00874505">
        <w:rPr>
          <w:i/>
          <w:color w:val="000000" w:themeColor="text1"/>
          <w:lang w:val="en-US"/>
        </w:rPr>
        <w:t>18</w:t>
      </w:r>
      <w:r>
        <w:rPr>
          <w:color w:val="000000" w:themeColor="text1"/>
          <w:lang w:val="en-US"/>
        </w:rPr>
        <w:t>(</w:t>
      </w:r>
      <w:r w:rsidRPr="00A856DB">
        <w:rPr>
          <w:color w:val="000000" w:themeColor="text1"/>
          <w:lang w:val="en-US"/>
        </w:rPr>
        <w:t>23</w:t>
      </w:r>
      <w:r>
        <w:rPr>
          <w:color w:val="000000" w:themeColor="text1"/>
          <w:lang w:val="en-US"/>
        </w:rPr>
        <w:t>),</w:t>
      </w:r>
      <w:r w:rsidRPr="00A856DB">
        <w:rPr>
          <w:color w:val="000000" w:themeColor="text1"/>
          <w:lang w:val="en-US"/>
        </w:rPr>
        <w:t xml:space="preserve"> 2889-2896.</w:t>
      </w:r>
    </w:p>
    <w:p w14:paraId="46FD55DE" w14:textId="77777777" w:rsidR="00FD43EF" w:rsidRPr="00A856DB" w:rsidRDefault="00FD43EF" w:rsidP="00FD43EF">
      <w:pPr>
        <w:rPr>
          <w:color w:val="000000" w:themeColor="text1"/>
          <w:lang w:val="en-US"/>
        </w:rPr>
      </w:pPr>
    </w:p>
    <w:p w14:paraId="7FD3F777" w14:textId="77777777" w:rsidR="00FD43EF" w:rsidRPr="00A856DB" w:rsidRDefault="00FD43EF" w:rsidP="00FD43EF">
      <w:pPr>
        <w:rPr>
          <w:lang w:val="en-US"/>
        </w:rPr>
      </w:pPr>
      <w:r w:rsidRPr="00A856DB">
        <w:rPr>
          <w:lang w:val="en-US"/>
        </w:rPr>
        <w:t>Fuller, B</w:t>
      </w:r>
      <w:r>
        <w:rPr>
          <w:lang w:val="en-US"/>
        </w:rPr>
        <w:t>.</w:t>
      </w:r>
      <w:r w:rsidRPr="00A856DB">
        <w:rPr>
          <w:lang w:val="en-US"/>
        </w:rPr>
        <w:t xml:space="preserve"> T., Richards,</w:t>
      </w:r>
      <w:r>
        <w:rPr>
          <w:lang w:val="en-US"/>
        </w:rPr>
        <w:t xml:space="preserve"> M. P.,</w:t>
      </w:r>
      <w:r w:rsidRPr="00A856DB">
        <w:rPr>
          <w:lang w:val="en-US"/>
        </w:rPr>
        <w:t xml:space="preserve"> </w:t>
      </w:r>
      <w:r>
        <w:rPr>
          <w:lang w:val="en-US"/>
        </w:rPr>
        <w:t>&amp;</w:t>
      </w:r>
      <w:r w:rsidRPr="00A856DB">
        <w:rPr>
          <w:lang w:val="en-US"/>
        </w:rPr>
        <w:t xml:space="preserve"> Mays</w:t>
      </w:r>
      <w:r>
        <w:rPr>
          <w:lang w:val="en-US"/>
        </w:rPr>
        <w:t>, S. A. (2003).</w:t>
      </w:r>
      <w:r w:rsidRPr="00A856DB">
        <w:rPr>
          <w:lang w:val="en-US"/>
        </w:rPr>
        <w:t xml:space="preserve"> Stable carbon and nitrogen isotope variations in tooth dentine serial sections from Wharram Percy. </w:t>
      </w:r>
      <w:r w:rsidRPr="00A856DB">
        <w:rPr>
          <w:i/>
          <w:lang w:val="en-US"/>
        </w:rPr>
        <w:t>Journal of Archaeological Science</w:t>
      </w:r>
      <w:r>
        <w:rPr>
          <w:i/>
          <w:lang w:val="en-US"/>
        </w:rPr>
        <w:t>,</w:t>
      </w:r>
      <w:r w:rsidRPr="00874505">
        <w:rPr>
          <w:i/>
          <w:lang w:val="en-US"/>
        </w:rPr>
        <w:t xml:space="preserve"> 30</w:t>
      </w:r>
      <w:r>
        <w:rPr>
          <w:lang w:val="en-US"/>
        </w:rPr>
        <w:t>(12),</w:t>
      </w:r>
      <w:r w:rsidRPr="00A856DB">
        <w:rPr>
          <w:lang w:val="en-US"/>
        </w:rPr>
        <w:t xml:space="preserve"> 1673-1684.</w:t>
      </w:r>
    </w:p>
    <w:p w14:paraId="01C99DED" w14:textId="77777777" w:rsidR="00FD43EF" w:rsidRDefault="00FD43EF" w:rsidP="00FD43EF">
      <w:pPr>
        <w:rPr>
          <w:lang w:val="en-US"/>
        </w:rPr>
      </w:pPr>
    </w:p>
    <w:p w14:paraId="2EBC2CCB" w14:textId="77777777" w:rsidR="00FD43EF" w:rsidRDefault="00FD43EF" w:rsidP="00FD43EF">
      <w:pPr>
        <w:rPr>
          <w:lang w:val="en-US"/>
        </w:rPr>
      </w:pPr>
      <w:r w:rsidRPr="00A856DB">
        <w:rPr>
          <w:lang w:val="en-US"/>
        </w:rPr>
        <w:t>Fuller, B</w:t>
      </w:r>
      <w:r>
        <w:rPr>
          <w:lang w:val="en-US"/>
        </w:rPr>
        <w:t>.</w:t>
      </w:r>
      <w:r w:rsidRPr="00A856DB">
        <w:rPr>
          <w:lang w:val="en-US"/>
        </w:rPr>
        <w:t xml:space="preserve"> T., Molleson, </w:t>
      </w:r>
      <w:r>
        <w:rPr>
          <w:lang w:val="en-US"/>
        </w:rPr>
        <w:t xml:space="preserve">T. I., </w:t>
      </w:r>
      <w:r w:rsidRPr="00A856DB">
        <w:rPr>
          <w:lang w:val="en-US"/>
        </w:rPr>
        <w:t>Harris,</w:t>
      </w:r>
      <w:r>
        <w:rPr>
          <w:lang w:val="en-US"/>
        </w:rPr>
        <w:t xml:space="preserve"> D. A., </w:t>
      </w:r>
      <w:r w:rsidRPr="00A856DB">
        <w:rPr>
          <w:lang w:val="en-US"/>
        </w:rPr>
        <w:t xml:space="preserve">Gilmour, </w:t>
      </w:r>
      <w:r>
        <w:rPr>
          <w:lang w:val="en-US"/>
        </w:rPr>
        <w:t>L. T., &amp;</w:t>
      </w:r>
      <w:r w:rsidRPr="00A856DB">
        <w:rPr>
          <w:lang w:val="en-US"/>
        </w:rPr>
        <w:t xml:space="preserve"> Hedges</w:t>
      </w:r>
      <w:r>
        <w:rPr>
          <w:lang w:val="en-US"/>
        </w:rPr>
        <w:t>, R.E.M. (2006).</w:t>
      </w:r>
      <w:r w:rsidRPr="00A856DB">
        <w:rPr>
          <w:lang w:val="en-US"/>
        </w:rPr>
        <w:t xml:space="preserve"> Isotopic evidence for breastfeeding and possible adult dietary differences from late/sub</w:t>
      </w:r>
      <w:r w:rsidRPr="00A856DB">
        <w:rPr>
          <w:rFonts w:ascii="Cambria Math" w:hAnsi="Cambria Math" w:cs="Cambria Math"/>
          <w:lang w:val="en-US"/>
        </w:rPr>
        <w:t>‐</w:t>
      </w:r>
      <w:r w:rsidRPr="00A856DB">
        <w:rPr>
          <w:lang w:val="en-US"/>
        </w:rPr>
        <w:t xml:space="preserve">Roman Britain. </w:t>
      </w:r>
      <w:r w:rsidRPr="00A856DB">
        <w:rPr>
          <w:i/>
          <w:lang w:val="en-US"/>
        </w:rPr>
        <w:t>American Journal of Physical Anthropology</w:t>
      </w:r>
      <w:r>
        <w:rPr>
          <w:i/>
          <w:lang w:val="en-US"/>
        </w:rPr>
        <w:t>,</w:t>
      </w:r>
      <w:r w:rsidRPr="00A856DB">
        <w:rPr>
          <w:lang w:val="en-US"/>
        </w:rPr>
        <w:t xml:space="preserve"> </w:t>
      </w:r>
      <w:r w:rsidRPr="00E35280">
        <w:rPr>
          <w:i/>
          <w:lang w:val="en-US"/>
        </w:rPr>
        <w:t>129</w:t>
      </w:r>
      <w:r>
        <w:rPr>
          <w:lang w:val="en-US"/>
        </w:rPr>
        <w:t>(1),</w:t>
      </w:r>
      <w:r w:rsidRPr="00A856DB">
        <w:rPr>
          <w:lang w:val="en-US"/>
        </w:rPr>
        <w:t xml:space="preserve"> 45-54.</w:t>
      </w:r>
    </w:p>
    <w:p w14:paraId="040F3B39" w14:textId="77777777" w:rsidR="00FD43EF" w:rsidRDefault="00FD43EF" w:rsidP="00FD43EF">
      <w:pPr>
        <w:rPr>
          <w:lang w:val="en-US"/>
        </w:rPr>
      </w:pPr>
    </w:p>
    <w:p w14:paraId="575FAB29" w14:textId="77777777" w:rsidR="00FD43EF" w:rsidRDefault="00FD43EF" w:rsidP="00FD43EF">
      <w:pPr>
        <w:rPr>
          <w:color w:val="000000" w:themeColor="text1"/>
        </w:rPr>
      </w:pPr>
      <w:r w:rsidRPr="00D86B24">
        <w:rPr>
          <w:color w:val="000000" w:themeColor="text1"/>
        </w:rPr>
        <w:t>Gage, T</w:t>
      </w:r>
      <w:r>
        <w:rPr>
          <w:color w:val="000000" w:themeColor="text1"/>
        </w:rPr>
        <w:t>.</w:t>
      </w:r>
      <w:r w:rsidRPr="00D86B24">
        <w:rPr>
          <w:color w:val="000000" w:themeColor="text1"/>
        </w:rPr>
        <w:t xml:space="preserve"> B. </w:t>
      </w:r>
      <w:r>
        <w:rPr>
          <w:color w:val="000000" w:themeColor="text1"/>
        </w:rPr>
        <w:t xml:space="preserve">(1989). </w:t>
      </w:r>
      <w:r w:rsidRPr="00D86B24">
        <w:rPr>
          <w:color w:val="000000" w:themeColor="text1"/>
        </w:rPr>
        <w:t>Bio</w:t>
      </w:r>
      <w:r w:rsidRPr="00D86B24">
        <w:rPr>
          <w:rFonts w:ascii="Cambria Math" w:hAnsi="Cambria Math" w:cs="Cambria Math"/>
          <w:color w:val="000000" w:themeColor="text1"/>
        </w:rPr>
        <w:t>‐</w:t>
      </w:r>
      <w:r w:rsidRPr="00D86B24">
        <w:rPr>
          <w:color w:val="000000" w:themeColor="text1"/>
        </w:rPr>
        <w:t>mathematical approaches to the study of human variation in mortality. </w:t>
      </w:r>
      <w:r w:rsidRPr="00D86B24">
        <w:rPr>
          <w:i/>
          <w:iCs/>
          <w:color w:val="000000" w:themeColor="text1"/>
        </w:rPr>
        <w:t>American Journal of Physical Anthropology</w:t>
      </w:r>
      <w:r w:rsidRPr="00AD3378">
        <w:rPr>
          <w:i/>
          <w:iCs/>
          <w:color w:val="000000" w:themeColor="text1"/>
        </w:rPr>
        <w:t>,</w:t>
      </w:r>
      <w:r w:rsidRPr="00AD3378">
        <w:rPr>
          <w:i/>
          <w:color w:val="000000" w:themeColor="text1"/>
        </w:rPr>
        <w:t> 32</w:t>
      </w:r>
      <w:r>
        <w:rPr>
          <w:color w:val="000000" w:themeColor="text1"/>
        </w:rPr>
        <w:t>(</w:t>
      </w:r>
      <w:r w:rsidRPr="00D86B24">
        <w:rPr>
          <w:color w:val="000000" w:themeColor="text1"/>
        </w:rPr>
        <w:t>S10</w:t>
      </w:r>
      <w:r>
        <w:rPr>
          <w:color w:val="000000" w:themeColor="text1"/>
        </w:rPr>
        <w:t>),</w:t>
      </w:r>
      <w:r w:rsidRPr="00D86B24">
        <w:rPr>
          <w:color w:val="000000" w:themeColor="text1"/>
        </w:rPr>
        <w:t xml:space="preserve"> 185-214.</w:t>
      </w:r>
    </w:p>
    <w:p w14:paraId="0C36193E" w14:textId="77777777" w:rsidR="00FD43EF" w:rsidRPr="00D86B24" w:rsidRDefault="00FD43EF" w:rsidP="00FD43EF">
      <w:pPr>
        <w:rPr>
          <w:color w:val="000000" w:themeColor="text1"/>
        </w:rPr>
      </w:pPr>
    </w:p>
    <w:p w14:paraId="12730EBB" w14:textId="29AA8E9E" w:rsidR="00FD43EF" w:rsidRPr="00C41957" w:rsidRDefault="00FD43EF" w:rsidP="00FD43EF">
      <w:pPr>
        <w:rPr>
          <w:color w:val="000000" w:themeColor="text1"/>
        </w:rPr>
      </w:pPr>
      <w:r w:rsidRPr="00D86B24">
        <w:rPr>
          <w:color w:val="000000" w:themeColor="text1"/>
        </w:rPr>
        <w:t>Gardner, J</w:t>
      </w:r>
      <w:r>
        <w:rPr>
          <w:color w:val="000000" w:themeColor="text1"/>
        </w:rPr>
        <w:t>.</w:t>
      </w:r>
      <w:r w:rsidRPr="00D86B24">
        <w:rPr>
          <w:color w:val="000000" w:themeColor="text1"/>
        </w:rPr>
        <w:t xml:space="preserve"> F. </w:t>
      </w:r>
      <w:r>
        <w:rPr>
          <w:color w:val="000000" w:themeColor="text1"/>
        </w:rPr>
        <w:t xml:space="preserve">(1993). </w:t>
      </w:r>
      <w:r w:rsidRPr="00D86B24">
        <w:rPr>
          <w:i/>
          <w:iCs/>
          <w:color w:val="000000" w:themeColor="text1"/>
        </w:rPr>
        <w:t xml:space="preserve">Roman </w:t>
      </w:r>
      <w:r w:rsidR="00FD25D7">
        <w:rPr>
          <w:i/>
          <w:iCs/>
          <w:color w:val="000000" w:themeColor="text1"/>
        </w:rPr>
        <w:t>M</w:t>
      </w:r>
      <w:r w:rsidRPr="00D86B24">
        <w:rPr>
          <w:i/>
          <w:iCs/>
          <w:color w:val="000000" w:themeColor="text1"/>
        </w:rPr>
        <w:t>yths</w:t>
      </w:r>
      <w:r>
        <w:rPr>
          <w:i/>
          <w:iCs/>
          <w:color w:val="000000" w:themeColor="text1"/>
        </w:rPr>
        <w:t xml:space="preserve"> (The Legendary Past)</w:t>
      </w:r>
      <w:r w:rsidRPr="00D86B24">
        <w:rPr>
          <w:color w:val="000000" w:themeColor="text1"/>
        </w:rPr>
        <w:t xml:space="preserve">. </w:t>
      </w:r>
      <w:r>
        <w:rPr>
          <w:color w:val="000000" w:themeColor="text1"/>
        </w:rPr>
        <w:t>Austin: University of Texas.</w:t>
      </w:r>
    </w:p>
    <w:p w14:paraId="6308E00B" w14:textId="77777777" w:rsidR="00FD43EF" w:rsidRPr="00A856DB" w:rsidRDefault="00FD43EF" w:rsidP="00FD43EF">
      <w:pPr>
        <w:rPr>
          <w:lang w:val="en-US"/>
        </w:rPr>
      </w:pPr>
    </w:p>
    <w:p w14:paraId="6687E41B" w14:textId="28C10639" w:rsidR="00FD43EF" w:rsidRPr="00D836F5" w:rsidRDefault="00FD43EF" w:rsidP="00FD43EF">
      <w:pPr>
        <w:rPr>
          <w:color w:val="000000" w:themeColor="text1"/>
          <w:lang w:val="it-IT"/>
        </w:rPr>
      </w:pPr>
      <w:r w:rsidRPr="00A856DB">
        <w:rPr>
          <w:color w:val="000000" w:themeColor="text1"/>
          <w:lang w:val="en-US"/>
        </w:rPr>
        <w:t>Garnsey</w:t>
      </w:r>
      <w:r>
        <w:rPr>
          <w:color w:val="000000" w:themeColor="text1"/>
          <w:lang w:val="en-US"/>
        </w:rPr>
        <w:t>,</w:t>
      </w:r>
      <w:r w:rsidRPr="00A856DB">
        <w:rPr>
          <w:color w:val="000000" w:themeColor="text1"/>
          <w:lang w:val="en-US"/>
        </w:rPr>
        <w:t xml:space="preserve"> P.</w:t>
      </w:r>
      <w:r>
        <w:rPr>
          <w:color w:val="000000" w:themeColor="text1"/>
          <w:lang w:val="en-US"/>
        </w:rPr>
        <w:t xml:space="preserve"> (1998).</w:t>
      </w:r>
      <w:r w:rsidRPr="00A856DB">
        <w:rPr>
          <w:color w:val="000000" w:themeColor="text1"/>
          <w:lang w:val="en-US"/>
        </w:rPr>
        <w:t xml:space="preserve"> </w:t>
      </w:r>
      <w:r w:rsidRPr="004B35E0">
        <w:rPr>
          <w:color w:val="000000" w:themeColor="text1"/>
          <w:lang w:val="en-US"/>
        </w:rPr>
        <w:t>The people of Isola Sacra.</w:t>
      </w:r>
      <w:r w:rsidRPr="00A856DB">
        <w:rPr>
          <w:color w:val="000000" w:themeColor="text1"/>
          <w:lang w:val="en-US"/>
        </w:rPr>
        <w:t xml:space="preserve"> </w:t>
      </w:r>
      <w:r w:rsidRPr="00D836F5">
        <w:rPr>
          <w:color w:val="000000" w:themeColor="text1"/>
          <w:lang w:val="it-IT"/>
        </w:rPr>
        <w:t xml:space="preserve">In: Rossi, P.F., Bon-dioli, L., Geusa, G., Macchiarelli, R., (Eds.) </w:t>
      </w:r>
      <w:r w:rsidRPr="004B35E0">
        <w:rPr>
          <w:i/>
          <w:color w:val="000000" w:themeColor="text1"/>
          <w:lang w:val="en-US"/>
        </w:rPr>
        <w:t xml:space="preserve">Enamel </w:t>
      </w:r>
      <w:r w:rsidR="00FD25D7">
        <w:rPr>
          <w:i/>
          <w:color w:val="000000" w:themeColor="text1"/>
          <w:lang w:val="en-US"/>
        </w:rPr>
        <w:t>M</w:t>
      </w:r>
      <w:r w:rsidRPr="004B35E0">
        <w:rPr>
          <w:i/>
          <w:color w:val="000000" w:themeColor="text1"/>
          <w:lang w:val="en-US"/>
        </w:rPr>
        <w:t xml:space="preserve">icrostructure and </w:t>
      </w:r>
      <w:r w:rsidR="00FD25D7">
        <w:rPr>
          <w:i/>
          <w:color w:val="000000" w:themeColor="text1"/>
          <w:lang w:val="en-US"/>
        </w:rPr>
        <w:t>D</w:t>
      </w:r>
      <w:r w:rsidRPr="004B35E0">
        <w:rPr>
          <w:i/>
          <w:color w:val="000000" w:themeColor="text1"/>
          <w:lang w:val="en-US"/>
        </w:rPr>
        <w:t xml:space="preserve">evelopmental </w:t>
      </w:r>
      <w:r w:rsidR="00FD25D7">
        <w:rPr>
          <w:i/>
          <w:color w:val="000000" w:themeColor="text1"/>
          <w:lang w:val="en-US"/>
        </w:rPr>
        <w:t>D</w:t>
      </w:r>
      <w:r w:rsidRPr="004B35E0">
        <w:rPr>
          <w:i/>
          <w:color w:val="000000" w:themeColor="text1"/>
          <w:lang w:val="en-US"/>
        </w:rPr>
        <w:t xml:space="preserve">efects of the </w:t>
      </w:r>
      <w:r w:rsidR="00FD25D7">
        <w:rPr>
          <w:i/>
          <w:color w:val="000000" w:themeColor="text1"/>
          <w:lang w:val="en-US"/>
        </w:rPr>
        <w:t>P</w:t>
      </w:r>
      <w:r w:rsidRPr="004B35E0">
        <w:rPr>
          <w:i/>
          <w:color w:val="000000" w:themeColor="text1"/>
          <w:lang w:val="en-US"/>
        </w:rPr>
        <w:t xml:space="preserve">rimary </w:t>
      </w:r>
      <w:r w:rsidR="00FD25D7">
        <w:rPr>
          <w:i/>
          <w:color w:val="000000" w:themeColor="text1"/>
          <w:lang w:val="en-US"/>
        </w:rPr>
        <w:t>D</w:t>
      </w:r>
      <w:r w:rsidRPr="004B35E0">
        <w:rPr>
          <w:i/>
          <w:color w:val="000000" w:themeColor="text1"/>
          <w:lang w:val="en-US"/>
        </w:rPr>
        <w:t xml:space="preserve">entition. Osteodental </w:t>
      </w:r>
      <w:r w:rsidR="00FD25D7">
        <w:rPr>
          <w:i/>
          <w:color w:val="000000" w:themeColor="text1"/>
          <w:lang w:val="en-US"/>
        </w:rPr>
        <w:t>B</w:t>
      </w:r>
      <w:r w:rsidRPr="004B35E0">
        <w:rPr>
          <w:i/>
          <w:color w:val="000000" w:themeColor="text1"/>
          <w:lang w:val="en-US"/>
        </w:rPr>
        <w:t xml:space="preserve">iology of the </w:t>
      </w:r>
      <w:r w:rsidR="00FD25D7">
        <w:rPr>
          <w:i/>
          <w:color w:val="000000" w:themeColor="text1"/>
          <w:lang w:val="en-US"/>
        </w:rPr>
        <w:t>P</w:t>
      </w:r>
      <w:r w:rsidRPr="004B35E0">
        <w:rPr>
          <w:i/>
          <w:color w:val="000000" w:themeColor="text1"/>
          <w:lang w:val="en-US"/>
        </w:rPr>
        <w:t xml:space="preserve">eople of Portus Romae (Necropolis of Isola Sacra, 2nd-3rd Cent. AD. </w:t>
      </w:r>
      <w:r w:rsidRPr="00D836F5">
        <w:rPr>
          <w:i/>
          <w:color w:val="000000" w:themeColor="text1"/>
          <w:lang w:val="it-IT"/>
        </w:rPr>
        <w:t xml:space="preserve">I </w:t>
      </w:r>
      <w:r w:rsidRPr="00D836F5">
        <w:rPr>
          <w:color w:val="000000" w:themeColor="text1"/>
          <w:lang w:val="it-IT"/>
        </w:rPr>
        <w:t>(pp. 1-4)</w:t>
      </w:r>
      <w:r w:rsidRPr="00D836F5">
        <w:rPr>
          <w:i/>
          <w:color w:val="000000" w:themeColor="text1"/>
          <w:lang w:val="it-IT"/>
        </w:rPr>
        <w:t>.</w:t>
      </w:r>
      <w:r w:rsidRPr="00D836F5">
        <w:rPr>
          <w:color w:val="000000" w:themeColor="text1"/>
          <w:lang w:val="it-IT"/>
        </w:rPr>
        <w:t xml:space="preserve"> Rome: </w:t>
      </w:r>
      <w:r w:rsidR="000E7230">
        <w:rPr>
          <w:color w:val="000000" w:themeColor="text1"/>
          <w:lang w:val="it-IT"/>
        </w:rPr>
        <w:t>S</w:t>
      </w:r>
      <w:r w:rsidRPr="00D836F5">
        <w:rPr>
          <w:color w:val="000000" w:themeColor="text1"/>
          <w:lang w:val="it-IT"/>
        </w:rPr>
        <w:t xml:space="preserve">oprintendenza </w:t>
      </w:r>
      <w:r w:rsidR="000E7230">
        <w:rPr>
          <w:color w:val="000000" w:themeColor="text1"/>
          <w:lang w:val="it-IT"/>
        </w:rPr>
        <w:t>S</w:t>
      </w:r>
      <w:r w:rsidRPr="00D836F5">
        <w:rPr>
          <w:color w:val="000000" w:themeColor="text1"/>
          <w:lang w:val="it-IT"/>
        </w:rPr>
        <w:t xml:space="preserve">peciale al </w:t>
      </w:r>
      <w:r w:rsidR="000E7230">
        <w:rPr>
          <w:color w:val="000000" w:themeColor="text1"/>
          <w:lang w:val="it-IT"/>
        </w:rPr>
        <w:t>M</w:t>
      </w:r>
      <w:r w:rsidRPr="00D836F5">
        <w:rPr>
          <w:color w:val="000000" w:themeColor="text1"/>
          <w:lang w:val="it-IT"/>
        </w:rPr>
        <w:t xml:space="preserve">useo </w:t>
      </w:r>
      <w:r w:rsidR="000E7230">
        <w:rPr>
          <w:color w:val="000000" w:themeColor="text1"/>
          <w:lang w:val="it-IT"/>
        </w:rPr>
        <w:t>N</w:t>
      </w:r>
      <w:r w:rsidRPr="00D836F5">
        <w:rPr>
          <w:color w:val="000000" w:themeColor="text1"/>
          <w:lang w:val="it-IT"/>
        </w:rPr>
        <w:t xml:space="preserve">azionale </w:t>
      </w:r>
      <w:r w:rsidR="000E7230">
        <w:rPr>
          <w:color w:val="000000" w:themeColor="text1"/>
          <w:lang w:val="it-IT"/>
        </w:rPr>
        <w:t>P</w:t>
      </w:r>
      <w:r w:rsidRPr="00D836F5">
        <w:rPr>
          <w:color w:val="000000" w:themeColor="text1"/>
          <w:lang w:val="it-IT"/>
        </w:rPr>
        <w:t xml:space="preserve">reistorico </w:t>
      </w:r>
      <w:r w:rsidR="000E7230">
        <w:rPr>
          <w:color w:val="000000" w:themeColor="text1"/>
          <w:lang w:val="it-IT"/>
        </w:rPr>
        <w:t>E</w:t>
      </w:r>
      <w:r w:rsidRPr="00D836F5">
        <w:rPr>
          <w:color w:val="000000" w:themeColor="text1"/>
          <w:lang w:val="it-IT"/>
        </w:rPr>
        <w:t xml:space="preserve">tnografico. </w:t>
      </w:r>
    </w:p>
    <w:p w14:paraId="0646BF0C" w14:textId="77777777" w:rsidR="00FD43EF" w:rsidRPr="00D836F5" w:rsidRDefault="00FD43EF" w:rsidP="00FD43EF">
      <w:pPr>
        <w:rPr>
          <w:color w:val="000000" w:themeColor="text1"/>
          <w:lang w:val="it-IT"/>
        </w:rPr>
      </w:pPr>
    </w:p>
    <w:p w14:paraId="631BDDAA" w14:textId="101878B3" w:rsidR="00FD43EF" w:rsidRPr="00A856DB" w:rsidRDefault="00FD43EF" w:rsidP="00FD43EF">
      <w:pPr>
        <w:rPr>
          <w:color w:val="000000" w:themeColor="text1"/>
          <w:lang w:val="en-US"/>
        </w:rPr>
      </w:pPr>
      <w:r w:rsidRPr="00A856DB">
        <w:rPr>
          <w:color w:val="000000" w:themeColor="text1"/>
          <w:lang w:val="en-US"/>
        </w:rPr>
        <w:t>Garnsey</w:t>
      </w:r>
      <w:r w:rsidR="000E7230">
        <w:rPr>
          <w:color w:val="000000" w:themeColor="text1"/>
          <w:lang w:val="en-US"/>
        </w:rPr>
        <w:t>,</w:t>
      </w:r>
      <w:r w:rsidRPr="00A856DB">
        <w:rPr>
          <w:color w:val="000000" w:themeColor="text1"/>
          <w:lang w:val="en-US"/>
        </w:rPr>
        <w:t xml:space="preserve"> P. </w:t>
      </w:r>
      <w:r>
        <w:rPr>
          <w:color w:val="000000" w:themeColor="text1"/>
          <w:lang w:val="en-US"/>
        </w:rPr>
        <w:t xml:space="preserve">(1999). </w:t>
      </w:r>
      <w:r w:rsidRPr="00A856DB">
        <w:rPr>
          <w:i/>
          <w:color w:val="000000" w:themeColor="text1"/>
          <w:lang w:val="en-US"/>
        </w:rPr>
        <w:t xml:space="preserve">Food and </w:t>
      </w:r>
      <w:r w:rsidR="00FD25D7">
        <w:rPr>
          <w:i/>
          <w:color w:val="000000" w:themeColor="text1"/>
          <w:lang w:val="en-US"/>
        </w:rPr>
        <w:t>S</w:t>
      </w:r>
      <w:r w:rsidRPr="00A856DB">
        <w:rPr>
          <w:i/>
          <w:color w:val="000000" w:themeColor="text1"/>
          <w:lang w:val="en-US"/>
        </w:rPr>
        <w:t xml:space="preserve">ociety in </w:t>
      </w:r>
      <w:r w:rsidR="00FD25D7">
        <w:rPr>
          <w:i/>
          <w:color w:val="000000" w:themeColor="text1"/>
          <w:lang w:val="en-US"/>
        </w:rPr>
        <w:t>C</w:t>
      </w:r>
      <w:r w:rsidRPr="00A856DB">
        <w:rPr>
          <w:i/>
          <w:color w:val="000000" w:themeColor="text1"/>
          <w:lang w:val="en-US"/>
        </w:rPr>
        <w:t xml:space="preserve">lassical </w:t>
      </w:r>
      <w:r w:rsidR="00FD25D7">
        <w:rPr>
          <w:i/>
          <w:color w:val="000000" w:themeColor="text1"/>
          <w:lang w:val="en-US"/>
        </w:rPr>
        <w:t>A</w:t>
      </w:r>
      <w:r w:rsidRPr="00A856DB">
        <w:rPr>
          <w:i/>
          <w:color w:val="000000" w:themeColor="text1"/>
          <w:lang w:val="en-US"/>
        </w:rPr>
        <w:t xml:space="preserve">ntiquity. </w:t>
      </w:r>
      <w:r w:rsidRPr="00A856DB">
        <w:rPr>
          <w:color w:val="000000" w:themeColor="text1"/>
          <w:lang w:val="en-US"/>
        </w:rPr>
        <w:t>Cambridge: Cambridge University Press</w:t>
      </w:r>
      <w:r>
        <w:rPr>
          <w:color w:val="000000" w:themeColor="text1"/>
          <w:lang w:val="en-US"/>
        </w:rPr>
        <w:t>.</w:t>
      </w:r>
    </w:p>
    <w:p w14:paraId="3F13A657" w14:textId="77777777" w:rsidR="00FD43EF" w:rsidRPr="00A856DB" w:rsidRDefault="00FD43EF" w:rsidP="00FD43EF">
      <w:pPr>
        <w:rPr>
          <w:color w:val="000000" w:themeColor="text1"/>
          <w:lang w:val="en-US"/>
        </w:rPr>
      </w:pPr>
    </w:p>
    <w:p w14:paraId="6FE11A70" w14:textId="15DB2327" w:rsidR="00FD43EF" w:rsidRPr="00A856DB" w:rsidRDefault="00FD43EF" w:rsidP="00FD43EF">
      <w:pPr>
        <w:rPr>
          <w:color w:val="000000" w:themeColor="text1"/>
          <w:lang w:val="en-US"/>
        </w:rPr>
      </w:pPr>
      <w:r w:rsidRPr="00A856DB">
        <w:rPr>
          <w:color w:val="000000" w:themeColor="text1"/>
          <w:lang w:val="en-US"/>
        </w:rPr>
        <w:t>Gaye-Siessegger, J., Focken,</w:t>
      </w:r>
      <w:r>
        <w:rPr>
          <w:color w:val="000000" w:themeColor="text1"/>
          <w:lang w:val="en-US"/>
        </w:rPr>
        <w:t xml:space="preserve"> U.,</w:t>
      </w:r>
      <w:r w:rsidRPr="00A856DB">
        <w:rPr>
          <w:color w:val="000000" w:themeColor="text1"/>
          <w:lang w:val="en-US"/>
        </w:rPr>
        <w:t xml:space="preserve"> Abel,</w:t>
      </w:r>
      <w:r>
        <w:rPr>
          <w:color w:val="000000" w:themeColor="text1"/>
          <w:lang w:val="en-US"/>
        </w:rPr>
        <w:t xml:space="preserve"> H.</w:t>
      </w:r>
      <w:r w:rsidR="000E7230">
        <w:rPr>
          <w:color w:val="000000" w:themeColor="text1"/>
          <w:lang w:val="en-US"/>
        </w:rPr>
        <w:t xml:space="preserve"> </w:t>
      </w:r>
      <w:r>
        <w:rPr>
          <w:color w:val="000000" w:themeColor="text1"/>
          <w:lang w:val="en-US"/>
        </w:rPr>
        <w:t>J.,</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Becker</w:t>
      </w:r>
      <w:r>
        <w:rPr>
          <w:color w:val="000000" w:themeColor="text1"/>
          <w:lang w:val="en-US"/>
        </w:rPr>
        <w:t>, K. (2003).</w:t>
      </w:r>
      <w:r w:rsidRPr="00A856DB">
        <w:rPr>
          <w:color w:val="000000" w:themeColor="text1"/>
          <w:lang w:val="en-US"/>
        </w:rPr>
        <w:t xml:space="preserve"> Feeding level and diet quality influence trophic shift of C and N isotopes in Nile tilapia (Oreochromis niloticus (L.)). </w:t>
      </w:r>
      <w:r w:rsidRPr="00A856DB">
        <w:rPr>
          <w:i/>
          <w:color w:val="000000" w:themeColor="text1"/>
          <w:lang w:val="en-US"/>
        </w:rPr>
        <w:t>Isotopes in Environmental and Health Studies</w:t>
      </w:r>
      <w:r>
        <w:rPr>
          <w:i/>
          <w:color w:val="000000" w:themeColor="text1"/>
          <w:lang w:val="en-US"/>
        </w:rPr>
        <w:t>,</w:t>
      </w:r>
      <w:r w:rsidRPr="00A856DB">
        <w:rPr>
          <w:color w:val="000000" w:themeColor="text1"/>
          <w:lang w:val="en-US"/>
        </w:rPr>
        <w:t xml:space="preserve"> </w:t>
      </w:r>
      <w:r w:rsidRPr="00BB05D9">
        <w:rPr>
          <w:i/>
          <w:color w:val="000000" w:themeColor="text1"/>
          <w:lang w:val="en-US"/>
        </w:rPr>
        <w:t>39</w:t>
      </w:r>
      <w:r>
        <w:rPr>
          <w:color w:val="000000" w:themeColor="text1"/>
          <w:lang w:val="en-US"/>
        </w:rPr>
        <w:t>(</w:t>
      </w:r>
      <w:r w:rsidRPr="00A856DB">
        <w:rPr>
          <w:color w:val="000000" w:themeColor="text1"/>
          <w:lang w:val="en-US"/>
        </w:rPr>
        <w:t>2</w:t>
      </w:r>
      <w:r>
        <w:rPr>
          <w:color w:val="000000" w:themeColor="text1"/>
          <w:lang w:val="en-US"/>
        </w:rPr>
        <w:t>),</w:t>
      </w:r>
      <w:r w:rsidRPr="00A856DB">
        <w:rPr>
          <w:color w:val="000000" w:themeColor="text1"/>
          <w:lang w:val="en-US"/>
        </w:rPr>
        <w:t xml:space="preserve"> 125-134.</w:t>
      </w:r>
    </w:p>
    <w:p w14:paraId="29C03BCA" w14:textId="77777777" w:rsidR="00FD43EF" w:rsidRPr="00A856DB" w:rsidRDefault="00FD43EF" w:rsidP="00FD43EF">
      <w:pPr>
        <w:rPr>
          <w:color w:val="000000" w:themeColor="text1"/>
          <w:lang w:val="en-US"/>
        </w:rPr>
      </w:pPr>
    </w:p>
    <w:p w14:paraId="4EC28D06" w14:textId="781EEC17" w:rsidR="00FD43EF" w:rsidRPr="00A856DB" w:rsidRDefault="00FD43EF" w:rsidP="00FD43EF">
      <w:pPr>
        <w:rPr>
          <w:color w:val="000000" w:themeColor="text1"/>
          <w:lang w:val="en-US"/>
        </w:rPr>
      </w:pPr>
      <w:r w:rsidRPr="00A856DB">
        <w:rPr>
          <w:color w:val="000000" w:themeColor="text1"/>
          <w:lang w:val="en-US"/>
        </w:rPr>
        <w:t>Gaye-Siessegger, J</w:t>
      </w:r>
      <w:r>
        <w:rPr>
          <w:color w:val="000000" w:themeColor="text1"/>
          <w:lang w:val="en-US"/>
        </w:rPr>
        <w:t>.</w:t>
      </w:r>
      <w:r w:rsidRPr="00A856DB">
        <w:rPr>
          <w:color w:val="000000" w:themeColor="text1"/>
          <w:lang w:val="en-US"/>
        </w:rPr>
        <w:t>,</w:t>
      </w:r>
      <w:r>
        <w:rPr>
          <w:color w:val="000000" w:themeColor="text1"/>
          <w:lang w:val="en-US"/>
        </w:rPr>
        <w:t xml:space="preserve"> </w:t>
      </w:r>
      <w:r w:rsidRPr="00A856DB">
        <w:rPr>
          <w:color w:val="000000" w:themeColor="text1"/>
          <w:lang w:val="en-US"/>
        </w:rPr>
        <w:t>Focken,</w:t>
      </w:r>
      <w:r>
        <w:rPr>
          <w:color w:val="000000" w:themeColor="text1"/>
          <w:lang w:val="en-US"/>
        </w:rPr>
        <w:t xml:space="preserve"> U.,</w:t>
      </w:r>
      <w:r w:rsidRPr="00A856DB">
        <w:rPr>
          <w:color w:val="000000" w:themeColor="text1"/>
          <w:lang w:val="en-US"/>
        </w:rPr>
        <w:t xml:space="preserve"> Muetzel,</w:t>
      </w:r>
      <w:r>
        <w:rPr>
          <w:color w:val="000000" w:themeColor="text1"/>
          <w:lang w:val="en-US"/>
        </w:rPr>
        <w:t xml:space="preserve"> S.,</w:t>
      </w:r>
      <w:r w:rsidRPr="00A856DB">
        <w:rPr>
          <w:color w:val="000000" w:themeColor="text1"/>
          <w:lang w:val="en-US"/>
        </w:rPr>
        <w:t xml:space="preserve"> Abel,</w:t>
      </w:r>
      <w:r>
        <w:rPr>
          <w:color w:val="000000" w:themeColor="text1"/>
          <w:lang w:val="en-US"/>
        </w:rPr>
        <w:t xml:space="preserve"> H.,</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Becker</w:t>
      </w:r>
      <w:r>
        <w:rPr>
          <w:color w:val="000000" w:themeColor="text1"/>
          <w:lang w:val="en-US"/>
        </w:rPr>
        <w:t>, K. (2004).</w:t>
      </w:r>
      <w:r w:rsidRPr="00A856DB">
        <w:rPr>
          <w:color w:val="000000" w:themeColor="text1"/>
          <w:lang w:val="en-US"/>
        </w:rPr>
        <w:t xml:space="preserve"> Feeding level and individual metabolic rate affect δ</w:t>
      </w:r>
      <w:r w:rsidRPr="00A856DB">
        <w:rPr>
          <w:color w:val="000000" w:themeColor="text1"/>
          <w:vertAlign w:val="superscript"/>
          <w:lang w:val="en-US"/>
        </w:rPr>
        <w:t>13</w:t>
      </w:r>
      <w:r w:rsidRPr="00A856DB">
        <w:rPr>
          <w:color w:val="000000" w:themeColor="text1"/>
          <w:lang w:val="en-US"/>
        </w:rPr>
        <w:t>C and δ</w:t>
      </w:r>
      <w:r w:rsidRPr="00A856DB">
        <w:rPr>
          <w:color w:val="000000" w:themeColor="text1"/>
          <w:vertAlign w:val="superscript"/>
          <w:lang w:val="en-US"/>
        </w:rPr>
        <w:t>15</w:t>
      </w:r>
      <w:r w:rsidRPr="00A856DB">
        <w:rPr>
          <w:color w:val="000000" w:themeColor="text1"/>
          <w:lang w:val="en-US"/>
        </w:rPr>
        <w:t xml:space="preserve">N values in carp: </w:t>
      </w:r>
      <w:r w:rsidR="00FD25D7">
        <w:rPr>
          <w:color w:val="000000" w:themeColor="text1"/>
          <w:lang w:val="en-US"/>
        </w:rPr>
        <w:t>I</w:t>
      </w:r>
      <w:r w:rsidRPr="00A856DB">
        <w:rPr>
          <w:color w:val="000000" w:themeColor="text1"/>
          <w:lang w:val="en-US"/>
        </w:rPr>
        <w:t xml:space="preserve">mplications for food web studies. </w:t>
      </w:r>
      <w:r w:rsidRPr="00A856DB">
        <w:rPr>
          <w:i/>
          <w:color w:val="000000" w:themeColor="text1"/>
          <w:lang w:val="en-US"/>
        </w:rPr>
        <w:t>Oecologia</w:t>
      </w:r>
      <w:r>
        <w:rPr>
          <w:i/>
          <w:color w:val="000000" w:themeColor="text1"/>
          <w:lang w:val="en-US"/>
        </w:rPr>
        <w:t>,</w:t>
      </w:r>
      <w:r w:rsidRPr="00A856DB">
        <w:rPr>
          <w:color w:val="000000" w:themeColor="text1"/>
          <w:lang w:val="en-US"/>
        </w:rPr>
        <w:t xml:space="preserve"> </w:t>
      </w:r>
      <w:r w:rsidRPr="00BB05D9">
        <w:rPr>
          <w:i/>
          <w:color w:val="000000" w:themeColor="text1"/>
          <w:lang w:val="en-US"/>
        </w:rPr>
        <w:t>138</w:t>
      </w:r>
      <w:r>
        <w:rPr>
          <w:color w:val="000000" w:themeColor="text1"/>
          <w:lang w:val="en-US"/>
        </w:rPr>
        <w:t>(</w:t>
      </w:r>
      <w:r w:rsidRPr="00A856DB">
        <w:rPr>
          <w:color w:val="000000" w:themeColor="text1"/>
          <w:lang w:val="en-US"/>
        </w:rPr>
        <w:t>2</w:t>
      </w:r>
      <w:r>
        <w:rPr>
          <w:color w:val="000000" w:themeColor="text1"/>
          <w:lang w:val="en-US"/>
        </w:rPr>
        <w:t xml:space="preserve">), </w:t>
      </w:r>
      <w:r w:rsidRPr="00A856DB">
        <w:rPr>
          <w:color w:val="000000" w:themeColor="text1"/>
          <w:lang w:val="en-US"/>
        </w:rPr>
        <w:t>175-183.</w:t>
      </w:r>
    </w:p>
    <w:p w14:paraId="18A8F473" w14:textId="77777777" w:rsidR="00FD43EF" w:rsidRDefault="00FD43EF" w:rsidP="00FD43EF">
      <w:pPr>
        <w:rPr>
          <w:color w:val="000000" w:themeColor="text1"/>
          <w:lang w:val="en-US"/>
        </w:rPr>
      </w:pPr>
    </w:p>
    <w:p w14:paraId="24B6AE61" w14:textId="35AA8040" w:rsidR="00FD43EF" w:rsidRDefault="00FD43EF" w:rsidP="00FD43EF">
      <w:pPr>
        <w:rPr>
          <w:color w:val="000000" w:themeColor="text1"/>
          <w:lang w:val="en-US"/>
        </w:rPr>
      </w:pPr>
      <w:r w:rsidRPr="006F4096">
        <w:rPr>
          <w:color w:val="000000" w:themeColor="text1"/>
          <w:lang w:val="en-US"/>
        </w:rPr>
        <w:t xml:space="preserve">Goodman, A. H., &amp; Leatherman, T. L. </w:t>
      </w:r>
      <w:r w:rsidR="007675A7">
        <w:rPr>
          <w:color w:val="000000" w:themeColor="text1"/>
          <w:lang w:val="en-US"/>
        </w:rPr>
        <w:t xml:space="preserve">(Eds.). </w:t>
      </w:r>
      <w:r w:rsidRPr="006F4096">
        <w:rPr>
          <w:color w:val="000000" w:themeColor="text1"/>
          <w:lang w:val="en-US"/>
        </w:rPr>
        <w:t xml:space="preserve">(1998). Traversing the chasm between biology and culture: an introduction. </w:t>
      </w:r>
      <w:r w:rsidR="007675A7">
        <w:rPr>
          <w:color w:val="000000" w:themeColor="text1"/>
          <w:lang w:val="en-US"/>
        </w:rPr>
        <w:t xml:space="preserve">In: </w:t>
      </w:r>
      <w:r w:rsidRPr="000E7230">
        <w:rPr>
          <w:i/>
          <w:color w:val="000000" w:themeColor="text1"/>
          <w:lang w:val="en-US"/>
        </w:rPr>
        <w:t xml:space="preserve">Building a new </w:t>
      </w:r>
      <w:r w:rsidR="000E7230">
        <w:rPr>
          <w:i/>
          <w:color w:val="000000" w:themeColor="text1"/>
          <w:lang w:val="en-US"/>
        </w:rPr>
        <w:t>B</w:t>
      </w:r>
      <w:r w:rsidRPr="000E7230">
        <w:rPr>
          <w:i/>
          <w:color w:val="000000" w:themeColor="text1"/>
          <w:lang w:val="en-US"/>
        </w:rPr>
        <w:t xml:space="preserve">iocultural </w:t>
      </w:r>
      <w:r w:rsidR="000E7230">
        <w:rPr>
          <w:i/>
          <w:color w:val="000000" w:themeColor="text1"/>
          <w:lang w:val="en-US"/>
        </w:rPr>
        <w:t>S</w:t>
      </w:r>
      <w:r w:rsidRPr="000E7230">
        <w:rPr>
          <w:i/>
          <w:color w:val="000000" w:themeColor="text1"/>
          <w:lang w:val="en-US"/>
        </w:rPr>
        <w:t>ynthesis:</w:t>
      </w:r>
      <w:r w:rsidRPr="006F4096">
        <w:rPr>
          <w:color w:val="000000" w:themeColor="text1"/>
          <w:lang w:val="en-US"/>
        </w:rPr>
        <w:t xml:space="preserve"> </w:t>
      </w:r>
      <w:r w:rsidRPr="006F4096">
        <w:rPr>
          <w:i/>
          <w:color w:val="000000" w:themeColor="text1"/>
          <w:lang w:val="en-US"/>
        </w:rPr>
        <w:t>Political-</w:t>
      </w:r>
      <w:r>
        <w:rPr>
          <w:i/>
          <w:color w:val="000000" w:themeColor="text1"/>
          <w:lang w:val="en-US"/>
        </w:rPr>
        <w:lastRenderedPageBreak/>
        <w:t>E</w:t>
      </w:r>
      <w:r w:rsidRPr="006F4096">
        <w:rPr>
          <w:i/>
          <w:color w:val="000000" w:themeColor="text1"/>
          <w:lang w:val="en-US"/>
        </w:rPr>
        <w:t xml:space="preserve">conomic </w:t>
      </w:r>
      <w:r>
        <w:rPr>
          <w:i/>
          <w:color w:val="000000" w:themeColor="text1"/>
          <w:lang w:val="en-US"/>
        </w:rPr>
        <w:t>P</w:t>
      </w:r>
      <w:r w:rsidRPr="006F4096">
        <w:rPr>
          <w:i/>
          <w:color w:val="000000" w:themeColor="text1"/>
          <w:lang w:val="en-US"/>
        </w:rPr>
        <w:t xml:space="preserve">erspectives on </w:t>
      </w:r>
      <w:r>
        <w:rPr>
          <w:i/>
          <w:color w:val="000000" w:themeColor="text1"/>
          <w:lang w:val="en-US"/>
        </w:rPr>
        <w:t>H</w:t>
      </w:r>
      <w:r w:rsidRPr="006F4096">
        <w:rPr>
          <w:i/>
          <w:color w:val="000000" w:themeColor="text1"/>
          <w:lang w:val="en-US"/>
        </w:rPr>
        <w:t xml:space="preserve">uman </w:t>
      </w:r>
      <w:r>
        <w:rPr>
          <w:i/>
          <w:color w:val="000000" w:themeColor="text1"/>
          <w:lang w:val="en-US"/>
        </w:rPr>
        <w:t>B</w:t>
      </w:r>
      <w:r w:rsidRPr="006F4096">
        <w:rPr>
          <w:i/>
          <w:color w:val="000000" w:themeColor="text1"/>
          <w:lang w:val="en-US"/>
        </w:rPr>
        <w:t>iology</w:t>
      </w:r>
      <w:r w:rsidR="007675A7">
        <w:rPr>
          <w:color w:val="000000" w:themeColor="text1"/>
          <w:lang w:val="en-US"/>
        </w:rPr>
        <w:t xml:space="preserve"> (pp.</w:t>
      </w:r>
      <w:r w:rsidRPr="006F4096">
        <w:rPr>
          <w:color w:val="000000" w:themeColor="text1"/>
          <w:lang w:val="en-US"/>
        </w:rPr>
        <w:t xml:space="preserve"> 3-42</w:t>
      </w:r>
      <w:r w:rsidR="007675A7">
        <w:rPr>
          <w:color w:val="000000" w:themeColor="text1"/>
          <w:lang w:val="en-US"/>
        </w:rPr>
        <w:t>)</w:t>
      </w:r>
      <w:r w:rsidRPr="006F4096">
        <w:rPr>
          <w:color w:val="000000" w:themeColor="text1"/>
          <w:lang w:val="en-US"/>
        </w:rPr>
        <w:t>.</w:t>
      </w:r>
      <w:r w:rsidR="007675A7">
        <w:rPr>
          <w:color w:val="000000" w:themeColor="text1"/>
          <w:lang w:val="en-US"/>
        </w:rPr>
        <w:t xml:space="preserve"> Ann Arbor: The University of Michigan.</w:t>
      </w:r>
    </w:p>
    <w:p w14:paraId="0F4C8779" w14:textId="77777777" w:rsidR="00FD43EF" w:rsidRPr="00A856DB" w:rsidRDefault="00FD43EF" w:rsidP="00FD43EF">
      <w:pPr>
        <w:rPr>
          <w:color w:val="000000" w:themeColor="text1"/>
          <w:lang w:val="en-US"/>
        </w:rPr>
      </w:pPr>
    </w:p>
    <w:p w14:paraId="05F5E455" w14:textId="77777777" w:rsidR="00FD43EF" w:rsidRPr="00A856DB" w:rsidRDefault="00FD43EF" w:rsidP="00FD43EF">
      <w:pPr>
        <w:rPr>
          <w:lang w:val="en-US"/>
        </w:rPr>
      </w:pPr>
      <w:r w:rsidRPr="00A856DB">
        <w:rPr>
          <w:lang w:val="en-US"/>
        </w:rPr>
        <w:t>Goodman, A</w:t>
      </w:r>
      <w:r>
        <w:rPr>
          <w:lang w:val="en-US"/>
        </w:rPr>
        <w:t>.</w:t>
      </w:r>
      <w:r w:rsidRPr="00A856DB">
        <w:rPr>
          <w:lang w:val="en-US"/>
        </w:rPr>
        <w:t xml:space="preserve"> H., </w:t>
      </w:r>
      <w:r>
        <w:rPr>
          <w:lang w:val="en-US"/>
        </w:rPr>
        <w:t xml:space="preserve">&amp; </w:t>
      </w:r>
      <w:r w:rsidRPr="00A856DB">
        <w:rPr>
          <w:lang w:val="en-US"/>
        </w:rPr>
        <w:t>Rose</w:t>
      </w:r>
      <w:r>
        <w:rPr>
          <w:lang w:val="en-US"/>
        </w:rPr>
        <w:t>, J. C. (1990).</w:t>
      </w:r>
      <w:r w:rsidRPr="00A856DB">
        <w:rPr>
          <w:lang w:val="en-US"/>
        </w:rPr>
        <w:t xml:space="preserve"> Assessment of systemic physiological perturbations from dental enamel hypoplasias and associated histological structures. </w:t>
      </w:r>
      <w:r w:rsidRPr="00A856DB">
        <w:rPr>
          <w:i/>
          <w:lang w:val="en-US"/>
        </w:rPr>
        <w:t>American Journal of Physical Anthropology</w:t>
      </w:r>
      <w:r>
        <w:rPr>
          <w:i/>
          <w:lang w:val="en-US"/>
        </w:rPr>
        <w:t>,</w:t>
      </w:r>
      <w:r w:rsidRPr="00A856DB">
        <w:rPr>
          <w:lang w:val="en-US"/>
        </w:rPr>
        <w:t xml:space="preserve"> </w:t>
      </w:r>
      <w:r w:rsidRPr="00BB05D9">
        <w:rPr>
          <w:i/>
          <w:lang w:val="en-US"/>
        </w:rPr>
        <w:t>33</w:t>
      </w:r>
      <w:r>
        <w:rPr>
          <w:lang w:val="en-US"/>
        </w:rPr>
        <w:t>(</w:t>
      </w:r>
      <w:r w:rsidRPr="00A856DB">
        <w:rPr>
          <w:lang w:val="en-US"/>
        </w:rPr>
        <w:t>S11</w:t>
      </w:r>
      <w:r>
        <w:rPr>
          <w:lang w:val="en-US"/>
        </w:rPr>
        <w:t xml:space="preserve">), </w:t>
      </w:r>
      <w:r w:rsidRPr="00A856DB">
        <w:rPr>
          <w:lang w:val="en-US"/>
        </w:rPr>
        <w:t>59-110.</w:t>
      </w:r>
    </w:p>
    <w:p w14:paraId="45454D45" w14:textId="77777777" w:rsidR="00FD43EF" w:rsidRPr="00A856DB" w:rsidRDefault="00FD43EF" w:rsidP="00FD43EF">
      <w:pPr>
        <w:rPr>
          <w:lang w:val="en-US"/>
        </w:rPr>
      </w:pPr>
    </w:p>
    <w:p w14:paraId="0EB23958" w14:textId="6906E134" w:rsidR="00FD43EF" w:rsidRPr="00A856DB" w:rsidRDefault="00FD43EF" w:rsidP="00FD43EF">
      <w:pPr>
        <w:rPr>
          <w:lang w:val="en-US"/>
        </w:rPr>
      </w:pPr>
      <w:r w:rsidRPr="00A856DB">
        <w:rPr>
          <w:lang w:val="en-US"/>
        </w:rPr>
        <w:t>Goodman, A</w:t>
      </w:r>
      <w:r>
        <w:rPr>
          <w:lang w:val="en-US"/>
        </w:rPr>
        <w:t>.</w:t>
      </w:r>
      <w:r w:rsidR="007675A7">
        <w:rPr>
          <w:lang w:val="en-US"/>
        </w:rPr>
        <w:t xml:space="preserve"> </w:t>
      </w:r>
      <w:r w:rsidRPr="00A856DB">
        <w:rPr>
          <w:lang w:val="en-US"/>
        </w:rPr>
        <w:t xml:space="preserve">H., </w:t>
      </w:r>
      <w:r>
        <w:rPr>
          <w:lang w:val="en-US"/>
        </w:rPr>
        <w:t>&amp;</w:t>
      </w:r>
      <w:r w:rsidRPr="00A856DB">
        <w:rPr>
          <w:lang w:val="en-US"/>
        </w:rPr>
        <w:t xml:space="preserve"> Rose</w:t>
      </w:r>
      <w:r>
        <w:rPr>
          <w:lang w:val="en-US"/>
        </w:rPr>
        <w:t>, J. C.</w:t>
      </w:r>
      <w:r w:rsidR="00FD25D7">
        <w:rPr>
          <w:lang w:val="en-US"/>
        </w:rPr>
        <w:t xml:space="preserve"> </w:t>
      </w:r>
      <w:r>
        <w:rPr>
          <w:lang w:val="en-US"/>
        </w:rPr>
        <w:t>(1991).</w:t>
      </w:r>
      <w:r w:rsidRPr="00A856DB">
        <w:rPr>
          <w:lang w:val="en-US"/>
        </w:rPr>
        <w:t xml:space="preserve"> Dental enamel hypoplasias as indicators of nutritional status. </w:t>
      </w:r>
      <w:r>
        <w:rPr>
          <w:lang w:val="en-US"/>
        </w:rPr>
        <w:t xml:space="preserve">In: Kelley, M. &amp; Larsen, C. (Eds.) </w:t>
      </w:r>
      <w:r w:rsidRPr="00A856DB">
        <w:rPr>
          <w:i/>
          <w:lang w:val="en-US"/>
        </w:rPr>
        <w:t>Advances in Dental Anthropology</w:t>
      </w:r>
      <w:r>
        <w:rPr>
          <w:i/>
          <w:lang w:val="en-US"/>
        </w:rPr>
        <w:t xml:space="preserve"> </w:t>
      </w:r>
      <w:r>
        <w:rPr>
          <w:lang w:val="en-US"/>
        </w:rPr>
        <w:t xml:space="preserve">(pp. </w:t>
      </w:r>
      <w:r w:rsidRPr="00A856DB">
        <w:rPr>
          <w:lang w:val="en-US"/>
        </w:rPr>
        <w:t>2</w:t>
      </w:r>
      <w:r>
        <w:rPr>
          <w:lang w:val="en-US"/>
        </w:rPr>
        <w:t>79</w:t>
      </w:r>
      <w:r w:rsidRPr="00A856DB">
        <w:rPr>
          <w:lang w:val="en-US"/>
        </w:rPr>
        <w:t>-2</w:t>
      </w:r>
      <w:r>
        <w:rPr>
          <w:lang w:val="en-US"/>
        </w:rPr>
        <w:t>93)</w:t>
      </w:r>
      <w:r w:rsidRPr="00A856DB">
        <w:rPr>
          <w:lang w:val="en-US"/>
        </w:rPr>
        <w:t>.</w:t>
      </w:r>
      <w:r>
        <w:rPr>
          <w:lang w:val="en-US"/>
        </w:rPr>
        <w:t xml:space="preserve"> New York: Wiley-Liss.</w:t>
      </w:r>
    </w:p>
    <w:p w14:paraId="664EA04F" w14:textId="77777777" w:rsidR="00FD43EF" w:rsidRPr="00A856DB" w:rsidRDefault="00FD43EF" w:rsidP="00FD43EF">
      <w:pPr>
        <w:rPr>
          <w:lang w:val="en-US"/>
        </w:rPr>
      </w:pPr>
    </w:p>
    <w:p w14:paraId="7168F181" w14:textId="77777777" w:rsidR="00FD43EF" w:rsidRPr="00A856DB" w:rsidRDefault="00FD43EF" w:rsidP="00FD43EF">
      <w:pPr>
        <w:rPr>
          <w:color w:val="000000" w:themeColor="text1"/>
          <w:lang w:val="en-US"/>
        </w:rPr>
      </w:pPr>
      <w:r w:rsidRPr="00A856DB">
        <w:rPr>
          <w:color w:val="000000" w:themeColor="text1"/>
          <w:lang w:val="en-US"/>
        </w:rPr>
        <w:t>Götherström, A</w:t>
      </w:r>
      <w:r>
        <w:rPr>
          <w:color w:val="000000" w:themeColor="text1"/>
          <w:lang w:val="en-US"/>
        </w:rPr>
        <w:t>.</w:t>
      </w:r>
      <w:r w:rsidRPr="00A856DB">
        <w:rPr>
          <w:color w:val="000000" w:themeColor="text1"/>
          <w:lang w:val="en-US"/>
        </w:rPr>
        <w:t>, Collins,</w:t>
      </w:r>
      <w:r>
        <w:rPr>
          <w:color w:val="000000" w:themeColor="text1"/>
          <w:lang w:val="en-US"/>
        </w:rPr>
        <w:t xml:space="preserve"> M. J.,</w:t>
      </w:r>
      <w:r w:rsidRPr="00A856DB">
        <w:rPr>
          <w:color w:val="000000" w:themeColor="text1"/>
          <w:lang w:val="en-US"/>
        </w:rPr>
        <w:t xml:space="preserve"> Angerbjörn,</w:t>
      </w:r>
      <w:r>
        <w:rPr>
          <w:color w:val="000000" w:themeColor="text1"/>
          <w:lang w:val="en-US"/>
        </w:rPr>
        <w:t xml:space="preserve"> A.,</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Lidén</w:t>
      </w:r>
      <w:r>
        <w:rPr>
          <w:color w:val="000000" w:themeColor="text1"/>
          <w:lang w:val="en-US"/>
        </w:rPr>
        <w:t xml:space="preserve">, K. (2002). </w:t>
      </w:r>
      <w:r w:rsidRPr="00A856DB">
        <w:rPr>
          <w:color w:val="000000" w:themeColor="text1"/>
          <w:lang w:val="en-US"/>
        </w:rPr>
        <w:t xml:space="preserve">Bone preservation and DNA amplification. </w:t>
      </w:r>
      <w:r w:rsidRPr="00A856DB">
        <w:rPr>
          <w:i/>
          <w:color w:val="000000" w:themeColor="text1"/>
          <w:lang w:val="en-US"/>
        </w:rPr>
        <w:t>Archaeometry</w:t>
      </w:r>
      <w:r>
        <w:rPr>
          <w:color w:val="000000" w:themeColor="text1"/>
          <w:lang w:val="en-US"/>
        </w:rPr>
        <w:t xml:space="preserve">, </w:t>
      </w:r>
      <w:r w:rsidRPr="00BB05D9">
        <w:rPr>
          <w:i/>
          <w:color w:val="000000" w:themeColor="text1"/>
          <w:lang w:val="en-US"/>
        </w:rPr>
        <w:t>44</w:t>
      </w:r>
      <w:r>
        <w:rPr>
          <w:color w:val="000000" w:themeColor="text1"/>
          <w:lang w:val="en-US"/>
        </w:rPr>
        <w:t>(</w:t>
      </w:r>
      <w:r w:rsidRPr="00A856DB">
        <w:rPr>
          <w:color w:val="000000" w:themeColor="text1"/>
          <w:lang w:val="en-US"/>
        </w:rPr>
        <w:t>3</w:t>
      </w:r>
      <w:r>
        <w:rPr>
          <w:color w:val="000000" w:themeColor="text1"/>
          <w:lang w:val="en-US"/>
        </w:rPr>
        <w:t xml:space="preserve">), </w:t>
      </w:r>
      <w:r w:rsidRPr="00A856DB">
        <w:rPr>
          <w:color w:val="000000" w:themeColor="text1"/>
          <w:lang w:val="en-US"/>
        </w:rPr>
        <w:t>395-404.</w:t>
      </w:r>
    </w:p>
    <w:p w14:paraId="6205D6E6" w14:textId="77777777" w:rsidR="00FD43EF" w:rsidRPr="00A856DB" w:rsidRDefault="00FD43EF" w:rsidP="00FD43EF">
      <w:pPr>
        <w:rPr>
          <w:color w:val="000000" w:themeColor="text1"/>
          <w:lang w:val="en-US"/>
        </w:rPr>
      </w:pPr>
    </w:p>
    <w:p w14:paraId="15122B45" w14:textId="77777777" w:rsidR="00FD43EF" w:rsidRPr="00A856DB" w:rsidRDefault="00FD43EF" w:rsidP="00FD43EF">
      <w:pPr>
        <w:rPr>
          <w:color w:val="000000" w:themeColor="text1"/>
          <w:lang w:val="en-US"/>
        </w:rPr>
      </w:pPr>
      <w:r w:rsidRPr="00A856DB">
        <w:rPr>
          <w:color w:val="000000" w:themeColor="text1"/>
          <w:lang w:val="en-US"/>
        </w:rPr>
        <w:t>Green</w:t>
      </w:r>
      <w:r>
        <w:rPr>
          <w:color w:val="000000" w:themeColor="text1"/>
          <w:lang w:val="en-US"/>
        </w:rPr>
        <w:t>,</w:t>
      </w:r>
      <w:r w:rsidRPr="00A856DB">
        <w:rPr>
          <w:color w:val="000000" w:themeColor="text1"/>
          <w:lang w:val="en-US"/>
        </w:rPr>
        <w:t xml:space="preserve"> R</w:t>
      </w:r>
      <w:r>
        <w:rPr>
          <w:color w:val="000000" w:themeColor="text1"/>
          <w:lang w:val="en-US"/>
        </w:rPr>
        <w:t>.</w:t>
      </w:r>
      <w:r w:rsidRPr="00A856DB">
        <w:rPr>
          <w:color w:val="000000" w:themeColor="text1"/>
          <w:lang w:val="en-US"/>
        </w:rPr>
        <w:t>M</w:t>
      </w:r>
      <w:r>
        <w:rPr>
          <w:color w:val="000000" w:themeColor="text1"/>
          <w:lang w:val="en-US"/>
        </w:rPr>
        <w:t>.</w:t>
      </w:r>
      <w:r w:rsidRPr="00A856DB">
        <w:rPr>
          <w:color w:val="000000" w:themeColor="text1"/>
          <w:lang w:val="en-US"/>
        </w:rPr>
        <w:t>, translator.</w:t>
      </w:r>
      <w:r>
        <w:rPr>
          <w:color w:val="000000" w:themeColor="text1"/>
          <w:lang w:val="en-US"/>
        </w:rPr>
        <w:t xml:space="preserve"> </w:t>
      </w:r>
      <w:r w:rsidRPr="00D836F5">
        <w:rPr>
          <w:color w:val="000000" w:themeColor="text1"/>
          <w:lang w:val="it-IT"/>
        </w:rPr>
        <w:t xml:space="preserve">(1951). </w:t>
      </w:r>
      <w:r w:rsidRPr="00D836F5">
        <w:rPr>
          <w:i/>
          <w:color w:val="000000" w:themeColor="text1"/>
          <w:lang w:val="it-IT"/>
        </w:rPr>
        <w:t>Galen, Hygiene (De sanitate tuenda).</w:t>
      </w:r>
      <w:r w:rsidRPr="00D836F5">
        <w:rPr>
          <w:color w:val="000000" w:themeColor="text1"/>
          <w:lang w:val="it-IT"/>
        </w:rPr>
        <w:t xml:space="preserve"> </w:t>
      </w:r>
      <w:r>
        <w:rPr>
          <w:color w:val="000000" w:themeColor="text1"/>
        </w:rPr>
        <w:t xml:space="preserve">Illinois: </w:t>
      </w:r>
      <w:r w:rsidRPr="00A856DB">
        <w:rPr>
          <w:color w:val="000000" w:themeColor="text1"/>
          <w:lang w:val="en-US"/>
        </w:rPr>
        <w:t>Springfield</w:t>
      </w:r>
      <w:r>
        <w:rPr>
          <w:color w:val="000000" w:themeColor="text1"/>
          <w:lang w:val="en-US"/>
        </w:rPr>
        <w:t>.</w:t>
      </w:r>
    </w:p>
    <w:p w14:paraId="7512B740" w14:textId="77777777" w:rsidR="00FD43EF" w:rsidRPr="00A856DB" w:rsidRDefault="00FD43EF" w:rsidP="00FD43EF">
      <w:pPr>
        <w:rPr>
          <w:color w:val="000000" w:themeColor="text1"/>
          <w:lang w:val="en-US"/>
        </w:rPr>
      </w:pPr>
    </w:p>
    <w:p w14:paraId="6A0D1380" w14:textId="77777777" w:rsidR="00FD43EF" w:rsidRPr="00A856DB" w:rsidRDefault="00FD43EF" w:rsidP="00FD43EF">
      <w:pPr>
        <w:rPr>
          <w:color w:val="000000" w:themeColor="text1"/>
          <w:lang w:val="en-US"/>
        </w:rPr>
      </w:pPr>
      <w:r w:rsidRPr="00A856DB">
        <w:rPr>
          <w:color w:val="000000" w:themeColor="text1"/>
          <w:lang w:val="en-US"/>
        </w:rPr>
        <w:t>Guiry, E</w:t>
      </w:r>
      <w:r>
        <w:rPr>
          <w:color w:val="000000" w:themeColor="text1"/>
          <w:lang w:val="en-US"/>
        </w:rPr>
        <w:t>.</w:t>
      </w:r>
      <w:r w:rsidRPr="00A856DB">
        <w:rPr>
          <w:color w:val="000000" w:themeColor="text1"/>
          <w:lang w:val="en-US"/>
        </w:rPr>
        <w:t xml:space="preserve"> J., Hepburn,</w:t>
      </w:r>
      <w:r>
        <w:rPr>
          <w:color w:val="000000" w:themeColor="text1"/>
          <w:lang w:val="en-US"/>
        </w:rPr>
        <w:t xml:space="preserve"> J. C.,</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Richards</w:t>
      </w:r>
      <w:r>
        <w:rPr>
          <w:color w:val="000000" w:themeColor="text1"/>
          <w:lang w:val="en-US"/>
        </w:rPr>
        <w:t>, M. P. (2016).</w:t>
      </w:r>
      <w:r w:rsidRPr="00A856DB">
        <w:rPr>
          <w:color w:val="000000" w:themeColor="text1"/>
          <w:lang w:val="en-US"/>
        </w:rPr>
        <w:t xml:space="preserve"> High-resolution serial sampling for nitrogen stable isotope analysis of archaeological mammal teeth.</w:t>
      </w:r>
      <w:r>
        <w:rPr>
          <w:color w:val="000000" w:themeColor="text1"/>
          <w:lang w:val="en-US"/>
        </w:rPr>
        <w:t xml:space="preserve"> </w:t>
      </w:r>
      <w:r w:rsidRPr="00A856DB">
        <w:rPr>
          <w:i/>
          <w:color w:val="000000" w:themeColor="text1"/>
          <w:lang w:val="en-US"/>
        </w:rPr>
        <w:t>Journal of Archaeological Science</w:t>
      </w:r>
      <w:r>
        <w:rPr>
          <w:i/>
          <w:color w:val="000000" w:themeColor="text1"/>
          <w:lang w:val="en-US"/>
        </w:rPr>
        <w:t>,</w:t>
      </w:r>
      <w:r w:rsidRPr="00BE5362">
        <w:rPr>
          <w:i/>
          <w:color w:val="000000" w:themeColor="text1"/>
          <w:lang w:val="en-US"/>
        </w:rPr>
        <w:t xml:space="preserve"> 69</w:t>
      </w:r>
      <w:r>
        <w:rPr>
          <w:color w:val="000000" w:themeColor="text1"/>
          <w:lang w:val="en-US"/>
        </w:rPr>
        <w:t xml:space="preserve">(1), </w:t>
      </w:r>
      <w:r w:rsidRPr="00A856DB">
        <w:rPr>
          <w:color w:val="000000" w:themeColor="text1"/>
          <w:lang w:val="en-US"/>
        </w:rPr>
        <w:t>21-28.</w:t>
      </w:r>
    </w:p>
    <w:p w14:paraId="12B1FC14" w14:textId="77777777" w:rsidR="00FD43EF" w:rsidRPr="00A856DB" w:rsidRDefault="00FD43EF" w:rsidP="00FD43EF">
      <w:pPr>
        <w:rPr>
          <w:color w:val="000000" w:themeColor="text1"/>
          <w:lang w:val="en-US"/>
        </w:rPr>
      </w:pPr>
    </w:p>
    <w:p w14:paraId="5120584B" w14:textId="77777777" w:rsidR="00FD43EF" w:rsidRPr="00A856DB" w:rsidRDefault="00FD43EF" w:rsidP="00FD43EF">
      <w:pPr>
        <w:rPr>
          <w:color w:val="000000" w:themeColor="text1"/>
          <w:lang w:val="en-US"/>
        </w:rPr>
      </w:pPr>
      <w:r w:rsidRPr="00A856DB">
        <w:rPr>
          <w:color w:val="000000" w:themeColor="text1"/>
          <w:lang w:val="en-US"/>
        </w:rPr>
        <w:t>Gutiérrez-Salazar, M</w:t>
      </w:r>
      <w:r>
        <w:rPr>
          <w:color w:val="000000" w:themeColor="text1"/>
          <w:lang w:val="en-US"/>
        </w:rPr>
        <w:t>.</w:t>
      </w:r>
      <w:r w:rsidRPr="00A856DB">
        <w:rPr>
          <w:color w:val="000000" w:themeColor="text1"/>
          <w:lang w:val="en-US"/>
        </w:rPr>
        <w:t xml:space="preserve"> </w:t>
      </w:r>
      <w:r>
        <w:rPr>
          <w:color w:val="000000" w:themeColor="text1"/>
          <w:lang w:val="en-US"/>
        </w:rPr>
        <w:t>P.</w:t>
      </w:r>
      <w:r w:rsidRPr="00A856DB">
        <w:rPr>
          <w:color w:val="000000" w:themeColor="text1"/>
          <w:lang w:val="en-US"/>
        </w:rPr>
        <w:t xml:space="preserve">, </w:t>
      </w:r>
      <w:r>
        <w:rPr>
          <w:color w:val="000000" w:themeColor="text1"/>
          <w:lang w:val="en-US"/>
        </w:rPr>
        <w:t xml:space="preserve">&amp; </w:t>
      </w:r>
      <w:r w:rsidRPr="00A856DB">
        <w:rPr>
          <w:color w:val="000000" w:themeColor="text1"/>
          <w:lang w:val="en-US"/>
        </w:rPr>
        <w:t>Reyes-Gasga</w:t>
      </w:r>
      <w:r>
        <w:rPr>
          <w:color w:val="000000" w:themeColor="text1"/>
          <w:lang w:val="en-US"/>
        </w:rPr>
        <w:t>, J. (2003).</w:t>
      </w:r>
      <w:r w:rsidRPr="00A856DB">
        <w:rPr>
          <w:color w:val="000000" w:themeColor="text1"/>
          <w:lang w:val="en-US"/>
        </w:rPr>
        <w:t xml:space="preserve"> Microhardness and chemical composition of human tooth.</w:t>
      </w:r>
      <w:r>
        <w:rPr>
          <w:color w:val="000000" w:themeColor="text1"/>
          <w:lang w:val="en-US"/>
        </w:rPr>
        <w:t xml:space="preserve"> </w:t>
      </w:r>
      <w:r w:rsidRPr="00A856DB">
        <w:rPr>
          <w:i/>
          <w:color w:val="000000" w:themeColor="text1"/>
          <w:lang w:val="en-US"/>
        </w:rPr>
        <w:t>Materials Research</w:t>
      </w:r>
      <w:r>
        <w:rPr>
          <w:i/>
          <w:color w:val="000000" w:themeColor="text1"/>
          <w:lang w:val="en-US"/>
        </w:rPr>
        <w:t>,</w:t>
      </w:r>
      <w:r w:rsidRPr="00D907E4">
        <w:rPr>
          <w:i/>
          <w:color w:val="000000" w:themeColor="text1"/>
          <w:lang w:val="en-US"/>
        </w:rPr>
        <w:t xml:space="preserve"> 6</w:t>
      </w:r>
      <w:r>
        <w:rPr>
          <w:color w:val="000000" w:themeColor="text1"/>
          <w:lang w:val="en-US"/>
        </w:rPr>
        <w:t>(</w:t>
      </w:r>
      <w:r w:rsidRPr="00A856DB">
        <w:rPr>
          <w:color w:val="000000" w:themeColor="text1"/>
          <w:lang w:val="en-US"/>
        </w:rPr>
        <w:t>3</w:t>
      </w:r>
      <w:r>
        <w:rPr>
          <w:color w:val="000000" w:themeColor="text1"/>
          <w:lang w:val="en-US"/>
        </w:rPr>
        <w:t xml:space="preserve">), </w:t>
      </w:r>
      <w:r w:rsidRPr="00A856DB">
        <w:rPr>
          <w:color w:val="000000" w:themeColor="text1"/>
          <w:lang w:val="en-US"/>
        </w:rPr>
        <w:t>367-373.</w:t>
      </w:r>
    </w:p>
    <w:p w14:paraId="60E80498" w14:textId="77777777" w:rsidR="00FD43EF" w:rsidRPr="00A856DB" w:rsidRDefault="00FD43EF" w:rsidP="00FD43EF">
      <w:pPr>
        <w:rPr>
          <w:color w:val="000000" w:themeColor="text1"/>
          <w:lang w:val="en-US"/>
        </w:rPr>
      </w:pPr>
    </w:p>
    <w:p w14:paraId="400522C5" w14:textId="71C8A321" w:rsidR="00FD43EF" w:rsidRDefault="00FD43EF" w:rsidP="00FD43EF">
      <w:r>
        <w:t>Halcrow, S.</w:t>
      </w:r>
      <w:r w:rsidR="007675A7">
        <w:t xml:space="preserve"> </w:t>
      </w:r>
      <w:r>
        <w:t>E., Tayles, N. (2011). The bioarchaeological investigation of children and childhood. In: Agarwal, S.</w:t>
      </w:r>
      <w:r w:rsidR="007675A7">
        <w:t xml:space="preserve"> </w:t>
      </w:r>
      <w:r>
        <w:t xml:space="preserve">C., Glencross, B.A. (Eds.) </w:t>
      </w:r>
      <w:r w:rsidRPr="00D907E4">
        <w:rPr>
          <w:i/>
        </w:rPr>
        <w:t xml:space="preserve">Social </w:t>
      </w:r>
      <w:r w:rsidR="003D00CA">
        <w:rPr>
          <w:i/>
        </w:rPr>
        <w:t>B</w:t>
      </w:r>
      <w:r w:rsidRPr="00D907E4">
        <w:rPr>
          <w:i/>
        </w:rPr>
        <w:t>ioarchaeology</w:t>
      </w:r>
      <w:r>
        <w:t xml:space="preserve"> (pp.333-360)</w:t>
      </w:r>
      <w:r>
        <w:rPr>
          <w:i/>
        </w:rPr>
        <w:t>.</w:t>
      </w:r>
      <w:r>
        <w:t xml:space="preserve"> Chichester: </w:t>
      </w:r>
      <w:r w:rsidRPr="00651536">
        <w:rPr>
          <w:color w:val="000000" w:themeColor="text1"/>
          <w:lang w:val="en-US"/>
        </w:rPr>
        <w:t>Wiley-Blackwell</w:t>
      </w:r>
      <w:r>
        <w:t xml:space="preserve">. </w:t>
      </w:r>
    </w:p>
    <w:p w14:paraId="2013BA75" w14:textId="77777777" w:rsidR="00FD43EF" w:rsidRDefault="00FD43EF" w:rsidP="00FD43EF"/>
    <w:p w14:paraId="2FE4DAA5" w14:textId="66FA5DE0" w:rsidR="00FD43EF" w:rsidRPr="00A856DB" w:rsidRDefault="00FD43EF" w:rsidP="00FD43EF">
      <w:pPr>
        <w:rPr>
          <w:lang w:val="en-US"/>
        </w:rPr>
      </w:pPr>
      <w:r w:rsidRPr="00A856DB">
        <w:rPr>
          <w:lang w:val="en-US"/>
        </w:rPr>
        <w:t>Handberg, S</w:t>
      </w:r>
      <w:r>
        <w:rPr>
          <w:lang w:val="en-US"/>
        </w:rPr>
        <w:t>.</w:t>
      </w:r>
      <w:r w:rsidRPr="00A856DB">
        <w:rPr>
          <w:lang w:val="en-US"/>
        </w:rPr>
        <w:t xml:space="preserve"> </w:t>
      </w:r>
      <w:r>
        <w:rPr>
          <w:lang w:val="en-US"/>
        </w:rPr>
        <w:t>&amp;</w:t>
      </w:r>
      <w:r w:rsidRPr="00A856DB">
        <w:rPr>
          <w:lang w:val="en-US"/>
        </w:rPr>
        <w:t xml:space="preserve"> Jacobsen</w:t>
      </w:r>
      <w:r>
        <w:rPr>
          <w:lang w:val="en-US"/>
        </w:rPr>
        <w:t>, J. K. (2011).</w:t>
      </w:r>
      <w:r w:rsidRPr="00A856DB">
        <w:rPr>
          <w:lang w:val="en-US"/>
        </w:rPr>
        <w:t xml:space="preserve"> Greek or Indigenous? From </w:t>
      </w:r>
      <w:r w:rsidR="00A211B8">
        <w:rPr>
          <w:lang w:val="en-US"/>
        </w:rPr>
        <w:t>p</w:t>
      </w:r>
      <w:r w:rsidRPr="00A856DB">
        <w:rPr>
          <w:lang w:val="en-US"/>
        </w:rPr>
        <w:t xml:space="preserve">otsherd to </w:t>
      </w:r>
      <w:r w:rsidR="00A211B8">
        <w:rPr>
          <w:lang w:val="en-US"/>
        </w:rPr>
        <w:t>i</w:t>
      </w:r>
      <w:r w:rsidRPr="00A856DB">
        <w:rPr>
          <w:lang w:val="en-US"/>
        </w:rPr>
        <w:t xml:space="preserve">dentity in </w:t>
      </w:r>
      <w:r w:rsidR="00A211B8">
        <w:rPr>
          <w:lang w:val="en-US"/>
        </w:rPr>
        <w:t>e</w:t>
      </w:r>
      <w:r w:rsidRPr="00A856DB">
        <w:rPr>
          <w:lang w:val="en-US"/>
        </w:rPr>
        <w:t xml:space="preserve">arly </w:t>
      </w:r>
      <w:r w:rsidR="00A211B8">
        <w:rPr>
          <w:lang w:val="en-US"/>
        </w:rPr>
        <w:t>c</w:t>
      </w:r>
      <w:r w:rsidRPr="00A856DB">
        <w:rPr>
          <w:lang w:val="en-US"/>
        </w:rPr>
        <w:t xml:space="preserve">olonial </w:t>
      </w:r>
      <w:r w:rsidR="00A211B8">
        <w:rPr>
          <w:lang w:val="en-US"/>
        </w:rPr>
        <w:t>e</w:t>
      </w:r>
      <w:r w:rsidRPr="00A856DB">
        <w:rPr>
          <w:lang w:val="en-US"/>
        </w:rPr>
        <w:t>ncounters. In</w:t>
      </w:r>
      <w:r w:rsidR="007675A7">
        <w:rPr>
          <w:lang w:val="en-US"/>
        </w:rPr>
        <w:t>:</w:t>
      </w:r>
      <w:r>
        <w:rPr>
          <w:lang w:val="en-US"/>
        </w:rPr>
        <w:t xml:space="preserve"> </w:t>
      </w:r>
      <w:r w:rsidRPr="00362127">
        <w:rPr>
          <w:lang w:val="en-US"/>
        </w:rPr>
        <w:t>Horsnaes</w:t>
      </w:r>
      <w:r>
        <w:rPr>
          <w:lang w:val="en-US"/>
        </w:rPr>
        <w:t>, H. &amp; Gleba, M</w:t>
      </w:r>
      <w:r w:rsidRPr="00362127">
        <w:rPr>
          <w:i/>
          <w:lang w:val="en-US"/>
        </w:rPr>
        <w:t>.</w:t>
      </w:r>
      <w:r w:rsidR="00A22A71">
        <w:rPr>
          <w:i/>
          <w:lang w:val="en-US"/>
        </w:rPr>
        <w:t xml:space="preserve"> </w:t>
      </w:r>
      <w:r w:rsidR="00A22A71">
        <w:rPr>
          <w:iCs/>
          <w:lang w:val="en-US"/>
        </w:rPr>
        <w:t>(Eds.)</w:t>
      </w:r>
      <w:r w:rsidRPr="00362127">
        <w:rPr>
          <w:i/>
          <w:lang w:val="en-US"/>
        </w:rPr>
        <w:t xml:space="preserve"> Communicating Identity in Italic Iron Age Communities</w:t>
      </w:r>
      <w:r>
        <w:rPr>
          <w:lang w:val="en-US"/>
        </w:rPr>
        <w:t xml:space="preserve"> (</w:t>
      </w:r>
      <w:r w:rsidRPr="00A856DB">
        <w:rPr>
          <w:lang w:val="en-US"/>
        </w:rPr>
        <w:t>pp. 175-194</w:t>
      </w:r>
      <w:r>
        <w:rPr>
          <w:lang w:val="en-US"/>
        </w:rPr>
        <w:t>)</w:t>
      </w:r>
      <w:r w:rsidRPr="00A856DB">
        <w:rPr>
          <w:lang w:val="en-US"/>
        </w:rPr>
        <w:t xml:space="preserve">. </w:t>
      </w:r>
      <w:r>
        <w:rPr>
          <w:lang w:val="en-US"/>
        </w:rPr>
        <w:t xml:space="preserve">Oakville: </w:t>
      </w:r>
      <w:r w:rsidRPr="00A856DB">
        <w:rPr>
          <w:lang w:val="en-US"/>
        </w:rPr>
        <w:t xml:space="preserve">Oxbow Press. </w:t>
      </w:r>
    </w:p>
    <w:p w14:paraId="79A4B1FF" w14:textId="77777777" w:rsidR="00FD43EF" w:rsidRPr="00A856DB" w:rsidRDefault="00FD43EF" w:rsidP="00FD43EF">
      <w:pPr>
        <w:rPr>
          <w:lang w:val="en-US"/>
        </w:rPr>
      </w:pPr>
    </w:p>
    <w:p w14:paraId="3E4D7D78" w14:textId="5C3885B6" w:rsidR="00FD43EF" w:rsidRPr="008C4A6A" w:rsidRDefault="00FD43EF" w:rsidP="00FD43EF">
      <w:pPr>
        <w:rPr>
          <w:iCs/>
          <w:color w:val="000000" w:themeColor="text1"/>
          <w:lang w:val="en-US"/>
        </w:rPr>
      </w:pPr>
      <w:r w:rsidRPr="008C4A6A">
        <w:rPr>
          <w:iCs/>
          <w:color w:val="000000" w:themeColor="text1"/>
          <w:lang w:val="en-US"/>
        </w:rPr>
        <w:t>Harvey, P</w:t>
      </w:r>
      <w:r>
        <w:rPr>
          <w:iCs/>
          <w:color w:val="000000" w:themeColor="text1"/>
          <w:lang w:val="en-US"/>
        </w:rPr>
        <w:t>.</w:t>
      </w:r>
      <w:r w:rsidRPr="008C4A6A">
        <w:rPr>
          <w:iCs/>
          <w:color w:val="000000" w:themeColor="text1"/>
          <w:lang w:val="en-US"/>
        </w:rPr>
        <w:t xml:space="preserve"> H. </w:t>
      </w:r>
      <w:r>
        <w:rPr>
          <w:iCs/>
          <w:color w:val="000000" w:themeColor="text1"/>
          <w:lang w:val="en-US"/>
        </w:rPr>
        <w:t>&amp;</w:t>
      </w:r>
      <w:r w:rsidRPr="008C4A6A">
        <w:rPr>
          <w:iCs/>
          <w:color w:val="000000" w:themeColor="text1"/>
          <w:lang w:val="en-US"/>
        </w:rPr>
        <w:t xml:space="preserve"> Clutton</w:t>
      </w:r>
      <w:r w:rsidRPr="008C4A6A">
        <w:rPr>
          <w:rFonts w:ascii="Cambria Math" w:hAnsi="Cambria Math" w:cs="Cambria Math"/>
          <w:iCs/>
          <w:color w:val="000000" w:themeColor="text1"/>
          <w:lang w:val="en-US"/>
        </w:rPr>
        <w:t>‐</w:t>
      </w:r>
      <w:r w:rsidRPr="008C4A6A">
        <w:rPr>
          <w:iCs/>
          <w:color w:val="000000" w:themeColor="text1"/>
          <w:lang w:val="en-US"/>
        </w:rPr>
        <w:t>Brock</w:t>
      </w:r>
      <w:r>
        <w:rPr>
          <w:iCs/>
          <w:color w:val="000000" w:themeColor="text1"/>
          <w:lang w:val="en-US"/>
        </w:rPr>
        <w:t>, T. H. (1985).</w:t>
      </w:r>
      <w:r w:rsidRPr="008C4A6A">
        <w:rPr>
          <w:iCs/>
          <w:color w:val="000000" w:themeColor="text1"/>
          <w:lang w:val="en-US"/>
        </w:rPr>
        <w:t xml:space="preserve"> Life history variation in primates. </w:t>
      </w:r>
      <w:r w:rsidRPr="008C4A6A">
        <w:rPr>
          <w:i/>
          <w:iCs/>
          <w:color w:val="000000" w:themeColor="text1"/>
          <w:lang w:val="en-US"/>
        </w:rPr>
        <w:t>Evolution</w:t>
      </w:r>
      <w:r>
        <w:rPr>
          <w:i/>
          <w:iCs/>
          <w:color w:val="000000" w:themeColor="text1"/>
          <w:lang w:val="en-US"/>
        </w:rPr>
        <w:t>,</w:t>
      </w:r>
      <w:r w:rsidRPr="008C4A6A">
        <w:rPr>
          <w:i/>
          <w:iCs/>
          <w:color w:val="000000" w:themeColor="text1"/>
          <w:lang w:val="en-US"/>
        </w:rPr>
        <w:t xml:space="preserve"> </w:t>
      </w:r>
      <w:r w:rsidRPr="00362127">
        <w:rPr>
          <w:i/>
          <w:iCs/>
          <w:color w:val="000000" w:themeColor="text1"/>
          <w:lang w:val="en-US"/>
        </w:rPr>
        <w:t>39</w:t>
      </w:r>
      <w:r>
        <w:rPr>
          <w:iCs/>
          <w:color w:val="000000" w:themeColor="text1"/>
          <w:lang w:val="en-US"/>
        </w:rPr>
        <w:t>(3</w:t>
      </w:r>
      <w:r w:rsidRPr="008C4A6A">
        <w:rPr>
          <w:iCs/>
          <w:color w:val="000000" w:themeColor="text1"/>
          <w:lang w:val="en-US"/>
        </w:rPr>
        <w:t>)</w:t>
      </w:r>
      <w:r>
        <w:rPr>
          <w:iCs/>
          <w:color w:val="000000" w:themeColor="text1"/>
          <w:lang w:val="en-US"/>
        </w:rPr>
        <w:t>,</w:t>
      </w:r>
      <w:r w:rsidRPr="008C4A6A">
        <w:rPr>
          <w:iCs/>
          <w:color w:val="000000" w:themeColor="text1"/>
          <w:lang w:val="en-US"/>
        </w:rPr>
        <w:t xml:space="preserve"> 559-581.</w:t>
      </w:r>
    </w:p>
    <w:p w14:paraId="3DD34BEC" w14:textId="77777777" w:rsidR="00FD43EF" w:rsidRPr="008C4A6A" w:rsidRDefault="00FD43EF" w:rsidP="00FD43EF">
      <w:pPr>
        <w:rPr>
          <w:iCs/>
          <w:color w:val="000000" w:themeColor="text1"/>
          <w:lang w:val="en-US"/>
        </w:rPr>
      </w:pPr>
    </w:p>
    <w:p w14:paraId="6E1462B7" w14:textId="77777777" w:rsidR="00FD43EF" w:rsidRPr="00A856DB" w:rsidRDefault="00FD43EF" w:rsidP="00FD43EF">
      <w:pPr>
        <w:rPr>
          <w:color w:val="000000" w:themeColor="text1"/>
          <w:lang w:val="en-US"/>
        </w:rPr>
      </w:pPr>
      <w:r w:rsidRPr="00A856DB">
        <w:rPr>
          <w:color w:val="000000" w:themeColor="text1"/>
          <w:lang w:val="en-US"/>
        </w:rPr>
        <w:t>Hedges</w:t>
      </w:r>
      <w:r>
        <w:rPr>
          <w:color w:val="000000" w:themeColor="text1"/>
          <w:lang w:val="en-US"/>
        </w:rPr>
        <w:t>, R.E.M. &amp;</w:t>
      </w:r>
      <w:r w:rsidRPr="00A856DB">
        <w:rPr>
          <w:color w:val="000000" w:themeColor="text1"/>
          <w:lang w:val="en-US"/>
        </w:rPr>
        <w:t xml:space="preserve"> Reynard</w:t>
      </w:r>
      <w:r>
        <w:rPr>
          <w:color w:val="000000" w:themeColor="text1"/>
          <w:lang w:val="en-US"/>
        </w:rPr>
        <w:t>, L. M. (2007).</w:t>
      </w:r>
      <w:r w:rsidRPr="00A856DB">
        <w:rPr>
          <w:color w:val="000000" w:themeColor="text1"/>
          <w:lang w:val="en-US"/>
        </w:rPr>
        <w:t xml:space="preserve"> Nitrogen isotopes and the trophic level of humans in archaeology. </w:t>
      </w:r>
      <w:r w:rsidRPr="00A856DB">
        <w:rPr>
          <w:i/>
          <w:color w:val="000000" w:themeColor="text1"/>
          <w:lang w:val="en-US"/>
        </w:rPr>
        <w:t>Journal of Archaeological Science</w:t>
      </w:r>
      <w:r>
        <w:rPr>
          <w:i/>
          <w:color w:val="000000" w:themeColor="text1"/>
          <w:lang w:val="en-US"/>
        </w:rPr>
        <w:t>,</w:t>
      </w:r>
      <w:r w:rsidRPr="00362127">
        <w:rPr>
          <w:i/>
          <w:color w:val="000000" w:themeColor="text1"/>
          <w:lang w:val="en-US"/>
        </w:rPr>
        <w:t xml:space="preserve"> 34</w:t>
      </w:r>
      <w:r>
        <w:rPr>
          <w:color w:val="000000" w:themeColor="text1"/>
          <w:lang w:val="en-US"/>
        </w:rPr>
        <w:t>(</w:t>
      </w:r>
      <w:r w:rsidRPr="00A856DB">
        <w:rPr>
          <w:color w:val="000000" w:themeColor="text1"/>
          <w:lang w:val="en-US"/>
        </w:rPr>
        <w:t>8</w:t>
      </w:r>
      <w:r>
        <w:rPr>
          <w:color w:val="000000" w:themeColor="text1"/>
          <w:lang w:val="en-US"/>
        </w:rPr>
        <w:t xml:space="preserve">), </w:t>
      </w:r>
      <w:r w:rsidRPr="00A856DB">
        <w:rPr>
          <w:color w:val="000000" w:themeColor="text1"/>
          <w:lang w:val="en-US"/>
        </w:rPr>
        <w:t>1240-1251.</w:t>
      </w:r>
    </w:p>
    <w:p w14:paraId="1F1BF959" w14:textId="77777777" w:rsidR="00FD43EF" w:rsidRPr="00A856DB" w:rsidRDefault="00FD43EF" w:rsidP="00FD43EF">
      <w:pPr>
        <w:rPr>
          <w:color w:val="000000" w:themeColor="text1"/>
          <w:lang w:val="en-US"/>
        </w:rPr>
      </w:pPr>
    </w:p>
    <w:p w14:paraId="0F399058" w14:textId="77777777" w:rsidR="00FD43EF" w:rsidRPr="00A856DB" w:rsidRDefault="00FD43EF" w:rsidP="00FD43EF">
      <w:pPr>
        <w:rPr>
          <w:color w:val="000000" w:themeColor="text1"/>
          <w:lang w:val="en-US"/>
        </w:rPr>
      </w:pPr>
      <w:r w:rsidRPr="00A856DB">
        <w:rPr>
          <w:color w:val="000000" w:themeColor="text1"/>
          <w:lang w:val="en-US"/>
        </w:rPr>
        <w:t>Henderson, R</w:t>
      </w:r>
      <w:r>
        <w:rPr>
          <w:color w:val="000000" w:themeColor="text1"/>
          <w:lang w:val="en-US"/>
        </w:rPr>
        <w:t>.</w:t>
      </w:r>
      <w:r w:rsidRPr="00A856DB">
        <w:rPr>
          <w:color w:val="000000" w:themeColor="text1"/>
          <w:lang w:val="en-US"/>
        </w:rPr>
        <w:t xml:space="preserve"> C., Lee</w:t>
      </w:r>
      <w:r w:rsidRPr="00A856DB">
        <w:rPr>
          <w:rFonts w:ascii="Cambria Math" w:hAnsi="Cambria Math" w:cs="Cambria Math"/>
          <w:color w:val="000000" w:themeColor="text1"/>
          <w:lang w:val="en-US"/>
        </w:rPr>
        <w:t>‐</w:t>
      </w:r>
      <w:r w:rsidRPr="00A856DB">
        <w:rPr>
          <w:color w:val="000000" w:themeColor="text1"/>
          <w:lang w:val="en-US"/>
        </w:rPr>
        <w:t>Thorp,</w:t>
      </w:r>
      <w:r>
        <w:rPr>
          <w:color w:val="000000" w:themeColor="text1"/>
          <w:lang w:val="en-US"/>
        </w:rPr>
        <w:t xml:space="preserve"> J.</w:t>
      </w:r>
      <w:r w:rsidRPr="00A856DB">
        <w:rPr>
          <w:color w:val="000000" w:themeColor="text1"/>
          <w:lang w:val="en-US"/>
        </w:rPr>
        <w:t xml:space="preserve"> </w:t>
      </w:r>
      <w:r>
        <w:rPr>
          <w:color w:val="000000" w:themeColor="text1"/>
          <w:lang w:val="en-US"/>
        </w:rPr>
        <w:t xml:space="preserve">&amp; </w:t>
      </w:r>
      <w:r w:rsidRPr="00A856DB">
        <w:rPr>
          <w:color w:val="000000" w:themeColor="text1"/>
          <w:lang w:val="en-US"/>
        </w:rPr>
        <w:t>Loe</w:t>
      </w:r>
      <w:r>
        <w:rPr>
          <w:color w:val="000000" w:themeColor="text1"/>
          <w:lang w:val="en-US"/>
        </w:rPr>
        <w:t>, L</w:t>
      </w:r>
      <w:r w:rsidRPr="00A856DB">
        <w:rPr>
          <w:color w:val="000000" w:themeColor="text1"/>
          <w:lang w:val="en-US"/>
        </w:rPr>
        <w:t>.</w:t>
      </w:r>
      <w:r>
        <w:rPr>
          <w:color w:val="000000" w:themeColor="text1"/>
          <w:lang w:val="en-US"/>
        </w:rPr>
        <w:t xml:space="preserve"> (2014).</w:t>
      </w:r>
      <w:r w:rsidRPr="00A856DB">
        <w:rPr>
          <w:color w:val="000000" w:themeColor="text1"/>
          <w:lang w:val="en-US"/>
        </w:rPr>
        <w:t xml:space="preserve"> Early life histories of the London poor using δ</w:t>
      </w:r>
      <w:r w:rsidRPr="00A856DB">
        <w:rPr>
          <w:color w:val="000000" w:themeColor="text1"/>
          <w:vertAlign w:val="superscript"/>
          <w:lang w:val="en-US"/>
        </w:rPr>
        <w:t>13</w:t>
      </w:r>
      <w:r w:rsidRPr="00A856DB">
        <w:rPr>
          <w:color w:val="000000" w:themeColor="text1"/>
          <w:lang w:val="en-US"/>
        </w:rPr>
        <w:t>C and δ</w:t>
      </w:r>
      <w:r w:rsidRPr="00A856DB">
        <w:rPr>
          <w:color w:val="000000" w:themeColor="text1"/>
          <w:vertAlign w:val="superscript"/>
          <w:lang w:val="en-US"/>
        </w:rPr>
        <w:t>15</w:t>
      </w:r>
      <w:r w:rsidRPr="00A856DB">
        <w:rPr>
          <w:color w:val="000000" w:themeColor="text1"/>
          <w:lang w:val="en-US"/>
        </w:rPr>
        <w:t xml:space="preserve">N stable isotope incremental dentine sampling. </w:t>
      </w:r>
      <w:r w:rsidRPr="00A856DB">
        <w:rPr>
          <w:i/>
          <w:color w:val="000000" w:themeColor="text1"/>
          <w:lang w:val="en-US"/>
        </w:rPr>
        <w:t>American Journal of Physical Anthropology</w:t>
      </w:r>
      <w:r>
        <w:rPr>
          <w:i/>
          <w:color w:val="000000" w:themeColor="text1"/>
          <w:lang w:val="en-US"/>
        </w:rPr>
        <w:t>,</w:t>
      </w:r>
      <w:r w:rsidRPr="00A856DB">
        <w:rPr>
          <w:color w:val="000000" w:themeColor="text1"/>
          <w:lang w:val="en-US"/>
        </w:rPr>
        <w:t xml:space="preserve"> </w:t>
      </w:r>
      <w:r w:rsidRPr="00362127">
        <w:rPr>
          <w:i/>
          <w:color w:val="000000" w:themeColor="text1"/>
          <w:lang w:val="en-US"/>
        </w:rPr>
        <w:t>154</w:t>
      </w:r>
      <w:r>
        <w:rPr>
          <w:color w:val="000000" w:themeColor="text1"/>
          <w:lang w:val="en-US"/>
        </w:rPr>
        <w:t>(</w:t>
      </w:r>
      <w:r w:rsidRPr="00A856DB">
        <w:rPr>
          <w:color w:val="000000" w:themeColor="text1"/>
          <w:lang w:val="en-US"/>
        </w:rPr>
        <w:t>4</w:t>
      </w:r>
      <w:r>
        <w:rPr>
          <w:color w:val="000000" w:themeColor="text1"/>
          <w:lang w:val="en-US"/>
        </w:rPr>
        <w:t>),</w:t>
      </w:r>
      <w:r w:rsidRPr="00A856DB">
        <w:rPr>
          <w:color w:val="000000" w:themeColor="text1"/>
          <w:lang w:val="en-US"/>
        </w:rPr>
        <w:t xml:space="preserve"> 585-593.</w:t>
      </w:r>
    </w:p>
    <w:p w14:paraId="2E633E9C" w14:textId="77777777" w:rsidR="00FD43EF" w:rsidRPr="00A856DB" w:rsidRDefault="00FD43EF" w:rsidP="00FD43EF">
      <w:pPr>
        <w:rPr>
          <w:color w:val="000000" w:themeColor="text1"/>
          <w:lang w:val="en-US"/>
        </w:rPr>
      </w:pPr>
    </w:p>
    <w:p w14:paraId="3065BAD1" w14:textId="77777777" w:rsidR="00FD43EF" w:rsidRPr="00A856DB" w:rsidRDefault="00FD43EF" w:rsidP="00FD43EF">
      <w:pPr>
        <w:rPr>
          <w:lang w:val="en-US"/>
        </w:rPr>
      </w:pPr>
      <w:r w:rsidRPr="00A856DB">
        <w:rPr>
          <w:lang w:val="en-US"/>
        </w:rPr>
        <w:lastRenderedPageBreak/>
        <w:t>Herring, D. A</w:t>
      </w:r>
      <w:r>
        <w:rPr>
          <w:lang w:val="en-US"/>
        </w:rPr>
        <w:t>.</w:t>
      </w:r>
      <w:r w:rsidRPr="00A856DB">
        <w:rPr>
          <w:lang w:val="en-US"/>
        </w:rPr>
        <w:t>, Saunders,</w:t>
      </w:r>
      <w:r>
        <w:rPr>
          <w:lang w:val="en-US"/>
        </w:rPr>
        <w:t xml:space="preserve"> S. R., &amp;</w:t>
      </w:r>
      <w:r w:rsidRPr="00A856DB">
        <w:rPr>
          <w:lang w:val="en-US"/>
        </w:rPr>
        <w:t xml:space="preserve"> Katzenberg</w:t>
      </w:r>
      <w:r>
        <w:rPr>
          <w:lang w:val="en-US"/>
        </w:rPr>
        <w:t>, M. A. (1998).</w:t>
      </w:r>
      <w:r w:rsidRPr="00A856DB">
        <w:rPr>
          <w:lang w:val="en-US"/>
        </w:rPr>
        <w:t xml:space="preserve"> Investigating the weaning process in past populations. </w:t>
      </w:r>
      <w:r w:rsidRPr="00A856DB">
        <w:rPr>
          <w:i/>
          <w:lang w:val="en-US"/>
        </w:rPr>
        <w:t>American Journal of Physical Anthropology</w:t>
      </w:r>
      <w:r>
        <w:rPr>
          <w:i/>
          <w:lang w:val="en-US"/>
        </w:rPr>
        <w:t>,</w:t>
      </w:r>
      <w:r w:rsidRPr="00A856DB">
        <w:rPr>
          <w:lang w:val="en-US"/>
        </w:rPr>
        <w:t xml:space="preserve"> </w:t>
      </w:r>
      <w:r w:rsidRPr="00090960">
        <w:rPr>
          <w:i/>
          <w:lang w:val="en-US"/>
        </w:rPr>
        <w:t>105</w:t>
      </w:r>
      <w:r>
        <w:rPr>
          <w:lang w:val="en-US"/>
        </w:rPr>
        <w:t>(4),</w:t>
      </w:r>
      <w:r w:rsidRPr="00A856DB">
        <w:rPr>
          <w:lang w:val="en-US"/>
        </w:rPr>
        <w:t xml:space="preserve"> 425-439.</w:t>
      </w:r>
    </w:p>
    <w:p w14:paraId="49BCBD17" w14:textId="77777777" w:rsidR="00FD43EF" w:rsidRPr="00A856DB" w:rsidRDefault="00FD43EF" w:rsidP="00FD43EF">
      <w:pPr>
        <w:rPr>
          <w:lang w:val="en-US"/>
        </w:rPr>
      </w:pPr>
    </w:p>
    <w:p w14:paraId="68AEFB09" w14:textId="77777777" w:rsidR="00FD43EF" w:rsidRDefault="00FD43EF" w:rsidP="00FD43EF">
      <w:pPr>
        <w:rPr>
          <w:color w:val="000000" w:themeColor="text1"/>
          <w:lang w:val="en-US"/>
        </w:rPr>
      </w:pPr>
      <w:r w:rsidRPr="00A856DB">
        <w:rPr>
          <w:color w:val="000000" w:themeColor="text1"/>
          <w:lang w:val="en-US"/>
        </w:rPr>
        <w:t>Hillson, S.</w:t>
      </w:r>
      <w:r>
        <w:rPr>
          <w:color w:val="000000" w:themeColor="text1"/>
          <w:lang w:val="en-US"/>
        </w:rPr>
        <w:t xml:space="preserve"> (1996).</w:t>
      </w:r>
      <w:r w:rsidRPr="00A856DB">
        <w:rPr>
          <w:color w:val="000000" w:themeColor="text1"/>
          <w:lang w:val="en-US"/>
        </w:rPr>
        <w:t xml:space="preserve"> </w:t>
      </w:r>
      <w:r w:rsidRPr="00A856DB">
        <w:rPr>
          <w:i/>
          <w:color w:val="000000" w:themeColor="text1"/>
          <w:lang w:val="en-US"/>
        </w:rPr>
        <w:t>Dental Anthropology</w:t>
      </w:r>
      <w:r w:rsidRPr="00A856DB">
        <w:rPr>
          <w:color w:val="000000" w:themeColor="text1"/>
          <w:lang w:val="en-US"/>
        </w:rPr>
        <w:t>. Cambridge: Cambridge University Press</w:t>
      </w:r>
      <w:r>
        <w:rPr>
          <w:color w:val="000000" w:themeColor="text1"/>
          <w:lang w:val="en-US"/>
        </w:rPr>
        <w:t>.</w:t>
      </w:r>
    </w:p>
    <w:p w14:paraId="1BE186C0" w14:textId="77777777" w:rsidR="00FD43EF" w:rsidRDefault="00FD43EF" w:rsidP="00FD43EF">
      <w:pPr>
        <w:rPr>
          <w:color w:val="000000" w:themeColor="text1"/>
          <w:lang w:val="en-US"/>
        </w:rPr>
      </w:pPr>
    </w:p>
    <w:p w14:paraId="35FB3E9B" w14:textId="77777777" w:rsidR="00FD43EF" w:rsidRPr="00351825" w:rsidRDefault="00FD43EF" w:rsidP="00FD43EF">
      <w:pPr>
        <w:rPr>
          <w:bCs/>
          <w:color w:val="000000" w:themeColor="text1"/>
          <w:lang w:val="en-US"/>
        </w:rPr>
      </w:pPr>
      <w:r w:rsidRPr="00A856DB">
        <w:rPr>
          <w:bCs/>
          <w:color w:val="000000" w:themeColor="text1"/>
          <w:lang w:val="en-US"/>
        </w:rPr>
        <w:t>Hillson, S.</w:t>
      </w:r>
      <w:r>
        <w:rPr>
          <w:bCs/>
          <w:color w:val="000000" w:themeColor="text1"/>
          <w:lang w:val="en-US"/>
        </w:rPr>
        <w:t xml:space="preserve"> (1986).</w:t>
      </w:r>
      <w:r w:rsidRPr="00A856DB">
        <w:rPr>
          <w:bCs/>
          <w:color w:val="000000" w:themeColor="text1"/>
          <w:lang w:val="en-US"/>
        </w:rPr>
        <w:t> </w:t>
      </w:r>
      <w:r w:rsidRPr="00A856DB">
        <w:rPr>
          <w:bCs/>
          <w:i/>
          <w:iCs/>
          <w:color w:val="000000" w:themeColor="text1"/>
          <w:lang w:val="en-US"/>
        </w:rPr>
        <w:t>Teeth</w:t>
      </w:r>
      <w:r w:rsidRPr="00A856DB">
        <w:rPr>
          <w:bCs/>
          <w:color w:val="000000" w:themeColor="text1"/>
          <w:lang w:val="en-US"/>
        </w:rPr>
        <w:t>. Cambridge: Cambridge University Press</w:t>
      </w:r>
      <w:r>
        <w:rPr>
          <w:bCs/>
          <w:color w:val="000000" w:themeColor="text1"/>
          <w:lang w:val="en-US"/>
        </w:rPr>
        <w:t>.</w:t>
      </w:r>
    </w:p>
    <w:p w14:paraId="029D8566" w14:textId="77777777" w:rsidR="00FD43EF" w:rsidRDefault="00FD43EF" w:rsidP="00FD43EF">
      <w:pPr>
        <w:rPr>
          <w:color w:val="000000" w:themeColor="text1"/>
          <w:lang w:val="en-US"/>
        </w:rPr>
      </w:pPr>
    </w:p>
    <w:p w14:paraId="7013394C" w14:textId="15132FC5" w:rsidR="00FD43EF" w:rsidRPr="00D86B24" w:rsidRDefault="00FD43EF" w:rsidP="00FD43EF">
      <w:pPr>
        <w:rPr>
          <w:color w:val="000000" w:themeColor="text1"/>
        </w:rPr>
      </w:pPr>
      <w:r w:rsidRPr="00D86B24">
        <w:rPr>
          <w:color w:val="000000" w:themeColor="text1"/>
        </w:rPr>
        <w:t>Holt, S.</w:t>
      </w:r>
      <w:r>
        <w:rPr>
          <w:color w:val="000000" w:themeColor="text1"/>
        </w:rPr>
        <w:t xml:space="preserve"> (2009). </w:t>
      </w:r>
      <w:r w:rsidRPr="00A211B8">
        <w:rPr>
          <w:i/>
          <w:color w:val="000000" w:themeColor="text1"/>
        </w:rPr>
        <w:t xml:space="preserve">Individuals and </w:t>
      </w:r>
      <w:r w:rsidR="00FD25D7" w:rsidRPr="00A211B8">
        <w:rPr>
          <w:i/>
          <w:color w:val="000000" w:themeColor="text1"/>
        </w:rPr>
        <w:t>V</w:t>
      </w:r>
      <w:r w:rsidRPr="00A211B8">
        <w:rPr>
          <w:i/>
          <w:color w:val="000000" w:themeColor="text1"/>
        </w:rPr>
        <w:t xml:space="preserve">ariation: </w:t>
      </w:r>
      <w:r w:rsidR="00FD25D7" w:rsidRPr="00A211B8">
        <w:rPr>
          <w:i/>
          <w:color w:val="000000" w:themeColor="text1"/>
        </w:rPr>
        <w:t>S</w:t>
      </w:r>
      <w:r w:rsidRPr="00A211B8">
        <w:rPr>
          <w:i/>
          <w:color w:val="000000" w:themeColor="text1"/>
        </w:rPr>
        <w:t xml:space="preserve">table </w:t>
      </w:r>
      <w:r w:rsidR="00FD25D7" w:rsidRPr="00A211B8">
        <w:rPr>
          <w:i/>
          <w:color w:val="000000" w:themeColor="text1"/>
        </w:rPr>
        <w:t>I</w:t>
      </w:r>
      <w:r w:rsidRPr="00A211B8">
        <w:rPr>
          <w:i/>
          <w:color w:val="000000" w:themeColor="text1"/>
        </w:rPr>
        <w:t xml:space="preserve">sotope </w:t>
      </w:r>
      <w:r w:rsidR="00FD25D7" w:rsidRPr="00A211B8">
        <w:rPr>
          <w:i/>
          <w:color w:val="000000" w:themeColor="text1"/>
        </w:rPr>
        <w:t>A</w:t>
      </w:r>
      <w:r w:rsidRPr="00A211B8">
        <w:rPr>
          <w:i/>
          <w:color w:val="000000" w:themeColor="text1"/>
        </w:rPr>
        <w:t xml:space="preserve">nalysis of </w:t>
      </w:r>
      <w:r w:rsidR="00FD25D7" w:rsidRPr="00A211B8">
        <w:rPr>
          <w:i/>
          <w:color w:val="000000" w:themeColor="text1"/>
        </w:rPr>
        <w:t>W</w:t>
      </w:r>
      <w:r w:rsidRPr="00A211B8">
        <w:rPr>
          <w:i/>
          <w:color w:val="000000" w:themeColor="text1"/>
        </w:rPr>
        <w:t xml:space="preserve">eaning </w:t>
      </w:r>
      <w:r w:rsidR="00FD25D7" w:rsidRPr="00A211B8">
        <w:rPr>
          <w:i/>
          <w:color w:val="000000" w:themeColor="text1"/>
        </w:rPr>
        <w:t>U</w:t>
      </w:r>
      <w:r w:rsidRPr="00A211B8">
        <w:rPr>
          <w:i/>
          <w:color w:val="000000" w:themeColor="text1"/>
        </w:rPr>
        <w:t xml:space="preserve">sing </w:t>
      </w:r>
      <w:r w:rsidR="00FD25D7" w:rsidRPr="00A211B8">
        <w:rPr>
          <w:i/>
          <w:color w:val="000000" w:themeColor="text1"/>
        </w:rPr>
        <w:t>D</w:t>
      </w:r>
      <w:r w:rsidRPr="00A211B8">
        <w:rPr>
          <w:i/>
          <w:color w:val="000000" w:themeColor="text1"/>
        </w:rPr>
        <w:t xml:space="preserve">ental </w:t>
      </w:r>
      <w:r w:rsidR="00FD25D7" w:rsidRPr="00A211B8">
        <w:rPr>
          <w:i/>
          <w:color w:val="000000" w:themeColor="text1"/>
        </w:rPr>
        <w:t>S</w:t>
      </w:r>
      <w:r w:rsidRPr="00A211B8">
        <w:rPr>
          <w:i/>
          <w:color w:val="000000" w:themeColor="text1"/>
        </w:rPr>
        <w:t xml:space="preserve">erial </w:t>
      </w:r>
      <w:r w:rsidR="00FD25D7" w:rsidRPr="00A211B8">
        <w:rPr>
          <w:i/>
          <w:color w:val="000000" w:themeColor="text1"/>
        </w:rPr>
        <w:t>S</w:t>
      </w:r>
      <w:r w:rsidRPr="00A211B8">
        <w:rPr>
          <w:i/>
          <w:color w:val="000000" w:themeColor="text1"/>
        </w:rPr>
        <w:t>ections</w:t>
      </w:r>
      <w:r w:rsidRPr="00D86B24">
        <w:rPr>
          <w:color w:val="000000" w:themeColor="text1"/>
        </w:rPr>
        <w:t xml:space="preserve">. </w:t>
      </w:r>
      <w:r>
        <w:rPr>
          <w:color w:val="000000" w:themeColor="text1"/>
        </w:rPr>
        <w:t>MA thesis</w:t>
      </w:r>
      <w:r w:rsidR="00846A2A">
        <w:rPr>
          <w:color w:val="000000" w:themeColor="text1"/>
        </w:rPr>
        <w:t>,</w:t>
      </w:r>
      <w:r>
        <w:rPr>
          <w:color w:val="000000" w:themeColor="text1"/>
        </w:rPr>
        <w:t xml:space="preserve"> McMaster University.</w:t>
      </w:r>
      <w:r w:rsidRPr="00D86B24">
        <w:rPr>
          <w:color w:val="000000" w:themeColor="text1"/>
        </w:rPr>
        <w:t xml:space="preserve"> </w:t>
      </w:r>
    </w:p>
    <w:p w14:paraId="2C8A0F00" w14:textId="77777777" w:rsidR="00FD43EF" w:rsidRDefault="00FD43EF" w:rsidP="00FD43EF">
      <w:pPr>
        <w:rPr>
          <w:color w:val="000000" w:themeColor="text1"/>
          <w:lang w:val="en-US"/>
        </w:rPr>
      </w:pPr>
    </w:p>
    <w:p w14:paraId="476E3D41" w14:textId="77777777" w:rsidR="00FD43EF" w:rsidRPr="00D86B24" w:rsidRDefault="00FD43EF" w:rsidP="00FD43EF">
      <w:pPr>
        <w:rPr>
          <w:color w:val="000000" w:themeColor="text1"/>
        </w:rPr>
      </w:pPr>
      <w:r w:rsidRPr="00D86B24">
        <w:rPr>
          <w:color w:val="000000" w:themeColor="text1"/>
        </w:rPr>
        <w:t>Hopkins, K.</w:t>
      </w:r>
      <w:r>
        <w:rPr>
          <w:color w:val="000000" w:themeColor="text1"/>
        </w:rPr>
        <w:t xml:space="preserve"> (1980).</w:t>
      </w:r>
      <w:r w:rsidRPr="00D86B24">
        <w:rPr>
          <w:color w:val="000000" w:themeColor="text1"/>
        </w:rPr>
        <w:t xml:space="preserve"> Taxes and trade in the Roman Empire (200 BC–AD 400).</w:t>
      </w:r>
      <w:r>
        <w:rPr>
          <w:color w:val="000000" w:themeColor="text1"/>
        </w:rPr>
        <w:t xml:space="preserve"> </w:t>
      </w:r>
      <w:r w:rsidRPr="007C3D9C">
        <w:rPr>
          <w:i/>
          <w:color w:val="000000" w:themeColor="text1"/>
        </w:rPr>
        <w:t>The Journal of Roman Studies</w:t>
      </w:r>
      <w:r>
        <w:rPr>
          <w:i/>
          <w:color w:val="000000" w:themeColor="text1"/>
        </w:rPr>
        <w:t>,</w:t>
      </w:r>
      <w:r w:rsidRPr="00D86B24">
        <w:rPr>
          <w:color w:val="000000" w:themeColor="text1"/>
        </w:rPr>
        <w:t xml:space="preserve"> </w:t>
      </w:r>
      <w:r w:rsidRPr="007C3D9C">
        <w:rPr>
          <w:i/>
          <w:color w:val="000000" w:themeColor="text1"/>
        </w:rPr>
        <w:t>70</w:t>
      </w:r>
      <w:r>
        <w:rPr>
          <w:color w:val="000000" w:themeColor="text1"/>
        </w:rPr>
        <w:t>(1)</w:t>
      </w:r>
      <w:r>
        <w:rPr>
          <w:i/>
          <w:color w:val="000000" w:themeColor="text1"/>
        </w:rPr>
        <w:t xml:space="preserve">, </w:t>
      </w:r>
      <w:r w:rsidRPr="00D86B24">
        <w:rPr>
          <w:color w:val="000000" w:themeColor="text1"/>
        </w:rPr>
        <w:t>101-125.</w:t>
      </w:r>
    </w:p>
    <w:p w14:paraId="6B30C0AD" w14:textId="77777777" w:rsidR="00FD43EF" w:rsidRPr="00A856DB" w:rsidRDefault="00FD43EF" w:rsidP="00FD43EF">
      <w:pPr>
        <w:rPr>
          <w:color w:val="000000" w:themeColor="text1"/>
          <w:lang w:val="en-US"/>
        </w:rPr>
      </w:pPr>
    </w:p>
    <w:p w14:paraId="485C936D" w14:textId="77777777" w:rsidR="00FD43EF" w:rsidRPr="00A856DB" w:rsidRDefault="00FD43EF" w:rsidP="00FD43EF">
      <w:pPr>
        <w:rPr>
          <w:lang w:val="en-US"/>
        </w:rPr>
      </w:pPr>
      <w:r w:rsidRPr="00A856DB">
        <w:rPr>
          <w:lang w:val="en-US"/>
        </w:rPr>
        <w:t>Hoppa, R</w:t>
      </w:r>
      <w:r>
        <w:rPr>
          <w:lang w:val="en-US"/>
        </w:rPr>
        <w:t>.</w:t>
      </w:r>
      <w:r w:rsidRPr="00A856DB">
        <w:rPr>
          <w:lang w:val="en-US"/>
        </w:rPr>
        <w:t xml:space="preserve"> D.</w:t>
      </w:r>
      <w:r>
        <w:rPr>
          <w:lang w:val="en-US"/>
        </w:rPr>
        <w:t xml:space="preserve"> (1992).</w:t>
      </w:r>
      <w:r w:rsidRPr="00A856DB">
        <w:rPr>
          <w:lang w:val="en-US"/>
        </w:rPr>
        <w:t xml:space="preserve"> Evaluating human skeletal growth: An Anglo</w:t>
      </w:r>
      <w:r w:rsidRPr="00A856DB">
        <w:rPr>
          <w:rFonts w:ascii="Cambria Math" w:hAnsi="Cambria Math" w:cs="Cambria Math"/>
          <w:lang w:val="en-US"/>
        </w:rPr>
        <w:t>‐</w:t>
      </w:r>
      <w:r w:rsidRPr="00A856DB">
        <w:rPr>
          <w:lang w:val="en-US"/>
        </w:rPr>
        <w:t xml:space="preserve">Saxon example. </w:t>
      </w:r>
      <w:r w:rsidRPr="00A856DB">
        <w:rPr>
          <w:i/>
          <w:lang w:val="en-US"/>
        </w:rPr>
        <w:t>International Journal of Osteoarchaeology</w:t>
      </w:r>
      <w:r>
        <w:rPr>
          <w:i/>
          <w:lang w:val="en-US"/>
        </w:rPr>
        <w:t>,</w:t>
      </w:r>
      <w:r w:rsidRPr="00A856DB">
        <w:rPr>
          <w:lang w:val="en-US"/>
        </w:rPr>
        <w:t xml:space="preserve"> </w:t>
      </w:r>
      <w:r w:rsidRPr="00090960">
        <w:rPr>
          <w:i/>
          <w:lang w:val="en-US"/>
        </w:rPr>
        <w:t>2</w:t>
      </w:r>
      <w:r>
        <w:rPr>
          <w:lang w:val="en-US"/>
        </w:rPr>
        <w:t>(</w:t>
      </w:r>
      <w:r w:rsidRPr="00A856DB">
        <w:rPr>
          <w:lang w:val="en-US"/>
        </w:rPr>
        <w:t>4</w:t>
      </w:r>
      <w:r>
        <w:rPr>
          <w:lang w:val="en-US"/>
        </w:rPr>
        <w:t xml:space="preserve">), </w:t>
      </w:r>
      <w:r w:rsidRPr="00A856DB">
        <w:rPr>
          <w:lang w:val="en-US"/>
        </w:rPr>
        <w:t>275-288.</w:t>
      </w:r>
    </w:p>
    <w:p w14:paraId="229089B3" w14:textId="77777777" w:rsidR="00FD43EF" w:rsidRPr="00A856DB" w:rsidRDefault="00FD43EF" w:rsidP="00FD43EF">
      <w:pPr>
        <w:rPr>
          <w:lang w:val="en-US"/>
        </w:rPr>
      </w:pPr>
    </w:p>
    <w:p w14:paraId="1DFF6E59" w14:textId="77777777" w:rsidR="00FD43EF" w:rsidRPr="00A856DB" w:rsidRDefault="00FD43EF" w:rsidP="00FD43EF">
      <w:pPr>
        <w:rPr>
          <w:lang w:val="en-US"/>
        </w:rPr>
      </w:pPr>
      <w:r w:rsidRPr="00A856DB">
        <w:rPr>
          <w:lang w:val="en-US"/>
        </w:rPr>
        <w:t>Hoppe, K</w:t>
      </w:r>
      <w:r>
        <w:rPr>
          <w:lang w:val="en-US"/>
        </w:rPr>
        <w:t>.</w:t>
      </w:r>
      <w:r w:rsidRPr="00A856DB">
        <w:rPr>
          <w:lang w:val="en-US"/>
        </w:rPr>
        <w:t xml:space="preserve"> A., Koch,</w:t>
      </w:r>
      <w:r>
        <w:rPr>
          <w:lang w:val="en-US"/>
        </w:rPr>
        <w:t xml:space="preserve"> P. L.,</w:t>
      </w:r>
      <w:r w:rsidRPr="00A856DB">
        <w:rPr>
          <w:lang w:val="en-US"/>
        </w:rPr>
        <w:t xml:space="preserve"> </w:t>
      </w:r>
      <w:r>
        <w:rPr>
          <w:lang w:val="en-US"/>
        </w:rPr>
        <w:t>&amp;</w:t>
      </w:r>
      <w:r w:rsidRPr="00A856DB">
        <w:rPr>
          <w:lang w:val="en-US"/>
        </w:rPr>
        <w:t xml:space="preserve"> Furutani</w:t>
      </w:r>
      <w:r>
        <w:rPr>
          <w:lang w:val="en-US"/>
        </w:rPr>
        <w:t>, T. T. (2003).</w:t>
      </w:r>
      <w:r w:rsidRPr="00A856DB">
        <w:rPr>
          <w:lang w:val="en-US"/>
        </w:rPr>
        <w:t xml:space="preserve"> Assessing the preservation of biogenic strontium in fossil bones and tooth enamel.</w:t>
      </w:r>
      <w:r>
        <w:rPr>
          <w:lang w:val="en-US"/>
        </w:rPr>
        <w:t xml:space="preserve"> </w:t>
      </w:r>
      <w:r w:rsidRPr="00A856DB">
        <w:rPr>
          <w:i/>
          <w:iCs/>
          <w:lang w:val="en-US"/>
        </w:rPr>
        <w:t>International Journal of Osteoarchaeology</w:t>
      </w:r>
      <w:r>
        <w:rPr>
          <w:i/>
          <w:iCs/>
          <w:lang w:val="en-US"/>
        </w:rPr>
        <w:t>,</w:t>
      </w:r>
      <w:r w:rsidRPr="00A856DB">
        <w:rPr>
          <w:lang w:val="en-US"/>
        </w:rPr>
        <w:t> </w:t>
      </w:r>
      <w:r w:rsidRPr="005A76DF">
        <w:rPr>
          <w:i/>
          <w:lang w:val="en-US"/>
        </w:rPr>
        <w:t>13</w:t>
      </w:r>
      <w:r>
        <w:rPr>
          <w:lang w:val="en-US"/>
        </w:rPr>
        <w:t>(</w:t>
      </w:r>
      <w:r w:rsidRPr="00A856DB">
        <w:rPr>
          <w:lang w:val="en-US"/>
        </w:rPr>
        <w:t>1</w:t>
      </w:r>
      <w:r w:rsidRPr="00A856DB">
        <w:rPr>
          <w:rFonts w:ascii="Cambria Math" w:hAnsi="Cambria Math" w:cs="Cambria Math"/>
          <w:lang w:val="en-US"/>
        </w:rPr>
        <w:t>‐</w:t>
      </w:r>
      <w:r w:rsidRPr="00A856DB">
        <w:rPr>
          <w:lang w:val="en-US"/>
        </w:rPr>
        <w:t>2</w:t>
      </w:r>
      <w:r>
        <w:rPr>
          <w:lang w:val="en-US"/>
        </w:rPr>
        <w:t xml:space="preserve">), </w:t>
      </w:r>
      <w:r w:rsidRPr="00A856DB">
        <w:rPr>
          <w:lang w:val="en-US"/>
        </w:rPr>
        <w:t>20-28.</w:t>
      </w:r>
    </w:p>
    <w:p w14:paraId="6B390965" w14:textId="77777777" w:rsidR="00FD43EF" w:rsidRPr="00A856DB" w:rsidRDefault="00FD43EF" w:rsidP="00FD43EF">
      <w:pPr>
        <w:rPr>
          <w:lang w:val="en-US"/>
        </w:rPr>
      </w:pPr>
    </w:p>
    <w:p w14:paraId="062A6952" w14:textId="77777777" w:rsidR="00FD43EF" w:rsidRDefault="00FD43EF" w:rsidP="00FD43EF">
      <w:pPr>
        <w:rPr>
          <w:lang w:val="en-US"/>
        </w:rPr>
      </w:pPr>
      <w:r w:rsidRPr="00A856DB">
        <w:rPr>
          <w:lang w:val="en-US"/>
        </w:rPr>
        <w:t>Howcroft, R</w:t>
      </w:r>
      <w:r>
        <w:rPr>
          <w:lang w:val="en-US"/>
        </w:rPr>
        <w:t>.</w:t>
      </w:r>
      <w:r w:rsidRPr="00A856DB">
        <w:rPr>
          <w:lang w:val="en-US"/>
        </w:rPr>
        <w:t>, Eriksson,</w:t>
      </w:r>
      <w:r>
        <w:rPr>
          <w:lang w:val="en-US"/>
        </w:rPr>
        <w:t xml:space="preserve"> G.,</w:t>
      </w:r>
      <w:r w:rsidRPr="00A856DB">
        <w:rPr>
          <w:lang w:val="en-US"/>
        </w:rPr>
        <w:t xml:space="preserve"> </w:t>
      </w:r>
      <w:r>
        <w:rPr>
          <w:lang w:val="en-US"/>
        </w:rPr>
        <w:t>&amp;</w:t>
      </w:r>
      <w:r w:rsidRPr="00A856DB">
        <w:rPr>
          <w:lang w:val="en-US"/>
        </w:rPr>
        <w:t xml:space="preserve"> Lidén</w:t>
      </w:r>
      <w:r>
        <w:rPr>
          <w:lang w:val="en-US"/>
        </w:rPr>
        <w:t>, K. (2012).</w:t>
      </w:r>
      <w:r w:rsidRPr="00A856DB">
        <w:rPr>
          <w:lang w:val="en-US"/>
        </w:rPr>
        <w:t xml:space="preserve"> Conformity in diversity? Isotopic investigations of infant feeding practices in two Iron Age populations from southern Öland, Sweden. </w:t>
      </w:r>
      <w:r w:rsidRPr="00A856DB">
        <w:rPr>
          <w:i/>
          <w:lang w:val="en-US"/>
        </w:rPr>
        <w:t>American Journal of Physical Anthropology</w:t>
      </w:r>
      <w:r>
        <w:rPr>
          <w:i/>
          <w:lang w:val="en-US"/>
        </w:rPr>
        <w:t>,</w:t>
      </w:r>
      <w:r w:rsidRPr="00A856DB">
        <w:rPr>
          <w:lang w:val="en-US"/>
        </w:rPr>
        <w:t xml:space="preserve"> </w:t>
      </w:r>
      <w:r w:rsidRPr="005A76DF">
        <w:rPr>
          <w:i/>
          <w:lang w:val="en-US"/>
        </w:rPr>
        <w:t>149</w:t>
      </w:r>
      <w:r>
        <w:rPr>
          <w:lang w:val="en-US"/>
        </w:rPr>
        <w:t xml:space="preserve">(2), </w:t>
      </w:r>
      <w:r w:rsidRPr="00A856DB">
        <w:rPr>
          <w:lang w:val="en-US"/>
        </w:rPr>
        <w:t>217-230.</w:t>
      </w:r>
    </w:p>
    <w:p w14:paraId="24172B8F" w14:textId="77777777" w:rsidR="00FD43EF" w:rsidRDefault="00FD43EF" w:rsidP="00FD43EF">
      <w:pPr>
        <w:rPr>
          <w:lang w:val="en-US"/>
        </w:rPr>
      </w:pPr>
    </w:p>
    <w:p w14:paraId="27EECC57" w14:textId="37C62F1E" w:rsidR="00FD43EF" w:rsidRDefault="00FD43EF" w:rsidP="00FD43EF">
      <w:pPr>
        <w:rPr>
          <w:color w:val="000000" w:themeColor="text1"/>
        </w:rPr>
      </w:pPr>
      <w:r w:rsidRPr="00D86B24">
        <w:rPr>
          <w:color w:val="000000" w:themeColor="text1"/>
        </w:rPr>
        <w:t>Humphrey, L</w:t>
      </w:r>
      <w:r>
        <w:rPr>
          <w:color w:val="000000" w:themeColor="text1"/>
        </w:rPr>
        <w:t>.</w:t>
      </w:r>
      <w:r w:rsidRPr="00D86B24">
        <w:rPr>
          <w:color w:val="000000" w:themeColor="text1"/>
        </w:rPr>
        <w:t xml:space="preserve"> T. </w:t>
      </w:r>
      <w:r>
        <w:rPr>
          <w:color w:val="000000" w:themeColor="text1"/>
        </w:rPr>
        <w:t xml:space="preserve">(2010). </w:t>
      </w:r>
      <w:r w:rsidRPr="00D86B24">
        <w:rPr>
          <w:color w:val="000000" w:themeColor="text1"/>
        </w:rPr>
        <w:t>Weaning behaviour in human evolution.</w:t>
      </w:r>
      <w:r w:rsidR="00A22A71">
        <w:rPr>
          <w:color w:val="000000" w:themeColor="text1"/>
        </w:rPr>
        <w:t xml:space="preserve"> </w:t>
      </w:r>
      <w:r w:rsidRPr="00D86B24">
        <w:rPr>
          <w:i/>
          <w:iCs/>
          <w:color w:val="000000" w:themeColor="text1"/>
        </w:rPr>
        <w:t xml:space="preserve">Seminars in </w:t>
      </w:r>
      <w:r w:rsidR="003D00CA">
        <w:rPr>
          <w:i/>
          <w:iCs/>
          <w:color w:val="000000" w:themeColor="text1"/>
        </w:rPr>
        <w:t>C</w:t>
      </w:r>
      <w:r w:rsidRPr="00D86B24">
        <w:rPr>
          <w:i/>
          <w:iCs/>
          <w:color w:val="000000" w:themeColor="text1"/>
        </w:rPr>
        <w:t xml:space="preserve">ell &amp; </w:t>
      </w:r>
      <w:r w:rsidR="003D00CA">
        <w:rPr>
          <w:i/>
          <w:iCs/>
          <w:color w:val="000000" w:themeColor="text1"/>
        </w:rPr>
        <w:t>D</w:t>
      </w:r>
      <w:r w:rsidRPr="00D86B24">
        <w:rPr>
          <w:i/>
          <w:iCs/>
          <w:color w:val="000000" w:themeColor="text1"/>
        </w:rPr>
        <w:t xml:space="preserve">evelopmental </w:t>
      </w:r>
      <w:r w:rsidR="003D00CA">
        <w:rPr>
          <w:i/>
          <w:iCs/>
          <w:color w:val="000000" w:themeColor="text1"/>
        </w:rPr>
        <w:t>B</w:t>
      </w:r>
      <w:r w:rsidRPr="00D86B24">
        <w:rPr>
          <w:i/>
          <w:iCs/>
          <w:color w:val="000000" w:themeColor="text1"/>
        </w:rPr>
        <w:t>iology</w:t>
      </w:r>
      <w:r w:rsidR="006B27D1">
        <w:rPr>
          <w:i/>
          <w:iCs/>
          <w:color w:val="000000" w:themeColor="text1"/>
        </w:rPr>
        <w:t>,</w:t>
      </w:r>
      <w:r w:rsidRPr="00D86B24">
        <w:rPr>
          <w:color w:val="000000" w:themeColor="text1"/>
        </w:rPr>
        <w:t xml:space="preserve"> </w:t>
      </w:r>
      <w:r w:rsidR="006B27D1" w:rsidRPr="006B27D1">
        <w:rPr>
          <w:i/>
          <w:color w:val="000000" w:themeColor="text1"/>
        </w:rPr>
        <w:t>21</w:t>
      </w:r>
      <w:r w:rsidR="006B27D1">
        <w:rPr>
          <w:color w:val="000000" w:themeColor="text1"/>
        </w:rPr>
        <w:t>(4),</w:t>
      </w:r>
      <w:r w:rsidRPr="00D86B24">
        <w:rPr>
          <w:color w:val="000000" w:themeColor="text1"/>
        </w:rPr>
        <w:t xml:space="preserve"> 453-461. </w:t>
      </w:r>
    </w:p>
    <w:p w14:paraId="0F21F2B6" w14:textId="77777777" w:rsidR="00FD43EF" w:rsidRDefault="00FD43EF" w:rsidP="00FD43EF">
      <w:pPr>
        <w:rPr>
          <w:color w:val="000000" w:themeColor="text1"/>
        </w:rPr>
      </w:pPr>
    </w:p>
    <w:p w14:paraId="2468E013" w14:textId="5F4B7C8A" w:rsidR="00FD43EF" w:rsidRPr="00D20D64" w:rsidRDefault="00FD43EF" w:rsidP="00FD43EF">
      <w:pPr>
        <w:rPr>
          <w:color w:val="000000" w:themeColor="text1"/>
        </w:rPr>
      </w:pPr>
      <w:r w:rsidRPr="00D86B24">
        <w:rPr>
          <w:color w:val="000000" w:themeColor="text1"/>
        </w:rPr>
        <w:t>Humphrey, L</w:t>
      </w:r>
      <w:r>
        <w:rPr>
          <w:color w:val="000000" w:themeColor="text1"/>
        </w:rPr>
        <w:t>.</w:t>
      </w:r>
      <w:r w:rsidRPr="00D86B24">
        <w:rPr>
          <w:color w:val="000000" w:themeColor="text1"/>
        </w:rPr>
        <w:t>, Bello,</w:t>
      </w:r>
      <w:r>
        <w:rPr>
          <w:color w:val="000000" w:themeColor="text1"/>
        </w:rPr>
        <w:t xml:space="preserve"> S. &amp;</w:t>
      </w:r>
      <w:r w:rsidRPr="00D86B24">
        <w:rPr>
          <w:color w:val="000000" w:themeColor="text1"/>
        </w:rPr>
        <w:t xml:space="preserve"> Rousham</w:t>
      </w:r>
      <w:r>
        <w:rPr>
          <w:color w:val="000000" w:themeColor="text1"/>
        </w:rPr>
        <w:t xml:space="preserve">, E. (2012). </w:t>
      </w:r>
      <w:r w:rsidRPr="00D86B24">
        <w:rPr>
          <w:color w:val="000000" w:themeColor="text1"/>
        </w:rPr>
        <w:t>Sex differences in infant mortality in Spitalfields, London, 1750–1839. </w:t>
      </w:r>
      <w:r w:rsidRPr="00D86B24">
        <w:rPr>
          <w:i/>
          <w:iCs/>
          <w:color w:val="000000" w:themeColor="text1"/>
        </w:rPr>
        <w:t xml:space="preserve">Journal of </w:t>
      </w:r>
      <w:r w:rsidR="003D00CA">
        <w:rPr>
          <w:i/>
          <w:iCs/>
          <w:color w:val="000000" w:themeColor="text1"/>
        </w:rPr>
        <w:t>B</w:t>
      </w:r>
      <w:r w:rsidRPr="00D86B24">
        <w:rPr>
          <w:i/>
          <w:iCs/>
          <w:color w:val="000000" w:themeColor="text1"/>
        </w:rPr>
        <w:t xml:space="preserve">iosocial </w:t>
      </w:r>
      <w:r w:rsidR="003D00CA">
        <w:rPr>
          <w:i/>
          <w:iCs/>
          <w:color w:val="000000" w:themeColor="text1"/>
        </w:rPr>
        <w:t>S</w:t>
      </w:r>
      <w:r w:rsidRPr="00D86B24">
        <w:rPr>
          <w:i/>
          <w:iCs/>
          <w:color w:val="000000" w:themeColor="text1"/>
        </w:rPr>
        <w:t>cience</w:t>
      </w:r>
      <w:r>
        <w:rPr>
          <w:i/>
          <w:iCs/>
          <w:color w:val="000000" w:themeColor="text1"/>
        </w:rPr>
        <w:t>,</w:t>
      </w:r>
      <w:r w:rsidRPr="00D86B24">
        <w:rPr>
          <w:color w:val="000000" w:themeColor="text1"/>
        </w:rPr>
        <w:t> </w:t>
      </w:r>
      <w:r w:rsidRPr="007C3D9C">
        <w:rPr>
          <w:i/>
          <w:color w:val="000000" w:themeColor="text1"/>
        </w:rPr>
        <w:t>44</w:t>
      </w:r>
      <w:r>
        <w:rPr>
          <w:color w:val="000000" w:themeColor="text1"/>
        </w:rPr>
        <w:t>(</w:t>
      </w:r>
      <w:r w:rsidRPr="00D86B24">
        <w:rPr>
          <w:color w:val="000000" w:themeColor="text1"/>
        </w:rPr>
        <w:t>1</w:t>
      </w:r>
      <w:r>
        <w:rPr>
          <w:color w:val="000000" w:themeColor="text1"/>
        </w:rPr>
        <w:t>),</w:t>
      </w:r>
      <w:r w:rsidRPr="00D86B24">
        <w:rPr>
          <w:color w:val="000000" w:themeColor="text1"/>
        </w:rPr>
        <w:t xml:space="preserve"> 95-119</w:t>
      </w:r>
      <w:r>
        <w:rPr>
          <w:color w:val="000000" w:themeColor="text1"/>
        </w:rPr>
        <w:t>.</w:t>
      </w:r>
    </w:p>
    <w:p w14:paraId="6668F5F8" w14:textId="77777777" w:rsidR="00FD43EF" w:rsidRPr="00A856DB" w:rsidRDefault="00FD43EF" w:rsidP="00FD43EF">
      <w:pPr>
        <w:rPr>
          <w:lang w:val="en-US"/>
        </w:rPr>
      </w:pPr>
    </w:p>
    <w:p w14:paraId="63B1065B" w14:textId="77777777" w:rsidR="00FD43EF" w:rsidRPr="00D836F5" w:rsidRDefault="00FD43EF" w:rsidP="00FD43EF">
      <w:pPr>
        <w:rPr>
          <w:iCs/>
          <w:color w:val="000000" w:themeColor="text1"/>
          <w:lang w:val="es-ES"/>
        </w:rPr>
      </w:pPr>
      <w:r w:rsidRPr="008C4A6A">
        <w:rPr>
          <w:iCs/>
          <w:color w:val="000000" w:themeColor="text1"/>
          <w:lang w:val="en-US"/>
        </w:rPr>
        <w:t>Hurtado, A. M</w:t>
      </w:r>
      <w:r>
        <w:rPr>
          <w:iCs/>
          <w:color w:val="000000" w:themeColor="text1"/>
          <w:lang w:val="en-US"/>
        </w:rPr>
        <w:t>.</w:t>
      </w:r>
      <w:r w:rsidRPr="008C4A6A">
        <w:rPr>
          <w:iCs/>
          <w:color w:val="000000" w:themeColor="text1"/>
          <w:lang w:val="en-US"/>
        </w:rPr>
        <w:t xml:space="preserve">, </w:t>
      </w:r>
      <w:r>
        <w:rPr>
          <w:iCs/>
          <w:color w:val="000000" w:themeColor="text1"/>
          <w:lang w:val="en-US"/>
        </w:rPr>
        <w:t>&amp;</w:t>
      </w:r>
      <w:r w:rsidRPr="008C4A6A">
        <w:rPr>
          <w:iCs/>
          <w:color w:val="000000" w:themeColor="text1"/>
          <w:lang w:val="en-US"/>
        </w:rPr>
        <w:t xml:space="preserve"> Hill</w:t>
      </w:r>
      <w:r>
        <w:rPr>
          <w:iCs/>
          <w:color w:val="000000" w:themeColor="text1"/>
          <w:lang w:val="en-US"/>
        </w:rPr>
        <w:t>, K. (1996).</w:t>
      </w:r>
      <w:r w:rsidRPr="008C4A6A">
        <w:rPr>
          <w:iCs/>
          <w:color w:val="000000" w:themeColor="text1"/>
          <w:lang w:val="en-US"/>
        </w:rPr>
        <w:t xml:space="preserve"> </w:t>
      </w:r>
      <w:r w:rsidRPr="005A76DF">
        <w:rPr>
          <w:i/>
          <w:iCs/>
          <w:color w:val="000000" w:themeColor="text1"/>
          <w:lang w:val="en-US"/>
        </w:rPr>
        <w:t>Ache Life History: The Ecology and Demography of a Foraging People</w:t>
      </w:r>
      <w:r w:rsidRPr="008C4A6A">
        <w:rPr>
          <w:iCs/>
          <w:color w:val="000000" w:themeColor="text1"/>
          <w:lang w:val="en-US"/>
        </w:rPr>
        <w:t xml:space="preserve">. </w:t>
      </w:r>
      <w:r w:rsidRPr="00D836F5">
        <w:rPr>
          <w:iCs/>
          <w:color w:val="000000" w:themeColor="text1"/>
          <w:lang w:val="es-ES"/>
        </w:rPr>
        <w:t>York: Aldine de Gruyter.</w:t>
      </w:r>
    </w:p>
    <w:p w14:paraId="194DB40B" w14:textId="77777777" w:rsidR="00FD43EF" w:rsidRPr="00D836F5" w:rsidRDefault="00FD43EF" w:rsidP="00FD43EF">
      <w:pPr>
        <w:rPr>
          <w:iCs/>
          <w:color w:val="000000" w:themeColor="text1"/>
          <w:lang w:val="es-ES"/>
        </w:rPr>
      </w:pPr>
    </w:p>
    <w:p w14:paraId="5500BB73" w14:textId="77777777" w:rsidR="00FD43EF" w:rsidRPr="00A856DB" w:rsidRDefault="00FD43EF" w:rsidP="00FD43EF">
      <w:pPr>
        <w:rPr>
          <w:lang w:val="en-US"/>
        </w:rPr>
      </w:pPr>
      <w:r w:rsidRPr="00D836F5">
        <w:rPr>
          <w:lang w:val="es-ES"/>
        </w:rPr>
        <w:t xml:space="preserve">Hurtado, A. M., Hill, K., Hurtado, I. &amp; Kaplan, H. (1992). </w:t>
      </w:r>
      <w:r w:rsidRPr="00A856DB">
        <w:rPr>
          <w:lang w:val="en-US"/>
        </w:rPr>
        <w:t xml:space="preserve">Trade-offs between female food acquisition and child care among Hiwi and Ache foragers. </w:t>
      </w:r>
      <w:r w:rsidRPr="00A856DB">
        <w:rPr>
          <w:i/>
          <w:lang w:val="en-US"/>
        </w:rPr>
        <w:t>Human Nature</w:t>
      </w:r>
      <w:r>
        <w:rPr>
          <w:i/>
          <w:lang w:val="en-US"/>
        </w:rPr>
        <w:t>,</w:t>
      </w:r>
      <w:r w:rsidRPr="00A856DB">
        <w:rPr>
          <w:lang w:val="en-US"/>
        </w:rPr>
        <w:t xml:space="preserve"> </w:t>
      </w:r>
      <w:r w:rsidRPr="00CE0FFD">
        <w:rPr>
          <w:i/>
          <w:lang w:val="en-US"/>
        </w:rPr>
        <w:t>3</w:t>
      </w:r>
      <w:r>
        <w:rPr>
          <w:lang w:val="en-US"/>
        </w:rPr>
        <w:t xml:space="preserve">(3), </w:t>
      </w:r>
      <w:r w:rsidRPr="00A856DB">
        <w:rPr>
          <w:lang w:val="en-US"/>
        </w:rPr>
        <w:t>185-216.</w:t>
      </w:r>
    </w:p>
    <w:p w14:paraId="18240020" w14:textId="77777777" w:rsidR="00FD43EF" w:rsidRPr="00A856DB" w:rsidRDefault="00FD43EF" w:rsidP="00FD43EF">
      <w:pPr>
        <w:rPr>
          <w:lang w:val="en-US"/>
        </w:rPr>
      </w:pPr>
    </w:p>
    <w:p w14:paraId="38257AD5" w14:textId="77777777" w:rsidR="00FD43EF" w:rsidRDefault="00FD43EF" w:rsidP="00FD43EF">
      <w:pPr>
        <w:rPr>
          <w:color w:val="000000" w:themeColor="text1"/>
          <w:lang w:val="en-US"/>
        </w:rPr>
      </w:pPr>
      <w:r w:rsidRPr="00A856DB">
        <w:rPr>
          <w:color w:val="000000" w:themeColor="text1"/>
          <w:lang w:val="en-US"/>
        </w:rPr>
        <w:t xml:space="preserve">Huttmann, A., Tillmanns, U., Greiling, H., </w:t>
      </w:r>
      <w:r>
        <w:rPr>
          <w:color w:val="000000" w:themeColor="text1"/>
          <w:lang w:val="en-US"/>
        </w:rPr>
        <w:t>&amp;</w:t>
      </w:r>
      <w:r w:rsidRPr="00A856DB">
        <w:rPr>
          <w:color w:val="000000" w:themeColor="text1"/>
          <w:lang w:val="en-US"/>
        </w:rPr>
        <w:t xml:space="preserve"> Riedel, M. </w:t>
      </w:r>
      <w:r>
        <w:rPr>
          <w:color w:val="000000" w:themeColor="text1"/>
          <w:lang w:val="en-US"/>
        </w:rPr>
        <w:t xml:space="preserve">(1989). </w:t>
      </w:r>
      <w:r w:rsidRPr="00A856DB">
        <w:rPr>
          <w:color w:val="000000" w:themeColor="text1"/>
          <w:lang w:val="en-US"/>
        </w:rPr>
        <w:t>Inhaltsanalysen römischer Säuglingstrinkgefässe</w:t>
      </w:r>
      <w:r>
        <w:rPr>
          <w:color w:val="000000" w:themeColor="text1"/>
          <w:lang w:val="en-US"/>
        </w:rPr>
        <w:t>.</w:t>
      </w:r>
      <w:r w:rsidRPr="00A856DB">
        <w:rPr>
          <w:color w:val="000000" w:themeColor="text1"/>
          <w:lang w:val="en-US"/>
        </w:rPr>
        <w:t> </w:t>
      </w:r>
      <w:r w:rsidRPr="00A856DB">
        <w:rPr>
          <w:i/>
          <w:iCs/>
          <w:color w:val="000000" w:themeColor="text1"/>
          <w:lang w:val="en-US"/>
        </w:rPr>
        <w:t>Kölner Jahrbuch Vorund Frühgeschichte</w:t>
      </w:r>
      <w:r>
        <w:rPr>
          <w:color w:val="000000" w:themeColor="text1"/>
          <w:lang w:val="en-US"/>
        </w:rPr>
        <w:t xml:space="preserve">, </w:t>
      </w:r>
      <w:r w:rsidRPr="00CE0FFD">
        <w:rPr>
          <w:i/>
          <w:color w:val="000000" w:themeColor="text1"/>
          <w:lang w:val="en-US"/>
        </w:rPr>
        <w:t>22</w:t>
      </w:r>
      <w:r>
        <w:rPr>
          <w:color w:val="000000" w:themeColor="text1"/>
          <w:lang w:val="en-US"/>
        </w:rPr>
        <w:t xml:space="preserve">(1), </w:t>
      </w:r>
      <w:r w:rsidRPr="00A856DB">
        <w:rPr>
          <w:color w:val="000000" w:themeColor="text1"/>
          <w:lang w:val="en-US"/>
        </w:rPr>
        <w:t>365–72.</w:t>
      </w:r>
    </w:p>
    <w:p w14:paraId="10E6017E" w14:textId="77777777" w:rsidR="00FD43EF" w:rsidRDefault="00FD43EF" w:rsidP="00FD43EF">
      <w:pPr>
        <w:rPr>
          <w:color w:val="000000" w:themeColor="text1"/>
          <w:lang w:val="en-US"/>
        </w:rPr>
      </w:pPr>
    </w:p>
    <w:p w14:paraId="78A52B8C" w14:textId="6B3824BA" w:rsidR="00FD43EF" w:rsidRDefault="00FD43EF" w:rsidP="00FD43EF">
      <w:pPr>
        <w:rPr>
          <w:color w:val="000000" w:themeColor="text1"/>
        </w:rPr>
      </w:pPr>
      <w:r w:rsidRPr="00D86B24">
        <w:rPr>
          <w:color w:val="000000" w:themeColor="text1"/>
        </w:rPr>
        <w:t xml:space="preserve">Ingemarsson, I. </w:t>
      </w:r>
      <w:r>
        <w:rPr>
          <w:color w:val="000000" w:themeColor="text1"/>
        </w:rPr>
        <w:t xml:space="preserve">(2003). </w:t>
      </w:r>
      <w:r w:rsidRPr="00D86B24">
        <w:rPr>
          <w:color w:val="000000" w:themeColor="text1"/>
        </w:rPr>
        <w:t>Gender aspects of preterm birth.</w:t>
      </w:r>
      <w:r>
        <w:rPr>
          <w:color w:val="000000" w:themeColor="text1"/>
        </w:rPr>
        <w:t xml:space="preserve"> </w:t>
      </w:r>
      <w:r w:rsidRPr="00D86B24">
        <w:rPr>
          <w:i/>
          <w:iCs/>
          <w:color w:val="000000" w:themeColor="text1"/>
        </w:rPr>
        <w:t xml:space="preserve">BJOG: </w:t>
      </w:r>
      <w:r w:rsidR="003D00CA">
        <w:rPr>
          <w:i/>
          <w:iCs/>
          <w:color w:val="000000" w:themeColor="text1"/>
        </w:rPr>
        <w:t>A</w:t>
      </w:r>
      <w:r w:rsidRPr="00D86B24">
        <w:rPr>
          <w:i/>
          <w:iCs/>
          <w:color w:val="000000" w:themeColor="text1"/>
        </w:rPr>
        <w:t xml:space="preserve">n </w:t>
      </w:r>
      <w:r w:rsidR="003D00CA">
        <w:rPr>
          <w:i/>
          <w:iCs/>
          <w:color w:val="000000" w:themeColor="text1"/>
        </w:rPr>
        <w:t>I</w:t>
      </w:r>
      <w:r w:rsidRPr="00D86B24">
        <w:rPr>
          <w:i/>
          <w:iCs/>
          <w:color w:val="000000" w:themeColor="text1"/>
        </w:rPr>
        <w:t xml:space="preserve">nternational </w:t>
      </w:r>
      <w:r w:rsidR="003D00CA">
        <w:rPr>
          <w:i/>
          <w:iCs/>
          <w:color w:val="000000" w:themeColor="text1"/>
        </w:rPr>
        <w:t>J</w:t>
      </w:r>
      <w:r w:rsidRPr="00D86B24">
        <w:rPr>
          <w:i/>
          <w:iCs/>
          <w:color w:val="000000" w:themeColor="text1"/>
        </w:rPr>
        <w:t>ournal of</w:t>
      </w:r>
      <w:r w:rsidR="003D00CA">
        <w:rPr>
          <w:i/>
          <w:iCs/>
          <w:color w:val="000000" w:themeColor="text1"/>
        </w:rPr>
        <w:t xml:space="preserve"> O</w:t>
      </w:r>
      <w:r w:rsidRPr="00D86B24">
        <w:rPr>
          <w:i/>
          <w:iCs/>
          <w:color w:val="000000" w:themeColor="text1"/>
        </w:rPr>
        <w:t xml:space="preserve">bstetrics and </w:t>
      </w:r>
      <w:r w:rsidR="003D00CA">
        <w:rPr>
          <w:i/>
          <w:iCs/>
          <w:color w:val="000000" w:themeColor="text1"/>
        </w:rPr>
        <w:t>G</w:t>
      </w:r>
      <w:r w:rsidRPr="00D86B24">
        <w:rPr>
          <w:i/>
          <w:iCs/>
          <w:color w:val="000000" w:themeColor="text1"/>
        </w:rPr>
        <w:t>ynaecology</w:t>
      </w:r>
      <w:r>
        <w:rPr>
          <w:color w:val="000000" w:themeColor="text1"/>
        </w:rPr>
        <w:t xml:space="preserve">, </w:t>
      </w:r>
      <w:r w:rsidRPr="00CC4733">
        <w:rPr>
          <w:i/>
          <w:color w:val="000000" w:themeColor="text1"/>
        </w:rPr>
        <w:t>110</w:t>
      </w:r>
      <w:r>
        <w:rPr>
          <w:color w:val="000000" w:themeColor="text1"/>
        </w:rPr>
        <w:t xml:space="preserve">(20), </w:t>
      </w:r>
      <w:r w:rsidRPr="00D86B24">
        <w:rPr>
          <w:color w:val="000000" w:themeColor="text1"/>
        </w:rPr>
        <w:t>34-38.</w:t>
      </w:r>
    </w:p>
    <w:p w14:paraId="738494E4" w14:textId="0E43943D" w:rsidR="00FD43EF" w:rsidRPr="004A4D86" w:rsidRDefault="00FD43EF" w:rsidP="00FD43EF">
      <w:r w:rsidRPr="00D86B24">
        <w:lastRenderedPageBreak/>
        <w:t xml:space="preserve">International Commission on Radiological Protection (ICRP). </w:t>
      </w:r>
      <w:r>
        <w:t>(</w:t>
      </w:r>
      <w:r w:rsidRPr="00D86B24">
        <w:t>1975</w:t>
      </w:r>
      <w:r>
        <w:t>)</w:t>
      </w:r>
      <w:r w:rsidRPr="00D86B24">
        <w:t xml:space="preserve">. </w:t>
      </w:r>
      <w:r w:rsidRPr="006B27D1">
        <w:rPr>
          <w:i/>
        </w:rPr>
        <w:t xml:space="preserve">Report of the </w:t>
      </w:r>
      <w:r w:rsidR="00A22A71" w:rsidRPr="006B27D1">
        <w:rPr>
          <w:i/>
        </w:rPr>
        <w:t>T</w:t>
      </w:r>
      <w:r w:rsidRPr="006B27D1">
        <w:rPr>
          <w:i/>
        </w:rPr>
        <w:t xml:space="preserve">ask </w:t>
      </w:r>
      <w:r w:rsidR="00A22A71" w:rsidRPr="006B27D1">
        <w:rPr>
          <w:i/>
        </w:rPr>
        <w:t>G</w:t>
      </w:r>
      <w:r w:rsidRPr="006B27D1">
        <w:rPr>
          <w:i/>
        </w:rPr>
        <w:t xml:space="preserve">roup of </w:t>
      </w:r>
      <w:r w:rsidR="00A22A71" w:rsidRPr="006B27D1">
        <w:rPr>
          <w:i/>
        </w:rPr>
        <w:t>R</w:t>
      </w:r>
      <w:r w:rsidRPr="006B27D1">
        <w:rPr>
          <w:i/>
        </w:rPr>
        <w:t xml:space="preserve">eference </w:t>
      </w:r>
      <w:r w:rsidR="00A22A71" w:rsidRPr="006B27D1">
        <w:rPr>
          <w:i/>
        </w:rPr>
        <w:t>M</w:t>
      </w:r>
      <w:r w:rsidRPr="006B27D1">
        <w:rPr>
          <w:i/>
        </w:rPr>
        <w:t>an</w:t>
      </w:r>
      <w:r w:rsidRPr="00D86B24">
        <w:t>. Oxford: Pergamon Press.</w:t>
      </w:r>
    </w:p>
    <w:p w14:paraId="4050D28F" w14:textId="77777777" w:rsidR="00FD43EF" w:rsidRPr="00A856DB" w:rsidRDefault="00FD43EF" w:rsidP="00FD43EF">
      <w:pPr>
        <w:rPr>
          <w:lang w:val="en-US"/>
        </w:rPr>
      </w:pPr>
    </w:p>
    <w:p w14:paraId="77AA88CB" w14:textId="7423E73C" w:rsidR="00FD43EF" w:rsidRPr="00A856DB" w:rsidRDefault="00FD43EF" w:rsidP="00FD43EF">
      <w:pPr>
        <w:rPr>
          <w:lang w:val="en-US"/>
        </w:rPr>
      </w:pPr>
      <w:r w:rsidRPr="00A856DB">
        <w:rPr>
          <w:lang w:val="en-US"/>
        </w:rPr>
        <w:t xml:space="preserve">Jay, </w:t>
      </w:r>
      <w:r>
        <w:rPr>
          <w:lang w:val="en-US"/>
        </w:rPr>
        <w:t>M.</w:t>
      </w:r>
      <w:r w:rsidRPr="00A856DB">
        <w:rPr>
          <w:lang w:val="en-US"/>
        </w:rPr>
        <w:t xml:space="preserve">, Fuller, </w:t>
      </w:r>
      <w:r>
        <w:rPr>
          <w:lang w:val="en-US"/>
        </w:rPr>
        <w:t xml:space="preserve">B. T., </w:t>
      </w:r>
      <w:r w:rsidRPr="00A856DB">
        <w:rPr>
          <w:lang w:val="en-US"/>
        </w:rPr>
        <w:t xml:space="preserve">Richards, </w:t>
      </w:r>
      <w:r>
        <w:rPr>
          <w:lang w:val="en-US"/>
        </w:rPr>
        <w:t xml:space="preserve">M. P., </w:t>
      </w:r>
      <w:r w:rsidRPr="00A856DB">
        <w:rPr>
          <w:lang w:val="en-US"/>
        </w:rPr>
        <w:t>Knüsel,</w:t>
      </w:r>
      <w:r>
        <w:rPr>
          <w:lang w:val="en-US"/>
        </w:rPr>
        <w:t xml:space="preserve"> C. J.,</w:t>
      </w:r>
      <w:r w:rsidRPr="00A856DB">
        <w:rPr>
          <w:lang w:val="en-US"/>
        </w:rPr>
        <w:t xml:space="preserve"> </w:t>
      </w:r>
      <w:r>
        <w:rPr>
          <w:lang w:val="en-US"/>
        </w:rPr>
        <w:t>&amp;</w:t>
      </w:r>
      <w:r w:rsidRPr="00A856DB">
        <w:rPr>
          <w:lang w:val="en-US"/>
        </w:rPr>
        <w:t xml:space="preserve"> King</w:t>
      </w:r>
      <w:r>
        <w:rPr>
          <w:lang w:val="en-US"/>
        </w:rPr>
        <w:t>, S. S. (2008).</w:t>
      </w:r>
      <w:r w:rsidRPr="00A856DB">
        <w:rPr>
          <w:lang w:val="en-US"/>
        </w:rPr>
        <w:t xml:space="preserve"> Iron age breastfeeding practices in Britain: </w:t>
      </w:r>
      <w:r w:rsidR="00A211B8">
        <w:rPr>
          <w:lang w:val="en-US"/>
        </w:rPr>
        <w:t>I</w:t>
      </w:r>
      <w:r w:rsidRPr="00A856DB">
        <w:rPr>
          <w:lang w:val="en-US"/>
        </w:rPr>
        <w:t>sotopic evidence from Wetwang Slack, East Yorkshire. </w:t>
      </w:r>
      <w:r w:rsidRPr="00A856DB">
        <w:rPr>
          <w:i/>
          <w:iCs/>
          <w:lang w:val="en-US"/>
        </w:rPr>
        <w:t>American Journal of Physical Anthropology</w:t>
      </w:r>
      <w:r>
        <w:rPr>
          <w:i/>
          <w:iCs/>
          <w:lang w:val="en-US"/>
        </w:rPr>
        <w:t>,</w:t>
      </w:r>
      <w:r w:rsidRPr="00A856DB" w:rsidDel="005F4B04">
        <w:rPr>
          <w:i/>
          <w:iCs/>
          <w:lang w:val="en-US"/>
        </w:rPr>
        <w:t xml:space="preserve"> </w:t>
      </w:r>
      <w:r w:rsidRPr="00CE0FFD">
        <w:rPr>
          <w:i/>
          <w:lang w:val="en-US"/>
        </w:rPr>
        <w:t>136</w:t>
      </w:r>
      <w:r>
        <w:rPr>
          <w:lang w:val="en-US"/>
        </w:rPr>
        <w:t>(3),</w:t>
      </w:r>
      <w:r w:rsidRPr="00A856DB">
        <w:rPr>
          <w:lang w:val="en-US"/>
        </w:rPr>
        <w:t xml:space="preserve"> 327-337.</w:t>
      </w:r>
    </w:p>
    <w:p w14:paraId="644ED392" w14:textId="77777777" w:rsidR="00FD43EF" w:rsidRPr="00A856DB" w:rsidRDefault="00FD43EF" w:rsidP="00FD43EF">
      <w:pPr>
        <w:rPr>
          <w:lang w:val="en-US"/>
        </w:rPr>
      </w:pPr>
    </w:p>
    <w:p w14:paraId="3F1783BF" w14:textId="77777777" w:rsidR="00FD43EF" w:rsidRPr="00A856DB" w:rsidRDefault="00FD43EF" w:rsidP="00FD43EF">
      <w:pPr>
        <w:rPr>
          <w:color w:val="000000" w:themeColor="text1"/>
          <w:lang w:val="en-US"/>
        </w:rPr>
      </w:pPr>
      <w:r w:rsidRPr="00A856DB">
        <w:rPr>
          <w:color w:val="000000" w:themeColor="text1"/>
          <w:lang w:val="en-US"/>
        </w:rPr>
        <w:t>Jeskins, P.</w:t>
      </w:r>
      <w:r>
        <w:rPr>
          <w:color w:val="000000" w:themeColor="text1"/>
          <w:lang w:val="en-US"/>
        </w:rPr>
        <w:t xml:space="preserve"> (1998).</w:t>
      </w:r>
      <w:r w:rsidRPr="00A856DB">
        <w:rPr>
          <w:color w:val="000000" w:themeColor="text1"/>
          <w:lang w:val="en-US"/>
        </w:rPr>
        <w:t xml:space="preserve"> </w:t>
      </w:r>
      <w:r w:rsidRPr="00A856DB">
        <w:rPr>
          <w:i/>
          <w:color w:val="000000" w:themeColor="text1"/>
          <w:lang w:val="en-US"/>
        </w:rPr>
        <w:t>The Environment and the Classical World</w:t>
      </w:r>
      <w:r w:rsidRPr="00A856DB">
        <w:rPr>
          <w:color w:val="000000" w:themeColor="text1"/>
          <w:lang w:val="en-US"/>
        </w:rPr>
        <w:t xml:space="preserve">. </w:t>
      </w:r>
      <w:r>
        <w:rPr>
          <w:color w:val="000000" w:themeColor="text1"/>
          <w:lang w:val="en-US"/>
        </w:rPr>
        <w:t xml:space="preserve">London: </w:t>
      </w:r>
      <w:r w:rsidRPr="00A856DB">
        <w:rPr>
          <w:color w:val="000000" w:themeColor="text1"/>
          <w:lang w:val="en-US"/>
        </w:rPr>
        <w:t>Bristol Classical Press</w:t>
      </w:r>
      <w:r>
        <w:rPr>
          <w:color w:val="000000" w:themeColor="text1"/>
          <w:lang w:val="en-US"/>
        </w:rPr>
        <w:t>.</w:t>
      </w:r>
    </w:p>
    <w:p w14:paraId="04260BF5" w14:textId="77777777" w:rsidR="00FD43EF" w:rsidRPr="008C4A6A" w:rsidRDefault="00FD43EF" w:rsidP="00FD43EF">
      <w:pPr>
        <w:rPr>
          <w:i/>
          <w:iCs/>
          <w:color w:val="000000" w:themeColor="text1"/>
          <w:lang w:val="en-US"/>
        </w:rPr>
      </w:pPr>
    </w:p>
    <w:p w14:paraId="42A57A1D" w14:textId="77777777" w:rsidR="00FD43EF" w:rsidRPr="00A856DB" w:rsidRDefault="00FD43EF" w:rsidP="00FD43EF">
      <w:pPr>
        <w:rPr>
          <w:lang w:val="en-US"/>
        </w:rPr>
      </w:pPr>
      <w:r w:rsidRPr="00A856DB">
        <w:rPr>
          <w:lang w:val="en-US"/>
        </w:rPr>
        <w:t>Kamp, K</w:t>
      </w:r>
      <w:r>
        <w:rPr>
          <w:lang w:val="en-US"/>
        </w:rPr>
        <w:t>.</w:t>
      </w:r>
      <w:r w:rsidRPr="00A856DB">
        <w:rPr>
          <w:lang w:val="en-US"/>
        </w:rPr>
        <w:t xml:space="preserve"> A.</w:t>
      </w:r>
      <w:r>
        <w:rPr>
          <w:lang w:val="en-US"/>
        </w:rPr>
        <w:t xml:space="preserve"> (2001). </w:t>
      </w:r>
      <w:r w:rsidRPr="00A856DB">
        <w:rPr>
          <w:lang w:val="en-US"/>
        </w:rPr>
        <w:t xml:space="preserve">Where have all the children gone?: The archaeology of childhood. </w:t>
      </w:r>
      <w:r w:rsidRPr="00A856DB">
        <w:rPr>
          <w:i/>
          <w:lang w:val="en-US"/>
        </w:rPr>
        <w:t>Journal of Archaeological Method and Theory</w:t>
      </w:r>
      <w:r>
        <w:rPr>
          <w:i/>
          <w:lang w:val="en-US"/>
        </w:rPr>
        <w:t>,</w:t>
      </w:r>
      <w:r w:rsidRPr="00A856DB">
        <w:rPr>
          <w:lang w:val="en-US"/>
        </w:rPr>
        <w:t xml:space="preserve"> </w:t>
      </w:r>
      <w:r w:rsidRPr="00CE0FFD">
        <w:rPr>
          <w:i/>
          <w:lang w:val="en-US"/>
        </w:rPr>
        <w:t>8</w:t>
      </w:r>
      <w:r>
        <w:rPr>
          <w:lang w:val="en-US"/>
        </w:rPr>
        <w:t>(</w:t>
      </w:r>
      <w:r w:rsidRPr="00A856DB">
        <w:rPr>
          <w:lang w:val="en-US"/>
        </w:rPr>
        <w:t>1</w:t>
      </w:r>
      <w:r>
        <w:rPr>
          <w:lang w:val="en-US"/>
        </w:rPr>
        <w:t xml:space="preserve">), </w:t>
      </w:r>
      <w:r w:rsidRPr="00A856DB">
        <w:rPr>
          <w:lang w:val="en-US"/>
        </w:rPr>
        <w:t>1-34.</w:t>
      </w:r>
    </w:p>
    <w:p w14:paraId="614A88A5" w14:textId="77777777" w:rsidR="00FD43EF" w:rsidRPr="00A856DB" w:rsidRDefault="00FD43EF" w:rsidP="00FD43EF">
      <w:pPr>
        <w:rPr>
          <w:lang w:val="en-US"/>
        </w:rPr>
      </w:pPr>
    </w:p>
    <w:p w14:paraId="0369012E" w14:textId="189191FA" w:rsidR="00FD43EF" w:rsidRPr="00A856DB" w:rsidRDefault="00FD43EF" w:rsidP="00FD43EF">
      <w:pPr>
        <w:rPr>
          <w:color w:val="000000" w:themeColor="text1"/>
          <w:lang w:val="en-US"/>
        </w:rPr>
      </w:pPr>
      <w:r w:rsidRPr="00A856DB">
        <w:rPr>
          <w:color w:val="000000" w:themeColor="text1"/>
          <w:lang w:val="en-US"/>
        </w:rPr>
        <w:t>Katzenberg, M. A</w:t>
      </w:r>
      <w:r>
        <w:rPr>
          <w:color w:val="000000" w:themeColor="text1"/>
          <w:lang w:val="en-US"/>
        </w:rPr>
        <w:t>.</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Pfeiffer</w:t>
      </w:r>
      <w:r>
        <w:rPr>
          <w:color w:val="000000" w:themeColor="text1"/>
          <w:lang w:val="en-US"/>
        </w:rPr>
        <w:t>, S</w:t>
      </w:r>
      <w:r w:rsidRPr="00A856DB">
        <w:rPr>
          <w:color w:val="000000" w:themeColor="text1"/>
          <w:lang w:val="en-US"/>
        </w:rPr>
        <w:t>.</w:t>
      </w:r>
      <w:r>
        <w:rPr>
          <w:color w:val="000000" w:themeColor="text1"/>
          <w:lang w:val="en-US"/>
        </w:rPr>
        <w:t xml:space="preserve"> (1995).</w:t>
      </w:r>
      <w:r w:rsidRPr="00A856DB">
        <w:rPr>
          <w:color w:val="000000" w:themeColor="text1"/>
          <w:lang w:val="en-US"/>
        </w:rPr>
        <w:t xml:space="preserve"> Nitrogen isotope evidence for weaning age in a nineteenth century </w:t>
      </w:r>
      <w:r w:rsidR="00A22A71">
        <w:rPr>
          <w:color w:val="000000" w:themeColor="text1"/>
          <w:lang w:val="en-US"/>
        </w:rPr>
        <w:t>C</w:t>
      </w:r>
      <w:r w:rsidRPr="00A856DB">
        <w:rPr>
          <w:color w:val="000000" w:themeColor="text1"/>
          <w:lang w:val="en-US"/>
        </w:rPr>
        <w:t>anadian skeletal sample. In</w:t>
      </w:r>
      <w:r w:rsidR="00EF7AAC">
        <w:rPr>
          <w:color w:val="000000" w:themeColor="text1"/>
          <w:lang w:val="en-US"/>
        </w:rPr>
        <w:t>:</w:t>
      </w:r>
      <w:r w:rsidRPr="00A856DB">
        <w:rPr>
          <w:color w:val="000000" w:themeColor="text1"/>
          <w:lang w:val="en-US"/>
        </w:rPr>
        <w:t xml:space="preserve"> </w:t>
      </w:r>
      <w:r>
        <w:rPr>
          <w:color w:val="000000" w:themeColor="text1"/>
          <w:lang w:val="en-US"/>
        </w:rPr>
        <w:t xml:space="preserve">Grauer, A. (Ed.), </w:t>
      </w:r>
      <w:r w:rsidRPr="00B936D5">
        <w:rPr>
          <w:i/>
          <w:color w:val="000000" w:themeColor="text1"/>
          <w:lang w:val="en-US"/>
        </w:rPr>
        <w:t xml:space="preserve">Bodies of </w:t>
      </w:r>
      <w:r w:rsidR="00D60DD9">
        <w:rPr>
          <w:i/>
          <w:color w:val="000000" w:themeColor="text1"/>
          <w:lang w:val="en-US"/>
        </w:rPr>
        <w:t>E</w:t>
      </w:r>
      <w:r w:rsidRPr="00B936D5">
        <w:rPr>
          <w:i/>
          <w:color w:val="000000" w:themeColor="text1"/>
          <w:lang w:val="en-US"/>
        </w:rPr>
        <w:t xml:space="preserve">vidence: </w:t>
      </w:r>
      <w:r w:rsidR="00D60DD9">
        <w:rPr>
          <w:i/>
          <w:color w:val="000000" w:themeColor="text1"/>
          <w:lang w:val="en-US"/>
        </w:rPr>
        <w:t>R</w:t>
      </w:r>
      <w:r w:rsidRPr="00B936D5">
        <w:rPr>
          <w:i/>
          <w:color w:val="000000" w:themeColor="text1"/>
          <w:lang w:val="en-US"/>
        </w:rPr>
        <w:t xml:space="preserve">econstructing </w:t>
      </w:r>
      <w:r w:rsidR="00D60DD9">
        <w:rPr>
          <w:i/>
          <w:color w:val="000000" w:themeColor="text1"/>
          <w:lang w:val="en-US"/>
        </w:rPr>
        <w:t>H</w:t>
      </w:r>
      <w:r w:rsidRPr="00B936D5">
        <w:rPr>
          <w:i/>
          <w:color w:val="000000" w:themeColor="text1"/>
          <w:lang w:val="en-US"/>
        </w:rPr>
        <w:t xml:space="preserve">istory through </w:t>
      </w:r>
      <w:r w:rsidR="00D60DD9">
        <w:rPr>
          <w:i/>
          <w:color w:val="000000" w:themeColor="text1"/>
          <w:lang w:val="en-US"/>
        </w:rPr>
        <w:t>S</w:t>
      </w:r>
      <w:r w:rsidRPr="00B936D5">
        <w:rPr>
          <w:i/>
          <w:color w:val="000000" w:themeColor="text1"/>
          <w:lang w:val="en-US"/>
        </w:rPr>
        <w:t xml:space="preserve">keletal </w:t>
      </w:r>
      <w:r w:rsidR="00D60DD9">
        <w:rPr>
          <w:i/>
          <w:color w:val="000000" w:themeColor="text1"/>
          <w:lang w:val="en-US"/>
        </w:rPr>
        <w:t>A</w:t>
      </w:r>
      <w:r w:rsidRPr="00B936D5">
        <w:rPr>
          <w:i/>
          <w:color w:val="000000" w:themeColor="text1"/>
          <w:lang w:val="en-US"/>
        </w:rPr>
        <w:t>nalysis</w:t>
      </w:r>
      <w:r>
        <w:rPr>
          <w:color w:val="000000" w:themeColor="text1"/>
          <w:lang w:val="en-US"/>
        </w:rPr>
        <w:t xml:space="preserve"> (pp.</w:t>
      </w:r>
      <w:r w:rsidRPr="00A856DB">
        <w:rPr>
          <w:color w:val="000000" w:themeColor="text1"/>
          <w:lang w:val="en-US"/>
        </w:rPr>
        <w:t xml:space="preserve"> 221</w:t>
      </w:r>
      <w:r w:rsidR="00EF7AAC">
        <w:rPr>
          <w:color w:val="000000" w:themeColor="text1"/>
          <w:lang w:val="en-US"/>
        </w:rPr>
        <w:t>-236</w:t>
      </w:r>
      <w:r>
        <w:rPr>
          <w:color w:val="000000" w:themeColor="text1"/>
          <w:lang w:val="en-US"/>
        </w:rPr>
        <w:t>).</w:t>
      </w:r>
      <w:r w:rsidRPr="00A856DB">
        <w:rPr>
          <w:color w:val="000000" w:themeColor="text1"/>
          <w:lang w:val="en-US"/>
        </w:rPr>
        <w:t xml:space="preserve"> </w:t>
      </w:r>
      <w:r w:rsidR="003D00CA">
        <w:rPr>
          <w:color w:val="000000" w:themeColor="text1"/>
          <w:lang w:val="en-US"/>
        </w:rPr>
        <w:t>New York: Wiley-Liss.</w:t>
      </w:r>
    </w:p>
    <w:p w14:paraId="6E5EF004" w14:textId="77777777" w:rsidR="00FD43EF" w:rsidRPr="00A856DB" w:rsidRDefault="00FD43EF" w:rsidP="00FD43EF">
      <w:pPr>
        <w:rPr>
          <w:color w:val="000000" w:themeColor="text1"/>
          <w:lang w:val="en-US"/>
        </w:rPr>
      </w:pPr>
    </w:p>
    <w:p w14:paraId="4B2AAD08" w14:textId="55C31EE7" w:rsidR="00FD43EF" w:rsidRPr="00A856DB" w:rsidRDefault="00FD43EF" w:rsidP="00FD43EF">
      <w:pPr>
        <w:rPr>
          <w:lang w:val="en-US"/>
        </w:rPr>
      </w:pPr>
      <w:r w:rsidRPr="00A856DB">
        <w:rPr>
          <w:lang w:val="en-US"/>
        </w:rPr>
        <w:t>Katzenberg, M. A</w:t>
      </w:r>
      <w:r>
        <w:rPr>
          <w:lang w:val="en-US"/>
        </w:rPr>
        <w:t>.</w:t>
      </w:r>
      <w:r w:rsidRPr="00A856DB">
        <w:rPr>
          <w:lang w:val="en-US"/>
        </w:rPr>
        <w:t>, Herring,</w:t>
      </w:r>
      <w:r>
        <w:rPr>
          <w:lang w:val="en-US"/>
        </w:rPr>
        <w:t xml:space="preserve"> D. A., &amp; </w:t>
      </w:r>
      <w:r w:rsidRPr="00A856DB">
        <w:rPr>
          <w:lang w:val="en-US"/>
        </w:rPr>
        <w:t>Saunders</w:t>
      </w:r>
      <w:r>
        <w:rPr>
          <w:lang w:val="en-US"/>
        </w:rPr>
        <w:t>, S. R. (1996).</w:t>
      </w:r>
      <w:r w:rsidRPr="00A856DB">
        <w:rPr>
          <w:lang w:val="en-US"/>
        </w:rPr>
        <w:t xml:space="preserve"> Weaning and infant mortality: </w:t>
      </w:r>
      <w:r w:rsidR="00A211B8">
        <w:rPr>
          <w:lang w:val="en-US"/>
        </w:rPr>
        <w:t>E</w:t>
      </w:r>
      <w:r w:rsidRPr="00A856DB">
        <w:rPr>
          <w:lang w:val="en-US"/>
        </w:rPr>
        <w:t>valuating the skeletal evidence.</w:t>
      </w:r>
      <w:r>
        <w:rPr>
          <w:lang w:val="en-US"/>
        </w:rPr>
        <w:t xml:space="preserve"> </w:t>
      </w:r>
      <w:r w:rsidRPr="00A856DB">
        <w:rPr>
          <w:i/>
          <w:lang w:val="en-US"/>
        </w:rPr>
        <w:t>American Journal of Physical Anthropology</w:t>
      </w:r>
      <w:r>
        <w:rPr>
          <w:i/>
          <w:lang w:val="en-US"/>
        </w:rPr>
        <w:t>,</w:t>
      </w:r>
      <w:r w:rsidRPr="00A856DB">
        <w:rPr>
          <w:i/>
          <w:lang w:val="en-US"/>
        </w:rPr>
        <w:t xml:space="preserve"> </w:t>
      </w:r>
      <w:r w:rsidRPr="008B515B">
        <w:rPr>
          <w:i/>
          <w:lang w:val="en-US"/>
        </w:rPr>
        <w:t>101</w:t>
      </w:r>
      <w:r>
        <w:rPr>
          <w:lang w:val="en-US"/>
        </w:rPr>
        <w:t>(</w:t>
      </w:r>
      <w:r w:rsidRPr="00A856DB">
        <w:rPr>
          <w:lang w:val="en-US"/>
        </w:rPr>
        <w:t>S23</w:t>
      </w:r>
      <w:r>
        <w:rPr>
          <w:lang w:val="en-US"/>
        </w:rPr>
        <w:t xml:space="preserve">), </w:t>
      </w:r>
      <w:r w:rsidRPr="00A856DB">
        <w:rPr>
          <w:lang w:val="en-US"/>
        </w:rPr>
        <w:t>177-199.</w:t>
      </w:r>
    </w:p>
    <w:p w14:paraId="3F3CF52E" w14:textId="77777777" w:rsidR="00FD43EF" w:rsidRPr="00A856DB" w:rsidRDefault="00FD43EF" w:rsidP="00FD43EF">
      <w:pPr>
        <w:rPr>
          <w:lang w:val="en-US"/>
        </w:rPr>
      </w:pPr>
    </w:p>
    <w:p w14:paraId="2096C76B" w14:textId="77777777" w:rsidR="00FD43EF" w:rsidRPr="00A856DB" w:rsidRDefault="00FD43EF" w:rsidP="00FD43EF">
      <w:pPr>
        <w:rPr>
          <w:lang w:val="en-US"/>
        </w:rPr>
      </w:pPr>
      <w:r w:rsidRPr="00A856DB">
        <w:rPr>
          <w:lang w:val="en-US"/>
        </w:rPr>
        <w:t>Katzenberg, M. A</w:t>
      </w:r>
      <w:r>
        <w:rPr>
          <w:lang w:val="en-US"/>
        </w:rPr>
        <w:t>.</w:t>
      </w:r>
      <w:r w:rsidRPr="00A856DB">
        <w:rPr>
          <w:lang w:val="en-US"/>
        </w:rPr>
        <w:t xml:space="preserve">, Schwarcz, </w:t>
      </w:r>
      <w:r>
        <w:rPr>
          <w:lang w:val="en-US"/>
        </w:rPr>
        <w:t xml:space="preserve">H. P., </w:t>
      </w:r>
      <w:r w:rsidRPr="00A856DB">
        <w:rPr>
          <w:lang w:val="en-US"/>
        </w:rPr>
        <w:t xml:space="preserve">Knyf, </w:t>
      </w:r>
      <w:r>
        <w:rPr>
          <w:lang w:val="en-US"/>
        </w:rPr>
        <w:t>M. &amp;</w:t>
      </w:r>
      <w:r w:rsidRPr="00A856DB">
        <w:rPr>
          <w:lang w:val="en-US"/>
        </w:rPr>
        <w:t xml:space="preserve"> Melbye</w:t>
      </w:r>
      <w:r>
        <w:rPr>
          <w:lang w:val="en-US"/>
        </w:rPr>
        <w:t>, F. J. (1995).</w:t>
      </w:r>
      <w:r w:rsidRPr="00A856DB">
        <w:rPr>
          <w:lang w:val="en-US"/>
        </w:rPr>
        <w:t xml:space="preserve"> Stable isotope evidence for maize horticulture and paleodiet in southern Ontario, Canada. </w:t>
      </w:r>
      <w:r w:rsidRPr="00A856DB">
        <w:rPr>
          <w:i/>
          <w:lang w:val="en-US"/>
        </w:rPr>
        <w:t>American Antiquity</w:t>
      </w:r>
      <w:r>
        <w:rPr>
          <w:i/>
          <w:lang w:val="en-US"/>
        </w:rPr>
        <w:t>,</w:t>
      </w:r>
      <w:r w:rsidRPr="00A856DB">
        <w:rPr>
          <w:lang w:val="en-US"/>
        </w:rPr>
        <w:t xml:space="preserve"> </w:t>
      </w:r>
      <w:r w:rsidRPr="008B515B">
        <w:rPr>
          <w:i/>
          <w:lang w:val="en-US"/>
        </w:rPr>
        <w:t>60</w:t>
      </w:r>
      <w:r>
        <w:rPr>
          <w:lang w:val="en-US"/>
        </w:rPr>
        <w:t xml:space="preserve">(2), </w:t>
      </w:r>
      <w:r w:rsidRPr="00A856DB">
        <w:rPr>
          <w:lang w:val="en-US"/>
        </w:rPr>
        <w:t>335-350.</w:t>
      </w:r>
    </w:p>
    <w:p w14:paraId="536D2850" w14:textId="77777777" w:rsidR="00FD43EF" w:rsidRPr="00A856DB" w:rsidRDefault="00FD43EF" w:rsidP="00FD43EF">
      <w:pPr>
        <w:rPr>
          <w:lang w:val="en-US"/>
        </w:rPr>
      </w:pPr>
    </w:p>
    <w:p w14:paraId="1DB07A1A" w14:textId="77777777" w:rsidR="00FD43EF" w:rsidRPr="00A856DB" w:rsidRDefault="00FD43EF" w:rsidP="00FD43EF">
      <w:pPr>
        <w:rPr>
          <w:lang w:val="en-US"/>
        </w:rPr>
      </w:pPr>
      <w:r w:rsidRPr="00A856DB">
        <w:rPr>
          <w:lang w:val="en-US"/>
        </w:rPr>
        <w:t>Katzenberg, M. A</w:t>
      </w:r>
      <w:r>
        <w:rPr>
          <w:lang w:val="en-US"/>
        </w:rPr>
        <w:t>.</w:t>
      </w:r>
      <w:r w:rsidRPr="00A856DB">
        <w:rPr>
          <w:lang w:val="en-US"/>
        </w:rPr>
        <w:t xml:space="preserve">, Saunders, </w:t>
      </w:r>
      <w:r>
        <w:rPr>
          <w:lang w:val="en-US"/>
        </w:rPr>
        <w:t>S. R., &amp;</w:t>
      </w:r>
      <w:r w:rsidRPr="00A856DB">
        <w:rPr>
          <w:lang w:val="en-US"/>
        </w:rPr>
        <w:t xml:space="preserve"> Fitzgerald</w:t>
      </w:r>
      <w:r>
        <w:rPr>
          <w:lang w:val="en-US"/>
        </w:rPr>
        <w:t>, W. R. (1993).</w:t>
      </w:r>
      <w:r w:rsidRPr="00A856DB">
        <w:rPr>
          <w:lang w:val="en-US"/>
        </w:rPr>
        <w:t xml:space="preserve"> Age differences in stable carbon and nitrogen isotope ratios in a population of prehistoric maize horticulturists. </w:t>
      </w:r>
      <w:r w:rsidRPr="00A856DB">
        <w:rPr>
          <w:i/>
          <w:lang w:val="en-US"/>
        </w:rPr>
        <w:t>American Journal of Physical Anthropology</w:t>
      </w:r>
      <w:r>
        <w:rPr>
          <w:i/>
          <w:lang w:val="en-US"/>
        </w:rPr>
        <w:t>,</w:t>
      </w:r>
      <w:r w:rsidRPr="00AA01FD">
        <w:rPr>
          <w:i/>
          <w:lang w:val="en-US"/>
        </w:rPr>
        <w:t xml:space="preserve"> 90</w:t>
      </w:r>
      <w:r>
        <w:rPr>
          <w:lang w:val="en-US"/>
        </w:rPr>
        <w:t>(</w:t>
      </w:r>
      <w:r w:rsidRPr="00A856DB">
        <w:rPr>
          <w:lang w:val="en-US"/>
        </w:rPr>
        <w:t>3</w:t>
      </w:r>
      <w:r>
        <w:rPr>
          <w:lang w:val="en-US"/>
        </w:rPr>
        <w:t>),</w:t>
      </w:r>
      <w:r w:rsidRPr="00A856DB">
        <w:rPr>
          <w:lang w:val="en-US"/>
        </w:rPr>
        <w:t xml:space="preserve"> 267-281.</w:t>
      </w:r>
    </w:p>
    <w:p w14:paraId="164906A6" w14:textId="77777777" w:rsidR="00FD43EF" w:rsidRPr="00A856DB" w:rsidRDefault="00FD43EF" w:rsidP="00FD43EF">
      <w:pPr>
        <w:rPr>
          <w:lang w:val="en-US"/>
        </w:rPr>
      </w:pPr>
    </w:p>
    <w:p w14:paraId="0A90C18F" w14:textId="4F89C932" w:rsidR="00FD43EF" w:rsidRPr="00A856DB" w:rsidRDefault="00FD43EF" w:rsidP="00FD43EF">
      <w:pPr>
        <w:rPr>
          <w:lang w:val="en-US"/>
        </w:rPr>
      </w:pPr>
      <w:r w:rsidRPr="00A856DB">
        <w:rPr>
          <w:lang w:val="en-US"/>
        </w:rPr>
        <w:t>Katzenberg, M. A.</w:t>
      </w:r>
      <w:r>
        <w:rPr>
          <w:lang w:val="en-US"/>
        </w:rPr>
        <w:t xml:space="preserve"> (2008).</w:t>
      </w:r>
      <w:r w:rsidRPr="00A856DB">
        <w:rPr>
          <w:lang w:val="en-US"/>
        </w:rPr>
        <w:t xml:space="preserve"> Stable isotope analysis: </w:t>
      </w:r>
      <w:r w:rsidR="00A211B8">
        <w:rPr>
          <w:lang w:val="en-US"/>
        </w:rPr>
        <w:t>A</w:t>
      </w:r>
      <w:r w:rsidRPr="00A856DB">
        <w:rPr>
          <w:lang w:val="en-US"/>
        </w:rPr>
        <w:t xml:space="preserve"> tool for studying past diet, demography, and life history.</w:t>
      </w:r>
      <w:r>
        <w:rPr>
          <w:lang w:val="en-US"/>
        </w:rPr>
        <w:t xml:space="preserve"> In</w:t>
      </w:r>
      <w:r w:rsidR="00EF7AAC">
        <w:rPr>
          <w:lang w:val="en-US"/>
        </w:rPr>
        <w:t>:</w:t>
      </w:r>
      <w:r w:rsidRPr="00A856DB">
        <w:rPr>
          <w:lang w:val="en-US"/>
        </w:rPr>
        <w:t xml:space="preserve"> </w:t>
      </w:r>
      <w:r>
        <w:rPr>
          <w:lang w:val="en-US"/>
        </w:rPr>
        <w:t>Katzenberg M. A. &amp; Saunders, S. R.</w:t>
      </w:r>
      <w:r w:rsidR="00A22A71">
        <w:rPr>
          <w:lang w:val="en-US"/>
        </w:rPr>
        <w:t xml:space="preserve"> (Eds.) </w:t>
      </w:r>
      <w:r w:rsidRPr="00A856DB">
        <w:rPr>
          <w:i/>
          <w:lang w:val="en-US"/>
        </w:rPr>
        <w:t>Biological Anthropology of the Human Skeleton</w:t>
      </w:r>
      <w:r>
        <w:rPr>
          <w:lang w:val="en-US"/>
        </w:rPr>
        <w:t xml:space="preserve">, (pp. </w:t>
      </w:r>
      <w:r w:rsidRPr="00A856DB">
        <w:rPr>
          <w:lang w:val="en-US"/>
        </w:rPr>
        <w:t>411-441</w:t>
      </w:r>
      <w:r>
        <w:rPr>
          <w:lang w:val="en-US"/>
        </w:rPr>
        <w:t>).</w:t>
      </w:r>
      <w:r w:rsidR="00EF7AAC">
        <w:rPr>
          <w:color w:val="C00000"/>
          <w:lang w:val="en-US"/>
        </w:rPr>
        <w:t xml:space="preserve"> </w:t>
      </w:r>
      <w:r w:rsidR="00EF7AAC" w:rsidRPr="00EF7AAC">
        <w:rPr>
          <w:color w:val="000000" w:themeColor="text1"/>
          <w:lang w:val="en-US"/>
        </w:rPr>
        <w:t xml:space="preserve">Hoboken: Wiley-Blackwell. </w:t>
      </w:r>
    </w:p>
    <w:p w14:paraId="6E5E47B7" w14:textId="77777777" w:rsidR="00FD43EF" w:rsidRPr="00A856DB" w:rsidRDefault="00FD43EF" w:rsidP="00FD43EF">
      <w:pPr>
        <w:rPr>
          <w:lang w:val="en-US"/>
        </w:rPr>
      </w:pPr>
    </w:p>
    <w:p w14:paraId="31F21D3C" w14:textId="77777777" w:rsidR="00FD43EF" w:rsidRPr="00A856DB" w:rsidRDefault="00FD43EF" w:rsidP="00FD43EF">
      <w:pPr>
        <w:rPr>
          <w:lang w:val="en-US"/>
        </w:rPr>
      </w:pPr>
      <w:r w:rsidRPr="00A856DB">
        <w:rPr>
          <w:lang w:val="en-US"/>
        </w:rPr>
        <w:t>Keenleyside, A</w:t>
      </w:r>
      <w:r>
        <w:rPr>
          <w:lang w:val="en-US"/>
        </w:rPr>
        <w:t>.</w:t>
      </w:r>
      <w:r w:rsidRPr="00A856DB">
        <w:rPr>
          <w:lang w:val="en-US"/>
        </w:rPr>
        <w:t>, Schwarcz,</w:t>
      </w:r>
      <w:r>
        <w:rPr>
          <w:lang w:val="en-US"/>
        </w:rPr>
        <w:t xml:space="preserve"> H.,</w:t>
      </w:r>
      <w:r w:rsidRPr="00A856DB">
        <w:rPr>
          <w:lang w:val="en-US"/>
        </w:rPr>
        <w:t xml:space="preserve"> Stirling,</w:t>
      </w:r>
      <w:r>
        <w:rPr>
          <w:lang w:val="en-US"/>
        </w:rPr>
        <w:t xml:space="preserve"> L.,</w:t>
      </w:r>
      <w:r w:rsidRPr="00A856DB">
        <w:rPr>
          <w:lang w:val="en-US"/>
        </w:rPr>
        <w:t xml:space="preserve"> </w:t>
      </w:r>
      <w:r>
        <w:rPr>
          <w:lang w:val="en-US"/>
        </w:rPr>
        <w:t>&amp;</w:t>
      </w:r>
      <w:r w:rsidRPr="00A856DB">
        <w:rPr>
          <w:lang w:val="en-US"/>
        </w:rPr>
        <w:t xml:space="preserve"> Lazreg</w:t>
      </w:r>
      <w:r>
        <w:rPr>
          <w:lang w:val="en-US"/>
        </w:rPr>
        <w:t>, N. B. (2009).</w:t>
      </w:r>
      <w:r w:rsidRPr="00A856DB">
        <w:rPr>
          <w:lang w:val="en-US"/>
        </w:rPr>
        <w:t xml:space="preserve"> Stable isotopic evidence for diet in a Roman and Late Roman population from Leptiminus, Tunisia.</w:t>
      </w:r>
      <w:r>
        <w:rPr>
          <w:lang w:val="en-US"/>
        </w:rPr>
        <w:t xml:space="preserve"> </w:t>
      </w:r>
      <w:r w:rsidRPr="00A856DB">
        <w:rPr>
          <w:i/>
          <w:lang w:val="en-US"/>
        </w:rPr>
        <w:t>Journal of Archaeological Science</w:t>
      </w:r>
      <w:r>
        <w:rPr>
          <w:i/>
          <w:lang w:val="en-US"/>
        </w:rPr>
        <w:t>,</w:t>
      </w:r>
      <w:r w:rsidRPr="00A856DB">
        <w:rPr>
          <w:lang w:val="en-US"/>
        </w:rPr>
        <w:t xml:space="preserve"> </w:t>
      </w:r>
      <w:r w:rsidRPr="00F978C6">
        <w:rPr>
          <w:i/>
          <w:lang w:val="en-US"/>
        </w:rPr>
        <w:t>36</w:t>
      </w:r>
      <w:r>
        <w:rPr>
          <w:lang w:val="en-US"/>
        </w:rPr>
        <w:t>(</w:t>
      </w:r>
      <w:r w:rsidRPr="00A856DB">
        <w:rPr>
          <w:lang w:val="en-US"/>
        </w:rPr>
        <w:t>1</w:t>
      </w:r>
      <w:r>
        <w:rPr>
          <w:lang w:val="en-US"/>
        </w:rPr>
        <w:t xml:space="preserve">), </w:t>
      </w:r>
      <w:r w:rsidRPr="00A856DB">
        <w:rPr>
          <w:lang w:val="en-US"/>
        </w:rPr>
        <w:t>51-63.</w:t>
      </w:r>
    </w:p>
    <w:p w14:paraId="3058540D" w14:textId="77777777" w:rsidR="00FD43EF" w:rsidRPr="00A856DB" w:rsidRDefault="00FD43EF" w:rsidP="00FD43EF">
      <w:pPr>
        <w:rPr>
          <w:lang w:val="en-US"/>
        </w:rPr>
      </w:pPr>
    </w:p>
    <w:p w14:paraId="479D349D" w14:textId="1ACCB8C3" w:rsidR="00FD43EF" w:rsidRDefault="00FD43EF" w:rsidP="00FD43EF">
      <w:pPr>
        <w:rPr>
          <w:lang w:val="en-US"/>
        </w:rPr>
      </w:pPr>
      <w:r w:rsidRPr="00A856DB">
        <w:rPr>
          <w:lang w:val="en-US"/>
        </w:rPr>
        <w:t>Kennedy, G</w:t>
      </w:r>
      <w:r>
        <w:rPr>
          <w:lang w:val="en-US"/>
        </w:rPr>
        <w:t>.</w:t>
      </w:r>
      <w:r w:rsidRPr="00A856DB">
        <w:rPr>
          <w:lang w:val="en-US"/>
        </w:rPr>
        <w:t xml:space="preserve"> E.</w:t>
      </w:r>
      <w:r>
        <w:rPr>
          <w:lang w:val="en-US"/>
        </w:rPr>
        <w:t xml:space="preserve"> (2005).</w:t>
      </w:r>
      <w:r w:rsidRPr="00A856DB">
        <w:rPr>
          <w:lang w:val="en-US"/>
        </w:rPr>
        <w:t xml:space="preserve"> From the ape's dilemma to the weanling's dilemma: </w:t>
      </w:r>
      <w:r w:rsidR="00A211B8">
        <w:rPr>
          <w:lang w:val="en-US"/>
        </w:rPr>
        <w:t>E</w:t>
      </w:r>
      <w:r w:rsidRPr="00A856DB">
        <w:rPr>
          <w:lang w:val="en-US"/>
        </w:rPr>
        <w:t xml:space="preserve">arly weaning and its evolutionary context. </w:t>
      </w:r>
      <w:r w:rsidRPr="00A856DB">
        <w:rPr>
          <w:i/>
          <w:lang w:val="en-US"/>
        </w:rPr>
        <w:t>Journal of Human Evolution</w:t>
      </w:r>
      <w:r>
        <w:rPr>
          <w:i/>
          <w:lang w:val="en-US"/>
        </w:rPr>
        <w:t>,</w:t>
      </w:r>
      <w:r w:rsidRPr="00A856DB">
        <w:rPr>
          <w:lang w:val="en-US"/>
        </w:rPr>
        <w:t xml:space="preserve"> </w:t>
      </w:r>
      <w:r w:rsidRPr="00F978C6">
        <w:rPr>
          <w:i/>
          <w:lang w:val="en-US"/>
        </w:rPr>
        <w:t>48</w:t>
      </w:r>
      <w:r>
        <w:rPr>
          <w:lang w:val="en-US"/>
        </w:rPr>
        <w:t>(</w:t>
      </w:r>
      <w:r w:rsidRPr="00A856DB">
        <w:rPr>
          <w:lang w:val="en-US"/>
        </w:rPr>
        <w:t>2</w:t>
      </w:r>
      <w:r>
        <w:rPr>
          <w:lang w:val="en-US"/>
        </w:rPr>
        <w:t xml:space="preserve">), </w:t>
      </w:r>
      <w:r w:rsidRPr="00A856DB">
        <w:rPr>
          <w:lang w:val="en-US"/>
        </w:rPr>
        <w:t>123-145.</w:t>
      </w:r>
    </w:p>
    <w:p w14:paraId="74F84638" w14:textId="77777777" w:rsidR="00FD43EF" w:rsidRDefault="00FD43EF" w:rsidP="00FD43EF">
      <w:pPr>
        <w:rPr>
          <w:lang w:val="en-US"/>
        </w:rPr>
      </w:pPr>
    </w:p>
    <w:p w14:paraId="73AAD4B7" w14:textId="2ED29EC5" w:rsidR="00FD43EF" w:rsidRPr="00A856DB" w:rsidRDefault="00FD43EF" w:rsidP="00FD43EF">
      <w:pPr>
        <w:rPr>
          <w:lang w:val="en-US"/>
        </w:rPr>
      </w:pPr>
      <w:r w:rsidRPr="00CA0322">
        <w:rPr>
          <w:lang w:val="en-US"/>
        </w:rPr>
        <w:t xml:space="preserve">Khongsdier, R. (2007). Bio-cultural Approach: The essence of anthropological study in the 21st Century. Anthropology </w:t>
      </w:r>
      <w:r w:rsidR="00A22A71">
        <w:rPr>
          <w:lang w:val="en-US"/>
        </w:rPr>
        <w:t>t</w:t>
      </w:r>
      <w:r w:rsidRPr="00CA0322">
        <w:rPr>
          <w:lang w:val="en-US"/>
        </w:rPr>
        <w:t xml:space="preserve">oday: Trends, </w:t>
      </w:r>
      <w:r w:rsidR="00A22A71">
        <w:rPr>
          <w:lang w:val="en-US"/>
        </w:rPr>
        <w:t>s</w:t>
      </w:r>
      <w:r w:rsidRPr="00CA0322">
        <w:rPr>
          <w:lang w:val="en-US"/>
        </w:rPr>
        <w:t xml:space="preserve">cope and </w:t>
      </w:r>
      <w:r w:rsidR="00A22A71">
        <w:rPr>
          <w:lang w:val="en-US"/>
        </w:rPr>
        <w:t>a</w:t>
      </w:r>
      <w:r w:rsidRPr="00CA0322">
        <w:rPr>
          <w:lang w:val="en-US"/>
        </w:rPr>
        <w:t xml:space="preserve">pplications. </w:t>
      </w:r>
      <w:r w:rsidRPr="00CA0322">
        <w:rPr>
          <w:i/>
          <w:lang w:val="en-US"/>
        </w:rPr>
        <w:t>American Anthropologist Special Volume</w:t>
      </w:r>
      <w:r w:rsidRPr="00CA0322">
        <w:rPr>
          <w:lang w:val="en-US"/>
        </w:rPr>
        <w:t xml:space="preserve">, </w:t>
      </w:r>
      <w:r w:rsidRPr="00CA0322">
        <w:rPr>
          <w:i/>
          <w:lang w:val="en-US"/>
        </w:rPr>
        <w:t>3</w:t>
      </w:r>
      <w:r>
        <w:rPr>
          <w:lang w:val="en-US"/>
        </w:rPr>
        <w:t>(1)</w:t>
      </w:r>
      <w:r w:rsidRPr="00CA0322">
        <w:rPr>
          <w:lang w:val="en-US"/>
        </w:rPr>
        <w:t>, 39-50.</w:t>
      </w:r>
    </w:p>
    <w:p w14:paraId="7BAF72C7" w14:textId="77777777" w:rsidR="00FD43EF" w:rsidRPr="00A856DB" w:rsidRDefault="00FD43EF" w:rsidP="00FD43EF">
      <w:pPr>
        <w:rPr>
          <w:lang w:val="en-US"/>
        </w:rPr>
      </w:pPr>
    </w:p>
    <w:p w14:paraId="14D337B4" w14:textId="77777777" w:rsidR="00FD43EF" w:rsidRPr="00A856DB" w:rsidRDefault="00FD43EF" w:rsidP="00FD43EF">
      <w:pPr>
        <w:rPr>
          <w:color w:val="000000" w:themeColor="text1"/>
          <w:lang w:val="en-US"/>
        </w:rPr>
      </w:pPr>
      <w:r w:rsidRPr="00A856DB">
        <w:rPr>
          <w:color w:val="000000" w:themeColor="text1"/>
          <w:lang w:val="en-US"/>
        </w:rPr>
        <w:lastRenderedPageBreak/>
        <w:t>King, C</w:t>
      </w:r>
      <w:r>
        <w:rPr>
          <w:color w:val="000000" w:themeColor="text1"/>
          <w:lang w:val="en-US"/>
        </w:rPr>
        <w:t>.</w:t>
      </w:r>
      <w:r w:rsidRPr="00A856DB">
        <w:rPr>
          <w:color w:val="000000" w:themeColor="text1"/>
          <w:lang w:val="en-US"/>
        </w:rPr>
        <w:t xml:space="preserve"> L., Millard,</w:t>
      </w:r>
      <w:r>
        <w:rPr>
          <w:color w:val="000000" w:themeColor="text1"/>
          <w:lang w:val="en-US"/>
        </w:rPr>
        <w:t xml:space="preserve"> A. R.,</w:t>
      </w:r>
      <w:r w:rsidRPr="00A856DB">
        <w:rPr>
          <w:color w:val="000000" w:themeColor="text1"/>
          <w:lang w:val="en-US"/>
        </w:rPr>
        <w:t xml:space="preserve"> Gröcke,</w:t>
      </w:r>
      <w:r>
        <w:rPr>
          <w:color w:val="000000" w:themeColor="text1"/>
          <w:lang w:val="en-US"/>
        </w:rPr>
        <w:t xml:space="preserve"> D. R.,</w:t>
      </w:r>
      <w:r w:rsidRPr="00A856DB">
        <w:rPr>
          <w:color w:val="000000" w:themeColor="text1"/>
          <w:lang w:val="en-US"/>
        </w:rPr>
        <w:t xml:space="preserve"> Standen, </w:t>
      </w:r>
      <w:r>
        <w:rPr>
          <w:color w:val="000000" w:themeColor="text1"/>
          <w:lang w:val="en-US"/>
        </w:rPr>
        <w:t xml:space="preserve">V. G., </w:t>
      </w:r>
      <w:r w:rsidRPr="00A856DB">
        <w:rPr>
          <w:color w:val="000000" w:themeColor="text1"/>
          <w:lang w:val="en-US"/>
        </w:rPr>
        <w:t xml:space="preserve">Arriaza, </w:t>
      </w:r>
      <w:r>
        <w:rPr>
          <w:color w:val="000000" w:themeColor="text1"/>
          <w:lang w:val="en-US"/>
        </w:rPr>
        <w:t>B. T., &amp;</w:t>
      </w:r>
      <w:r w:rsidRPr="00A856DB">
        <w:rPr>
          <w:color w:val="000000" w:themeColor="text1"/>
          <w:lang w:val="en-US"/>
        </w:rPr>
        <w:t xml:space="preserve"> Halcrow</w:t>
      </w:r>
      <w:r>
        <w:rPr>
          <w:color w:val="000000" w:themeColor="text1"/>
          <w:lang w:val="en-US"/>
        </w:rPr>
        <w:t>, S. E. (2017).</w:t>
      </w:r>
      <w:r w:rsidRPr="00A856DB">
        <w:rPr>
          <w:color w:val="000000" w:themeColor="text1"/>
          <w:lang w:val="en-US"/>
        </w:rPr>
        <w:t xml:space="preserve"> A comparison of using bulk and incremental isotopic analyses to establish weaning practices in the past. </w:t>
      </w:r>
      <w:r w:rsidRPr="00A856DB">
        <w:rPr>
          <w:i/>
          <w:color w:val="000000" w:themeColor="text1"/>
          <w:lang w:val="en-US"/>
        </w:rPr>
        <w:t>Science and Technology of Archaeological Research</w:t>
      </w:r>
      <w:r>
        <w:rPr>
          <w:i/>
          <w:color w:val="000000" w:themeColor="text1"/>
          <w:lang w:val="en-US"/>
        </w:rPr>
        <w:t>,</w:t>
      </w:r>
      <w:r w:rsidRPr="00A856DB">
        <w:rPr>
          <w:color w:val="000000" w:themeColor="text1"/>
          <w:lang w:val="en-US"/>
        </w:rPr>
        <w:t xml:space="preserve"> </w:t>
      </w:r>
      <w:r w:rsidRPr="00F978C6">
        <w:rPr>
          <w:i/>
          <w:color w:val="000000" w:themeColor="text1"/>
          <w:lang w:val="en-US"/>
        </w:rPr>
        <w:t>3</w:t>
      </w:r>
      <w:r>
        <w:rPr>
          <w:color w:val="000000" w:themeColor="text1"/>
          <w:lang w:val="en-US"/>
        </w:rPr>
        <w:t>(</w:t>
      </w:r>
      <w:r w:rsidRPr="00A856DB">
        <w:rPr>
          <w:color w:val="000000" w:themeColor="text1"/>
          <w:lang w:val="en-US"/>
        </w:rPr>
        <w:t>1</w:t>
      </w:r>
      <w:r>
        <w:rPr>
          <w:color w:val="000000" w:themeColor="text1"/>
          <w:lang w:val="en-US"/>
        </w:rPr>
        <w:t xml:space="preserve">), </w:t>
      </w:r>
      <w:r w:rsidRPr="00A856DB">
        <w:rPr>
          <w:color w:val="000000" w:themeColor="text1"/>
          <w:lang w:val="en-US"/>
        </w:rPr>
        <w:t>126-134.</w:t>
      </w:r>
    </w:p>
    <w:p w14:paraId="060CAE2A" w14:textId="77777777" w:rsidR="00FD43EF" w:rsidRPr="00A856DB" w:rsidRDefault="00FD43EF" w:rsidP="00FD43EF">
      <w:pPr>
        <w:rPr>
          <w:color w:val="000000" w:themeColor="text1"/>
          <w:lang w:val="en-US"/>
        </w:rPr>
      </w:pPr>
    </w:p>
    <w:p w14:paraId="2F823675" w14:textId="77777777" w:rsidR="00FD43EF" w:rsidRPr="00A856DB" w:rsidRDefault="00FD43EF" w:rsidP="00FD43EF">
      <w:pPr>
        <w:rPr>
          <w:lang w:val="en-US"/>
        </w:rPr>
      </w:pPr>
      <w:r w:rsidRPr="00A856DB">
        <w:rPr>
          <w:lang w:val="en-US"/>
        </w:rPr>
        <w:t>Kintner, H</w:t>
      </w:r>
      <w:r>
        <w:rPr>
          <w:lang w:val="en-US"/>
        </w:rPr>
        <w:t>.</w:t>
      </w:r>
      <w:r w:rsidRPr="00A856DB">
        <w:rPr>
          <w:lang w:val="en-US"/>
        </w:rPr>
        <w:t xml:space="preserve"> J.</w:t>
      </w:r>
      <w:r>
        <w:rPr>
          <w:lang w:val="en-US"/>
        </w:rPr>
        <w:t xml:space="preserve"> (1985).</w:t>
      </w:r>
      <w:r w:rsidRPr="00A856DB">
        <w:rPr>
          <w:lang w:val="en-US"/>
        </w:rPr>
        <w:t xml:space="preserve"> Trends and regional differences in breastfeeding in Germany from 1871 to 1937.</w:t>
      </w:r>
      <w:r>
        <w:rPr>
          <w:lang w:val="en-US"/>
        </w:rPr>
        <w:t xml:space="preserve"> </w:t>
      </w:r>
      <w:r w:rsidRPr="00A856DB">
        <w:rPr>
          <w:i/>
          <w:lang w:val="en-US"/>
        </w:rPr>
        <w:t>Journal of Family History</w:t>
      </w:r>
      <w:r>
        <w:rPr>
          <w:i/>
          <w:lang w:val="en-US"/>
        </w:rPr>
        <w:t>,</w:t>
      </w:r>
      <w:r w:rsidRPr="00F978C6">
        <w:rPr>
          <w:i/>
          <w:lang w:val="en-US"/>
        </w:rPr>
        <w:t xml:space="preserve"> 10</w:t>
      </w:r>
      <w:r>
        <w:rPr>
          <w:lang w:val="en-US"/>
        </w:rPr>
        <w:t xml:space="preserve">(2), </w:t>
      </w:r>
      <w:r w:rsidRPr="00A856DB">
        <w:rPr>
          <w:lang w:val="en-US"/>
        </w:rPr>
        <w:t>163-182.</w:t>
      </w:r>
    </w:p>
    <w:p w14:paraId="316FFEFF" w14:textId="77777777" w:rsidR="00FD43EF" w:rsidRPr="00A856DB" w:rsidRDefault="00FD43EF" w:rsidP="00FD43EF">
      <w:pPr>
        <w:rPr>
          <w:lang w:val="en-US"/>
        </w:rPr>
      </w:pPr>
    </w:p>
    <w:p w14:paraId="309643F8" w14:textId="77777777" w:rsidR="00FD43EF" w:rsidRPr="00A856DB" w:rsidRDefault="00FD43EF" w:rsidP="00FD43EF">
      <w:pPr>
        <w:rPr>
          <w:color w:val="000000" w:themeColor="text1"/>
          <w:lang w:val="en-US"/>
        </w:rPr>
      </w:pPr>
      <w:r w:rsidRPr="00A856DB">
        <w:rPr>
          <w:color w:val="000000" w:themeColor="text1"/>
          <w:lang w:val="en-US"/>
        </w:rPr>
        <w:t>Kirsanow, K</w:t>
      </w:r>
      <w:r>
        <w:rPr>
          <w:color w:val="000000" w:themeColor="text1"/>
          <w:lang w:val="en-US"/>
        </w:rPr>
        <w:t>.</w:t>
      </w:r>
      <w:r w:rsidRPr="00A856DB">
        <w:rPr>
          <w:color w:val="000000" w:themeColor="text1"/>
          <w:lang w:val="en-US"/>
        </w:rPr>
        <w:t>, Makarewicz,</w:t>
      </w:r>
      <w:r>
        <w:rPr>
          <w:color w:val="000000" w:themeColor="text1"/>
          <w:lang w:val="en-US"/>
        </w:rPr>
        <w:t xml:space="preserve"> C.,</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Tuross</w:t>
      </w:r>
      <w:r>
        <w:rPr>
          <w:color w:val="000000" w:themeColor="text1"/>
          <w:lang w:val="en-US"/>
        </w:rPr>
        <w:t>, N.</w:t>
      </w:r>
      <w:r w:rsidRPr="00A856DB">
        <w:rPr>
          <w:color w:val="000000" w:themeColor="text1"/>
          <w:lang w:val="en-US"/>
        </w:rPr>
        <w:t xml:space="preserve"> </w:t>
      </w:r>
      <w:r>
        <w:rPr>
          <w:color w:val="000000" w:themeColor="text1"/>
          <w:lang w:val="en-US"/>
        </w:rPr>
        <w:t xml:space="preserve">(2008). </w:t>
      </w:r>
      <w:r w:rsidRPr="00A856DB">
        <w:rPr>
          <w:color w:val="000000" w:themeColor="text1"/>
          <w:lang w:val="en-US"/>
        </w:rPr>
        <w:t>Stable oxygen (δ</w:t>
      </w:r>
      <w:r w:rsidRPr="00A856DB">
        <w:rPr>
          <w:color w:val="000000" w:themeColor="text1"/>
          <w:vertAlign w:val="superscript"/>
          <w:lang w:val="en-US"/>
        </w:rPr>
        <w:t>18</w:t>
      </w:r>
      <w:r w:rsidRPr="00A856DB">
        <w:rPr>
          <w:color w:val="000000" w:themeColor="text1"/>
          <w:lang w:val="en-US"/>
        </w:rPr>
        <w:t xml:space="preserve">O) and hydrogen isotopes in ovicaprid dentinal collagen record seasonal variation. </w:t>
      </w:r>
      <w:r w:rsidRPr="00A856DB">
        <w:rPr>
          <w:i/>
          <w:color w:val="000000" w:themeColor="text1"/>
          <w:lang w:val="en-US"/>
        </w:rPr>
        <w:t>Journal of Archaeological Science</w:t>
      </w:r>
      <w:r>
        <w:rPr>
          <w:i/>
          <w:color w:val="000000" w:themeColor="text1"/>
          <w:lang w:val="en-US"/>
        </w:rPr>
        <w:t>,</w:t>
      </w:r>
      <w:r w:rsidRPr="00A856DB">
        <w:rPr>
          <w:color w:val="000000" w:themeColor="text1"/>
          <w:lang w:val="en-US"/>
        </w:rPr>
        <w:t xml:space="preserve"> </w:t>
      </w:r>
      <w:r w:rsidRPr="0045789D">
        <w:rPr>
          <w:i/>
          <w:color w:val="000000" w:themeColor="text1"/>
          <w:lang w:val="en-US"/>
        </w:rPr>
        <w:t>35</w:t>
      </w:r>
      <w:r>
        <w:rPr>
          <w:color w:val="000000" w:themeColor="text1"/>
          <w:lang w:val="en-US"/>
        </w:rPr>
        <w:t>(</w:t>
      </w:r>
      <w:r w:rsidRPr="00A856DB">
        <w:rPr>
          <w:color w:val="000000" w:themeColor="text1"/>
          <w:lang w:val="en-US"/>
        </w:rPr>
        <w:t>12</w:t>
      </w:r>
      <w:r>
        <w:rPr>
          <w:color w:val="000000" w:themeColor="text1"/>
          <w:lang w:val="en-US"/>
        </w:rPr>
        <w:t xml:space="preserve">), </w:t>
      </w:r>
      <w:r w:rsidRPr="00A856DB">
        <w:rPr>
          <w:color w:val="000000" w:themeColor="text1"/>
          <w:lang w:val="en-US"/>
        </w:rPr>
        <w:t>3159-3167.</w:t>
      </w:r>
    </w:p>
    <w:p w14:paraId="0FBA57F0" w14:textId="77777777" w:rsidR="00FD43EF" w:rsidRPr="00A856DB" w:rsidRDefault="00FD43EF" w:rsidP="00FD43EF">
      <w:pPr>
        <w:rPr>
          <w:color w:val="000000" w:themeColor="text1"/>
          <w:lang w:val="en-US"/>
        </w:rPr>
      </w:pPr>
    </w:p>
    <w:p w14:paraId="7ACC59AA" w14:textId="77777777" w:rsidR="00FD43EF" w:rsidRPr="00A856DB" w:rsidRDefault="00FD43EF" w:rsidP="00FD43EF">
      <w:pPr>
        <w:rPr>
          <w:lang w:val="en-US"/>
        </w:rPr>
      </w:pPr>
      <w:r w:rsidRPr="00A856DB">
        <w:rPr>
          <w:lang w:val="en-US"/>
        </w:rPr>
        <w:t>Knodel, J</w:t>
      </w:r>
      <w:r>
        <w:rPr>
          <w:lang w:val="en-US"/>
        </w:rPr>
        <w:t>.</w:t>
      </w:r>
      <w:r w:rsidRPr="00A856DB">
        <w:rPr>
          <w:lang w:val="en-US"/>
        </w:rPr>
        <w:t xml:space="preserve">, </w:t>
      </w:r>
      <w:r>
        <w:rPr>
          <w:lang w:val="en-US"/>
        </w:rPr>
        <w:t>&amp;</w:t>
      </w:r>
      <w:r w:rsidRPr="00A856DB">
        <w:rPr>
          <w:lang w:val="en-US"/>
        </w:rPr>
        <w:t xml:space="preserve"> Kintner</w:t>
      </w:r>
      <w:r>
        <w:rPr>
          <w:lang w:val="en-US"/>
        </w:rPr>
        <w:t>, H. (1977).</w:t>
      </w:r>
      <w:r w:rsidRPr="00A856DB">
        <w:rPr>
          <w:lang w:val="en-US"/>
        </w:rPr>
        <w:t xml:space="preserve"> The impact of breast feeding patterns on the biometric analysis of infant mortality. </w:t>
      </w:r>
      <w:r w:rsidRPr="00A856DB">
        <w:rPr>
          <w:i/>
          <w:lang w:val="en-US"/>
        </w:rPr>
        <w:t>Demography</w:t>
      </w:r>
      <w:r>
        <w:rPr>
          <w:i/>
          <w:lang w:val="en-US"/>
        </w:rPr>
        <w:t>,</w:t>
      </w:r>
      <w:r w:rsidRPr="00A856DB">
        <w:rPr>
          <w:i/>
          <w:lang w:val="en-US"/>
        </w:rPr>
        <w:t xml:space="preserve"> </w:t>
      </w:r>
      <w:r w:rsidRPr="0045789D">
        <w:rPr>
          <w:i/>
          <w:lang w:val="en-US"/>
        </w:rPr>
        <w:t>14</w:t>
      </w:r>
      <w:r>
        <w:rPr>
          <w:lang w:val="en-US"/>
        </w:rPr>
        <w:t>(4)</w:t>
      </w:r>
      <w:r w:rsidRPr="00A856DB">
        <w:rPr>
          <w:lang w:val="en-US"/>
        </w:rPr>
        <w:t>, 391-409.</w:t>
      </w:r>
    </w:p>
    <w:p w14:paraId="0C98D9E7" w14:textId="77777777" w:rsidR="00FD43EF" w:rsidRPr="00A856DB" w:rsidRDefault="00FD43EF" w:rsidP="00FD43EF">
      <w:pPr>
        <w:rPr>
          <w:lang w:val="en-US"/>
        </w:rPr>
      </w:pPr>
    </w:p>
    <w:p w14:paraId="5EEC323B" w14:textId="77777777" w:rsidR="00FD43EF" w:rsidRPr="008C4A6A" w:rsidRDefault="00FD43EF" w:rsidP="00FD43EF">
      <w:pPr>
        <w:rPr>
          <w:iCs/>
          <w:color w:val="000000" w:themeColor="text1"/>
          <w:lang w:val="en-US"/>
        </w:rPr>
      </w:pPr>
      <w:r w:rsidRPr="008C4A6A">
        <w:rPr>
          <w:iCs/>
          <w:color w:val="000000" w:themeColor="text1"/>
          <w:lang w:val="en-US"/>
        </w:rPr>
        <w:t>Knodel, J</w:t>
      </w:r>
      <w:r>
        <w:rPr>
          <w:iCs/>
          <w:color w:val="000000" w:themeColor="text1"/>
          <w:lang w:val="en-US"/>
        </w:rPr>
        <w:t>.</w:t>
      </w:r>
      <w:r w:rsidRPr="008C4A6A">
        <w:rPr>
          <w:iCs/>
          <w:color w:val="000000" w:themeColor="text1"/>
          <w:lang w:val="en-US"/>
        </w:rPr>
        <w:t>, Chayovan,</w:t>
      </w:r>
      <w:r>
        <w:rPr>
          <w:iCs/>
          <w:color w:val="000000" w:themeColor="text1"/>
          <w:lang w:val="en-US"/>
        </w:rPr>
        <w:t xml:space="preserve"> N.</w:t>
      </w:r>
      <w:r w:rsidRPr="008C4A6A">
        <w:rPr>
          <w:iCs/>
          <w:color w:val="000000" w:themeColor="text1"/>
          <w:lang w:val="en-US"/>
        </w:rPr>
        <w:t xml:space="preserve"> </w:t>
      </w:r>
      <w:r>
        <w:rPr>
          <w:iCs/>
          <w:color w:val="000000" w:themeColor="text1"/>
          <w:lang w:val="en-US"/>
        </w:rPr>
        <w:t>&amp;</w:t>
      </w:r>
      <w:r w:rsidRPr="008C4A6A">
        <w:rPr>
          <w:iCs/>
          <w:color w:val="000000" w:themeColor="text1"/>
          <w:lang w:val="en-US"/>
        </w:rPr>
        <w:t xml:space="preserve"> Frisen</w:t>
      </w:r>
      <w:r>
        <w:rPr>
          <w:iCs/>
          <w:color w:val="000000" w:themeColor="text1"/>
          <w:lang w:val="en-US"/>
        </w:rPr>
        <w:t>, C. (1988).</w:t>
      </w:r>
      <w:r w:rsidRPr="008C4A6A">
        <w:rPr>
          <w:iCs/>
          <w:color w:val="000000" w:themeColor="text1"/>
          <w:lang w:val="en-US"/>
        </w:rPr>
        <w:t xml:space="preserve"> Has Thailand’s fertility decline stalled? </w:t>
      </w:r>
      <w:r w:rsidRPr="008C4A6A">
        <w:rPr>
          <w:i/>
          <w:iCs/>
          <w:color w:val="000000" w:themeColor="text1"/>
          <w:lang w:val="en-US"/>
        </w:rPr>
        <w:t>Asia-Pacific Population Journal</w:t>
      </w:r>
      <w:r>
        <w:rPr>
          <w:i/>
          <w:iCs/>
          <w:color w:val="000000" w:themeColor="text1"/>
          <w:lang w:val="en-US"/>
        </w:rPr>
        <w:t>,</w:t>
      </w:r>
      <w:r w:rsidRPr="008C4A6A">
        <w:rPr>
          <w:iCs/>
          <w:color w:val="000000" w:themeColor="text1"/>
          <w:lang w:val="en-US"/>
        </w:rPr>
        <w:t xml:space="preserve"> </w:t>
      </w:r>
      <w:r w:rsidRPr="0045789D">
        <w:rPr>
          <w:i/>
          <w:iCs/>
          <w:color w:val="000000" w:themeColor="text1"/>
          <w:lang w:val="en-US"/>
        </w:rPr>
        <w:t>3</w:t>
      </w:r>
      <w:r>
        <w:rPr>
          <w:iCs/>
          <w:color w:val="000000" w:themeColor="text1"/>
          <w:lang w:val="en-US"/>
        </w:rPr>
        <w:t>(</w:t>
      </w:r>
      <w:r w:rsidRPr="008C4A6A">
        <w:rPr>
          <w:iCs/>
          <w:color w:val="000000" w:themeColor="text1"/>
          <w:lang w:val="en-US"/>
        </w:rPr>
        <w:t>3</w:t>
      </w:r>
      <w:r>
        <w:rPr>
          <w:iCs/>
          <w:color w:val="000000" w:themeColor="text1"/>
          <w:lang w:val="en-US"/>
        </w:rPr>
        <w:t xml:space="preserve">), </w:t>
      </w:r>
      <w:r w:rsidRPr="008C4A6A">
        <w:rPr>
          <w:iCs/>
          <w:color w:val="000000" w:themeColor="text1"/>
          <w:lang w:val="en-US"/>
        </w:rPr>
        <w:t>3-20.</w:t>
      </w:r>
    </w:p>
    <w:p w14:paraId="264FEDEF" w14:textId="77777777" w:rsidR="00FD43EF" w:rsidRPr="008C4A6A" w:rsidRDefault="00FD43EF" w:rsidP="00FD43EF">
      <w:pPr>
        <w:rPr>
          <w:iCs/>
          <w:color w:val="000000" w:themeColor="text1"/>
          <w:lang w:val="en-US"/>
        </w:rPr>
      </w:pPr>
    </w:p>
    <w:p w14:paraId="63679DE6" w14:textId="003ADE62" w:rsidR="00FD43EF" w:rsidRPr="00A856DB" w:rsidRDefault="00FD43EF" w:rsidP="00FD43EF">
      <w:pPr>
        <w:rPr>
          <w:iCs/>
          <w:color w:val="000000" w:themeColor="text1"/>
          <w:lang w:val="en-US"/>
        </w:rPr>
      </w:pPr>
      <w:r w:rsidRPr="00A856DB">
        <w:rPr>
          <w:iCs/>
          <w:color w:val="000000" w:themeColor="text1"/>
          <w:lang w:val="en-US"/>
        </w:rPr>
        <w:t>Koch, P</w:t>
      </w:r>
      <w:r>
        <w:rPr>
          <w:iCs/>
          <w:color w:val="000000" w:themeColor="text1"/>
          <w:lang w:val="en-US"/>
        </w:rPr>
        <w:t>.</w:t>
      </w:r>
      <w:r w:rsidRPr="00A856DB">
        <w:rPr>
          <w:iCs/>
          <w:color w:val="000000" w:themeColor="text1"/>
          <w:lang w:val="en-US"/>
        </w:rPr>
        <w:t xml:space="preserve"> L., Fisher,</w:t>
      </w:r>
      <w:r>
        <w:rPr>
          <w:iCs/>
          <w:color w:val="000000" w:themeColor="text1"/>
          <w:lang w:val="en-US"/>
        </w:rPr>
        <w:t xml:space="preserve"> D. C.</w:t>
      </w:r>
      <w:r w:rsidRPr="00A856DB">
        <w:rPr>
          <w:iCs/>
          <w:color w:val="000000" w:themeColor="text1"/>
          <w:lang w:val="en-US"/>
        </w:rPr>
        <w:t xml:space="preserve"> </w:t>
      </w:r>
      <w:r>
        <w:rPr>
          <w:iCs/>
          <w:color w:val="000000" w:themeColor="text1"/>
          <w:lang w:val="en-US"/>
        </w:rPr>
        <w:t>&amp;</w:t>
      </w:r>
      <w:r w:rsidRPr="00A856DB">
        <w:rPr>
          <w:iCs/>
          <w:color w:val="000000" w:themeColor="text1"/>
          <w:lang w:val="en-US"/>
        </w:rPr>
        <w:t xml:space="preserve"> Dettman</w:t>
      </w:r>
      <w:r>
        <w:rPr>
          <w:iCs/>
          <w:color w:val="000000" w:themeColor="text1"/>
          <w:lang w:val="en-US"/>
        </w:rPr>
        <w:t>, D. (1989).</w:t>
      </w:r>
      <w:r w:rsidRPr="00A856DB">
        <w:rPr>
          <w:iCs/>
          <w:color w:val="000000" w:themeColor="text1"/>
          <w:lang w:val="en-US"/>
        </w:rPr>
        <w:t xml:space="preserve"> Oxygen isotope variation in the tusks of extinct proboscideans: </w:t>
      </w:r>
      <w:r w:rsidR="00A211B8">
        <w:rPr>
          <w:iCs/>
          <w:color w:val="000000" w:themeColor="text1"/>
          <w:lang w:val="en-US"/>
        </w:rPr>
        <w:t xml:space="preserve">A </w:t>
      </w:r>
      <w:r w:rsidRPr="00A856DB">
        <w:rPr>
          <w:iCs/>
          <w:color w:val="000000" w:themeColor="text1"/>
          <w:lang w:val="en-US"/>
        </w:rPr>
        <w:t>measure of season of death and seasonality.</w:t>
      </w:r>
      <w:r w:rsidR="00D60DD9">
        <w:rPr>
          <w:iCs/>
          <w:color w:val="000000" w:themeColor="text1"/>
          <w:lang w:val="en-US"/>
        </w:rPr>
        <w:t xml:space="preserve"> </w:t>
      </w:r>
      <w:r w:rsidRPr="00A856DB">
        <w:rPr>
          <w:i/>
          <w:iCs/>
          <w:color w:val="000000" w:themeColor="text1"/>
          <w:lang w:val="en-US"/>
        </w:rPr>
        <w:t>Geology</w:t>
      </w:r>
      <w:r>
        <w:rPr>
          <w:i/>
          <w:iCs/>
          <w:color w:val="000000" w:themeColor="text1"/>
          <w:lang w:val="en-US"/>
        </w:rPr>
        <w:t>,</w:t>
      </w:r>
      <w:r w:rsidRPr="00A856DB">
        <w:rPr>
          <w:iCs/>
          <w:color w:val="000000" w:themeColor="text1"/>
          <w:lang w:val="en-US"/>
        </w:rPr>
        <w:t> </w:t>
      </w:r>
      <w:r w:rsidRPr="0045789D">
        <w:rPr>
          <w:i/>
          <w:iCs/>
          <w:color w:val="000000" w:themeColor="text1"/>
          <w:lang w:val="en-US"/>
        </w:rPr>
        <w:t>17</w:t>
      </w:r>
      <w:r>
        <w:rPr>
          <w:iCs/>
          <w:color w:val="000000" w:themeColor="text1"/>
          <w:lang w:val="en-US"/>
        </w:rPr>
        <w:t>(</w:t>
      </w:r>
      <w:r w:rsidRPr="00A856DB">
        <w:rPr>
          <w:iCs/>
          <w:color w:val="000000" w:themeColor="text1"/>
          <w:lang w:val="en-US"/>
        </w:rPr>
        <w:t>6</w:t>
      </w:r>
      <w:r>
        <w:rPr>
          <w:iCs/>
          <w:color w:val="000000" w:themeColor="text1"/>
          <w:lang w:val="en-US"/>
        </w:rPr>
        <w:t xml:space="preserve">), </w:t>
      </w:r>
      <w:r w:rsidRPr="00A856DB">
        <w:rPr>
          <w:iCs/>
          <w:color w:val="000000" w:themeColor="text1"/>
          <w:lang w:val="en-US"/>
        </w:rPr>
        <w:t>515-519.</w:t>
      </w:r>
    </w:p>
    <w:p w14:paraId="1921639D" w14:textId="77777777" w:rsidR="00FD43EF" w:rsidRPr="008C4A6A" w:rsidRDefault="00FD43EF" w:rsidP="00FD43EF">
      <w:pPr>
        <w:rPr>
          <w:iCs/>
          <w:color w:val="000000" w:themeColor="text1"/>
          <w:lang w:val="en-US"/>
        </w:rPr>
      </w:pPr>
    </w:p>
    <w:p w14:paraId="30F73675" w14:textId="77777777" w:rsidR="00FD43EF" w:rsidRPr="00A856DB" w:rsidRDefault="00FD43EF" w:rsidP="00FD43EF">
      <w:pPr>
        <w:rPr>
          <w:lang w:val="en-US"/>
        </w:rPr>
      </w:pPr>
      <w:r w:rsidRPr="00D836F5">
        <w:rPr>
          <w:lang w:val="it-IT"/>
        </w:rPr>
        <w:t xml:space="preserve">Koch, P. L., Tuross, N., &amp;. </w:t>
      </w:r>
      <w:r w:rsidRPr="00A856DB">
        <w:rPr>
          <w:lang w:val="en-US"/>
        </w:rPr>
        <w:t>Fogel</w:t>
      </w:r>
      <w:r>
        <w:rPr>
          <w:lang w:val="en-US"/>
        </w:rPr>
        <w:t>, M. L. (1997).</w:t>
      </w:r>
      <w:r w:rsidRPr="00A856DB">
        <w:rPr>
          <w:lang w:val="en-US"/>
        </w:rPr>
        <w:t xml:space="preserve"> The effects of sample treatment and diagenesis on the isotopic integrity of carbonate in biogenic hydroxylapatite. </w:t>
      </w:r>
      <w:r w:rsidRPr="00A856DB">
        <w:rPr>
          <w:i/>
          <w:lang w:val="en-US"/>
        </w:rPr>
        <w:t>Journal of Archaeological Science</w:t>
      </w:r>
      <w:r>
        <w:rPr>
          <w:i/>
          <w:lang w:val="en-US"/>
        </w:rPr>
        <w:t>,</w:t>
      </w:r>
      <w:r w:rsidRPr="00A856DB">
        <w:rPr>
          <w:lang w:val="en-US"/>
        </w:rPr>
        <w:t xml:space="preserve"> </w:t>
      </w:r>
      <w:r w:rsidRPr="0045789D">
        <w:rPr>
          <w:i/>
          <w:lang w:val="en-US"/>
        </w:rPr>
        <w:t>24</w:t>
      </w:r>
      <w:r>
        <w:rPr>
          <w:lang w:val="en-US"/>
        </w:rPr>
        <w:t>(5),</w:t>
      </w:r>
      <w:r w:rsidRPr="00A856DB">
        <w:rPr>
          <w:lang w:val="en-US"/>
        </w:rPr>
        <w:t xml:space="preserve"> 417-429.</w:t>
      </w:r>
    </w:p>
    <w:p w14:paraId="16F0F7BB" w14:textId="77777777" w:rsidR="00FD43EF" w:rsidRPr="00A856DB" w:rsidRDefault="00FD43EF" w:rsidP="00FD43EF">
      <w:pPr>
        <w:rPr>
          <w:lang w:val="en-US"/>
        </w:rPr>
      </w:pPr>
    </w:p>
    <w:p w14:paraId="355C7084" w14:textId="03263E18" w:rsidR="00FD43EF" w:rsidRPr="008C4A6A" w:rsidRDefault="00FD43EF" w:rsidP="00FD43EF">
      <w:pPr>
        <w:rPr>
          <w:color w:val="000000" w:themeColor="text1"/>
          <w:lang w:val="en-US"/>
        </w:rPr>
      </w:pPr>
      <w:r w:rsidRPr="008C4A6A">
        <w:rPr>
          <w:color w:val="000000" w:themeColor="text1"/>
          <w:lang w:val="en-US"/>
        </w:rPr>
        <w:t>Kramer</w:t>
      </w:r>
      <w:r>
        <w:rPr>
          <w:color w:val="000000" w:themeColor="text1"/>
          <w:lang w:val="en-US"/>
        </w:rPr>
        <w:t>,</w:t>
      </w:r>
      <w:r w:rsidRPr="008C4A6A">
        <w:rPr>
          <w:color w:val="000000" w:themeColor="text1"/>
          <w:lang w:val="en-US"/>
        </w:rPr>
        <w:t xml:space="preserve"> M</w:t>
      </w:r>
      <w:r>
        <w:rPr>
          <w:color w:val="000000" w:themeColor="text1"/>
          <w:lang w:val="en-US"/>
        </w:rPr>
        <w:t>.</w:t>
      </w:r>
      <w:r w:rsidR="00EF7AAC">
        <w:rPr>
          <w:color w:val="000000" w:themeColor="text1"/>
          <w:lang w:val="en-US"/>
        </w:rPr>
        <w:t xml:space="preserve"> </w:t>
      </w:r>
      <w:r w:rsidRPr="008C4A6A">
        <w:rPr>
          <w:color w:val="000000" w:themeColor="text1"/>
          <w:lang w:val="en-US"/>
        </w:rPr>
        <w:t>S</w:t>
      </w:r>
      <w:r>
        <w:rPr>
          <w:color w:val="000000" w:themeColor="text1"/>
          <w:lang w:val="en-US"/>
        </w:rPr>
        <w:t>.</w:t>
      </w:r>
      <w:r w:rsidRPr="008C4A6A">
        <w:rPr>
          <w:color w:val="000000" w:themeColor="text1"/>
          <w:lang w:val="en-US"/>
        </w:rPr>
        <w:t>, Guo</w:t>
      </w:r>
      <w:r>
        <w:rPr>
          <w:color w:val="000000" w:themeColor="text1"/>
          <w:lang w:val="en-US"/>
        </w:rPr>
        <w:t>,</w:t>
      </w:r>
      <w:r w:rsidRPr="008C4A6A">
        <w:rPr>
          <w:color w:val="000000" w:themeColor="text1"/>
          <w:lang w:val="en-US"/>
        </w:rPr>
        <w:t xml:space="preserve"> T</w:t>
      </w:r>
      <w:r>
        <w:rPr>
          <w:color w:val="000000" w:themeColor="text1"/>
          <w:lang w:val="en-US"/>
        </w:rPr>
        <w:t>.</w:t>
      </w:r>
      <w:r w:rsidRPr="008C4A6A">
        <w:rPr>
          <w:color w:val="000000" w:themeColor="text1"/>
          <w:lang w:val="en-US"/>
        </w:rPr>
        <w:t>, Platt</w:t>
      </w:r>
      <w:r>
        <w:rPr>
          <w:color w:val="000000" w:themeColor="text1"/>
          <w:lang w:val="en-US"/>
        </w:rPr>
        <w:t>,</w:t>
      </w:r>
      <w:r w:rsidRPr="008C4A6A">
        <w:rPr>
          <w:color w:val="000000" w:themeColor="text1"/>
          <w:lang w:val="en-US"/>
        </w:rPr>
        <w:t xml:space="preserve"> R</w:t>
      </w:r>
      <w:r>
        <w:rPr>
          <w:color w:val="000000" w:themeColor="text1"/>
          <w:lang w:val="en-US"/>
        </w:rPr>
        <w:t>.</w:t>
      </w:r>
      <w:r w:rsidRPr="008C4A6A">
        <w:rPr>
          <w:color w:val="000000" w:themeColor="text1"/>
          <w:lang w:val="en-US"/>
        </w:rPr>
        <w:t>W</w:t>
      </w:r>
      <w:r>
        <w:rPr>
          <w:color w:val="000000" w:themeColor="text1"/>
          <w:lang w:val="en-US"/>
        </w:rPr>
        <w:t>.</w:t>
      </w:r>
      <w:r w:rsidRPr="008C4A6A">
        <w:rPr>
          <w:color w:val="000000" w:themeColor="text1"/>
          <w:lang w:val="en-US"/>
        </w:rPr>
        <w:t>, Sevkovskaya</w:t>
      </w:r>
      <w:r>
        <w:rPr>
          <w:color w:val="000000" w:themeColor="text1"/>
          <w:lang w:val="en-US"/>
        </w:rPr>
        <w:t>,</w:t>
      </w:r>
      <w:r w:rsidRPr="008C4A6A">
        <w:rPr>
          <w:color w:val="000000" w:themeColor="text1"/>
          <w:lang w:val="en-US"/>
        </w:rPr>
        <w:t xml:space="preserve"> Z</w:t>
      </w:r>
      <w:r>
        <w:rPr>
          <w:color w:val="000000" w:themeColor="text1"/>
          <w:lang w:val="en-US"/>
        </w:rPr>
        <w:t>.</w:t>
      </w:r>
      <w:r w:rsidRPr="008C4A6A">
        <w:rPr>
          <w:color w:val="000000" w:themeColor="text1"/>
          <w:lang w:val="en-US"/>
        </w:rPr>
        <w:t>,</w:t>
      </w:r>
      <w:r>
        <w:rPr>
          <w:color w:val="000000" w:themeColor="text1"/>
          <w:lang w:val="en-US"/>
        </w:rPr>
        <w:t xml:space="preserve"> &amp;</w:t>
      </w:r>
      <w:r w:rsidRPr="008C4A6A">
        <w:rPr>
          <w:color w:val="000000" w:themeColor="text1"/>
          <w:lang w:val="en-US"/>
        </w:rPr>
        <w:t xml:space="preserve"> Dzikovich</w:t>
      </w:r>
      <w:r>
        <w:rPr>
          <w:color w:val="000000" w:themeColor="text1"/>
          <w:lang w:val="en-US"/>
        </w:rPr>
        <w:t xml:space="preserve">, </w:t>
      </w:r>
      <w:r w:rsidRPr="008C4A6A">
        <w:rPr>
          <w:color w:val="000000" w:themeColor="text1"/>
          <w:lang w:val="en-US"/>
        </w:rPr>
        <w:t>I.</w:t>
      </w:r>
      <w:r>
        <w:rPr>
          <w:color w:val="000000" w:themeColor="text1"/>
          <w:lang w:val="en-US"/>
        </w:rPr>
        <w:t xml:space="preserve"> (2003).</w:t>
      </w:r>
      <w:r w:rsidRPr="008C4A6A">
        <w:rPr>
          <w:color w:val="000000" w:themeColor="text1"/>
          <w:lang w:val="en-US"/>
        </w:rPr>
        <w:t xml:space="preserve"> Infant growth and health outcomes associated with 3 compared with 6 months of exclusive breastfeeding. </w:t>
      </w:r>
      <w:r w:rsidRPr="008C4A6A">
        <w:rPr>
          <w:i/>
          <w:iCs/>
          <w:color w:val="000000" w:themeColor="text1"/>
          <w:lang w:val="en-US"/>
        </w:rPr>
        <w:t>American Journal of Clinical Nutrition</w:t>
      </w:r>
      <w:r>
        <w:rPr>
          <w:i/>
          <w:iCs/>
          <w:color w:val="000000" w:themeColor="text1"/>
          <w:lang w:val="en-US"/>
        </w:rPr>
        <w:t>,</w:t>
      </w:r>
      <w:r w:rsidRPr="008C4A6A">
        <w:rPr>
          <w:i/>
          <w:iCs/>
          <w:color w:val="000000" w:themeColor="text1"/>
          <w:lang w:val="en-US"/>
        </w:rPr>
        <w:t xml:space="preserve"> </w:t>
      </w:r>
      <w:r w:rsidRPr="0010738F">
        <w:rPr>
          <w:i/>
          <w:color w:val="000000" w:themeColor="text1"/>
          <w:lang w:val="en-US"/>
        </w:rPr>
        <w:t>78</w:t>
      </w:r>
      <w:r>
        <w:rPr>
          <w:color w:val="000000" w:themeColor="text1"/>
          <w:lang w:val="en-US"/>
        </w:rPr>
        <w:t xml:space="preserve">(2), </w:t>
      </w:r>
      <w:r w:rsidRPr="008C4A6A">
        <w:rPr>
          <w:color w:val="000000" w:themeColor="text1"/>
          <w:lang w:val="en-US"/>
        </w:rPr>
        <w:t>291–95.</w:t>
      </w:r>
    </w:p>
    <w:p w14:paraId="3655388B" w14:textId="77777777" w:rsidR="00FD43EF" w:rsidRPr="008C4A6A" w:rsidRDefault="00FD43EF" w:rsidP="00FD43EF">
      <w:pPr>
        <w:rPr>
          <w:color w:val="000000" w:themeColor="text1"/>
          <w:lang w:val="en-US"/>
        </w:rPr>
      </w:pPr>
    </w:p>
    <w:p w14:paraId="7E66F5FF" w14:textId="04200D4C" w:rsidR="00FD43EF" w:rsidRPr="00D836F5" w:rsidRDefault="00FD43EF" w:rsidP="00FD43EF">
      <w:pPr>
        <w:rPr>
          <w:lang w:val="it-IT"/>
        </w:rPr>
      </w:pPr>
      <w:r w:rsidRPr="00A856DB">
        <w:rPr>
          <w:lang w:val="en-US"/>
        </w:rPr>
        <w:t>Kramer, M</w:t>
      </w:r>
      <w:r>
        <w:rPr>
          <w:lang w:val="en-US"/>
        </w:rPr>
        <w:t>.</w:t>
      </w:r>
      <w:r w:rsidRPr="00A856DB">
        <w:rPr>
          <w:lang w:val="en-US"/>
        </w:rPr>
        <w:t xml:space="preserve"> S., </w:t>
      </w:r>
      <w:r>
        <w:rPr>
          <w:lang w:val="en-US"/>
        </w:rPr>
        <w:t>&amp;</w:t>
      </w:r>
      <w:r w:rsidRPr="00A856DB">
        <w:rPr>
          <w:lang w:val="en-US"/>
        </w:rPr>
        <w:t xml:space="preserve"> Kakuma</w:t>
      </w:r>
      <w:r>
        <w:rPr>
          <w:lang w:val="en-US"/>
        </w:rPr>
        <w:t>, R</w:t>
      </w:r>
      <w:r w:rsidRPr="00A856DB">
        <w:rPr>
          <w:lang w:val="en-US"/>
        </w:rPr>
        <w:t>.</w:t>
      </w:r>
      <w:r>
        <w:rPr>
          <w:lang w:val="en-US"/>
        </w:rPr>
        <w:t xml:space="preserve"> (2004).</w:t>
      </w:r>
      <w:r w:rsidRPr="00A856DB">
        <w:rPr>
          <w:lang w:val="en-US"/>
        </w:rPr>
        <w:t xml:space="preserve"> The optimal duration of exclusive breastfeeding. In</w:t>
      </w:r>
      <w:r w:rsidR="00EF7AAC">
        <w:rPr>
          <w:lang w:val="en-US"/>
        </w:rPr>
        <w:t>:</w:t>
      </w:r>
      <w:r>
        <w:rPr>
          <w:lang w:val="en-US"/>
        </w:rPr>
        <w:t xml:space="preserve"> Morrow, A. L., Ruiz-Palacios, G. M., Pickering, L. K. (Eds.),</w:t>
      </w:r>
      <w:r w:rsidRPr="00A856DB">
        <w:rPr>
          <w:lang w:val="en-US"/>
        </w:rPr>
        <w:t xml:space="preserve"> </w:t>
      </w:r>
      <w:r w:rsidRPr="0010738F">
        <w:rPr>
          <w:i/>
          <w:lang w:val="en-US"/>
        </w:rPr>
        <w:t xml:space="preserve">Protecting </w:t>
      </w:r>
      <w:r w:rsidR="00D60DD9">
        <w:rPr>
          <w:i/>
          <w:lang w:val="en-US"/>
        </w:rPr>
        <w:t>I</w:t>
      </w:r>
      <w:r w:rsidRPr="0010738F">
        <w:rPr>
          <w:i/>
          <w:lang w:val="en-US"/>
        </w:rPr>
        <w:t xml:space="preserve">nfants through </w:t>
      </w:r>
      <w:r w:rsidR="00D60DD9">
        <w:rPr>
          <w:i/>
          <w:lang w:val="en-US"/>
        </w:rPr>
        <w:t>H</w:t>
      </w:r>
      <w:r w:rsidRPr="0010738F">
        <w:rPr>
          <w:i/>
          <w:lang w:val="en-US"/>
        </w:rPr>
        <w:t xml:space="preserve">uman </w:t>
      </w:r>
      <w:r w:rsidR="00D60DD9">
        <w:rPr>
          <w:i/>
          <w:lang w:val="en-US"/>
        </w:rPr>
        <w:t>M</w:t>
      </w:r>
      <w:r w:rsidRPr="0010738F">
        <w:rPr>
          <w:i/>
          <w:lang w:val="en-US"/>
        </w:rPr>
        <w:t>ilk</w:t>
      </w:r>
      <w:r>
        <w:rPr>
          <w:i/>
          <w:lang w:val="en-US"/>
        </w:rPr>
        <w:t xml:space="preserve"> </w:t>
      </w:r>
      <w:r>
        <w:rPr>
          <w:lang w:val="en-US"/>
        </w:rPr>
        <w:t>(pp. 63-77)</w:t>
      </w:r>
      <w:r w:rsidRPr="00A856DB">
        <w:rPr>
          <w:lang w:val="en-US"/>
        </w:rPr>
        <w:t xml:space="preserve">. </w:t>
      </w:r>
      <w:r w:rsidRPr="00D836F5">
        <w:rPr>
          <w:lang w:val="it-IT"/>
        </w:rPr>
        <w:t xml:space="preserve">Boston: Springer.  </w:t>
      </w:r>
    </w:p>
    <w:p w14:paraId="4EF83F1B" w14:textId="77777777" w:rsidR="00FD43EF" w:rsidRDefault="00FD43EF" w:rsidP="00FD43EF">
      <w:pPr>
        <w:rPr>
          <w:lang w:val="it-IT"/>
        </w:rPr>
      </w:pPr>
    </w:p>
    <w:p w14:paraId="2499D83C" w14:textId="77777777" w:rsidR="00FD43EF" w:rsidRDefault="00FD43EF" w:rsidP="00FD43EF">
      <w:pPr>
        <w:rPr>
          <w:lang w:val="it-IT"/>
        </w:rPr>
      </w:pPr>
      <w:r w:rsidRPr="00E93D5D">
        <w:rPr>
          <w:lang w:val="it-IT"/>
        </w:rPr>
        <w:t>Kwok, C. S., Garvie</w:t>
      </w:r>
      <w:r w:rsidRPr="00E93D5D">
        <w:rPr>
          <w:rFonts w:ascii="Cambria Math" w:hAnsi="Cambria Math" w:cs="Cambria Math"/>
          <w:lang w:val="it-IT"/>
        </w:rPr>
        <w:t>‐</w:t>
      </w:r>
      <w:r w:rsidRPr="00E93D5D">
        <w:rPr>
          <w:lang w:val="it-IT"/>
        </w:rPr>
        <w:t xml:space="preserve">Lok, S., &amp; Katzenberg, M. A. (2018). Exploring variation in infant feeding practices in Byzantine Greece using stable isotope analysis of dentin serial sections. </w:t>
      </w:r>
      <w:r w:rsidRPr="00E93D5D">
        <w:rPr>
          <w:i/>
          <w:lang w:val="it-IT"/>
        </w:rPr>
        <w:t>International Journal of Osteoarchaeology,</w:t>
      </w:r>
      <w:r w:rsidRPr="00E93D5D">
        <w:rPr>
          <w:lang w:val="it-IT"/>
        </w:rPr>
        <w:t xml:space="preserve"> </w:t>
      </w:r>
      <w:r w:rsidRPr="00E93D5D">
        <w:rPr>
          <w:i/>
          <w:lang w:val="it-IT"/>
        </w:rPr>
        <w:t>28</w:t>
      </w:r>
      <w:r w:rsidRPr="00E93D5D">
        <w:rPr>
          <w:lang w:val="it-IT"/>
        </w:rPr>
        <w:t>(5), 563-578.</w:t>
      </w:r>
    </w:p>
    <w:p w14:paraId="3D093F14" w14:textId="77777777" w:rsidR="00FD43EF" w:rsidRPr="00D836F5" w:rsidRDefault="00FD43EF" w:rsidP="00FD43EF">
      <w:pPr>
        <w:rPr>
          <w:lang w:val="it-IT"/>
        </w:rPr>
      </w:pPr>
    </w:p>
    <w:p w14:paraId="26C5AE78" w14:textId="77777777" w:rsidR="00FD43EF" w:rsidRPr="00A856DB" w:rsidRDefault="00FD43EF" w:rsidP="00FD43EF">
      <w:pPr>
        <w:rPr>
          <w:lang w:val="en-US"/>
        </w:rPr>
      </w:pPr>
      <w:r w:rsidRPr="00D836F5">
        <w:rPr>
          <w:lang w:val="it-IT"/>
        </w:rPr>
        <w:t xml:space="preserve">Lacruz, R. S., Rozzi, F. R. &amp; Bromage, T. G. (2005). </w:t>
      </w:r>
      <w:r w:rsidRPr="00A856DB">
        <w:rPr>
          <w:lang w:val="en-US"/>
        </w:rPr>
        <w:t>Dental enamel hypoplasia, age at death, and weaning in the Taung child. </w:t>
      </w:r>
      <w:r w:rsidRPr="00A856DB">
        <w:rPr>
          <w:i/>
          <w:iCs/>
          <w:lang w:val="en-US"/>
        </w:rPr>
        <w:t>South African Journal of Science</w:t>
      </w:r>
      <w:r>
        <w:rPr>
          <w:i/>
          <w:iCs/>
          <w:lang w:val="en-US"/>
        </w:rPr>
        <w:t>,</w:t>
      </w:r>
      <w:r w:rsidRPr="00A856DB">
        <w:rPr>
          <w:lang w:val="en-US"/>
        </w:rPr>
        <w:t> </w:t>
      </w:r>
      <w:r w:rsidRPr="0010738F">
        <w:rPr>
          <w:i/>
          <w:lang w:val="en-US"/>
        </w:rPr>
        <w:t>101</w:t>
      </w:r>
      <w:r>
        <w:rPr>
          <w:lang w:val="en-US"/>
        </w:rPr>
        <w:t>(</w:t>
      </w:r>
      <w:r w:rsidRPr="00A856DB">
        <w:rPr>
          <w:lang w:val="en-US"/>
        </w:rPr>
        <w:t>11</w:t>
      </w:r>
      <w:r>
        <w:rPr>
          <w:lang w:val="en-US"/>
        </w:rPr>
        <w:t xml:space="preserve">), </w:t>
      </w:r>
      <w:r w:rsidRPr="00A856DB">
        <w:rPr>
          <w:lang w:val="en-US"/>
        </w:rPr>
        <w:t>567-569.</w:t>
      </w:r>
    </w:p>
    <w:p w14:paraId="08C30105" w14:textId="77777777" w:rsidR="00FD43EF" w:rsidRPr="00A856DB" w:rsidRDefault="00FD43EF" w:rsidP="00FD43EF">
      <w:pPr>
        <w:rPr>
          <w:lang w:val="en-US"/>
        </w:rPr>
      </w:pPr>
    </w:p>
    <w:p w14:paraId="3C0AE4F9" w14:textId="64DEB823" w:rsidR="00FD43EF" w:rsidRPr="00A856DB" w:rsidRDefault="00FD43EF" w:rsidP="00FD43EF">
      <w:pPr>
        <w:rPr>
          <w:lang w:val="en-US"/>
        </w:rPr>
      </w:pPr>
      <w:r w:rsidRPr="00A856DB">
        <w:rPr>
          <w:lang w:val="en-US"/>
        </w:rPr>
        <w:t>Lampl, M</w:t>
      </w:r>
      <w:r>
        <w:rPr>
          <w:lang w:val="en-US"/>
        </w:rPr>
        <w:t>.</w:t>
      </w:r>
      <w:r w:rsidRPr="00A856DB">
        <w:rPr>
          <w:lang w:val="en-US"/>
        </w:rPr>
        <w:t xml:space="preserve">, </w:t>
      </w:r>
      <w:r>
        <w:rPr>
          <w:lang w:val="en-US"/>
        </w:rPr>
        <w:t xml:space="preserve">&amp; </w:t>
      </w:r>
      <w:r w:rsidRPr="00A856DB">
        <w:rPr>
          <w:lang w:val="en-US"/>
        </w:rPr>
        <w:t>Schoen</w:t>
      </w:r>
      <w:r>
        <w:rPr>
          <w:lang w:val="en-US"/>
        </w:rPr>
        <w:t>, M. (2017).</w:t>
      </w:r>
      <w:r w:rsidRPr="00A856DB">
        <w:rPr>
          <w:lang w:val="en-US"/>
        </w:rPr>
        <w:t xml:space="preserve"> How long bones grow children: Mechanistic paths to variation in human height growth. </w:t>
      </w:r>
      <w:r w:rsidRPr="00A856DB">
        <w:rPr>
          <w:i/>
          <w:lang w:val="en-US"/>
        </w:rPr>
        <w:t>American Journal of Human Biology</w:t>
      </w:r>
      <w:r>
        <w:rPr>
          <w:i/>
          <w:lang w:val="en-US"/>
        </w:rPr>
        <w:t>,</w:t>
      </w:r>
      <w:r w:rsidRPr="00A856DB">
        <w:rPr>
          <w:lang w:val="en-US"/>
        </w:rPr>
        <w:t xml:space="preserve"> </w:t>
      </w:r>
      <w:r w:rsidRPr="0010738F">
        <w:rPr>
          <w:i/>
          <w:lang w:val="en-US"/>
        </w:rPr>
        <w:t>29</w:t>
      </w:r>
      <w:r>
        <w:rPr>
          <w:lang w:val="en-US"/>
        </w:rPr>
        <w:t>(</w:t>
      </w:r>
      <w:r w:rsidRPr="00A856DB">
        <w:rPr>
          <w:lang w:val="en-US"/>
        </w:rPr>
        <w:t>2</w:t>
      </w:r>
      <w:r>
        <w:rPr>
          <w:lang w:val="en-US"/>
        </w:rPr>
        <w:t>),</w:t>
      </w:r>
      <w:r w:rsidRPr="00A856DB">
        <w:rPr>
          <w:lang w:val="en-US"/>
        </w:rPr>
        <w:t xml:space="preserve"> e22983.</w:t>
      </w:r>
    </w:p>
    <w:p w14:paraId="08FEFB3A" w14:textId="77777777" w:rsidR="00FD43EF" w:rsidRPr="00A856DB" w:rsidRDefault="00FD43EF" w:rsidP="00FD43EF">
      <w:pPr>
        <w:rPr>
          <w:lang w:val="en-US"/>
        </w:rPr>
      </w:pPr>
    </w:p>
    <w:p w14:paraId="38F8A096" w14:textId="77777777" w:rsidR="00FD43EF" w:rsidRPr="008C4A6A" w:rsidRDefault="00FD43EF" w:rsidP="00FD43EF">
      <w:pPr>
        <w:rPr>
          <w:iCs/>
          <w:color w:val="000000" w:themeColor="text1"/>
          <w:lang w:val="en-US"/>
        </w:rPr>
      </w:pPr>
      <w:r w:rsidRPr="008C4A6A">
        <w:rPr>
          <w:iCs/>
          <w:color w:val="000000" w:themeColor="text1"/>
          <w:lang w:val="en-US"/>
        </w:rPr>
        <w:t>Lampl, M</w:t>
      </w:r>
      <w:r>
        <w:rPr>
          <w:iCs/>
          <w:color w:val="000000" w:themeColor="text1"/>
          <w:lang w:val="en-US"/>
        </w:rPr>
        <w:t>.</w:t>
      </w:r>
      <w:r w:rsidRPr="008C4A6A">
        <w:rPr>
          <w:iCs/>
          <w:color w:val="000000" w:themeColor="text1"/>
          <w:lang w:val="en-US"/>
        </w:rPr>
        <w:t>, Johnson,</w:t>
      </w:r>
      <w:r>
        <w:rPr>
          <w:iCs/>
          <w:color w:val="000000" w:themeColor="text1"/>
          <w:lang w:val="en-US"/>
        </w:rPr>
        <w:t xml:space="preserve"> M. L.</w:t>
      </w:r>
      <w:r w:rsidRPr="008C4A6A">
        <w:rPr>
          <w:iCs/>
          <w:color w:val="000000" w:themeColor="text1"/>
          <w:lang w:val="en-US"/>
        </w:rPr>
        <w:t xml:space="preserve"> </w:t>
      </w:r>
      <w:r>
        <w:rPr>
          <w:iCs/>
          <w:color w:val="000000" w:themeColor="text1"/>
          <w:lang w:val="en-US"/>
        </w:rPr>
        <w:t>&amp;</w:t>
      </w:r>
      <w:r w:rsidRPr="008C4A6A">
        <w:rPr>
          <w:iCs/>
          <w:color w:val="000000" w:themeColor="text1"/>
          <w:lang w:val="en-US"/>
        </w:rPr>
        <w:t xml:space="preserve"> Frongillo</w:t>
      </w:r>
      <w:r>
        <w:rPr>
          <w:iCs/>
          <w:color w:val="000000" w:themeColor="text1"/>
          <w:lang w:val="en-US"/>
        </w:rPr>
        <w:t>, E. A. (2001).</w:t>
      </w:r>
      <w:r w:rsidRPr="008C4A6A">
        <w:rPr>
          <w:iCs/>
          <w:color w:val="000000" w:themeColor="text1"/>
          <w:lang w:val="en-US"/>
        </w:rPr>
        <w:t xml:space="preserve"> Mixed distribution analysis identifies saltation and stasis growth. </w:t>
      </w:r>
      <w:r w:rsidRPr="008C4A6A">
        <w:rPr>
          <w:i/>
          <w:iCs/>
          <w:color w:val="000000" w:themeColor="text1"/>
          <w:lang w:val="en-US"/>
        </w:rPr>
        <w:t>Annals of Human Biology</w:t>
      </w:r>
      <w:r>
        <w:rPr>
          <w:i/>
          <w:iCs/>
          <w:color w:val="000000" w:themeColor="text1"/>
          <w:lang w:val="en-US"/>
        </w:rPr>
        <w:t>,</w:t>
      </w:r>
      <w:r w:rsidRPr="008C4A6A">
        <w:rPr>
          <w:iCs/>
          <w:color w:val="000000" w:themeColor="text1"/>
          <w:lang w:val="en-US"/>
        </w:rPr>
        <w:t xml:space="preserve"> </w:t>
      </w:r>
      <w:r w:rsidRPr="0010738F">
        <w:rPr>
          <w:i/>
          <w:iCs/>
          <w:color w:val="000000" w:themeColor="text1"/>
          <w:lang w:val="en-US"/>
        </w:rPr>
        <w:t>28</w:t>
      </w:r>
      <w:r>
        <w:rPr>
          <w:iCs/>
          <w:color w:val="000000" w:themeColor="text1"/>
          <w:lang w:val="en-US"/>
        </w:rPr>
        <w:t>(</w:t>
      </w:r>
      <w:r w:rsidRPr="008C4A6A">
        <w:rPr>
          <w:iCs/>
          <w:color w:val="000000" w:themeColor="text1"/>
          <w:lang w:val="en-US"/>
        </w:rPr>
        <w:t>4</w:t>
      </w:r>
      <w:r>
        <w:rPr>
          <w:iCs/>
          <w:color w:val="000000" w:themeColor="text1"/>
          <w:lang w:val="en-US"/>
        </w:rPr>
        <w:t>),</w:t>
      </w:r>
      <w:r w:rsidRPr="008C4A6A">
        <w:rPr>
          <w:iCs/>
          <w:color w:val="000000" w:themeColor="text1"/>
          <w:lang w:val="en-US"/>
        </w:rPr>
        <w:t xml:space="preserve"> 403-411.</w:t>
      </w:r>
    </w:p>
    <w:p w14:paraId="35355D08" w14:textId="77777777" w:rsidR="00FD43EF" w:rsidRPr="008C4A6A" w:rsidRDefault="00FD43EF" w:rsidP="00FD43EF">
      <w:pPr>
        <w:rPr>
          <w:iCs/>
          <w:color w:val="000000" w:themeColor="text1"/>
          <w:lang w:val="en-US"/>
        </w:rPr>
      </w:pPr>
    </w:p>
    <w:p w14:paraId="5B3EBAC5" w14:textId="77777777" w:rsidR="00FD43EF" w:rsidRPr="008C4A6A" w:rsidRDefault="00FD43EF" w:rsidP="00FD43EF">
      <w:pPr>
        <w:rPr>
          <w:iCs/>
          <w:color w:val="000000" w:themeColor="text1"/>
          <w:lang w:val="en-US"/>
        </w:rPr>
      </w:pPr>
      <w:r w:rsidRPr="008C4A6A">
        <w:rPr>
          <w:iCs/>
          <w:color w:val="000000" w:themeColor="text1"/>
          <w:lang w:val="en-US"/>
        </w:rPr>
        <w:t>Larsen, C. S</w:t>
      </w:r>
      <w:r w:rsidRPr="0010738F">
        <w:rPr>
          <w:iCs/>
          <w:color w:val="000000" w:themeColor="text1"/>
          <w:lang w:val="en-US"/>
        </w:rPr>
        <w:t>.</w:t>
      </w:r>
      <w:r>
        <w:rPr>
          <w:rFonts w:eastAsia="MS Mincho"/>
          <w:iCs/>
          <w:color w:val="000000" w:themeColor="text1"/>
          <w:lang w:val="en-US"/>
        </w:rPr>
        <w:t xml:space="preserve"> </w:t>
      </w:r>
      <w:r w:rsidRPr="0010738F">
        <w:rPr>
          <w:rFonts w:eastAsia="MS Mincho"/>
          <w:iCs/>
          <w:color w:val="000000" w:themeColor="text1"/>
          <w:lang w:val="en-US"/>
        </w:rPr>
        <w:t>(1997).</w:t>
      </w:r>
      <w:r>
        <w:rPr>
          <w:rFonts w:eastAsia="MS Mincho"/>
          <w:iCs/>
          <w:color w:val="000000" w:themeColor="text1"/>
          <w:lang w:val="en-US"/>
        </w:rPr>
        <w:t xml:space="preserve"> </w:t>
      </w:r>
      <w:r w:rsidRPr="008C4A6A">
        <w:rPr>
          <w:i/>
          <w:iCs/>
          <w:color w:val="000000" w:themeColor="text1"/>
          <w:lang w:val="en-US"/>
        </w:rPr>
        <w:t>Bioarchaeology: Interpreting Behavior from the Human Skeleton</w:t>
      </w:r>
      <w:r w:rsidRPr="008C4A6A">
        <w:rPr>
          <w:iCs/>
          <w:color w:val="000000" w:themeColor="text1"/>
          <w:lang w:val="en-US"/>
        </w:rPr>
        <w:t>. Cambridge: Cambridge University Press</w:t>
      </w:r>
      <w:r>
        <w:rPr>
          <w:iCs/>
          <w:color w:val="000000" w:themeColor="text1"/>
          <w:lang w:val="en-US"/>
        </w:rPr>
        <w:t>.</w:t>
      </w:r>
    </w:p>
    <w:p w14:paraId="1090009E" w14:textId="77777777" w:rsidR="00FD43EF" w:rsidRPr="008C4A6A" w:rsidRDefault="00FD43EF" w:rsidP="00FD43EF">
      <w:pPr>
        <w:rPr>
          <w:iCs/>
          <w:color w:val="000000" w:themeColor="text1"/>
          <w:lang w:val="en-US"/>
        </w:rPr>
      </w:pPr>
    </w:p>
    <w:p w14:paraId="7F747A32" w14:textId="77777777" w:rsidR="00FD43EF" w:rsidRPr="00A856DB" w:rsidRDefault="00FD43EF" w:rsidP="00FD43EF">
      <w:pPr>
        <w:rPr>
          <w:lang w:val="en-US"/>
        </w:rPr>
      </w:pPr>
      <w:r w:rsidRPr="00A856DB">
        <w:rPr>
          <w:lang w:val="en-US"/>
        </w:rPr>
        <w:t xml:space="preserve">Larsen, </w:t>
      </w:r>
      <w:r>
        <w:rPr>
          <w:lang w:val="en-US"/>
        </w:rPr>
        <w:t>C. S</w:t>
      </w:r>
      <w:r w:rsidRPr="00A856DB">
        <w:rPr>
          <w:lang w:val="en-US"/>
        </w:rPr>
        <w:t>.</w:t>
      </w:r>
      <w:r>
        <w:rPr>
          <w:lang w:val="en-US"/>
        </w:rPr>
        <w:t xml:space="preserve"> (1995).</w:t>
      </w:r>
      <w:r w:rsidRPr="00A856DB">
        <w:rPr>
          <w:lang w:val="en-US"/>
        </w:rPr>
        <w:t xml:space="preserve"> Biological changes in human populations with agriculture.</w:t>
      </w:r>
      <w:r>
        <w:rPr>
          <w:lang w:val="en-US"/>
        </w:rPr>
        <w:t xml:space="preserve"> </w:t>
      </w:r>
      <w:r w:rsidRPr="00A856DB">
        <w:rPr>
          <w:i/>
          <w:lang w:val="en-US"/>
        </w:rPr>
        <w:t>Annual Review of Anthropology</w:t>
      </w:r>
      <w:r>
        <w:rPr>
          <w:i/>
          <w:lang w:val="en-US"/>
        </w:rPr>
        <w:t>,</w:t>
      </w:r>
      <w:r w:rsidRPr="00A856DB">
        <w:rPr>
          <w:lang w:val="en-US"/>
        </w:rPr>
        <w:t xml:space="preserve"> </w:t>
      </w:r>
      <w:r w:rsidRPr="0010738F">
        <w:rPr>
          <w:i/>
          <w:lang w:val="en-US"/>
        </w:rPr>
        <w:t>24</w:t>
      </w:r>
      <w:r>
        <w:rPr>
          <w:lang w:val="en-US"/>
        </w:rPr>
        <w:t>(</w:t>
      </w:r>
      <w:r w:rsidRPr="00A856DB">
        <w:rPr>
          <w:lang w:val="en-US"/>
        </w:rPr>
        <w:t>1</w:t>
      </w:r>
      <w:r>
        <w:rPr>
          <w:lang w:val="en-US"/>
        </w:rPr>
        <w:t xml:space="preserve">), </w:t>
      </w:r>
      <w:r w:rsidRPr="00A856DB">
        <w:rPr>
          <w:lang w:val="en-US"/>
        </w:rPr>
        <w:t>185-213.</w:t>
      </w:r>
    </w:p>
    <w:p w14:paraId="3280D756" w14:textId="77777777" w:rsidR="00FD43EF" w:rsidRPr="00A856DB" w:rsidRDefault="00FD43EF" w:rsidP="00FD43EF">
      <w:pPr>
        <w:rPr>
          <w:lang w:val="en-US"/>
        </w:rPr>
      </w:pPr>
    </w:p>
    <w:p w14:paraId="13D1CBCC" w14:textId="3D6D1BEC" w:rsidR="00FD43EF" w:rsidRPr="00A856DB" w:rsidRDefault="00FD43EF" w:rsidP="00FD43EF">
      <w:pPr>
        <w:pStyle w:val="NormalWeb"/>
        <w:rPr>
          <w:lang w:val="en-US"/>
        </w:rPr>
      </w:pPr>
      <w:r w:rsidRPr="00A856DB">
        <w:rPr>
          <w:lang w:val="en-US"/>
        </w:rPr>
        <w:t>La Torre</w:t>
      </w:r>
      <w:r>
        <w:rPr>
          <w:lang w:val="en-US"/>
        </w:rPr>
        <w:t>,</w:t>
      </w:r>
      <w:r w:rsidRPr="00A856DB">
        <w:rPr>
          <w:lang w:val="en-US"/>
        </w:rPr>
        <w:t xml:space="preserve"> G</w:t>
      </w:r>
      <w:r>
        <w:rPr>
          <w:lang w:val="en-US"/>
        </w:rPr>
        <w:t>.</w:t>
      </w:r>
      <w:r w:rsidRPr="00A856DB">
        <w:rPr>
          <w:lang w:val="en-US"/>
        </w:rPr>
        <w:t xml:space="preserve">F. </w:t>
      </w:r>
      <w:r>
        <w:rPr>
          <w:lang w:val="en-US"/>
        </w:rPr>
        <w:t xml:space="preserve">(2001). </w:t>
      </w:r>
      <w:r w:rsidRPr="00A856DB">
        <w:rPr>
          <w:lang w:val="en-US"/>
        </w:rPr>
        <w:t xml:space="preserve">Reflections on the Lucanians and Bruttians in Calabria </w:t>
      </w:r>
      <w:r w:rsidR="00A211B8">
        <w:rPr>
          <w:lang w:val="en-US"/>
        </w:rPr>
        <w:t>b</w:t>
      </w:r>
      <w:r w:rsidRPr="00A856DB">
        <w:rPr>
          <w:lang w:val="en-US"/>
        </w:rPr>
        <w:t>etween Hannibal and the Principate: Coloniae, Foederatae, Municipia.</w:t>
      </w:r>
      <w:r>
        <w:rPr>
          <w:lang w:val="en-US"/>
        </w:rPr>
        <w:t xml:space="preserve"> </w:t>
      </w:r>
      <w:r w:rsidRPr="00A856DB">
        <w:rPr>
          <w:lang w:val="en-US"/>
        </w:rPr>
        <w:t>In</w:t>
      </w:r>
      <w:r w:rsidR="00B30B49">
        <w:rPr>
          <w:lang w:val="en-US"/>
        </w:rPr>
        <w:t>:</w:t>
      </w:r>
      <w:r>
        <w:rPr>
          <w:lang w:val="en-US"/>
        </w:rPr>
        <w:t xml:space="preserve"> </w:t>
      </w:r>
      <w:r w:rsidRPr="00A856DB">
        <w:rPr>
          <w:lang w:val="en-US"/>
        </w:rPr>
        <w:t>Colivicchi</w:t>
      </w:r>
      <w:r>
        <w:rPr>
          <w:lang w:val="en-US"/>
        </w:rPr>
        <w:t>,</w:t>
      </w:r>
      <w:r w:rsidRPr="00A856DB">
        <w:rPr>
          <w:lang w:val="en-US"/>
        </w:rPr>
        <w:t xml:space="preserve"> F</w:t>
      </w:r>
      <w:r>
        <w:rPr>
          <w:lang w:val="en-US"/>
        </w:rPr>
        <w:t xml:space="preserve">. (Ed.) </w:t>
      </w:r>
      <w:r w:rsidRPr="00B30B49">
        <w:rPr>
          <w:i/>
          <w:lang w:val="en-US"/>
        </w:rPr>
        <w:t>Local Cultures of South Italy and Sicily in the Late Republican Period: Between Hellenism and Rome</w:t>
      </w:r>
      <w:r w:rsidR="00B30B49">
        <w:rPr>
          <w:lang w:val="en-US"/>
        </w:rPr>
        <w:t xml:space="preserve"> (pp. </w:t>
      </w:r>
      <w:r w:rsidRPr="00A856DB">
        <w:rPr>
          <w:lang w:val="en-US"/>
        </w:rPr>
        <w:t>139-159</w:t>
      </w:r>
      <w:r w:rsidR="00B30B49">
        <w:rPr>
          <w:lang w:val="en-US"/>
        </w:rPr>
        <w:t>)</w:t>
      </w:r>
      <w:r w:rsidRPr="00A856DB">
        <w:rPr>
          <w:lang w:val="en-US"/>
        </w:rPr>
        <w:t xml:space="preserve">. </w:t>
      </w:r>
      <w:r w:rsidR="00B30B49">
        <w:rPr>
          <w:lang w:val="en-US"/>
        </w:rPr>
        <w:t>London: Journal of Roman Archaeology.</w:t>
      </w:r>
    </w:p>
    <w:p w14:paraId="72840482" w14:textId="77777777" w:rsidR="00FD43EF" w:rsidRDefault="00FD43EF" w:rsidP="00FD43EF">
      <w:pPr>
        <w:pStyle w:val="NormalWeb"/>
        <w:rPr>
          <w:lang w:val="en-US"/>
        </w:rPr>
      </w:pPr>
    </w:p>
    <w:p w14:paraId="4DADE04B" w14:textId="77777777" w:rsidR="00FD43EF" w:rsidRDefault="00FD43EF" w:rsidP="00FD43EF">
      <w:pPr>
        <w:pStyle w:val="NormalWeb"/>
        <w:rPr>
          <w:lang w:val="en-US"/>
        </w:rPr>
      </w:pPr>
      <w:r w:rsidRPr="007B46A9">
        <w:rPr>
          <w:lang w:val="en-US"/>
        </w:rPr>
        <w:t xml:space="preserve">Lee, P. C., Majluf, P., &amp; Gordon, I. J. (1991). Growth, weaning and maternal investment from a comparative perspective. </w:t>
      </w:r>
      <w:r w:rsidRPr="007B46A9">
        <w:rPr>
          <w:i/>
          <w:lang w:val="en-US"/>
        </w:rPr>
        <w:t>Journal of Zoology, 225</w:t>
      </w:r>
      <w:r w:rsidRPr="007B46A9">
        <w:rPr>
          <w:lang w:val="en-US"/>
        </w:rPr>
        <w:t>(1), 99-114.</w:t>
      </w:r>
    </w:p>
    <w:p w14:paraId="22827AD5" w14:textId="77777777" w:rsidR="00FD43EF" w:rsidRPr="00A856DB" w:rsidRDefault="00FD43EF" w:rsidP="00FD43EF">
      <w:pPr>
        <w:pStyle w:val="NormalWeb"/>
        <w:rPr>
          <w:lang w:val="en-US"/>
        </w:rPr>
      </w:pPr>
    </w:p>
    <w:p w14:paraId="02AF1234" w14:textId="77777777" w:rsidR="00FD43EF" w:rsidRDefault="00FD43EF" w:rsidP="00FD43EF">
      <w:pPr>
        <w:rPr>
          <w:lang w:val="en-US"/>
        </w:rPr>
      </w:pPr>
      <w:r w:rsidRPr="00A856DB">
        <w:rPr>
          <w:lang w:val="en-US"/>
        </w:rPr>
        <w:t>Lee-Thorp, J</w:t>
      </w:r>
      <w:r>
        <w:rPr>
          <w:lang w:val="en-US"/>
        </w:rPr>
        <w:t>.</w:t>
      </w:r>
      <w:r w:rsidRPr="00A856DB">
        <w:rPr>
          <w:lang w:val="en-US"/>
        </w:rPr>
        <w:t xml:space="preserve"> A.</w:t>
      </w:r>
      <w:r>
        <w:rPr>
          <w:lang w:val="en-US"/>
        </w:rPr>
        <w:t xml:space="preserve"> (2008).</w:t>
      </w:r>
      <w:r w:rsidRPr="00A856DB">
        <w:rPr>
          <w:lang w:val="en-US"/>
        </w:rPr>
        <w:t xml:space="preserve"> On isotopes and old bones.</w:t>
      </w:r>
      <w:r>
        <w:rPr>
          <w:lang w:val="en-US"/>
        </w:rPr>
        <w:t xml:space="preserve"> </w:t>
      </w:r>
      <w:r w:rsidRPr="00A856DB">
        <w:rPr>
          <w:i/>
          <w:lang w:val="en-US"/>
        </w:rPr>
        <w:t>Archaeometry</w:t>
      </w:r>
      <w:r>
        <w:rPr>
          <w:i/>
          <w:lang w:val="en-US"/>
        </w:rPr>
        <w:t>,</w:t>
      </w:r>
      <w:r w:rsidRPr="00A856DB">
        <w:rPr>
          <w:lang w:val="en-US"/>
        </w:rPr>
        <w:t xml:space="preserve"> </w:t>
      </w:r>
      <w:r w:rsidRPr="0010738F">
        <w:rPr>
          <w:i/>
          <w:lang w:val="en-US"/>
        </w:rPr>
        <w:t>50</w:t>
      </w:r>
      <w:r>
        <w:rPr>
          <w:lang w:val="en-US"/>
        </w:rPr>
        <w:t>(</w:t>
      </w:r>
      <w:r w:rsidRPr="00A856DB">
        <w:rPr>
          <w:lang w:val="en-US"/>
        </w:rPr>
        <w:t>6</w:t>
      </w:r>
      <w:r>
        <w:rPr>
          <w:lang w:val="en-US"/>
        </w:rPr>
        <w:t>),</w:t>
      </w:r>
      <w:r w:rsidRPr="00A856DB">
        <w:rPr>
          <w:lang w:val="en-US"/>
        </w:rPr>
        <w:t xml:space="preserve"> 925-950.</w:t>
      </w:r>
    </w:p>
    <w:p w14:paraId="1159F9AF" w14:textId="77777777" w:rsidR="00FD43EF" w:rsidRDefault="00FD43EF" w:rsidP="00FD43EF">
      <w:pPr>
        <w:rPr>
          <w:lang w:val="en-US"/>
        </w:rPr>
      </w:pPr>
    </w:p>
    <w:p w14:paraId="43CC692C" w14:textId="0ABE94F5" w:rsidR="00FD43EF" w:rsidRDefault="00FD43EF" w:rsidP="00FD43EF">
      <w:pPr>
        <w:rPr>
          <w:lang w:val="en-US"/>
        </w:rPr>
      </w:pPr>
      <w:r w:rsidRPr="0005018B">
        <w:rPr>
          <w:lang w:val="en-US"/>
        </w:rPr>
        <w:t xml:space="preserve">Loth, S. R., &amp; Henneberg, M. (2001). Sexually dimorphic mandibular morphology in the first few years of life. </w:t>
      </w:r>
      <w:r w:rsidRPr="0005018B">
        <w:rPr>
          <w:i/>
          <w:lang w:val="en-US"/>
        </w:rPr>
        <w:t xml:space="preserve">American </w:t>
      </w:r>
      <w:r w:rsidR="00A22A71">
        <w:rPr>
          <w:i/>
          <w:lang w:val="en-US"/>
        </w:rPr>
        <w:t>Journal</w:t>
      </w:r>
      <w:r w:rsidR="00A22A71" w:rsidRPr="0005018B">
        <w:rPr>
          <w:i/>
          <w:lang w:val="en-US"/>
        </w:rPr>
        <w:t xml:space="preserve"> </w:t>
      </w:r>
      <w:r w:rsidRPr="0005018B">
        <w:rPr>
          <w:i/>
          <w:lang w:val="en-US"/>
        </w:rPr>
        <w:t xml:space="preserve">of Physical </w:t>
      </w:r>
      <w:r w:rsidR="00A22A71">
        <w:rPr>
          <w:i/>
          <w:lang w:val="en-US"/>
        </w:rPr>
        <w:t>Anthropology</w:t>
      </w:r>
      <w:r w:rsidRPr="0005018B">
        <w:rPr>
          <w:i/>
          <w:lang w:val="en-US"/>
        </w:rPr>
        <w:t>, 115</w:t>
      </w:r>
      <w:r w:rsidRPr="0005018B">
        <w:rPr>
          <w:lang w:val="en-US"/>
        </w:rPr>
        <w:t>(2), 179-186.</w:t>
      </w:r>
    </w:p>
    <w:p w14:paraId="13EB891D" w14:textId="77777777" w:rsidR="00FD43EF" w:rsidRDefault="00FD43EF" w:rsidP="00FD43EF">
      <w:pPr>
        <w:rPr>
          <w:lang w:val="en-US"/>
        </w:rPr>
      </w:pPr>
    </w:p>
    <w:p w14:paraId="4DF7E5FE" w14:textId="616A0E35" w:rsidR="00FD43EF" w:rsidRPr="00F42720" w:rsidRDefault="00FD43EF" w:rsidP="00FD43EF">
      <w:pPr>
        <w:rPr>
          <w:lang w:val="en-US"/>
        </w:rPr>
      </w:pPr>
      <w:r w:rsidRPr="006F4096">
        <w:rPr>
          <w:lang w:val="en-US"/>
        </w:rPr>
        <w:t xml:space="preserve">Levins, R., &amp; Lewontin, R. C. (1985). </w:t>
      </w:r>
      <w:r w:rsidRPr="00B30B49">
        <w:rPr>
          <w:i/>
          <w:lang w:val="en-US"/>
        </w:rPr>
        <w:t xml:space="preserve">The </w:t>
      </w:r>
      <w:r w:rsidR="00A22A71" w:rsidRPr="00B30B49">
        <w:rPr>
          <w:i/>
          <w:lang w:val="en-US"/>
        </w:rPr>
        <w:t>D</w:t>
      </w:r>
      <w:r w:rsidRPr="00B30B49">
        <w:rPr>
          <w:i/>
          <w:lang w:val="en-US"/>
        </w:rPr>
        <w:t xml:space="preserve">ialectical </w:t>
      </w:r>
      <w:r w:rsidR="00A22A71" w:rsidRPr="00B30B49">
        <w:rPr>
          <w:i/>
          <w:lang w:val="en-US"/>
        </w:rPr>
        <w:t>B</w:t>
      </w:r>
      <w:r w:rsidRPr="00B30B49">
        <w:rPr>
          <w:i/>
          <w:lang w:val="en-US"/>
        </w:rPr>
        <w:t>iologist</w:t>
      </w:r>
      <w:r w:rsidRPr="006F4096">
        <w:rPr>
          <w:lang w:val="en-US"/>
        </w:rPr>
        <w:t xml:space="preserve">. </w:t>
      </w:r>
      <w:r>
        <w:rPr>
          <w:lang w:val="en-US"/>
        </w:rPr>
        <w:t xml:space="preserve">Cambridge: </w:t>
      </w:r>
      <w:r w:rsidRPr="006F4096">
        <w:rPr>
          <w:lang w:val="en-US"/>
        </w:rPr>
        <w:t>Harvard University Press.</w:t>
      </w:r>
    </w:p>
    <w:p w14:paraId="3A3F0D8D" w14:textId="77777777" w:rsidR="00FD43EF" w:rsidRDefault="00FD43EF" w:rsidP="00FD43EF">
      <w:pPr>
        <w:rPr>
          <w:color w:val="000000" w:themeColor="text1"/>
          <w:lang w:val="en-US"/>
        </w:rPr>
      </w:pPr>
    </w:p>
    <w:p w14:paraId="1FF7B09E" w14:textId="5E05A6EC" w:rsidR="00FD43EF" w:rsidRDefault="00FD43EF" w:rsidP="00FD43EF">
      <w:pPr>
        <w:rPr>
          <w:color w:val="000000" w:themeColor="text1"/>
          <w:lang w:val="en-US"/>
        </w:rPr>
      </w:pPr>
      <w:r w:rsidRPr="00A856DB">
        <w:rPr>
          <w:color w:val="000000" w:themeColor="text1"/>
          <w:lang w:val="en-US"/>
        </w:rPr>
        <w:t>Lewis, M</w:t>
      </w:r>
      <w:r>
        <w:rPr>
          <w:color w:val="000000" w:themeColor="text1"/>
          <w:lang w:val="en-US"/>
        </w:rPr>
        <w:t>.</w:t>
      </w:r>
      <w:r w:rsidRPr="00A856DB">
        <w:rPr>
          <w:color w:val="000000" w:themeColor="text1"/>
          <w:lang w:val="en-US"/>
        </w:rPr>
        <w:t xml:space="preserve"> E. </w:t>
      </w:r>
      <w:r>
        <w:rPr>
          <w:color w:val="000000" w:themeColor="text1"/>
          <w:lang w:val="en-US"/>
        </w:rPr>
        <w:t xml:space="preserve">(2010). </w:t>
      </w:r>
      <w:r w:rsidRPr="00A856DB">
        <w:rPr>
          <w:color w:val="000000" w:themeColor="text1"/>
          <w:lang w:val="en-US"/>
        </w:rPr>
        <w:t xml:space="preserve">Life and death in a civitas capital: </w:t>
      </w:r>
      <w:r w:rsidR="00A211B8">
        <w:rPr>
          <w:color w:val="000000" w:themeColor="text1"/>
          <w:lang w:val="en-US"/>
        </w:rPr>
        <w:t>M</w:t>
      </w:r>
      <w:r w:rsidRPr="00A856DB">
        <w:rPr>
          <w:color w:val="000000" w:themeColor="text1"/>
          <w:lang w:val="en-US"/>
        </w:rPr>
        <w:t xml:space="preserve">etabolic disease and trauma in the children from late Roman Dorchester, Dorset. </w:t>
      </w:r>
      <w:r w:rsidRPr="00A856DB">
        <w:rPr>
          <w:i/>
          <w:color w:val="000000" w:themeColor="text1"/>
          <w:lang w:val="en-US"/>
        </w:rPr>
        <w:t>American Journal of Physical Anthropology</w:t>
      </w:r>
      <w:r>
        <w:rPr>
          <w:i/>
          <w:color w:val="000000" w:themeColor="text1"/>
          <w:lang w:val="en-US"/>
        </w:rPr>
        <w:t>,</w:t>
      </w:r>
      <w:r w:rsidRPr="00A856DB">
        <w:rPr>
          <w:color w:val="000000" w:themeColor="text1"/>
          <w:lang w:val="en-US"/>
        </w:rPr>
        <w:t xml:space="preserve"> </w:t>
      </w:r>
      <w:r w:rsidRPr="000B1237">
        <w:rPr>
          <w:i/>
          <w:color w:val="000000" w:themeColor="text1"/>
          <w:lang w:val="en-US"/>
        </w:rPr>
        <w:t>142</w:t>
      </w:r>
      <w:r>
        <w:rPr>
          <w:color w:val="000000" w:themeColor="text1"/>
          <w:lang w:val="en-US"/>
        </w:rPr>
        <w:t>(</w:t>
      </w:r>
      <w:r w:rsidRPr="00A856DB">
        <w:rPr>
          <w:color w:val="000000" w:themeColor="text1"/>
          <w:lang w:val="en-US"/>
        </w:rPr>
        <w:t>3</w:t>
      </w:r>
      <w:r>
        <w:rPr>
          <w:color w:val="000000" w:themeColor="text1"/>
          <w:lang w:val="en-US"/>
        </w:rPr>
        <w:t xml:space="preserve">), </w:t>
      </w:r>
      <w:r w:rsidRPr="00A856DB">
        <w:rPr>
          <w:color w:val="000000" w:themeColor="text1"/>
          <w:lang w:val="en-US"/>
        </w:rPr>
        <w:t>405-416.</w:t>
      </w:r>
    </w:p>
    <w:p w14:paraId="7C3F616E" w14:textId="77777777" w:rsidR="00FD43EF" w:rsidRPr="00A856DB" w:rsidRDefault="00FD43EF" w:rsidP="00FD43EF">
      <w:pPr>
        <w:rPr>
          <w:color w:val="000000" w:themeColor="text1"/>
          <w:lang w:val="en-US"/>
        </w:rPr>
      </w:pPr>
    </w:p>
    <w:p w14:paraId="2689B678" w14:textId="3C9C526C" w:rsidR="00FD43EF" w:rsidRPr="00D86B24" w:rsidRDefault="00FD43EF" w:rsidP="00FD43EF">
      <w:pPr>
        <w:rPr>
          <w:color w:val="000000" w:themeColor="text1"/>
        </w:rPr>
      </w:pPr>
      <w:r w:rsidRPr="00D86B24">
        <w:rPr>
          <w:color w:val="000000" w:themeColor="text1"/>
        </w:rPr>
        <w:t>Lewis, M.</w:t>
      </w:r>
      <w:r>
        <w:rPr>
          <w:color w:val="000000" w:themeColor="text1"/>
        </w:rPr>
        <w:t xml:space="preserve"> (2002).</w:t>
      </w:r>
      <w:r w:rsidRPr="00D86B24">
        <w:rPr>
          <w:color w:val="000000" w:themeColor="text1"/>
        </w:rPr>
        <w:t> </w:t>
      </w:r>
      <w:r w:rsidRPr="00D86B24">
        <w:rPr>
          <w:i/>
          <w:iCs/>
          <w:color w:val="000000" w:themeColor="text1"/>
        </w:rPr>
        <w:t xml:space="preserve">Urbanisation and </w:t>
      </w:r>
      <w:r w:rsidR="00B30B49">
        <w:rPr>
          <w:i/>
          <w:iCs/>
          <w:color w:val="000000" w:themeColor="text1"/>
        </w:rPr>
        <w:t>C</w:t>
      </w:r>
      <w:r w:rsidRPr="00D86B24">
        <w:rPr>
          <w:i/>
          <w:iCs/>
          <w:color w:val="000000" w:themeColor="text1"/>
        </w:rPr>
        <w:t xml:space="preserve">hild </w:t>
      </w:r>
      <w:r w:rsidR="00B30B49">
        <w:rPr>
          <w:i/>
          <w:iCs/>
          <w:color w:val="000000" w:themeColor="text1"/>
        </w:rPr>
        <w:t>H</w:t>
      </w:r>
      <w:r w:rsidRPr="00D86B24">
        <w:rPr>
          <w:i/>
          <w:iCs/>
          <w:color w:val="000000" w:themeColor="text1"/>
        </w:rPr>
        <w:t xml:space="preserve">ealth in </w:t>
      </w:r>
      <w:r w:rsidR="00B30B49">
        <w:rPr>
          <w:i/>
          <w:iCs/>
          <w:color w:val="000000" w:themeColor="text1"/>
        </w:rPr>
        <w:t>M</w:t>
      </w:r>
      <w:r w:rsidRPr="00D86B24">
        <w:rPr>
          <w:i/>
          <w:iCs/>
          <w:color w:val="000000" w:themeColor="text1"/>
        </w:rPr>
        <w:t xml:space="preserve">edieval and </w:t>
      </w:r>
      <w:r w:rsidR="00B30B49">
        <w:rPr>
          <w:i/>
          <w:iCs/>
          <w:color w:val="000000" w:themeColor="text1"/>
        </w:rPr>
        <w:t>P</w:t>
      </w:r>
      <w:r w:rsidRPr="00D86B24">
        <w:rPr>
          <w:i/>
          <w:iCs/>
          <w:color w:val="000000" w:themeColor="text1"/>
        </w:rPr>
        <w:t>ost-</w:t>
      </w:r>
      <w:r w:rsidR="00B30B49">
        <w:rPr>
          <w:i/>
          <w:iCs/>
          <w:color w:val="000000" w:themeColor="text1"/>
        </w:rPr>
        <w:t>M</w:t>
      </w:r>
      <w:r w:rsidRPr="00D86B24">
        <w:rPr>
          <w:i/>
          <w:iCs/>
          <w:color w:val="000000" w:themeColor="text1"/>
        </w:rPr>
        <w:t xml:space="preserve">edieval England: </w:t>
      </w:r>
      <w:r w:rsidR="00B30B49">
        <w:rPr>
          <w:i/>
          <w:iCs/>
          <w:color w:val="000000" w:themeColor="text1"/>
        </w:rPr>
        <w:t>A</w:t>
      </w:r>
      <w:r w:rsidRPr="00D86B24">
        <w:rPr>
          <w:i/>
          <w:iCs/>
          <w:color w:val="000000" w:themeColor="text1"/>
        </w:rPr>
        <w:t xml:space="preserve">n </w:t>
      </w:r>
      <w:r w:rsidR="00B30B49">
        <w:rPr>
          <w:i/>
          <w:iCs/>
          <w:color w:val="000000" w:themeColor="text1"/>
        </w:rPr>
        <w:t>A</w:t>
      </w:r>
      <w:r w:rsidRPr="00D86B24">
        <w:rPr>
          <w:i/>
          <w:iCs/>
          <w:color w:val="000000" w:themeColor="text1"/>
        </w:rPr>
        <w:t xml:space="preserve">ssessment of the </w:t>
      </w:r>
      <w:r w:rsidR="00B30B49">
        <w:rPr>
          <w:i/>
          <w:iCs/>
          <w:color w:val="000000" w:themeColor="text1"/>
        </w:rPr>
        <w:t>M</w:t>
      </w:r>
      <w:r w:rsidRPr="00D86B24">
        <w:rPr>
          <w:i/>
          <w:iCs/>
          <w:color w:val="000000" w:themeColor="text1"/>
        </w:rPr>
        <w:t xml:space="preserve">orbidity and </w:t>
      </w:r>
      <w:r w:rsidR="00B30B49">
        <w:rPr>
          <w:i/>
          <w:iCs/>
          <w:color w:val="000000" w:themeColor="text1"/>
        </w:rPr>
        <w:t>M</w:t>
      </w:r>
      <w:r w:rsidRPr="00D86B24">
        <w:rPr>
          <w:i/>
          <w:iCs/>
          <w:color w:val="000000" w:themeColor="text1"/>
        </w:rPr>
        <w:t xml:space="preserve">ortality of </w:t>
      </w:r>
      <w:r w:rsidR="00B30B49">
        <w:rPr>
          <w:i/>
          <w:iCs/>
          <w:color w:val="000000" w:themeColor="text1"/>
        </w:rPr>
        <w:t>N</w:t>
      </w:r>
      <w:r w:rsidRPr="00D86B24">
        <w:rPr>
          <w:i/>
          <w:iCs/>
          <w:color w:val="000000" w:themeColor="text1"/>
        </w:rPr>
        <w:t>on-</w:t>
      </w:r>
      <w:r w:rsidR="00B30B49">
        <w:rPr>
          <w:i/>
          <w:iCs/>
          <w:color w:val="000000" w:themeColor="text1"/>
        </w:rPr>
        <w:t>A</w:t>
      </w:r>
      <w:r w:rsidRPr="00D86B24">
        <w:rPr>
          <w:i/>
          <w:iCs/>
          <w:color w:val="000000" w:themeColor="text1"/>
        </w:rPr>
        <w:t xml:space="preserve">dult </w:t>
      </w:r>
      <w:r w:rsidR="00B30B49">
        <w:rPr>
          <w:i/>
          <w:iCs/>
          <w:color w:val="000000" w:themeColor="text1"/>
        </w:rPr>
        <w:t>S</w:t>
      </w:r>
      <w:r w:rsidRPr="00D86B24">
        <w:rPr>
          <w:i/>
          <w:iCs/>
          <w:color w:val="000000" w:themeColor="text1"/>
        </w:rPr>
        <w:t xml:space="preserve">keletons from the </w:t>
      </w:r>
      <w:r w:rsidR="00B30B49">
        <w:rPr>
          <w:i/>
          <w:iCs/>
          <w:color w:val="000000" w:themeColor="text1"/>
        </w:rPr>
        <w:t>C</w:t>
      </w:r>
      <w:r w:rsidRPr="00D86B24">
        <w:rPr>
          <w:i/>
          <w:iCs/>
          <w:color w:val="000000" w:themeColor="text1"/>
        </w:rPr>
        <w:t xml:space="preserve">emeteries of </w:t>
      </w:r>
      <w:r w:rsidR="00B30B49">
        <w:rPr>
          <w:i/>
          <w:iCs/>
          <w:color w:val="000000" w:themeColor="text1"/>
        </w:rPr>
        <w:t>T</w:t>
      </w:r>
      <w:r w:rsidRPr="00D86B24">
        <w:rPr>
          <w:i/>
          <w:iCs/>
          <w:color w:val="000000" w:themeColor="text1"/>
        </w:rPr>
        <w:t xml:space="preserve">wo </w:t>
      </w:r>
      <w:r w:rsidR="00B30B49">
        <w:rPr>
          <w:i/>
          <w:iCs/>
          <w:color w:val="000000" w:themeColor="text1"/>
        </w:rPr>
        <w:t>U</w:t>
      </w:r>
      <w:r w:rsidRPr="00D86B24">
        <w:rPr>
          <w:i/>
          <w:iCs/>
          <w:color w:val="000000" w:themeColor="text1"/>
        </w:rPr>
        <w:t xml:space="preserve">rban and </w:t>
      </w:r>
      <w:r w:rsidR="00B30B49">
        <w:rPr>
          <w:i/>
          <w:iCs/>
          <w:color w:val="000000" w:themeColor="text1"/>
        </w:rPr>
        <w:t>T</w:t>
      </w:r>
      <w:r w:rsidRPr="00D86B24">
        <w:rPr>
          <w:i/>
          <w:iCs/>
          <w:color w:val="000000" w:themeColor="text1"/>
        </w:rPr>
        <w:t xml:space="preserve">wo </w:t>
      </w:r>
      <w:r w:rsidR="00B30B49">
        <w:rPr>
          <w:i/>
          <w:iCs/>
          <w:color w:val="000000" w:themeColor="text1"/>
        </w:rPr>
        <w:t>R</w:t>
      </w:r>
      <w:r w:rsidRPr="00D86B24">
        <w:rPr>
          <w:i/>
          <w:iCs/>
          <w:color w:val="000000" w:themeColor="text1"/>
        </w:rPr>
        <w:t xml:space="preserve">ural </w:t>
      </w:r>
      <w:r w:rsidR="00B30B49">
        <w:rPr>
          <w:i/>
          <w:iCs/>
          <w:color w:val="000000" w:themeColor="text1"/>
        </w:rPr>
        <w:t>S</w:t>
      </w:r>
      <w:r w:rsidRPr="00D86B24">
        <w:rPr>
          <w:i/>
          <w:iCs/>
          <w:color w:val="000000" w:themeColor="text1"/>
        </w:rPr>
        <w:t>ites in England (AD 850-1859)</w:t>
      </w:r>
      <w:r w:rsidRPr="00D86B24">
        <w:rPr>
          <w:color w:val="000000" w:themeColor="text1"/>
        </w:rPr>
        <w:t xml:space="preserve">. Vol. 339. </w:t>
      </w:r>
      <w:r>
        <w:rPr>
          <w:color w:val="000000" w:themeColor="text1"/>
        </w:rPr>
        <w:t xml:space="preserve">Oxford: BAR Publishing. </w:t>
      </w:r>
    </w:p>
    <w:p w14:paraId="0C29D6AA" w14:textId="77777777" w:rsidR="00FD43EF" w:rsidRPr="00A856DB" w:rsidRDefault="00FD43EF" w:rsidP="00FD43EF">
      <w:pPr>
        <w:rPr>
          <w:color w:val="000000" w:themeColor="text1"/>
          <w:lang w:val="en-US"/>
        </w:rPr>
      </w:pPr>
    </w:p>
    <w:p w14:paraId="3C1CECA8" w14:textId="59CECE19" w:rsidR="00FD43EF" w:rsidRPr="00A856DB" w:rsidRDefault="00FD43EF" w:rsidP="00FD43EF">
      <w:pPr>
        <w:rPr>
          <w:lang w:val="en-US"/>
        </w:rPr>
      </w:pPr>
      <w:r w:rsidRPr="00A856DB">
        <w:rPr>
          <w:lang w:val="en-US"/>
        </w:rPr>
        <w:t>Lewis, M</w:t>
      </w:r>
      <w:r>
        <w:rPr>
          <w:lang w:val="en-US"/>
        </w:rPr>
        <w:t>.</w:t>
      </w:r>
      <w:r w:rsidRPr="00A856DB">
        <w:rPr>
          <w:lang w:val="en-US"/>
        </w:rPr>
        <w:t xml:space="preserve"> E. </w:t>
      </w:r>
      <w:r>
        <w:rPr>
          <w:lang w:val="en-US"/>
        </w:rPr>
        <w:t xml:space="preserve">(2007). </w:t>
      </w:r>
      <w:r w:rsidRPr="00A856DB">
        <w:rPr>
          <w:i/>
          <w:lang w:val="en-US"/>
        </w:rPr>
        <w:t xml:space="preserve">The </w:t>
      </w:r>
      <w:r w:rsidR="00D60DD9">
        <w:rPr>
          <w:i/>
          <w:lang w:val="en-US"/>
        </w:rPr>
        <w:t>B</w:t>
      </w:r>
      <w:r w:rsidRPr="00A856DB">
        <w:rPr>
          <w:i/>
          <w:lang w:val="en-US"/>
        </w:rPr>
        <w:t xml:space="preserve">ioarchaeology of </w:t>
      </w:r>
      <w:r w:rsidR="00D60DD9">
        <w:rPr>
          <w:i/>
          <w:lang w:val="en-US"/>
        </w:rPr>
        <w:t>C</w:t>
      </w:r>
      <w:r w:rsidRPr="00A856DB">
        <w:rPr>
          <w:i/>
          <w:lang w:val="en-US"/>
        </w:rPr>
        <w:t xml:space="preserve">hildren: </w:t>
      </w:r>
      <w:r w:rsidR="00D60DD9">
        <w:rPr>
          <w:i/>
          <w:lang w:val="en-US"/>
        </w:rPr>
        <w:t>P</w:t>
      </w:r>
      <w:r w:rsidRPr="00A856DB">
        <w:rPr>
          <w:i/>
          <w:lang w:val="en-US"/>
        </w:rPr>
        <w:t xml:space="preserve">erspectives from </w:t>
      </w:r>
      <w:r w:rsidR="00D60DD9">
        <w:rPr>
          <w:i/>
          <w:lang w:val="en-US"/>
        </w:rPr>
        <w:t>B</w:t>
      </w:r>
      <w:r w:rsidRPr="00A856DB">
        <w:rPr>
          <w:i/>
          <w:lang w:val="en-US"/>
        </w:rPr>
        <w:t xml:space="preserve">iological and </w:t>
      </w:r>
      <w:r w:rsidR="00D60DD9">
        <w:rPr>
          <w:i/>
          <w:lang w:val="en-US"/>
        </w:rPr>
        <w:t>F</w:t>
      </w:r>
      <w:r w:rsidRPr="00A856DB">
        <w:rPr>
          <w:i/>
          <w:lang w:val="en-US"/>
        </w:rPr>
        <w:t xml:space="preserve">orensic </w:t>
      </w:r>
      <w:r w:rsidR="00D60DD9">
        <w:rPr>
          <w:i/>
          <w:lang w:val="en-US"/>
        </w:rPr>
        <w:t>A</w:t>
      </w:r>
      <w:r w:rsidRPr="00A856DB">
        <w:rPr>
          <w:i/>
          <w:lang w:val="en-US"/>
        </w:rPr>
        <w:t>nthropology</w:t>
      </w:r>
      <w:r w:rsidRPr="00A856DB">
        <w:rPr>
          <w:lang w:val="en-US"/>
        </w:rPr>
        <w:t>. Cambridge: Cambridge University Press</w:t>
      </w:r>
      <w:r>
        <w:rPr>
          <w:lang w:val="en-US"/>
        </w:rPr>
        <w:t>.</w:t>
      </w:r>
    </w:p>
    <w:p w14:paraId="3CAFCC03" w14:textId="77777777" w:rsidR="00FD43EF" w:rsidRPr="00A856DB" w:rsidRDefault="00FD43EF" w:rsidP="00FD43EF">
      <w:pPr>
        <w:rPr>
          <w:lang w:val="en-US"/>
        </w:rPr>
      </w:pPr>
    </w:p>
    <w:p w14:paraId="3F3266E8" w14:textId="3DB94291" w:rsidR="00FD43EF" w:rsidRPr="00A856DB" w:rsidRDefault="00FD43EF" w:rsidP="00FD43EF">
      <w:pPr>
        <w:rPr>
          <w:lang w:val="en-US"/>
        </w:rPr>
      </w:pPr>
      <w:r w:rsidRPr="00A856DB">
        <w:rPr>
          <w:lang w:val="en-US"/>
        </w:rPr>
        <w:t>Liston, M</w:t>
      </w:r>
      <w:r>
        <w:rPr>
          <w:lang w:val="en-US"/>
        </w:rPr>
        <w:t>.</w:t>
      </w:r>
      <w:r w:rsidRPr="00A856DB">
        <w:rPr>
          <w:lang w:val="en-US"/>
        </w:rPr>
        <w:t xml:space="preserve"> A., </w:t>
      </w:r>
      <w:r>
        <w:rPr>
          <w:lang w:val="en-US"/>
        </w:rPr>
        <w:t>&amp;</w:t>
      </w:r>
      <w:r w:rsidRPr="00A856DB">
        <w:rPr>
          <w:lang w:val="en-US"/>
        </w:rPr>
        <w:t xml:space="preserve"> Rotroff</w:t>
      </w:r>
      <w:r>
        <w:rPr>
          <w:lang w:val="en-US"/>
        </w:rPr>
        <w:t>, S. I. (2013).</w:t>
      </w:r>
      <w:r w:rsidRPr="00A856DB">
        <w:rPr>
          <w:lang w:val="en-US"/>
        </w:rPr>
        <w:t xml:space="preserve"> Babies in the well: Archaeological evidence for newborn disposal in Hellenistic Greece.</w:t>
      </w:r>
      <w:r>
        <w:rPr>
          <w:lang w:val="en-US"/>
        </w:rPr>
        <w:t xml:space="preserve"> In</w:t>
      </w:r>
      <w:r w:rsidR="00B30B49">
        <w:rPr>
          <w:lang w:val="en-US"/>
        </w:rPr>
        <w:t xml:space="preserve">: </w:t>
      </w:r>
      <w:r>
        <w:rPr>
          <w:lang w:val="en-US"/>
        </w:rPr>
        <w:t xml:space="preserve">Parkin, T. G., Bell, R., &amp; Grubbs, J. E. (Eds.) </w:t>
      </w:r>
      <w:r w:rsidRPr="00A856DB">
        <w:rPr>
          <w:i/>
          <w:lang w:val="en-US"/>
        </w:rPr>
        <w:t>The Oxford Handbook of Childhood and Education in the Classical World</w:t>
      </w:r>
      <w:r>
        <w:rPr>
          <w:lang w:val="en-US"/>
        </w:rPr>
        <w:t xml:space="preserve"> (pp. </w:t>
      </w:r>
      <w:r w:rsidRPr="00A856DB">
        <w:rPr>
          <w:lang w:val="en-US"/>
        </w:rPr>
        <w:t>62-82</w:t>
      </w:r>
      <w:r>
        <w:rPr>
          <w:lang w:val="en-US"/>
        </w:rPr>
        <w:t>)</w:t>
      </w:r>
      <w:r w:rsidRPr="00A856DB">
        <w:rPr>
          <w:lang w:val="en-US"/>
        </w:rPr>
        <w:t>.</w:t>
      </w:r>
      <w:r>
        <w:rPr>
          <w:lang w:val="en-US"/>
        </w:rPr>
        <w:t xml:space="preserve"> New York: Oxford University Press. </w:t>
      </w:r>
    </w:p>
    <w:p w14:paraId="0BA2A7A1" w14:textId="77777777" w:rsidR="00FD43EF" w:rsidRPr="00A856DB" w:rsidRDefault="00FD43EF" w:rsidP="00FD43EF">
      <w:pPr>
        <w:rPr>
          <w:lang w:val="en-US"/>
        </w:rPr>
      </w:pPr>
    </w:p>
    <w:p w14:paraId="7A057AB1" w14:textId="0FB6FA50" w:rsidR="00FD43EF" w:rsidRPr="00A856DB" w:rsidRDefault="00FD43EF" w:rsidP="00FD43EF">
      <w:pPr>
        <w:rPr>
          <w:lang w:val="en-US"/>
        </w:rPr>
      </w:pPr>
      <w:r w:rsidRPr="00A856DB">
        <w:rPr>
          <w:lang w:val="en-US"/>
        </w:rPr>
        <w:lastRenderedPageBreak/>
        <w:t>Littleton, J.</w:t>
      </w:r>
      <w:r>
        <w:rPr>
          <w:lang w:val="en-US"/>
        </w:rPr>
        <w:t xml:space="preserve"> (2011).</w:t>
      </w:r>
      <w:r w:rsidRPr="00A856DB">
        <w:rPr>
          <w:lang w:val="en-US"/>
        </w:rPr>
        <w:t xml:space="preserve"> Moving from the canary in the coalmine.</w:t>
      </w:r>
      <w:r>
        <w:rPr>
          <w:lang w:val="en-US"/>
        </w:rPr>
        <w:t xml:space="preserve"> In</w:t>
      </w:r>
      <w:r w:rsidR="00B30B49">
        <w:rPr>
          <w:lang w:val="en-US"/>
        </w:rPr>
        <w:t>:</w:t>
      </w:r>
      <w:r>
        <w:rPr>
          <w:lang w:val="en-US"/>
        </w:rPr>
        <w:t xml:space="preserve"> Agarwal, S. C. &amp; Glencross, B. A. (Eds.) </w:t>
      </w:r>
      <w:r w:rsidRPr="00A856DB">
        <w:rPr>
          <w:i/>
          <w:lang w:val="en-US"/>
        </w:rPr>
        <w:t xml:space="preserve">Social </w:t>
      </w:r>
      <w:r w:rsidR="00A22A71">
        <w:rPr>
          <w:i/>
          <w:lang w:val="en-US"/>
        </w:rPr>
        <w:t>B</w:t>
      </w:r>
      <w:r w:rsidRPr="00A856DB">
        <w:rPr>
          <w:i/>
          <w:lang w:val="en-US"/>
        </w:rPr>
        <w:t>ioarchaeology</w:t>
      </w:r>
      <w:r>
        <w:rPr>
          <w:lang w:val="en-US"/>
        </w:rPr>
        <w:t xml:space="preserve"> (pp. </w:t>
      </w:r>
      <w:r w:rsidRPr="00A856DB">
        <w:rPr>
          <w:lang w:val="en-US"/>
        </w:rPr>
        <w:t>361</w:t>
      </w:r>
      <w:r>
        <w:rPr>
          <w:lang w:val="en-US"/>
        </w:rPr>
        <w:t>-</w:t>
      </w:r>
      <w:r w:rsidRPr="00A856DB">
        <w:rPr>
          <w:lang w:val="en-US"/>
        </w:rPr>
        <w:t>389</w:t>
      </w:r>
      <w:r>
        <w:rPr>
          <w:lang w:val="en-US"/>
        </w:rPr>
        <w:t xml:space="preserve">). Chichester: </w:t>
      </w:r>
      <w:r w:rsidRPr="00651536">
        <w:rPr>
          <w:color w:val="000000" w:themeColor="text1"/>
          <w:lang w:val="en-US"/>
        </w:rPr>
        <w:t>Wiley-Blackwell</w:t>
      </w:r>
      <w:r>
        <w:t>.</w:t>
      </w:r>
    </w:p>
    <w:p w14:paraId="3F40C2C6" w14:textId="77777777" w:rsidR="00FD43EF" w:rsidRPr="00A856DB" w:rsidRDefault="00FD43EF" w:rsidP="00FD43EF">
      <w:pPr>
        <w:rPr>
          <w:lang w:val="en-US"/>
        </w:rPr>
      </w:pPr>
    </w:p>
    <w:p w14:paraId="327D041E" w14:textId="77777777" w:rsidR="00FD43EF" w:rsidRPr="00A856DB" w:rsidRDefault="00FD43EF" w:rsidP="00FD43EF">
      <w:pPr>
        <w:rPr>
          <w:color w:val="000000" w:themeColor="text1"/>
          <w:lang w:val="en-US"/>
        </w:rPr>
      </w:pPr>
      <w:r w:rsidRPr="00A856DB">
        <w:rPr>
          <w:color w:val="000000" w:themeColor="text1"/>
          <w:lang w:val="en-US"/>
        </w:rPr>
        <w:t>Liversidge, H</w:t>
      </w:r>
      <w:r>
        <w:rPr>
          <w:color w:val="000000" w:themeColor="text1"/>
          <w:lang w:val="en-US"/>
        </w:rPr>
        <w:t>.</w:t>
      </w:r>
      <w:r w:rsidRPr="00A856DB">
        <w:rPr>
          <w:color w:val="000000" w:themeColor="text1"/>
          <w:lang w:val="en-US"/>
        </w:rPr>
        <w:t xml:space="preserve"> M.</w:t>
      </w:r>
      <w:r>
        <w:rPr>
          <w:color w:val="000000" w:themeColor="text1"/>
          <w:lang w:val="en-US"/>
        </w:rPr>
        <w:t xml:space="preserve"> (2015).</w:t>
      </w:r>
      <w:r w:rsidRPr="00A856DB">
        <w:rPr>
          <w:color w:val="000000" w:themeColor="text1"/>
          <w:lang w:val="en-US"/>
        </w:rPr>
        <w:t xml:space="preserve"> Controversies in age estimation from developing teeth. </w:t>
      </w:r>
      <w:r w:rsidRPr="00A856DB">
        <w:rPr>
          <w:i/>
          <w:color w:val="000000" w:themeColor="text1"/>
          <w:lang w:val="en-US"/>
        </w:rPr>
        <w:t>Annals of Human Biology</w:t>
      </w:r>
      <w:r>
        <w:rPr>
          <w:i/>
          <w:color w:val="000000" w:themeColor="text1"/>
          <w:lang w:val="en-US"/>
        </w:rPr>
        <w:t>,</w:t>
      </w:r>
      <w:r w:rsidRPr="00820CF1">
        <w:rPr>
          <w:i/>
          <w:color w:val="000000" w:themeColor="text1"/>
          <w:lang w:val="en-US"/>
        </w:rPr>
        <w:t xml:space="preserve"> 42</w:t>
      </w:r>
      <w:r>
        <w:rPr>
          <w:color w:val="000000" w:themeColor="text1"/>
          <w:lang w:val="en-US"/>
        </w:rPr>
        <w:t>(</w:t>
      </w:r>
      <w:r w:rsidRPr="00A856DB">
        <w:rPr>
          <w:color w:val="000000" w:themeColor="text1"/>
          <w:lang w:val="en-US"/>
        </w:rPr>
        <w:t>4</w:t>
      </w:r>
      <w:r>
        <w:rPr>
          <w:color w:val="000000" w:themeColor="text1"/>
          <w:lang w:val="en-US"/>
        </w:rPr>
        <w:t>),</w:t>
      </w:r>
      <w:r w:rsidRPr="00A856DB">
        <w:rPr>
          <w:color w:val="000000" w:themeColor="text1"/>
          <w:lang w:val="en-US"/>
        </w:rPr>
        <w:t xml:space="preserve"> 397-406.</w:t>
      </w:r>
    </w:p>
    <w:p w14:paraId="0113B2BE" w14:textId="77777777" w:rsidR="00FD43EF" w:rsidRPr="00A856DB" w:rsidRDefault="00FD43EF" w:rsidP="00FD43EF">
      <w:pPr>
        <w:rPr>
          <w:color w:val="000000" w:themeColor="text1"/>
          <w:lang w:val="en-US"/>
        </w:rPr>
      </w:pPr>
    </w:p>
    <w:p w14:paraId="6BBCCD35" w14:textId="6F0C6EE3" w:rsidR="00FD43EF" w:rsidRDefault="00FD43EF" w:rsidP="00FD43EF">
      <w:pPr>
        <w:rPr>
          <w:color w:val="000000" w:themeColor="text1"/>
          <w:lang w:val="en-US"/>
        </w:rPr>
      </w:pPr>
      <w:r w:rsidRPr="00A856DB">
        <w:rPr>
          <w:color w:val="000000" w:themeColor="text1"/>
          <w:lang w:val="en-US"/>
        </w:rPr>
        <w:t>Longin, R.</w:t>
      </w:r>
      <w:r>
        <w:rPr>
          <w:color w:val="000000" w:themeColor="text1"/>
          <w:lang w:val="en-US"/>
        </w:rPr>
        <w:t xml:space="preserve"> (1971).</w:t>
      </w:r>
      <w:r w:rsidRPr="00A856DB">
        <w:rPr>
          <w:color w:val="000000" w:themeColor="text1"/>
          <w:lang w:val="en-US"/>
        </w:rPr>
        <w:t xml:space="preserve"> New method of collagen extraction for radiocarbon dating. </w:t>
      </w:r>
      <w:r w:rsidRPr="00A856DB">
        <w:rPr>
          <w:i/>
          <w:color w:val="000000" w:themeColor="text1"/>
          <w:lang w:val="en-US"/>
        </w:rPr>
        <w:t>Nature</w:t>
      </w:r>
      <w:r>
        <w:rPr>
          <w:i/>
          <w:color w:val="000000" w:themeColor="text1"/>
          <w:lang w:val="en-US"/>
        </w:rPr>
        <w:t>,</w:t>
      </w:r>
      <w:r w:rsidRPr="00A856DB">
        <w:rPr>
          <w:i/>
          <w:color w:val="000000" w:themeColor="text1"/>
          <w:lang w:val="en-US"/>
        </w:rPr>
        <w:t xml:space="preserve"> </w:t>
      </w:r>
      <w:r w:rsidRPr="00820CF1">
        <w:rPr>
          <w:i/>
          <w:color w:val="000000" w:themeColor="text1"/>
          <w:lang w:val="en-US"/>
        </w:rPr>
        <w:t>230</w:t>
      </w:r>
      <w:r>
        <w:rPr>
          <w:color w:val="000000" w:themeColor="text1"/>
          <w:lang w:val="en-US"/>
        </w:rPr>
        <w:t>(</w:t>
      </w:r>
      <w:r w:rsidRPr="00A856DB">
        <w:rPr>
          <w:color w:val="000000" w:themeColor="text1"/>
          <w:lang w:val="en-US"/>
        </w:rPr>
        <w:t>5291</w:t>
      </w:r>
      <w:r>
        <w:rPr>
          <w:color w:val="000000" w:themeColor="text1"/>
          <w:lang w:val="en-US"/>
        </w:rPr>
        <w:t xml:space="preserve">), </w:t>
      </w:r>
      <w:r w:rsidRPr="00A856DB">
        <w:rPr>
          <w:color w:val="000000" w:themeColor="text1"/>
          <w:lang w:val="en-US"/>
        </w:rPr>
        <w:t>241</w:t>
      </w:r>
      <w:r>
        <w:rPr>
          <w:color w:val="000000" w:themeColor="text1"/>
          <w:lang w:val="en-US"/>
        </w:rPr>
        <w:t>-242</w:t>
      </w:r>
      <w:r w:rsidRPr="00A856DB">
        <w:rPr>
          <w:color w:val="000000" w:themeColor="text1"/>
          <w:lang w:val="en-US"/>
        </w:rPr>
        <w:t>.</w:t>
      </w:r>
    </w:p>
    <w:p w14:paraId="4B06EFBA" w14:textId="77777777" w:rsidR="001D5C03" w:rsidRPr="00A856DB" w:rsidRDefault="001D5C03" w:rsidP="00FD43EF">
      <w:pPr>
        <w:rPr>
          <w:color w:val="000000" w:themeColor="text1"/>
          <w:lang w:val="en-US"/>
        </w:rPr>
      </w:pPr>
    </w:p>
    <w:p w14:paraId="45194E36" w14:textId="035116C3" w:rsidR="00FD43EF" w:rsidRDefault="001D5C03" w:rsidP="00FD43EF">
      <w:pPr>
        <w:rPr>
          <w:color w:val="000000" w:themeColor="text1"/>
          <w:lang w:val="en-US"/>
        </w:rPr>
      </w:pPr>
      <w:r w:rsidRPr="001D5C03">
        <w:rPr>
          <w:color w:val="000000" w:themeColor="text1"/>
          <w:lang w:val="en-US"/>
        </w:rPr>
        <w:t xml:space="preserve">Lundberg, O. (1993). The impact of childhood living conditions on illness and mortality in adulthood. </w:t>
      </w:r>
      <w:r w:rsidRPr="00D60DD9">
        <w:rPr>
          <w:i/>
          <w:color w:val="000000" w:themeColor="text1"/>
          <w:lang w:val="en-US"/>
        </w:rPr>
        <w:t xml:space="preserve">Social </w:t>
      </w:r>
      <w:r w:rsidR="00D60DD9" w:rsidRPr="00D60DD9">
        <w:rPr>
          <w:i/>
          <w:color w:val="000000" w:themeColor="text1"/>
          <w:lang w:val="en-US"/>
        </w:rPr>
        <w:t>S</w:t>
      </w:r>
      <w:r w:rsidRPr="00D60DD9">
        <w:rPr>
          <w:i/>
          <w:color w:val="000000" w:themeColor="text1"/>
          <w:lang w:val="en-US"/>
        </w:rPr>
        <w:t xml:space="preserve">cience &amp; </w:t>
      </w:r>
      <w:r w:rsidR="00D60DD9" w:rsidRPr="00D60DD9">
        <w:rPr>
          <w:i/>
          <w:color w:val="000000" w:themeColor="text1"/>
          <w:lang w:val="en-US"/>
        </w:rPr>
        <w:t>M</w:t>
      </w:r>
      <w:r w:rsidRPr="00D60DD9">
        <w:rPr>
          <w:i/>
          <w:color w:val="000000" w:themeColor="text1"/>
          <w:lang w:val="en-US"/>
        </w:rPr>
        <w:t>edicine, 36</w:t>
      </w:r>
      <w:r w:rsidRPr="001D5C03">
        <w:rPr>
          <w:color w:val="000000" w:themeColor="text1"/>
          <w:lang w:val="en-US"/>
        </w:rPr>
        <w:t>(8), 1047-1052.</w:t>
      </w:r>
    </w:p>
    <w:p w14:paraId="5DCF17F8" w14:textId="77777777" w:rsidR="001D5C03" w:rsidRDefault="001D5C03" w:rsidP="00FD43EF">
      <w:pPr>
        <w:rPr>
          <w:color w:val="000000" w:themeColor="text1"/>
          <w:lang w:val="en-US"/>
        </w:rPr>
      </w:pPr>
    </w:p>
    <w:p w14:paraId="76DA3878" w14:textId="77777777" w:rsidR="00FD43EF" w:rsidRPr="00D836F5" w:rsidRDefault="00FD43EF" w:rsidP="00FD43EF">
      <w:pPr>
        <w:rPr>
          <w:color w:val="000000" w:themeColor="text1"/>
          <w:lang w:val="en-US"/>
        </w:rPr>
      </w:pPr>
      <w:r w:rsidRPr="00D86B24">
        <w:rPr>
          <w:color w:val="000000" w:themeColor="text1"/>
        </w:rPr>
        <w:t>Mage, D. T.</w:t>
      </w:r>
      <w:r>
        <w:rPr>
          <w:color w:val="000000" w:themeColor="text1"/>
        </w:rPr>
        <w:t xml:space="preserve"> &amp;</w:t>
      </w:r>
      <w:r w:rsidRPr="00D86B24">
        <w:rPr>
          <w:color w:val="000000" w:themeColor="text1"/>
        </w:rPr>
        <w:t xml:space="preserve"> Donner</w:t>
      </w:r>
      <w:r>
        <w:rPr>
          <w:color w:val="000000" w:themeColor="text1"/>
        </w:rPr>
        <w:t>, E. M. (2004).</w:t>
      </w:r>
      <w:r w:rsidRPr="00D86B24">
        <w:rPr>
          <w:color w:val="000000" w:themeColor="text1"/>
        </w:rPr>
        <w:t xml:space="preserve"> The fifty percent male excess of infant respiratory mortality. </w:t>
      </w:r>
      <w:r w:rsidRPr="00D836F5">
        <w:rPr>
          <w:i/>
          <w:iCs/>
          <w:color w:val="000000" w:themeColor="text1"/>
          <w:lang w:val="en-US"/>
        </w:rPr>
        <w:t>Acta Paediatrica,</w:t>
      </w:r>
      <w:r w:rsidRPr="00D836F5">
        <w:rPr>
          <w:color w:val="000000" w:themeColor="text1"/>
          <w:lang w:val="en-US"/>
        </w:rPr>
        <w:t> </w:t>
      </w:r>
      <w:r w:rsidRPr="00D836F5">
        <w:rPr>
          <w:i/>
          <w:color w:val="000000" w:themeColor="text1"/>
          <w:lang w:val="en-US"/>
        </w:rPr>
        <w:t>93</w:t>
      </w:r>
      <w:r w:rsidRPr="00D836F5">
        <w:rPr>
          <w:color w:val="000000" w:themeColor="text1"/>
          <w:lang w:val="en-US"/>
        </w:rPr>
        <w:t>(9), 1210-1215.</w:t>
      </w:r>
    </w:p>
    <w:p w14:paraId="2CB53F0B" w14:textId="77777777" w:rsidR="00FD43EF" w:rsidRPr="00820CF1" w:rsidRDefault="00FD43EF" w:rsidP="00FD43EF">
      <w:pPr>
        <w:rPr>
          <w:color w:val="000000" w:themeColor="text1"/>
          <w:lang w:val="en-US"/>
        </w:rPr>
      </w:pPr>
    </w:p>
    <w:p w14:paraId="40404EC1" w14:textId="7B836D6F" w:rsidR="00FD43EF" w:rsidRPr="00A856DB" w:rsidRDefault="00FD43EF" w:rsidP="00FD43EF">
      <w:pPr>
        <w:rPr>
          <w:color w:val="000000" w:themeColor="text1"/>
          <w:lang w:val="en-US"/>
        </w:rPr>
      </w:pPr>
      <w:r w:rsidRPr="00A856DB">
        <w:rPr>
          <w:color w:val="000000" w:themeColor="text1"/>
          <w:lang w:val="en-US"/>
        </w:rPr>
        <w:t>Makarewicz, C</w:t>
      </w:r>
      <w:r>
        <w:rPr>
          <w:color w:val="000000" w:themeColor="text1"/>
          <w:lang w:val="en-US"/>
        </w:rPr>
        <w:t>.</w:t>
      </w:r>
      <w:r w:rsidRPr="00A856DB">
        <w:rPr>
          <w:color w:val="000000" w:themeColor="text1"/>
          <w:lang w:val="en-US"/>
        </w:rPr>
        <w:t xml:space="preserve"> A., </w:t>
      </w:r>
      <w:r>
        <w:rPr>
          <w:color w:val="000000" w:themeColor="text1"/>
          <w:lang w:val="en-US"/>
        </w:rPr>
        <w:t>&amp;</w:t>
      </w:r>
      <w:r w:rsidRPr="00A856DB">
        <w:rPr>
          <w:color w:val="000000" w:themeColor="text1"/>
          <w:lang w:val="en-US"/>
        </w:rPr>
        <w:t xml:space="preserve"> Sealy</w:t>
      </w:r>
      <w:r>
        <w:rPr>
          <w:color w:val="000000" w:themeColor="text1"/>
          <w:lang w:val="en-US"/>
        </w:rPr>
        <w:t>, J</w:t>
      </w:r>
      <w:r w:rsidRPr="00A856DB">
        <w:rPr>
          <w:color w:val="000000" w:themeColor="text1"/>
          <w:lang w:val="en-US"/>
        </w:rPr>
        <w:t>.</w:t>
      </w:r>
      <w:r>
        <w:rPr>
          <w:color w:val="000000" w:themeColor="text1"/>
          <w:lang w:val="en-US"/>
        </w:rPr>
        <w:t xml:space="preserve"> (2015).</w:t>
      </w:r>
      <w:r w:rsidRPr="00A856DB">
        <w:rPr>
          <w:color w:val="000000" w:themeColor="text1"/>
          <w:lang w:val="en-US"/>
        </w:rPr>
        <w:t xml:space="preserve"> Dietary reconstruction, mobility, and the analysis of ancient skeletal tissues: </w:t>
      </w:r>
      <w:r w:rsidR="00A211B8">
        <w:rPr>
          <w:color w:val="000000" w:themeColor="text1"/>
          <w:lang w:val="en-US"/>
        </w:rPr>
        <w:t>E</w:t>
      </w:r>
      <w:r w:rsidRPr="00A856DB">
        <w:rPr>
          <w:color w:val="000000" w:themeColor="text1"/>
          <w:lang w:val="en-US"/>
        </w:rPr>
        <w:t xml:space="preserve">xpanding the prospects of stable isotope research in archaeology. </w:t>
      </w:r>
      <w:r w:rsidRPr="00A856DB">
        <w:rPr>
          <w:i/>
          <w:color w:val="000000" w:themeColor="text1"/>
          <w:lang w:val="en-US"/>
        </w:rPr>
        <w:t>Journal of Archaeological Science</w:t>
      </w:r>
      <w:r>
        <w:rPr>
          <w:i/>
          <w:color w:val="000000" w:themeColor="text1"/>
          <w:lang w:val="en-US"/>
        </w:rPr>
        <w:t>,</w:t>
      </w:r>
      <w:r w:rsidRPr="00A856DB">
        <w:rPr>
          <w:i/>
          <w:color w:val="000000" w:themeColor="text1"/>
          <w:lang w:val="en-US"/>
        </w:rPr>
        <w:t xml:space="preserve"> </w:t>
      </w:r>
      <w:r w:rsidRPr="00820CF1">
        <w:rPr>
          <w:i/>
          <w:color w:val="000000" w:themeColor="text1"/>
          <w:lang w:val="en-US"/>
        </w:rPr>
        <w:t>56</w:t>
      </w:r>
      <w:r>
        <w:rPr>
          <w:color w:val="000000" w:themeColor="text1"/>
          <w:lang w:val="en-US"/>
        </w:rPr>
        <w:t xml:space="preserve">(1), </w:t>
      </w:r>
      <w:r w:rsidRPr="00A856DB">
        <w:rPr>
          <w:color w:val="000000" w:themeColor="text1"/>
          <w:lang w:val="en-US"/>
        </w:rPr>
        <w:t>146-158.</w:t>
      </w:r>
    </w:p>
    <w:p w14:paraId="7E1A2012" w14:textId="77777777" w:rsidR="00FD43EF" w:rsidRPr="00A856DB" w:rsidRDefault="00FD43EF" w:rsidP="00FD43EF">
      <w:pPr>
        <w:rPr>
          <w:color w:val="000000" w:themeColor="text1"/>
          <w:lang w:val="en-US"/>
        </w:rPr>
      </w:pPr>
    </w:p>
    <w:p w14:paraId="4B4D4A33" w14:textId="2EFAEF10" w:rsidR="00FD43EF" w:rsidRPr="00D836F5" w:rsidRDefault="00FD43EF" w:rsidP="00FD43EF">
      <w:pPr>
        <w:rPr>
          <w:lang w:val="it-IT"/>
        </w:rPr>
      </w:pPr>
      <w:r w:rsidRPr="00A856DB">
        <w:rPr>
          <w:lang w:val="en-US"/>
        </w:rPr>
        <w:t>Marriot, H.</w:t>
      </w:r>
      <w:r>
        <w:rPr>
          <w:lang w:val="en-US"/>
        </w:rPr>
        <w:t xml:space="preserve"> (19</w:t>
      </w:r>
      <w:r w:rsidRPr="004E566A">
        <w:rPr>
          <w:lang w:val="en-US"/>
        </w:rPr>
        <w:t>96).</w:t>
      </w:r>
      <w:r w:rsidRPr="00A856DB">
        <w:rPr>
          <w:lang w:val="en-US"/>
        </w:rPr>
        <w:t xml:space="preserve"> Juggling time and dropping the baby: Constraints faced by Malian women.</w:t>
      </w:r>
      <w:r>
        <w:rPr>
          <w:lang w:val="en-US"/>
        </w:rPr>
        <w:t xml:space="preserve"> In</w:t>
      </w:r>
      <w:r w:rsidR="00B30B49">
        <w:rPr>
          <w:lang w:val="en-US"/>
        </w:rPr>
        <w:t>:</w:t>
      </w:r>
      <w:r>
        <w:rPr>
          <w:lang w:val="en-US"/>
        </w:rPr>
        <w:t xml:space="preserve"> Powell, R. A., Mwageni, E. A., &amp; Ankomah, A. (Eds.) </w:t>
      </w:r>
      <w:r w:rsidRPr="00A856DB">
        <w:rPr>
          <w:i/>
          <w:lang w:val="en-US"/>
        </w:rPr>
        <w:t xml:space="preserve">Population </w:t>
      </w:r>
      <w:r w:rsidR="00A22A71">
        <w:rPr>
          <w:i/>
          <w:lang w:val="en-US"/>
        </w:rPr>
        <w:t>D</w:t>
      </w:r>
      <w:r w:rsidRPr="00A856DB">
        <w:rPr>
          <w:i/>
          <w:lang w:val="en-US"/>
        </w:rPr>
        <w:t xml:space="preserve">ynamics: Some </w:t>
      </w:r>
      <w:r w:rsidR="00A22A71">
        <w:rPr>
          <w:i/>
          <w:lang w:val="en-US"/>
        </w:rPr>
        <w:t>P</w:t>
      </w:r>
      <w:r w:rsidRPr="00A856DB">
        <w:rPr>
          <w:i/>
          <w:lang w:val="en-US"/>
        </w:rPr>
        <w:t xml:space="preserve">ast and </w:t>
      </w:r>
      <w:r w:rsidR="00A22A71">
        <w:rPr>
          <w:i/>
          <w:lang w:val="en-US"/>
        </w:rPr>
        <w:t>E</w:t>
      </w:r>
      <w:r w:rsidRPr="00A856DB">
        <w:rPr>
          <w:i/>
          <w:lang w:val="en-US"/>
        </w:rPr>
        <w:t xml:space="preserve">merging </w:t>
      </w:r>
      <w:r w:rsidR="00A22A71">
        <w:rPr>
          <w:i/>
          <w:lang w:val="en-US"/>
        </w:rPr>
        <w:t>I</w:t>
      </w:r>
      <w:r w:rsidRPr="00A856DB">
        <w:rPr>
          <w:i/>
          <w:lang w:val="en-US"/>
        </w:rPr>
        <w:t>ssues</w:t>
      </w:r>
      <w:r>
        <w:rPr>
          <w:lang w:val="en-US"/>
        </w:rPr>
        <w:t xml:space="preserve"> (pp. </w:t>
      </w:r>
      <w:r w:rsidRPr="00A856DB">
        <w:rPr>
          <w:lang w:val="en-US"/>
        </w:rPr>
        <w:t>74-83</w:t>
      </w:r>
      <w:r>
        <w:rPr>
          <w:lang w:val="en-US"/>
        </w:rPr>
        <w:t xml:space="preserve">). </w:t>
      </w:r>
      <w:r w:rsidRPr="00D836F5">
        <w:rPr>
          <w:lang w:val="it-IT"/>
        </w:rPr>
        <w:t xml:space="preserve">Exeter: University of Exeter. </w:t>
      </w:r>
      <w:r w:rsidRPr="00D836F5">
        <w:rPr>
          <w:color w:val="C00000"/>
          <w:lang w:val="it-IT"/>
        </w:rPr>
        <w:t xml:space="preserve"> </w:t>
      </w:r>
    </w:p>
    <w:p w14:paraId="6F246383" w14:textId="77777777" w:rsidR="00FD43EF" w:rsidRPr="00D836F5" w:rsidRDefault="00FD43EF" w:rsidP="00FD43EF">
      <w:pPr>
        <w:rPr>
          <w:lang w:val="it-IT"/>
        </w:rPr>
      </w:pPr>
    </w:p>
    <w:p w14:paraId="620A8263" w14:textId="4A2102AE" w:rsidR="00FD43EF" w:rsidRPr="00A856DB" w:rsidRDefault="00FD43EF" w:rsidP="00FD43EF">
      <w:pPr>
        <w:rPr>
          <w:lang w:val="en-US"/>
        </w:rPr>
      </w:pPr>
      <w:r w:rsidRPr="00D836F5">
        <w:rPr>
          <w:lang w:val="it-IT"/>
        </w:rPr>
        <w:t xml:space="preserve">Masciadri, M. M., &amp; Montevecchi, O. (1984). </w:t>
      </w:r>
      <w:r w:rsidRPr="00D836F5">
        <w:rPr>
          <w:i/>
          <w:lang w:val="it-IT"/>
        </w:rPr>
        <w:t>I Contratti di Baliatico</w:t>
      </w:r>
      <w:r w:rsidRPr="00D836F5">
        <w:rPr>
          <w:lang w:val="it-IT"/>
        </w:rPr>
        <w:t xml:space="preserve">. </w:t>
      </w:r>
      <w:r w:rsidR="00C247A4">
        <w:rPr>
          <w:lang w:val="en-US"/>
        </w:rPr>
        <w:t>Charlottesville:</w:t>
      </w:r>
      <w:r>
        <w:rPr>
          <w:lang w:val="en-US"/>
        </w:rPr>
        <w:t xml:space="preserve"> The University of Virginia. </w:t>
      </w:r>
    </w:p>
    <w:p w14:paraId="4838FC16" w14:textId="77777777" w:rsidR="00FD43EF" w:rsidRPr="00A856DB" w:rsidRDefault="00FD43EF" w:rsidP="00FD43EF">
      <w:pPr>
        <w:rPr>
          <w:lang w:val="en-US"/>
        </w:rPr>
      </w:pPr>
    </w:p>
    <w:p w14:paraId="4D2BB5F4" w14:textId="77777777" w:rsidR="00FD43EF" w:rsidRPr="00A856DB" w:rsidRDefault="00FD43EF" w:rsidP="00FD43EF">
      <w:pPr>
        <w:rPr>
          <w:color w:val="000000" w:themeColor="text1"/>
          <w:lang w:val="en-US"/>
        </w:rPr>
      </w:pPr>
      <w:r w:rsidRPr="00A856DB">
        <w:rPr>
          <w:color w:val="000000" w:themeColor="text1"/>
          <w:lang w:val="en-US"/>
        </w:rPr>
        <w:t>Mays, S</w:t>
      </w:r>
      <w:r>
        <w:rPr>
          <w:color w:val="000000" w:themeColor="text1"/>
          <w:lang w:val="en-US"/>
        </w:rPr>
        <w:t>.</w:t>
      </w:r>
      <w:r w:rsidRPr="00A856DB">
        <w:rPr>
          <w:color w:val="000000" w:themeColor="text1"/>
          <w:lang w:val="en-US"/>
        </w:rPr>
        <w:t>, Gowland,</w:t>
      </w:r>
      <w:r>
        <w:rPr>
          <w:color w:val="000000" w:themeColor="text1"/>
          <w:lang w:val="en-US"/>
        </w:rPr>
        <w:t xml:space="preserve"> R.,</w:t>
      </w:r>
      <w:r w:rsidRPr="00A856DB">
        <w:rPr>
          <w:color w:val="000000" w:themeColor="text1"/>
          <w:lang w:val="en-US"/>
        </w:rPr>
        <w:t xml:space="preserve"> Halcrow,</w:t>
      </w:r>
      <w:r>
        <w:rPr>
          <w:color w:val="000000" w:themeColor="text1"/>
          <w:lang w:val="en-US"/>
        </w:rPr>
        <w:t xml:space="preserve"> S., &amp; </w:t>
      </w:r>
      <w:r w:rsidRPr="00A856DB">
        <w:rPr>
          <w:color w:val="000000" w:themeColor="text1"/>
          <w:lang w:val="en-US"/>
        </w:rPr>
        <w:t>Murphy</w:t>
      </w:r>
      <w:r>
        <w:rPr>
          <w:color w:val="000000" w:themeColor="text1"/>
          <w:lang w:val="en-US"/>
        </w:rPr>
        <w:t>, E</w:t>
      </w:r>
      <w:r w:rsidRPr="00A856DB">
        <w:rPr>
          <w:color w:val="000000" w:themeColor="text1"/>
          <w:lang w:val="en-US"/>
        </w:rPr>
        <w:t>.</w:t>
      </w:r>
      <w:r>
        <w:rPr>
          <w:color w:val="000000" w:themeColor="text1"/>
          <w:lang w:val="en-US"/>
        </w:rPr>
        <w:t xml:space="preserve"> (2017).</w:t>
      </w:r>
      <w:r w:rsidRPr="00A856DB">
        <w:rPr>
          <w:color w:val="000000" w:themeColor="text1"/>
          <w:lang w:val="en-US"/>
        </w:rPr>
        <w:t xml:space="preserve"> Child bioarchaeology: Perspectives on the past 10 years. </w:t>
      </w:r>
      <w:r w:rsidRPr="00A856DB">
        <w:rPr>
          <w:i/>
          <w:color w:val="000000" w:themeColor="text1"/>
          <w:lang w:val="en-US"/>
        </w:rPr>
        <w:t>Childhood in the Past</w:t>
      </w:r>
      <w:r>
        <w:rPr>
          <w:i/>
          <w:color w:val="000000" w:themeColor="text1"/>
          <w:lang w:val="en-US"/>
        </w:rPr>
        <w:t>,</w:t>
      </w:r>
      <w:r w:rsidRPr="00A856DB">
        <w:rPr>
          <w:i/>
          <w:color w:val="000000" w:themeColor="text1"/>
          <w:lang w:val="en-US"/>
        </w:rPr>
        <w:t xml:space="preserve"> </w:t>
      </w:r>
      <w:r w:rsidRPr="00B65F5A">
        <w:rPr>
          <w:i/>
          <w:color w:val="000000" w:themeColor="text1"/>
          <w:lang w:val="en-US"/>
        </w:rPr>
        <w:t>10</w:t>
      </w:r>
      <w:r>
        <w:rPr>
          <w:color w:val="000000" w:themeColor="text1"/>
          <w:lang w:val="en-US"/>
        </w:rPr>
        <w:t>(</w:t>
      </w:r>
      <w:r w:rsidRPr="00A856DB">
        <w:rPr>
          <w:color w:val="000000" w:themeColor="text1"/>
          <w:lang w:val="en-US"/>
        </w:rPr>
        <w:t>1</w:t>
      </w:r>
      <w:r>
        <w:rPr>
          <w:color w:val="000000" w:themeColor="text1"/>
          <w:lang w:val="en-US"/>
        </w:rPr>
        <w:t xml:space="preserve">), </w:t>
      </w:r>
      <w:r w:rsidRPr="00A856DB">
        <w:rPr>
          <w:color w:val="000000" w:themeColor="text1"/>
          <w:lang w:val="en-US"/>
        </w:rPr>
        <w:t>38-56.</w:t>
      </w:r>
    </w:p>
    <w:p w14:paraId="20F022F1" w14:textId="77777777" w:rsidR="00FD43EF" w:rsidRPr="00A856DB" w:rsidRDefault="00FD43EF" w:rsidP="00FD43EF">
      <w:pPr>
        <w:rPr>
          <w:color w:val="000000" w:themeColor="text1"/>
          <w:lang w:val="en-US"/>
        </w:rPr>
      </w:pPr>
    </w:p>
    <w:p w14:paraId="37792E19" w14:textId="220D104A" w:rsidR="00FD43EF" w:rsidRPr="008C4A6A" w:rsidRDefault="00FD43EF" w:rsidP="00FD43EF">
      <w:pPr>
        <w:rPr>
          <w:lang w:val="en-US"/>
        </w:rPr>
      </w:pPr>
      <w:r w:rsidRPr="00A856DB">
        <w:rPr>
          <w:lang w:val="en-US"/>
        </w:rPr>
        <w:t>McDade, T</w:t>
      </w:r>
      <w:r>
        <w:rPr>
          <w:lang w:val="en-US"/>
        </w:rPr>
        <w:t>.</w:t>
      </w:r>
      <w:r w:rsidRPr="00A856DB">
        <w:rPr>
          <w:lang w:val="en-US"/>
        </w:rPr>
        <w:t xml:space="preserve"> W., </w:t>
      </w:r>
      <w:r>
        <w:rPr>
          <w:lang w:val="en-US"/>
        </w:rPr>
        <w:t>&amp;</w:t>
      </w:r>
      <w:r w:rsidRPr="00A856DB">
        <w:rPr>
          <w:lang w:val="en-US"/>
        </w:rPr>
        <w:t xml:space="preserve"> Worthman</w:t>
      </w:r>
      <w:r>
        <w:rPr>
          <w:lang w:val="en-US"/>
        </w:rPr>
        <w:t>, C. M. (1998).</w:t>
      </w:r>
      <w:r w:rsidRPr="00A856DB">
        <w:rPr>
          <w:lang w:val="en-US"/>
        </w:rPr>
        <w:t xml:space="preserve"> The weanling's dilemma reconsidered: </w:t>
      </w:r>
      <w:r w:rsidR="00A211B8">
        <w:rPr>
          <w:lang w:val="en-US"/>
        </w:rPr>
        <w:t xml:space="preserve">A </w:t>
      </w:r>
      <w:r w:rsidRPr="00A856DB">
        <w:rPr>
          <w:lang w:val="en-US"/>
        </w:rPr>
        <w:t xml:space="preserve">biocultural analysis of breastfeeding ecology. </w:t>
      </w:r>
      <w:r w:rsidRPr="008C4A6A">
        <w:rPr>
          <w:i/>
          <w:lang w:val="en-US"/>
        </w:rPr>
        <w:t>Journal of Developmental and Behavioral Pediatrics</w:t>
      </w:r>
      <w:r>
        <w:rPr>
          <w:i/>
          <w:lang w:val="en-US"/>
        </w:rPr>
        <w:t>,</w:t>
      </w:r>
      <w:r w:rsidRPr="00516796">
        <w:rPr>
          <w:i/>
          <w:lang w:val="en-US"/>
        </w:rPr>
        <w:t xml:space="preserve"> 19</w:t>
      </w:r>
      <w:r>
        <w:rPr>
          <w:lang w:val="en-US"/>
        </w:rPr>
        <w:t xml:space="preserve">(4), </w:t>
      </w:r>
      <w:r w:rsidRPr="00516796">
        <w:rPr>
          <w:lang w:val="en-US"/>
        </w:rPr>
        <w:t>286–299.</w:t>
      </w:r>
    </w:p>
    <w:p w14:paraId="3EEA57EA" w14:textId="77777777" w:rsidR="00FD43EF" w:rsidRDefault="00FD43EF" w:rsidP="00FD43EF">
      <w:pPr>
        <w:rPr>
          <w:lang w:val="en-US"/>
        </w:rPr>
      </w:pPr>
    </w:p>
    <w:p w14:paraId="3F3B75E3" w14:textId="77777777" w:rsidR="00FD43EF" w:rsidRDefault="00FD43EF" w:rsidP="00FD43EF">
      <w:pPr>
        <w:rPr>
          <w:lang w:val="en-US"/>
        </w:rPr>
      </w:pPr>
      <w:r w:rsidRPr="006F4096">
        <w:rPr>
          <w:lang w:val="en-US"/>
        </w:rPr>
        <w:t xml:space="preserve">McElroy, A. (1990). Biocultural models in studies of human health and adaptation. </w:t>
      </w:r>
      <w:r w:rsidRPr="006F4096">
        <w:rPr>
          <w:i/>
          <w:lang w:val="en-US"/>
        </w:rPr>
        <w:t>Medical Anthropology Quarterly</w:t>
      </w:r>
      <w:r w:rsidRPr="006F4096">
        <w:rPr>
          <w:lang w:val="en-US"/>
        </w:rPr>
        <w:t xml:space="preserve">, </w:t>
      </w:r>
      <w:r w:rsidRPr="006F4096">
        <w:rPr>
          <w:i/>
          <w:lang w:val="en-US"/>
        </w:rPr>
        <w:t>4</w:t>
      </w:r>
      <w:r w:rsidRPr="006F4096">
        <w:rPr>
          <w:lang w:val="en-US"/>
        </w:rPr>
        <w:t>(3), 243-265.</w:t>
      </w:r>
    </w:p>
    <w:p w14:paraId="6726630C" w14:textId="77777777" w:rsidR="00FD43EF" w:rsidRDefault="00FD43EF" w:rsidP="00FD43EF">
      <w:pPr>
        <w:rPr>
          <w:lang w:val="en-US"/>
        </w:rPr>
      </w:pPr>
    </w:p>
    <w:p w14:paraId="46B2BE8B" w14:textId="77777777" w:rsidR="00FD43EF" w:rsidRPr="00A856DB" w:rsidRDefault="00FD43EF" w:rsidP="00FD43EF">
      <w:pPr>
        <w:rPr>
          <w:lang w:val="en-US"/>
        </w:rPr>
      </w:pPr>
      <w:r w:rsidRPr="00A856DB">
        <w:rPr>
          <w:lang w:val="en-US"/>
        </w:rPr>
        <w:t>McNeilly, A</w:t>
      </w:r>
      <w:r>
        <w:rPr>
          <w:lang w:val="en-US"/>
        </w:rPr>
        <w:t>.</w:t>
      </w:r>
      <w:r w:rsidRPr="00A856DB">
        <w:rPr>
          <w:lang w:val="en-US"/>
        </w:rPr>
        <w:t xml:space="preserve"> S.</w:t>
      </w:r>
      <w:r>
        <w:rPr>
          <w:lang w:val="en-US"/>
        </w:rPr>
        <w:t xml:space="preserve"> (2001).</w:t>
      </w:r>
      <w:r w:rsidRPr="00A856DB">
        <w:rPr>
          <w:lang w:val="en-US"/>
        </w:rPr>
        <w:t xml:space="preserve"> Lactational control of reproduction. </w:t>
      </w:r>
      <w:r w:rsidRPr="00A856DB">
        <w:rPr>
          <w:i/>
          <w:lang w:val="en-US"/>
        </w:rPr>
        <w:t>Reproduction, Fertility and Development</w:t>
      </w:r>
      <w:r>
        <w:rPr>
          <w:i/>
          <w:lang w:val="en-US"/>
        </w:rPr>
        <w:t>,</w:t>
      </w:r>
      <w:r w:rsidRPr="003819FA">
        <w:rPr>
          <w:i/>
          <w:lang w:val="en-US"/>
        </w:rPr>
        <w:t xml:space="preserve"> 13</w:t>
      </w:r>
      <w:r>
        <w:rPr>
          <w:lang w:val="en-US"/>
        </w:rPr>
        <w:t>(</w:t>
      </w:r>
      <w:r w:rsidRPr="00A856DB">
        <w:rPr>
          <w:lang w:val="en-US"/>
        </w:rPr>
        <w:t>8</w:t>
      </w:r>
      <w:r>
        <w:rPr>
          <w:lang w:val="en-US"/>
        </w:rPr>
        <w:t xml:space="preserve">), </w:t>
      </w:r>
      <w:r w:rsidRPr="00A856DB">
        <w:rPr>
          <w:lang w:val="en-US"/>
        </w:rPr>
        <w:t>583-590.</w:t>
      </w:r>
    </w:p>
    <w:p w14:paraId="5244A5A6" w14:textId="77777777" w:rsidR="00FD43EF" w:rsidRPr="00A856DB" w:rsidRDefault="00FD43EF" w:rsidP="00FD43EF">
      <w:pPr>
        <w:rPr>
          <w:lang w:val="en-US"/>
        </w:rPr>
      </w:pPr>
    </w:p>
    <w:p w14:paraId="2E93B243" w14:textId="40F36086" w:rsidR="00FD43EF" w:rsidRPr="00A856DB" w:rsidRDefault="00FD43EF" w:rsidP="00FD43EF">
      <w:pPr>
        <w:rPr>
          <w:color w:val="000000" w:themeColor="text1"/>
          <w:lang w:val="en-US"/>
        </w:rPr>
      </w:pPr>
      <w:r w:rsidRPr="008C4A6A">
        <w:rPr>
          <w:color w:val="000000" w:themeColor="text1"/>
          <w:lang w:val="en-US"/>
        </w:rPr>
        <w:t>Mestecky, J., Lue,</w:t>
      </w:r>
      <w:r>
        <w:rPr>
          <w:color w:val="000000" w:themeColor="text1"/>
          <w:lang w:val="en-US"/>
        </w:rPr>
        <w:t xml:space="preserve"> C., &amp;</w:t>
      </w:r>
      <w:r w:rsidRPr="008C4A6A">
        <w:rPr>
          <w:color w:val="000000" w:themeColor="text1"/>
          <w:lang w:val="en-US"/>
        </w:rPr>
        <w:t xml:space="preserve"> Russel</w:t>
      </w:r>
      <w:r>
        <w:rPr>
          <w:color w:val="000000" w:themeColor="text1"/>
          <w:lang w:val="en-US"/>
        </w:rPr>
        <w:t>l, M. W. (1991).</w:t>
      </w:r>
      <w:r w:rsidRPr="008C4A6A">
        <w:rPr>
          <w:color w:val="000000" w:themeColor="text1"/>
          <w:lang w:val="en-US"/>
        </w:rPr>
        <w:t xml:space="preserve"> </w:t>
      </w:r>
      <w:r w:rsidRPr="00A856DB">
        <w:rPr>
          <w:color w:val="000000" w:themeColor="text1"/>
          <w:lang w:val="en-US"/>
        </w:rPr>
        <w:t xml:space="preserve">Selective transport of IgA. Cellular and molecular aspects. </w:t>
      </w:r>
      <w:r w:rsidRPr="00A856DB">
        <w:rPr>
          <w:i/>
          <w:color w:val="000000" w:themeColor="text1"/>
          <w:lang w:val="en-US"/>
        </w:rPr>
        <w:t xml:space="preserve">Gastroenterology </w:t>
      </w:r>
      <w:r w:rsidR="00A22A71">
        <w:rPr>
          <w:i/>
          <w:color w:val="000000" w:themeColor="text1"/>
          <w:lang w:val="en-US"/>
        </w:rPr>
        <w:t>C</w:t>
      </w:r>
      <w:r w:rsidRPr="00A856DB">
        <w:rPr>
          <w:i/>
          <w:color w:val="000000" w:themeColor="text1"/>
          <w:lang w:val="en-US"/>
        </w:rPr>
        <w:t>linics of North America</w:t>
      </w:r>
      <w:r>
        <w:rPr>
          <w:i/>
          <w:color w:val="000000" w:themeColor="text1"/>
          <w:lang w:val="en-US"/>
        </w:rPr>
        <w:t>,</w:t>
      </w:r>
      <w:r w:rsidRPr="003819FA">
        <w:rPr>
          <w:i/>
          <w:color w:val="000000" w:themeColor="text1"/>
          <w:lang w:val="en-US"/>
        </w:rPr>
        <w:t xml:space="preserve"> 20</w:t>
      </w:r>
      <w:r>
        <w:rPr>
          <w:color w:val="000000" w:themeColor="text1"/>
          <w:lang w:val="en-US"/>
        </w:rPr>
        <w:t>(</w:t>
      </w:r>
      <w:r w:rsidRPr="00A856DB">
        <w:rPr>
          <w:color w:val="000000" w:themeColor="text1"/>
          <w:lang w:val="en-US"/>
        </w:rPr>
        <w:t>3</w:t>
      </w:r>
      <w:r>
        <w:rPr>
          <w:color w:val="000000" w:themeColor="text1"/>
          <w:lang w:val="en-US"/>
        </w:rPr>
        <w:t>),</w:t>
      </w:r>
      <w:r w:rsidRPr="00A856DB">
        <w:rPr>
          <w:color w:val="000000" w:themeColor="text1"/>
          <w:lang w:val="en-US"/>
        </w:rPr>
        <w:t xml:space="preserve"> 441-471.</w:t>
      </w:r>
    </w:p>
    <w:p w14:paraId="732A8FD3" w14:textId="77777777" w:rsidR="00FD43EF" w:rsidRPr="00A856DB" w:rsidRDefault="00FD43EF" w:rsidP="00FD43EF">
      <w:pPr>
        <w:rPr>
          <w:color w:val="000000" w:themeColor="text1"/>
          <w:lang w:val="en-US"/>
        </w:rPr>
      </w:pPr>
    </w:p>
    <w:p w14:paraId="42DC898A" w14:textId="507E1709" w:rsidR="00FD43EF" w:rsidRPr="00A856DB" w:rsidRDefault="00FD43EF" w:rsidP="00FD43EF">
      <w:pPr>
        <w:rPr>
          <w:lang w:val="en-US"/>
        </w:rPr>
      </w:pPr>
      <w:r w:rsidRPr="00A856DB">
        <w:rPr>
          <w:lang w:val="en-US"/>
        </w:rPr>
        <w:lastRenderedPageBreak/>
        <w:t>Minagawa, M</w:t>
      </w:r>
      <w:r>
        <w:rPr>
          <w:lang w:val="en-US"/>
        </w:rPr>
        <w:t>.</w:t>
      </w:r>
      <w:r w:rsidRPr="00A856DB">
        <w:rPr>
          <w:lang w:val="en-US"/>
        </w:rPr>
        <w:t xml:space="preserve">, </w:t>
      </w:r>
      <w:r>
        <w:rPr>
          <w:lang w:val="en-US"/>
        </w:rPr>
        <w:t>&amp;</w:t>
      </w:r>
      <w:r w:rsidRPr="00A856DB">
        <w:rPr>
          <w:lang w:val="en-US"/>
        </w:rPr>
        <w:t xml:space="preserve"> Wad</w:t>
      </w:r>
      <w:r>
        <w:rPr>
          <w:lang w:val="en-US"/>
        </w:rPr>
        <w:t>a, E. (1984).</w:t>
      </w:r>
      <w:r w:rsidRPr="00A856DB">
        <w:rPr>
          <w:lang w:val="en-US"/>
        </w:rPr>
        <w:t xml:space="preserve"> Stepwise enrichment of </w:t>
      </w:r>
      <w:r w:rsidRPr="00A856DB">
        <w:rPr>
          <w:vertAlign w:val="superscript"/>
          <w:lang w:val="en-US"/>
        </w:rPr>
        <w:t>15</w:t>
      </w:r>
      <w:r w:rsidRPr="00A856DB">
        <w:rPr>
          <w:lang w:val="en-US"/>
        </w:rPr>
        <w:t xml:space="preserve">N along food chains: </w:t>
      </w:r>
      <w:r w:rsidR="00A211B8">
        <w:rPr>
          <w:lang w:val="en-US"/>
        </w:rPr>
        <w:t>F</w:t>
      </w:r>
      <w:r w:rsidRPr="00A856DB">
        <w:rPr>
          <w:lang w:val="en-US"/>
        </w:rPr>
        <w:t>urther evidence and the relation between δ</w:t>
      </w:r>
      <w:r w:rsidRPr="00A211B8">
        <w:rPr>
          <w:vertAlign w:val="superscript"/>
          <w:lang w:val="en-US"/>
        </w:rPr>
        <w:t>15</w:t>
      </w:r>
      <w:r w:rsidRPr="00A856DB">
        <w:rPr>
          <w:lang w:val="en-US"/>
        </w:rPr>
        <w:t xml:space="preserve">N and animal age. </w:t>
      </w:r>
      <w:r w:rsidRPr="00A856DB">
        <w:rPr>
          <w:i/>
          <w:lang w:val="en-US"/>
        </w:rPr>
        <w:t>Geochimica et Cosmochimica Acta</w:t>
      </w:r>
      <w:r>
        <w:rPr>
          <w:i/>
          <w:lang w:val="en-US"/>
        </w:rPr>
        <w:t>,</w:t>
      </w:r>
      <w:r w:rsidRPr="00A856DB">
        <w:rPr>
          <w:lang w:val="en-US"/>
        </w:rPr>
        <w:t xml:space="preserve"> </w:t>
      </w:r>
      <w:r w:rsidRPr="003819FA">
        <w:rPr>
          <w:i/>
          <w:lang w:val="en-US"/>
        </w:rPr>
        <w:t>48</w:t>
      </w:r>
      <w:r>
        <w:rPr>
          <w:lang w:val="en-US"/>
        </w:rPr>
        <w:t>(</w:t>
      </w:r>
      <w:r w:rsidRPr="00A856DB">
        <w:rPr>
          <w:lang w:val="en-US"/>
        </w:rPr>
        <w:t>5</w:t>
      </w:r>
      <w:r>
        <w:rPr>
          <w:lang w:val="en-US"/>
        </w:rPr>
        <w:t xml:space="preserve">), </w:t>
      </w:r>
      <w:r w:rsidRPr="00A856DB">
        <w:rPr>
          <w:lang w:val="en-US"/>
        </w:rPr>
        <w:t>1135-1140.</w:t>
      </w:r>
    </w:p>
    <w:p w14:paraId="21953E96" w14:textId="77777777" w:rsidR="00FD43EF" w:rsidRPr="00A856DB" w:rsidRDefault="00FD43EF" w:rsidP="00FD43EF">
      <w:pPr>
        <w:rPr>
          <w:lang w:val="en-US"/>
        </w:rPr>
      </w:pPr>
    </w:p>
    <w:p w14:paraId="758ED6F5" w14:textId="16023D6C" w:rsidR="00FD43EF" w:rsidRPr="00A856DB" w:rsidRDefault="00FD43EF" w:rsidP="00FD43EF">
      <w:pPr>
        <w:rPr>
          <w:lang w:val="en-US"/>
        </w:rPr>
      </w:pPr>
      <w:r w:rsidRPr="00A856DB">
        <w:rPr>
          <w:lang w:val="en-US"/>
        </w:rPr>
        <w:t>Miszkiewicz, J</w:t>
      </w:r>
      <w:r>
        <w:rPr>
          <w:lang w:val="en-US"/>
        </w:rPr>
        <w:t>.</w:t>
      </w:r>
      <w:r w:rsidRPr="00A856DB">
        <w:rPr>
          <w:lang w:val="en-US"/>
        </w:rPr>
        <w:t xml:space="preserve"> J.</w:t>
      </w:r>
      <w:r>
        <w:rPr>
          <w:lang w:val="en-US"/>
        </w:rPr>
        <w:t xml:space="preserve"> (2015).</w:t>
      </w:r>
      <w:r w:rsidRPr="00A856DB">
        <w:rPr>
          <w:lang w:val="en-US"/>
        </w:rPr>
        <w:t xml:space="preserve"> Linear enamel </w:t>
      </w:r>
      <w:r w:rsidR="00A211B8">
        <w:rPr>
          <w:lang w:val="en-US"/>
        </w:rPr>
        <w:t>h</w:t>
      </w:r>
      <w:r w:rsidRPr="00A856DB">
        <w:rPr>
          <w:lang w:val="en-US"/>
        </w:rPr>
        <w:t xml:space="preserve">ypoplasia and </w:t>
      </w:r>
      <w:r w:rsidR="00A211B8">
        <w:rPr>
          <w:lang w:val="en-US"/>
        </w:rPr>
        <w:t>a</w:t>
      </w:r>
      <w:r w:rsidRPr="00A856DB">
        <w:rPr>
          <w:lang w:val="en-US"/>
        </w:rPr>
        <w:t>ge</w:t>
      </w:r>
      <w:r w:rsidRPr="00A856DB">
        <w:rPr>
          <w:rFonts w:ascii="Cambria Math" w:hAnsi="Cambria Math" w:cs="Cambria Math"/>
          <w:lang w:val="en-US"/>
        </w:rPr>
        <w:t>‐</w:t>
      </w:r>
      <w:r w:rsidRPr="00A856DB">
        <w:rPr>
          <w:lang w:val="en-US"/>
        </w:rPr>
        <w:t>at</w:t>
      </w:r>
      <w:r w:rsidRPr="00A856DB">
        <w:rPr>
          <w:rFonts w:ascii="Cambria Math" w:hAnsi="Cambria Math" w:cs="Cambria Math"/>
          <w:lang w:val="en-US"/>
        </w:rPr>
        <w:t>‐</w:t>
      </w:r>
      <w:r w:rsidR="00A211B8">
        <w:rPr>
          <w:lang w:val="en-US"/>
        </w:rPr>
        <w:t>d</w:t>
      </w:r>
      <w:r w:rsidRPr="00A856DB">
        <w:rPr>
          <w:lang w:val="en-US"/>
        </w:rPr>
        <w:t>eath at Medieval (11</w:t>
      </w:r>
      <w:r w:rsidRPr="00A856DB">
        <w:rPr>
          <w:vertAlign w:val="superscript"/>
          <w:lang w:val="en-US"/>
        </w:rPr>
        <w:t>th</w:t>
      </w:r>
      <w:r w:rsidRPr="00A856DB">
        <w:rPr>
          <w:lang w:val="en-US"/>
        </w:rPr>
        <w:t xml:space="preserve"> 16th Centuries) St. Gregory's Priory and </w:t>
      </w:r>
      <w:r w:rsidR="00A211B8">
        <w:rPr>
          <w:lang w:val="en-US"/>
        </w:rPr>
        <w:t>c</w:t>
      </w:r>
      <w:r w:rsidRPr="00A856DB">
        <w:rPr>
          <w:lang w:val="en-US"/>
        </w:rPr>
        <w:t xml:space="preserve">emetery, Canterbury, UK. </w:t>
      </w:r>
      <w:r w:rsidRPr="00A856DB">
        <w:rPr>
          <w:i/>
          <w:lang w:val="en-US"/>
        </w:rPr>
        <w:t>International Journal of Osteoarchaeology</w:t>
      </w:r>
      <w:r>
        <w:rPr>
          <w:i/>
          <w:lang w:val="en-US"/>
        </w:rPr>
        <w:t>,</w:t>
      </w:r>
      <w:r w:rsidRPr="00A856DB">
        <w:rPr>
          <w:i/>
          <w:lang w:val="en-US"/>
        </w:rPr>
        <w:t xml:space="preserve"> 25</w:t>
      </w:r>
      <w:r>
        <w:rPr>
          <w:lang w:val="en-US"/>
        </w:rPr>
        <w:t>(</w:t>
      </w:r>
      <w:r w:rsidRPr="00A856DB">
        <w:rPr>
          <w:lang w:val="en-US"/>
        </w:rPr>
        <w:t>1</w:t>
      </w:r>
      <w:r>
        <w:rPr>
          <w:lang w:val="en-US"/>
        </w:rPr>
        <w:t xml:space="preserve">), </w:t>
      </w:r>
      <w:r w:rsidRPr="00A856DB">
        <w:rPr>
          <w:lang w:val="en-US"/>
        </w:rPr>
        <w:t>79-87.</w:t>
      </w:r>
    </w:p>
    <w:p w14:paraId="03D96660" w14:textId="77777777" w:rsidR="00FD43EF" w:rsidRPr="00A856DB" w:rsidRDefault="00FD43EF" w:rsidP="00FD43EF">
      <w:pPr>
        <w:rPr>
          <w:lang w:val="en-US"/>
        </w:rPr>
      </w:pPr>
    </w:p>
    <w:p w14:paraId="46391D9B" w14:textId="53CABEEF" w:rsidR="00FD43EF" w:rsidRPr="008C4A6A" w:rsidRDefault="00FD43EF" w:rsidP="00FD43EF">
      <w:pPr>
        <w:rPr>
          <w:iCs/>
          <w:color w:val="000000" w:themeColor="text1"/>
          <w:lang w:val="en-US"/>
        </w:rPr>
      </w:pPr>
      <w:r w:rsidRPr="008C4A6A">
        <w:rPr>
          <w:iCs/>
          <w:color w:val="000000" w:themeColor="text1"/>
          <w:lang w:val="en-US"/>
        </w:rPr>
        <w:t>Mock, N</w:t>
      </w:r>
      <w:r>
        <w:rPr>
          <w:iCs/>
          <w:color w:val="000000" w:themeColor="text1"/>
          <w:lang w:val="en-US"/>
        </w:rPr>
        <w:t>.</w:t>
      </w:r>
      <w:r w:rsidRPr="008C4A6A">
        <w:rPr>
          <w:iCs/>
          <w:color w:val="000000" w:themeColor="text1"/>
          <w:lang w:val="en-US"/>
        </w:rPr>
        <w:t xml:space="preserve"> B., Sellers,</w:t>
      </w:r>
      <w:r>
        <w:rPr>
          <w:iCs/>
          <w:color w:val="000000" w:themeColor="text1"/>
          <w:lang w:val="en-US"/>
        </w:rPr>
        <w:t xml:space="preserve"> T. A.,</w:t>
      </w:r>
      <w:r w:rsidRPr="008C4A6A">
        <w:rPr>
          <w:iCs/>
          <w:color w:val="000000" w:themeColor="text1"/>
          <w:lang w:val="en-US"/>
        </w:rPr>
        <w:t xml:space="preserve"> Abdoh, </w:t>
      </w:r>
      <w:r>
        <w:rPr>
          <w:iCs/>
          <w:color w:val="000000" w:themeColor="text1"/>
          <w:lang w:val="en-US"/>
        </w:rPr>
        <w:t xml:space="preserve">A. A., &amp; </w:t>
      </w:r>
      <w:r w:rsidRPr="008C4A6A">
        <w:rPr>
          <w:iCs/>
          <w:color w:val="000000" w:themeColor="text1"/>
          <w:lang w:val="en-US"/>
        </w:rPr>
        <w:t>Franklin</w:t>
      </w:r>
      <w:r>
        <w:rPr>
          <w:iCs/>
          <w:color w:val="000000" w:themeColor="text1"/>
          <w:lang w:val="en-US"/>
        </w:rPr>
        <w:t>, R. R. (1993).</w:t>
      </w:r>
      <w:r w:rsidRPr="008C4A6A">
        <w:rPr>
          <w:iCs/>
          <w:color w:val="000000" w:themeColor="text1"/>
          <w:lang w:val="en-US"/>
        </w:rPr>
        <w:t xml:space="preserve"> Socioeconomic, environmental, demographic and behavioral factors associated with occurrence of diarrhea in young children in the Republic of Congo. </w:t>
      </w:r>
      <w:r w:rsidRPr="008C4A6A">
        <w:rPr>
          <w:i/>
          <w:iCs/>
          <w:color w:val="000000" w:themeColor="text1"/>
          <w:lang w:val="en-US"/>
        </w:rPr>
        <w:t>Social Science &amp; Medicine</w:t>
      </w:r>
      <w:r>
        <w:rPr>
          <w:i/>
          <w:iCs/>
          <w:color w:val="000000" w:themeColor="text1"/>
          <w:lang w:val="en-US"/>
        </w:rPr>
        <w:t>,</w:t>
      </w:r>
      <w:r w:rsidRPr="008C4A6A">
        <w:rPr>
          <w:iCs/>
          <w:color w:val="000000" w:themeColor="text1"/>
          <w:lang w:val="en-US"/>
        </w:rPr>
        <w:t xml:space="preserve"> </w:t>
      </w:r>
      <w:r w:rsidRPr="003819FA">
        <w:rPr>
          <w:i/>
          <w:iCs/>
          <w:color w:val="000000" w:themeColor="text1"/>
          <w:lang w:val="en-US"/>
        </w:rPr>
        <w:t>36</w:t>
      </w:r>
      <w:r>
        <w:rPr>
          <w:iCs/>
          <w:color w:val="000000" w:themeColor="text1"/>
          <w:lang w:val="en-US"/>
        </w:rPr>
        <w:t>(</w:t>
      </w:r>
      <w:r w:rsidRPr="008C4A6A">
        <w:rPr>
          <w:iCs/>
          <w:color w:val="000000" w:themeColor="text1"/>
          <w:lang w:val="en-US"/>
        </w:rPr>
        <w:t>6</w:t>
      </w:r>
      <w:r>
        <w:rPr>
          <w:iCs/>
          <w:color w:val="000000" w:themeColor="text1"/>
          <w:lang w:val="en-US"/>
        </w:rPr>
        <w:t>),</w:t>
      </w:r>
      <w:r w:rsidRPr="008C4A6A">
        <w:rPr>
          <w:iCs/>
          <w:color w:val="000000" w:themeColor="text1"/>
          <w:lang w:val="en-US"/>
        </w:rPr>
        <w:t xml:space="preserve"> 807-816.</w:t>
      </w:r>
    </w:p>
    <w:p w14:paraId="1831AE02" w14:textId="77777777" w:rsidR="00FD43EF" w:rsidRPr="008C4A6A" w:rsidRDefault="00FD43EF" w:rsidP="00FD43EF">
      <w:pPr>
        <w:rPr>
          <w:iCs/>
          <w:color w:val="000000" w:themeColor="text1"/>
          <w:lang w:val="en-US"/>
        </w:rPr>
      </w:pPr>
    </w:p>
    <w:p w14:paraId="44ED4F61" w14:textId="37AA2FA0" w:rsidR="00FD43EF" w:rsidRPr="00EE3CC9" w:rsidRDefault="00FD43EF" w:rsidP="00FD43EF">
      <w:pPr>
        <w:rPr>
          <w:color w:val="000000" w:themeColor="text1"/>
        </w:rPr>
      </w:pPr>
      <w:r w:rsidRPr="002D69D4">
        <w:rPr>
          <w:color w:val="000000" w:themeColor="text1"/>
          <w:lang w:val="en-US"/>
        </w:rPr>
        <w:t>Moffat, C. &amp; Prowse, T.</w:t>
      </w:r>
      <w:r w:rsidR="00C247A4" w:rsidRPr="002D69D4">
        <w:rPr>
          <w:color w:val="000000" w:themeColor="text1"/>
          <w:lang w:val="en-US"/>
        </w:rPr>
        <w:t xml:space="preserve"> </w:t>
      </w:r>
      <w:r w:rsidRPr="002D69D4">
        <w:rPr>
          <w:color w:val="000000" w:themeColor="text1"/>
          <w:lang w:val="en-US"/>
        </w:rPr>
        <w:t xml:space="preserve">L. (2018) </w:t>
      </w:r>
      <w:r w:rsidRPr="002D69D4">
        <w:rPr>
          <w:color w:val="000000" w:themeColor="text1"/>
        </w:rPr>
        <w:t>Biocultural and bioarchaeological approaches to infant and young child feeding in the past. In</w:t>
      </w:r>
      <w:r w:rsidR="00C247A4" w:rsidRPr="002D69D4">
        <w:rPr>
          <w:color w:val="000000" w:themeColor="text1"/>
        </w:rPr>
        <w:t>:</w:t>
      </w:r>
      <w:r w:rsidRPr="002D69D4">
        <w:rPr>
          <w:color w:val="000000" w:themeColor="text1"/>
        </w:rPr>
        <w:t xml:space="preserve"> </w:t>
      </w:r>
      <w:r w:rsidRPr="002D69D4">
        <w:rPr>
          <w:color w:val="000000" w:themeColor="text1"/>
          <w:lang w:val="en-US"/>
        </w:rPr>
        <w:t xml:space="preserve">Beauchesne, P., &amp; Agarwal, S.C. (Eds.) </w:t>
      </w:r>
      <w:r w:rsidRPr="002D69D4">
        <w:rPr>
          <w:i/>
          <w:color w:val="000000" w:themeColor="text1"/>
          <w:lang w:val="en-US"/>
        </w:rPr>
        <w:t>Children and Childhood in Bioarchaeology</w:t>
      </w:r>
      <w:r w:rsidR="002D69D4" w:rsidRPr="002D69D4">
        <w:rPr>
          <w:i/>
          <w:color w:val="000000" w:themeColor="text1"/>
          <w:lang w:val="en-US"/>
        </w:rPr>
        <w:t xml:space="preserve"> </w:t>
      </w:r>
      <w:r w:rsidR="002D69D4" w:rsidRPr="002D69D4">
        <w:rPr>
          <w:color w:val="000000" w:themeColor="text1"/>
          <w:lang w:val="en-US"/>
        </w:rPr>
        <w:t>(pp. 98-126)</w:t>
      </w:r>
      <w:r w:rsidRPr="002D69D4">
        <w:rPr>
          <w:color w:val="000000" w:themeColor="text1"/>
          <w:lang w:val="en-US"/>
        </w:rPr>
        <w:t>. Gainesville: University Press of Florida.</w:t>
      </w:r>
    </w:p>
    <w:p w14:paraId="5F0B0F1B" w14:textId="77777777" w:rsidR="00FD43EF" w:rsidRPr="008C4A6A" w:rsidRDefault="00FD43EF" w:rsidP="00FD43EF">
      <w:pPr>
        <w:rPr>
          <w:iCs/>
          <w:color w:val="000000" w:themeColor="text1"/>
          <w:lang w:val="en-US"/>
        </w:rPr>
      </w:pPr>
    </w:p>
    <w:p w14:paraId="464F7AF7" w14:textId="77777777" w:rsidR="00FD43EF" w:rsidRPr="00A856DB" w:rsidRDefault="00FD43EF" w:rsidP="00FD43EF">
      <w:pPr>
        <w:rPr>
          <w:lang w:val="en-US"/>
        </w:rPr>
      </w:pPr>
      <w:r w:rsidRPr="00A856DB">
        <w:rPr>
          <w:lang w:val="en-US"/>
        </w:rPr>
        <w:t>Moggi</w:t>
      </w:r>
      <w:r w:rsidRPr="00A856DB">
        <w:rPr>
          <w:rFonts w:ascii="Cambria Math" w:hAnsi="Cambria Math" w:cs="Cambria Math"/>
          <w:lang w:val="en-US"/>
        </w:rPr>
        <w:t>‐</w:t>
      </w:r>
      <w:r w:rsidRPr="00A856DB">
        <w:rPr>
          <w:lang w:val="en-US"/>
        </w:rPr>
        <w:t>Cecchi, J</w:t>
      </w:r>
      <w:r>
        <w:rPr>
          <w:lang w:val="en-US"/>
        </w:rPr>
        <w:t>.</w:t>
      </w:r>
      <w:r w:rsidRPr="00A856DB">
        <w:rPr>
          <w:lang w:val="en-US"/>
        </w:rPr>
        <w:t>, Pacciani,</w:t>
      </w:r>
      <w:r>
        <w:rPr>
          <w:lang w:val="en-US"/>
        </w:rPr>
        <w:t xml:space="preserve"> E.</w:t>
      </w:r>
      <w:r w:rsidRPr="00A856DB">
        <w:rPr>
          <w:lang w:val="en-US"/>
        </w:rPr>
        <w:t xml:space="preserve"> </w:t>
      </w:r>
      <w:r>
        <w:rPr>
          <w:lang w:val="en-US"/>
        </w:rPr>
        <w:t>&amp;</w:t>
      </w:r>
      <w:r w:rsidRPr="00A856DB">
        <w:rPr>
          <w:lang w:val="en-US"/>
        </w:rPr>
        <w:t xml:space="preserve"> Pinto</w:t>
      </w:r>
      <w:r w:rsidRPr="00A856DB">
        <w:rPr>
          <w:rFonts w:ascii="Cambria Math" w:hAnsi="Cambria Math" w:cs="Cambria Math"/>
          <w:lang w:val="en-US"/>
        </w:rPr>
        <w:t>‐</w:t>
      </w:r>
      <w:r w:rsidRPr="00A856DB">
        <w:rPr>
          <w:lang w:val="en-US"/>
        </w:rPr>
        <w:t>Cisternas</w:t>
      </w:r>
      <w:r>
        <w:rPr>
          <w:lang w:val="en-US"/>
        </w:rPr>
        <w:t>, J. (1994).</w:t>
      </w:r>
      <w:r w:rsidRPr="00A856DB">
        <w:rPr>
          <w:lang w:val="en-US"/>
        </w:rPr>
        <w:t xml:space="preserve"> Enamel hypoplasia and age at weaning in 19th</w:t>
      </w:r>
      <w:r w:rsidRPr="00A856DB">
        <w:rPr>
          <w:rFonts w:ascii="Cambria Math" w:hAnsi="Cambria Math" w:cs="Cambria Math"/>
          <w:lang w:val="en-US"/>
        </w:rPr>
        <w:t>‐</w:t>
      </w:r>
      <w:r w:rsidRPr="00A856DB">
        <w:rPr>
          <w:lang w:val="en-US"/>
        </w:rPr>
        <w:t xml:space="preserve">century Florence, Italy. </w:t>
      </w:r>
      <w:r w:rsidRPr="00A856DB">
        <w:rPr>
          <w:i/>
          <w:lang w:val="en-US"/>
        </w:rPr>
        <w:t>American Journal of Physical Anthropology</w:t>
      </w:r>
      <w:r>
        <w:rPr>
          <w:i/>
          <w:lang w:val="en-US"/>
        </w:rPr>
        <w:t>,</w:t>
      </w:r>
      <w:r w:rsidRPr="00A856DB">
        <w:rPr>
          <w:lang w:val="en-US"/>
        </w:rPr>
        <w:t xml:space="preserve"> </w:t>
      </w:r>
      <w:r w:rsidRPr="0002795B">
        <w:rPr>
          <w:i/>
          <w:lang w:val="en-US"/>
        </w:rPr>
        <w:t>93</w:t>
      </w:r>
      <w:r>
        <w:rPr>
          <w:lang w:val="en-US"/>
        </w:rPr>
        <w:t>(</w:t>
      </w:r>
      <w:r w:rsidRPr="00A856DB">
        <w:rPr>
          <w:lang w:val="en-US"/>
        </w:rPr>
        <w:t>3</w:t>
      </w:r>
      <w:r>
        <w:rPr>
          <w:lang w:val="en-US"/>
        </w:rPr>
        <w:t xml:space="preserve">), </w:t>
      </w:r>
      <w:r w:rsidRPr="00A856DB">
        <w:rPr>
          <w:lang w:val="en-US"/>
        </w:rPr>
        <w:t>299-306.</w:t>
      </w:r>
    </w:p>
    <w:p w14:paraId="722D2EBE" w14:textId="77777777" w:rsidR="00FD43EF" w:rsidRPr="00A856DB" w:rsidRDefault="00FD43EF" w:rsidP="00FD43EF">
      <w:pPr>
        <w:rPr>
          <w:lang w:val="en-US"/>
        </w:rPr>
      </w:pPr>
    </w:p>
    <w:p w14:paraId="4A672722" w14:textId="240BB0E4" w:rsidR="00FD43EF" w:rsidRDefault="00FD43EF" w:rsidP="00FD43EF">
      <w:pPr>
        <w:rPr>
          <w:lang w:val="es-ES"/>
        </w:rPr>
      </w:pPr>
      <w:r w:rsidRPr="00A856DB">
        <w:rPr>
          <w:lang w:val="en-US"/>
        </w:rPr>
        <w:t xml:space="preserve">Moliner, M. </w:t>
      </w:r>
      <w:r>
        <w:rPr>
          <w:lang w:val="en-US"/>
        </w:rPr>
        <w:t xml:space="preserve">(2003). </w:t>
      </w:r>
      <w:r w:rsidRPr="003A3A35">
        <w:rPr>
          <w:i/>
          <w:lang w:val="es-ES"/>
        </w:rPr>
        <w:t xml:space="preserve">La </w:t>
      </w:r>
      <w:r w:rsidR="00A22A71" w:rsidRPr="003A3A35">
        <w:rPr>
          <w:i/>
          <w:lang w:val="es-ES"/>
        </w:rPr>
        <w:t>N</w:t>
      </w:r>
      <w:r w:rsidRPr="003A3A35">
        <w:rPr>
          <w:i/>
          <w:lang w:val="es-ES"/>
        </w:rPr>
        <w:t>écropole de Sainte-Barbe à Marseille: IVe s. av. J.  </w:t>
      </w:r>
      <w:r w:rsidRPr="003A3A35">
        <w:rPr>
          <w:i/>
          <w:iCs/>
          <w:lang w:val="es-ES"/>
        </w:rPr>
        <w:t>C.-IIe s. ap. J.-C.</w:t>
      </w:r>
      <w:r w:rsidRPr="00D836F5">
        <w:rPr>
          <w:i/>
          <w:iCs/>
          <w:lang w:val="es-ES"/>
        </w:rPr>
        <w:t xml:space="preserve"> </w:t>
      </w:r>
      <w:r w:rsidRPr="005F7C36">
        <w:rPr>
          <w:lang w:val="es-ES"/>
        </w:rPr>
        <w:t>Aix-en-Provence: Edisud</w:t>
      </w:r>
      <w:r w:rsidRPr="00A22A71">
        <w:rPr>
          <w:lang w:val="es-ES"/>
        </w:rPr>
        <w:t>.</w:t>
      </w:r>
      <w:r w:rsidRPr="00D836F5">
        <w:rPr>
          <w:lang w:val="es-ES"/>
        </w:rPr>
        <w:t xml:space="preserve"> </w:t>
      </w:r>
    </w:p>
    <w:p w14:paraId="725523C8" w14:textId="77777777" w:rsidR="00FD43EF" w:rsidRDefault="00FD43EF" w:rsidP="00FD43EF">
      <w:pPr>
        <w:rPr>
          <w:lang w:val="es-ES"/>
        </w:rPr>
      </w:pPr>
    </w:p>
    <w:p w14:paraId="474AA718" w14:textId="77777777" w:rsidR="00FD43EF" w:rsidRPr="005F7C36" w:rsidRDefault="00FD43EF" w:rsidP="00FD43EF">
      <w:pPr>
        <w:rPr>
          <w:lang w:val="en-US"/>
        </w:rPr>
      </w:pPr>
      <w:r w:rsidRPr="005F7C36">
        <w:rPr>
          <w:lang w:val="en-US"/>
        </w:rPr>
        <w:t xml:space="preserve">Moorrees, C. F., Fanning, E. A., &amp; Hunt Jr, E. E. (1963). Age variation of formation stages for ten permanent teeth. </w:t>
      </w:r>
      <w:r w:rsidRPr="005F7C36">
        <w:rPr>
          <w:i/>
          <w:lang w:val="en-US"/>
        </w:rPr>
        <w:t>Journal of Dental Research, 42</w:t>
      </w:r>
      <w:r w:rsidRPr="005F7C36">
        <w:rPr>
          <w:lang w:val="en-US"/>
        </w:rPr>
        <w:t>(6), 1490-1502.</w:t>
      </w:r>
    </w:p>
    <w:p w14:paraId="15F90BE1" w14:textId="77777777" w:rsidR="00FD43EF" w:rsidRPr="005F7C36" w:rsidRDefault="00FD43EF" w:rsidP="00FD43EF">
      <w:pPr>
        <w:rPr>
          <w:lang w:val="en-US"/>
        </w:rPr>
      </w:pPr>
    </w:p>
    <w:p w14:paraId="0E496725" w14:textId="5398A2FD" w:rsidR="00FD43EF" w:rsidRPr="008C4A6A" w:rsidRDefault="00FD43EF" w:rsidP="00FD43EF">
      <w:pPr>
        <w:rPr>
          <w:iCs/>
          <w:color w:val="000000" w:themeColor="text1"/>
          <w:lang w:val="en-US"/>
        </w:rPr>
      </w:pPr>
      <w:r w:rsidRPr="008C4A6A">
        <w:rPr>
          <w:iCs/>
          <w:color w:val="000000" w:themeColor="text1"/>
          <w:lang w:val="en-US"/>
        </w:rPr>
        <w:t xml:space="preserve">Mummert, </w:t>
      </w:r>
      <w:r>
        <w:rPr>
          <w:iCs/>
          <w:color w:val="000000" w:themeColor="text1"/>
          <w:lang w:val="en-US"/>
        </w:rPr>
        <w:t>A.</w:t>
      </w:r>
      <w:r w:rsidRPr="008C4A6A">
        <w:rPr>
          <w:iCs/>
          <w:color w:val="000000" w:themeColor="text1"/>
          <w:lang w:val="en-US"/>
        </w:rPr>
        <w:t>,</w:t>
      </w:r>
      <w:r>
        <w:rPr>
          <w:iCs/>
          <w:color w:val="000000" w:themeColor="text1"/>
          <w:lang w:val="en-US"/>
        </w:rPr>
        <w:t xml:space="preserve"> </w:t>
      </w:r>
      <w:r w:rsidRPr="008C4A6A">
        <w:rPr>
          <w:iCs/>
          <w:color w:val="000000" w:themeColor="text1"/>
          <w:lang w:val="en-US"/>
        </w:rPr>
        <w:t>Schoen,</w:t>
      </w:r>
      <w:r>
        <w:rPr>
          <w:iCs/>
          <w:color w:val="000000" w:themeColor="text1"/>
          <w:lang w:val="en-US"/>
        </w:rPr>
        <w:t xml:space="preserve"> M.,</w:t>
      </w:r>
      <w:r w:rsidRPr="008C4A6A">
        <w:rPr>
          <w:iCs/>
          <w:color w:val="000000" w:themeColor="text1"/>
          <w:lang w:val="en-US"/>
        </w:rPr>
        <w:t xml:space="preserve"> </w:t>
      </w:r>
      <w:r>
        <w:rPr>
          <w:iCs/>
          <w:color w:val="000000" w:themeColor="text1"/>
          <w:lang w:val="en-US"/>
        </w:rPr>
        <w:t>&amp;</w:t>
      </w:r>
      <w:r w:rsidRPr="008C4A6A">
        <w:rPr>
          <w:iCs/>
          <w:color w:val="000000" w:themeColor="text1"/>
          <w:lang w:val="en-US"/>
        </w:rPr>
        <w:t xml:space="preserve"> Lampl</w:t>
      </w:r>
      <w:r>
        <w:rPr>
          <w:iCs/>
          <w:color w:val="000000" w:themeColor="text1"/>
          <w:lang w:val="en-US"/>
        </w:rPr>
        <w:t>, M. (2018).</w:t>
      </w:r>
      <w:r w:rsidRPr="008C4A6A">
        <w:rPr>
          <w:iCs/>
          <w:color w:val="000000" w:themeColor="text1"/>
          <w:lang w:val="en-US"/>
        </w:rPr>
        <w:t xml:space="preserve"> Growth and life course health development. In</w:t>
      </w:r>
      <w:r w:rsidR="00C247A4">
        <w:rPr>
          <w:iCs/>
          <w:color w:val="000000" w:themeColor="text1"/>
          <w:lang w:val="en-US"/>
        </w:rPr>
        <w:t>:</w:t>
      </w:r>
      <w:r w:rsidRPr="008C4A6A">
        <w:rPr>
          <w:iCs/>
          <w:color w:val="000000" w:themeColor="text1"/>
          <w:lang w:val="en-US"/>
        </w:rPr>
        <w:t xml:space="preserve"> </w:t>
      </w:r>
      <w:r>
        <w:rPr>
          <w:iCs/>
          <w:color w:val="000000" w:themeColor="text1"/>
          <w:lang w:val="en-US"/>
        </w:rPr>
        <w:t>Halfon, N.,</w:t>
      </w:r>
      <w:r w:rsidRPr="008C4A6A">
        <w:rPr>
          <w:iCs/>
          <w:color w:val="000000" w:themeColor="text1"/>
          <w:lang w:val="en-US"/>
        </w:rPr>
        <w:t xml:space="preserve"> </w:t>
      </w:r>
      <w:r>
        <w:rPr>
          <w:iCs/>
          <w:color w:val="000000" w:themeColor="text1"/>
          <w:lang w:val="en-US"/>
        </w:rPr>
        <w:t xml:space="preserve">Forrest, C.B., Lerner, R.M. &amp; Faustman, E.M. (Eds.) </w:t>
      </w:r>
      <w:r w:rsidRPr="00836DD9">
        <w:rPr>
          <w:i/>
          <w:iCs/>
          <w:color w:val="000000" w:themeColor="text1"/>
          <w:lang w:val="en-US"/>
        </w:rPr>
        <w:t>Handbook of Life Course Health Development</w:t>
      </w:r>
      <w:r>
        <w:rPr>
          <w:iCs/>
          <w:color w:val="000000" w:themeColor="text1"/>
          <w:lang w:val="en-US"/>
        </w:rPr>
        <w:t xml:space="preserve"> (</w:t>
      </w:r>
      <w:r w:rsidRPr="008C4A6A">
        <w:rPr>
          <w:iCs/>
          <w:color w:val="000000" w:themeColor="text1"/>
          <w:lang w:val="en-US"/>
        </w:rPr>
        <w:t>pp. 405-429</w:t>
      </w:r>
      <w:r>
        <w:rPr>
          <w:iCs/>
          <w:color w:val="000000" w:themeColor="text1"/>
          <w:lang w:val="en-US"/>
        </w:rPr>
        <w:t>).</w:t>
      </w:r>
      <w:r w:rsidRPr="008C4A6A">
        <w:rPr>
          <w:iCs/>
          <w:color w:val="000000" w:themeColor="text1"/>
          <w:lang w:val="en-US"/>
        </w:rPr>
        <w:t xml:space="preserve"> </w:t>
      </w:r>
      <w:r>
        <w:rPr>
          <w:iCs/>
          <w:color w:val="000000" w:themeColor="text1"/>
          <w:lang w:val="en-US"/>
        </w:rPr>
        <w:t>Switzerland</w:t>
      </w:r>
      <w:r w:rsidRPr="00836DD9">
        <w:rPr>
          <w:iCs/>
          <w:color w:val="000000" w:themeColor="text1"/>
          <w:lang w:val="en-US"/>
        </w:rPr>
        <w:t>: Springer.</w:t>
      </w:r>
    </w:p>
    <w:p w14:paraId="3106B6F5" w14:textId="77777777" w:rsidR="00FD43EF" w:rsidRPr="008C4A6A" w:rsidRDefault="00FD43EF" w:rsidP="00FD43EF">
      <w:pPr>
        <w:rPr>
          <w:iCs/>
          <w:color w:val="000000" w:themeColor="text1"/>
          <w:lang w:val="en-US"/>
        </w:rPr>
      </w:pPr>
    </w:p>
    <w:p w14:paraId="69A5978A" w14:textId="3C35A641" w:rsidR="00FD43EF" w:rsidRPr="00D836F5" w:rsidRDefault="00FD43EF" w:rsidP="00FD43EF">
      <w:pPr>
        <w:rPr>
          <w:lang w:val="it-IT"/>
        </w:rPr>
      </w:pPr>
      <w:r w:rsidRPr="00A856DB">
        <w:rPr>
          <w:lang w:val="en-US"/>
        </w:rPr>
        <w:t xml:space="preserve">Nehlich, </w:t>
      </w:r>
      <w:r>
        <w:rPr>
          <w:lang w:val="en-US"/>
        </w:rPr>
        <w:t>O.</w:t>
      </w:r>
      <w:r w:rsidRPr="00A856DB">
        <w:rPr>
          <w:lang w:val="en-US"/>
        </w:rPr>
        <w:t xml:space="preserve">, </w:t>
      </w:r>
      <w:r>
        <w:rPr>
          <w:lang w:val="en-US"/>
        </w:rPr>
        <w:t>Fuller, B.</w:t>
      </w:r>
      <w:r w:rsidR="00C247A4">
        <w:rPr>
          <w:lang w:val="en-US"/>
        </w:rPr>
        <w:t xml:space="preserve"> </w:t>
      </w:r>
      <w:r>
        <w:rPr>
          <w:lang w:val="en-US"/>
        </w:rPr>
        <w:t>T.</w:t>
      </w:r>
      <w:r w:rsidRPr="00A856DB">
        <w:rPr>
          <w:lang w:val="en-US"/>
        </w:rPr>
        <w:t>, Jay,</w:t>
      </w:r>
      <w:r>
        <w:rPr>
          <w:lang w:val="en-US"/>
        </w:rPr>
        <w:t xml:space="preserve"> M.,</w:t>
      </w:r>
      <w:r w:rsidRPr="00A856DB">
        <w:rPr>
          <w:lang w:val="en-US"/>
        </w:rPr>
        <w:t xml:space="preserve"> Mora, </w:t>
      </w:r>
      <w:r>
        <w:rPr>
          <w:lang w:val="en-US"/>
        </w:rPr>
        <w:t xml:space="preserve">A., </w:t>
      </w:r>
      <w:r w:rsidRPr="00A856DB">
        <w:rPr>
          <w:lang w:val="en-US"/>
        </w:rPr>
        <w:t xml:space="preserve">Nicholson, </w:t>
      </w:r>
      <w:r>
        <w:rPr>
          <w:lang w:val="en-US"/>
        </w:rPr>
        <w:t>R.</w:t>
      </w:r>
      <w:r w:rsidR="00C247A4">
        <w:rPr>
          <w:lang w:val="en-US"/>
        </w:rPr>
        <w:t xml:space="preserve"> </w:t>
      </w:r>
      <w:r>
        <w:rPr>
          <w:lang w:val="en-US"/>
        </w:rPr>
        <w:t>A.,</w:t>
      </w:r>
      <w:r w:rsidRPr="00A856DB">
        <w:rPr>
          <w:lang w:val="en-US"/>
        </w:rPr>
        <w:t xml:space="preserve"> Smith, </w:t>
      </w:r>
      <w:r>
        <w:rPr>
          <w:lang w:val="en-US"/>
        </w:rPr>
        <w:t>C.</w:t>
      </w:r>
      <w:r w:rsidR="00C247A4">
        <w:rPr>
          <w:lang w:val="en-US"/>
        </w:rPr>
        <w:t xml:space="preserve"> </w:t>
      </w:r>
      <w:r>
        <w:rPr>
          <w:lang w:val="en-US"/>
        </w:rPr>
        <w:t>I., &amp;</w:t>
      </w:r>
      <w:r w:rsidRPr="00A856DB">
        <w:rPr>
          <w:lang w:val="en-US"/>
        </w:rPr>
        <w:t xml:space="preserve"> Richards</w:t>
      </w:r>
      <w:r>
        <w:rPr>
          <w:lang w:val="en-US"/>
        </w:rPr>
        <w:t xml:space="preserve">, M.P. (2011). </w:t>
      </w:r>
      <w:r w:rsidRPr="00A856DB">
        <w:rPr>
          <w:lang w:val="en-US"/>
        </w:rPr>
        <w:t>Application of sulphur isotope ratios to examine weaning patterns and freshwater fish consumption in Roman Oxfordshire, UK.</w:t>
      </w:r>
      <w:r>
        <w:rPr>
          <w:lang w:val="en-US"/>
        </w:rPr>
        <w:t xml:space="preserve"> </w:t>
      </w:r>
      <w:r w:rsidRPr="00D836F5">
        <w:rPr>
          <w:i/>
          <w:lang w:val="it-IT"/>
        </w:rPr>
        <w:t>Geochimica et Cosmochimica Acta,</w:t>
      </w:r>
      <w:r w:rsidRPr="00D836F5">
        <w:rPr>
          <w:lang w:val="it-IT"/>
        </w:rPr>
        <w:t xml:space="preserve"> </w:t>
      </w:r>
      <w:r w:rsidRPr="00D836F5">
        <w:rPr>
          <w:i/>
          <w:lang w:val="it-IT"/>
        </w:rPr>
        <w:t>75</w:t>
      </w:r>
      <w:r w:rsidRPr="00D836F5">
        <w:rPr>
          <w:lang w:val="it-IT"/>
        </w:rPr>
        <w:t>(17), 4963-4977.</w:t>
      </w:r>
    </w:p>
    <w:p w14:paraId="10B36E5D" w14:textId="77777777" w:rsidR="00FD43EF" w:rsidRPr="00D836F5" w:rsidRDefault="00FD43EF" w:rsidP="00FD43EF">
      <w:pPr>
        <w:rPr>
          <w:lang w:val="it-IT"/>
        </w:rPr>
      </w:pPr>
    </w:p>
    <w:p w14:paraId="4E9DA879" w14:textId="6F8DDB0A" w:rsidR="00FD43EF" w:rsidRPr="00D86B24" w:rsidRDefault="00FD43EF" w:rsidP="00FD43EF">
      <w:pPr>
        <w:rPr>
          <w:color w:val="000000" w:themeColor="text1"/>
        </w:rPr>
      </w:pPr>
      <w:r w:rsidRPr="00D836F5">
        <w:rPr>
          <w:color w:val="000000" w:themeColor="text1"/>
          <w:lang w:val="it-IT"/>
        </w:rPr>
        <w:t xml:space="preserve">Neuberger, F. M., Jopp, E., Graw, M., Püschel, K. &amp; Grupe, G. (2013). </w:t>
      </w:r>
      <w:r w:rsidRPr="00D86B24">
        <w:rPr>
          <w:color w:val="000000" w:themeColor="text1"/>
        </w:rPr>
        <w:t>Signs of malnutrition and starvation—Reconstruction of nutritional life histories by serial isotopic analyses of hair. </w:t>
      </w:r>
      <w:r w:rsidRPr="00D86B24">
        <w:rPr>
          <w:i/>
          <w:iCs/>
          <w:color w:val="000000" w:themeColor="text1"/>
        </w:rPr>
        <w:t>Forensic Science International</w:t>
      </w:r>
      <w:r>
        <w:rPr>
          <w:i/>
          <w:iCs/>
          <w:color w:val="000000" w:themeColor="text1"/>
        </w:rPr>
        <w:t>,</w:t>
      </w:r>
      <w:r w:rsidRPr="00D86B24">
        <w:rPr>
          <w:color w:val="000000" w:themeColor="text1"/>
        </w:rPr>
        <w:t> </w:t>
      </w:r>
      <w:r w:rsidRPr="00C37CFA">
        <w:rPr>
          <w:i/>
          <w:color w:val="000000" w:themeColor="text1"/>
        </w:rPr>
        <w:t>226</w:t>
      </w:r>
      <w:r>
        <w:rPr>
          <w:color w:val="000000" w:themeColor="text1"/>
        </w:rPr>
        <w:t>(</w:t>
      </w:r>
      <w:r w:rsidRPr="00D86B24">
        <w:rPr>
          <w:color w:val="000000" w:themeColor="text1"/>
        </w:rPr>
        <w:t>1-3</w:t>
      </w:r>
      <w:r>
        <w:rPr>
          <w:color w:val="000000" w:themeColor="text1"/>
        </w:rPr>
        <w:t>),</w:t>
      </w:r>
      <w:r w:rsidRPr="00D86B24">
        <w:rPr>
          <w:color w:val="000000" w:themeColor="text1"/>
        </w:rPr>
        <w:t xml:space="preserve"> 22-32.</w:t>
      </w:r>
    </w:p>
    <w:p w14:paraId="1154F6C3" w14:textId="77777777" w:rsidR="00FD43EF" w:rsidRPr="00A856DB" w:rsidRDefault="00FD43EF" w:rsidP="00FD43EF">
      <w:pPr>
        <w:rPr>
          <w:lang w:val="en-US"/>
        </w:rPr>
      </w:pPr>
    </w:p>
    <w:p w14:paraId="038B514A" w14:textId="77777777" w:rsidR="00FD43EF" w:rsidRPr="008C4A6A" w:rsidRDefault="00FD43EF" w:rsidP="00FD43EF">
      <w:pPr>
        <w:rPr>
          <w:iCs/>
          <w:color w:val="000000" w:themeColor="text1"/>
          <w:lang w:val="en-US"/>
        </w:rPr>
      </w:pPr>
      <w:r w:rsidRPr="008C4A6A">
        <w:rPr>
          <w:iCs/>
          <w:color w:val="000000" w:themeColor="text1"/>
          <w:lang w:val="en-US"/>
        </w:rPr>
        <w:t>Newman, J.</w:t>
      </w:r>
      <w:r>
        <w:rPr>
          <w:iCs/>
          <w:color w:val="000000" w:themeColor="text1"/>
          <w:lang w:val="en-US"/>
        </w:rPr>
        <w:t xml:space="preserve"> (1995).</w:t>
      </w:r>
      <w:r w:rsidRPr="008C4A6A">
        <w:rPr>
          <w:iCs/>
          <w:color w:val="000000" w:themeColor="text1"/>
          <w:lang w:val="en-US"/>
        </w:rPr>
        <w:t xml:space="preserve"> How breast milk protects newborns. </w:t>
      </w:r>
      <w:r w:rsidRPr="008C4A6A">
        <w:rPr>
          <w:i/>
          <w:iCs/>
          <w:color w:val="000000" w:themeColor="text1"/>
          <w:lang w:val="en-US"/>
        </w:rPr>
        <w:t>Scientific American</w:t>
      </w:r>
      <w:r>
        <w:rPr>
          <w:i/>
          <w:iCs/>
          <w:color w:val="000000" w:themeColor="text1"/>
          <w:lang w:val="en-US"/>
        </w:rPr>
        <w:t>,</w:t>
      </w:r>
      <w:r w:rsidRPr="008C4A6A">
        <w:rPr>
          <w:iCs/>
          <w:color w:val="000000" w:themeColor="text1"/>
          <w:lang w:val="en-US"/>
        </w:rPr>
        <w:t xml:space="preserve"> </w:t>
      </w:r>
      <w:r w:rsidRPr="00D13D58">
        <w:rPr>
          <w:i/>
          <w:iCs/>
          <w:color w:val="000000" w:themeColor="text1"/>
          <w:lang w:val="en-US"/>
        </w:rPr>
        <w:t>273</w:t>
      </w:r>
      <w:r>
        <w:rPr>
          <w:iCs/>
          <w:color w:val="000000" w:themeColor="text1"/>
          <w:lang w:val="en-US"/>
        </w:rPr>
        <w:t>(</w:t>
      </w:r>
      <w:r w:rsidRPr="008C4A6A">
        <w:rPr>
          <w:iCs/>
          <w:color w:val="000000" w:themeColor="text1"/>
          <w:lang w:val="en-US"/>
        </w:rPr>
        <w:t>6</w:t>
      </w:r>
      <w:r>
        <w:rPr>
          <w:iCs/>
          <w:color w:val="000000" w:themeColor="text1"/>
          <w:lang w:val="en-US"/>
        </w:rPr>
        <w:t>),</w:t>
      </w:r>
      <w:r w:rsidRPr="008C4A6A">
        <w:rPr>
          <w:iCs/>
          <w:color w:val="000000" w:themeColor="text1"/>
          <w:lang w:val="en-US"/>
        </w:rPr>
        <w:t xml:space="preserve"> 76-79.</w:t>
      </w:r>
    </w:p>
    <w:p w14:paraId="12BA2B13" w14:textId="77777777" w:rsidR="00FD43EF" w:rsidRPr="008C4A6A" w:rsidRDefault="00FD43EF" w:rsidP="00FD43EF">
      <w:pPr>
        <w:rPr>
          <w:iCs/>
          <w:color w:val="000000" w:themeColor="text1"/>
          <w:lang w:val="en-US"/>
        </w:rPr>
      </w:pPr>
    </w:p>
    <w:p w14:paraId="0B132B4F" w14:textId="330A55C7" w:rsidR="00FD43EF" w:rsidRPr="00A856DB" w:rsidRDefault="00FD43EF" w:rsidP="00FD43EF">
      <w:pPr>
        <w:rPr>
          <w:lang w:val="en-US"/>
        </w:rPr>
      </w:pPr>
      <w:r w:rsidRPr="00A856DB">
        <w:rPr>
          <w:lang w:val="en-US"/>
        </w:rPr>
        <w:lastRenderedPageBreak/>
        <w:t xml:space="preserve">Newman, </w:t>
      </w:r>
      <w:r>
        <w:rPr>
          <w:lang w:val="en-US"/>
        </w:rPr>
        <w:t>S.</w:t>
      </w:r>
      <w:r w:rsidRPr="00A856DB">
        <w:rPr>
          <w:lang w:val="en-US"/>
        </w:rPr>
        <w:t xml:space="preserve"> L., </w:t>
      </w:r>
      <w:r>
        <w:rPr>
          <w:lang w:val="en-US"/>
        </w:rPr>
        <w:t>&amp;</w:t>
      </w:r>
      <w:r w:rsidRPr="00A856DB">
        <w:rPr>
          <w:lang w:val="en-US"/>
        </w:rPr>
        <w:t xml:space="preserve"> Gowland</w:t>
      </w:r>
      <w:r>
        <w:rPr>
          <w:lang w:val="en-US"/>
        </w:rPr>
        <w:t>, R.L. (2017).</w:t>
      </w:r>
      <w:r w:rsidRPr="00A856DB">
        <w:rPr>
          <w:lang w:val="en-US"/>
        </w:rPr>
        <w:t xml:space="preserve"> Dedicated</w:t>
      </w:r>
      <w:r w:rsidR="00C247A4">
        <w:rPr>
          <w:lang w:val="en-US"/>
        </w:rPr>
        <w:t xml:space="preserve"> f</w:t>
      </w:r>
      <w:r w:rsidRPr="00A856DB">
        <w:rPr>
          <w:lang w:val="en-US"/>
        </w:rPr>
        <w:t xml:space="preserve">ollowers of </w:t>
      </w:r>
      <w:r w:rsidR="00C247A4">
        <w:rPr>
          <w:lang w:val="en-US"/>
        </w:rPr>
        <w:t>f</w:t>
      </w:r>
      <w:r w:rsidRPr="00A856DB">
        <w:rPr>
          <w:lang w:val="en-US"/>
        </w:rPr>
        <w:t xml:space="preserve">ashion? </w:t>
      </w:r>
      <w:r w:rsidRPr="008C4A6A">
        <w:rPr>
          <w:lang w:val="en-US"/>
        </w:rPr>
        <w:t xml:space="preserve">Bioarchaeological </w:t>
      </w:r>
      <w:r w:rsidR="00C247A4">
        <w:rPr>
          <w:lang w:val="en-US"/>
        </w:rPr>
        <w:t>p</w:t>
      </w:r>
      <w:r w:rsidRPr="008C4A6A">
        <w:rPr>
          <w:lang w:val="en-US"/>
        </w:rPr>
        <w:t xml:space="preserve">erspectives on </w:t>
      </w:r>
      <w:r w:rsidR="00C247A4">
        <w:rPr>
          <w:lang w:val="en-US"/>
        </w:rPr>
        <w:t>s</w:t>
      </w:r>
      <w:r w:rsidRPr="008C4A6A">
        <w:rPr>
          <w:lang w:val="en-US"/>
        </w:rPr>
        <w:t>ocio</w:t>
      </w:r>
      <w:r w:rsidRPr="008C4A6A">
        <w:rPr>
          <w:rFonts w:ascii="Cambria Math" w:hAnsi="Cambria Math" w:cs="Cambria Math"/>
          <w:lang w:val="en-US"/>
        </w:rPr>
        <w:t>‐</w:t>
      </w:r>
      <w:r w:rsidR="00C247A4">
        <w:rPr>
          <w:lang w:val="en-US"/>
        </w:rPr>
        <w:t>e</w:t>
      </w:r>
      <w:r w:rsidRPr="008C4A6A">
        <w:rPr>
          <w:lang w:val="en-US"/>
        </w:rPr>
        <w:t xml:space="preserve">conomic </w:t>
      </w:r>
      <w:r w:rsidR="00C247A4">
        <w:rPr>
          <w:lang w:val="en-US"/>
        </w:rPr>
        <w:t>s</w:t>
      </w:r>
      <w:r w:rsidRPr="008C4A6A">
        <w:rPr>
          <w:lang w:val="en-US"/>
        </w:rPr>
        <w:t xml:space="preserve">tatus, </w:t>
      </w:r>
      <w:r w:rsidR="00C247A4">
        <w:rPr>
          <w:lang w:val="en-US"/>
        </w:rPr>
        <w:t>i</w:t>
      </w:r>
      <w:r w:rsidRPr="008C4A6A">
        <w:rPr>
          <w:lang w:val="en-US"/>
        </w:rPr>
        <w:t xml:space="preserve">nequality, and </w:t>
      </w:r>
      <w:r w:rsidR="00C247A4">
        <w:rPr>
          <w:lang w:val="en-US"/>
        </w:rPr>
        <w:t>h</w:t>
      </w:r>
      <w:r w:rsidRPr="008C4A6A">
        <w:rPr>
          <w:lang w:val="en-US"/>
        </w:rPr>
        <w:t xml:space="preserve">ealth in </w:t>
      </w:r>
      <w:r w:rsidR="00C247A4">
        <w:rPr>
          <w:lang w:val="en-US"/>
        </w:rPr>
        <w:t>u</w:t>
      </w:r>
      <w:r w:rsidRPr="008C4A6A">
        <w:rPr>
          <w:lang w:val="en-US"/>
        </w:rPr>
        <w:t xml:space="preserve">rban </w:t>
      </w:r>
      <w:r w:rsidR="00C247A4">
        <w:rPr>
          <w:lang w:val="en-US"/>
        </w:rPr>
        <w:t>c</w:t>
      </w:r>
      <w:r w:rsidRPr="008C4A6A">
        <w:rPr>
          <w:lang w:val="en-US"/>
        </w:rPr>
        <w:t xml:space="preserve">hildren from the </w:t>
      </w:r>
      <w:r w:rsidR="00C247A4">
        <w:rPr>
          <w:lang w:val="en-US"/>
        </w:rPr>
        <w:t>i</w:t>
      </w:r>
      <w:r w:rsidRPr="008C4A6A">
        <w:rPr>
          <w:lang w:val="en-US"/>
        </w:rPr>
        <w:t xml:space="preserve">ndustrial </w:t>
      </w:r>
      <w:r w:rsidR="00C247A4">
        <w:rPr>
          <w:lang w:val="en-US"/>
        </w:rPr>
        <w:t>r</w:t>
      </w:r>
      <w:r w:rsidRPr="008C4A6A">
        <w:rPr>
          <w:lang w:val="en-US"/>
        </w:rPr>
        <w:t xml:space="preserve">evolution (18th–19th C), England. </w:t>
      </w:r>
      <w:r w:rsidRPr="00A856DB">
        <w:rPr>
          <w:i/>
          <w:lang w:val="en-US"/>
        </w:rPr>
        <w:t>International Journal of Osteoarchaeology</w:t>
      </w:r>
      <w:r>
        <w:rPr>
          <w:i/>
          <w:lang w:val="en-US"/>
        </w:rPr>
        <w:t>,</w:t>
      </w:r>
      <w:r w:rsidRPr="00A856DB">
        <w:rPr>
          <w:lang w:val="en-US"/>
        </w:rPr>
        <w:t xml:space="preserve"> </w:t>
      </w:r>
      <w:r w:rsidRPr="00D13D58">
        <w:rPr>
          <w:i/>
          <w:lang w:val="en-US"/>
        </w:rPr>
        <w:t>27</w:t>
      </w:r>
      <w:r>
        <w:rPr>
          <w:lang w:val="en-US"/>
        </w:rPr>
        <w:t>(</w:t>
      </w:r>
      <w:r w:rsidRPr="00A856DB">
        <w:rPr>
          <w:lang w:val="en-US"/>
        </w:rPr>
        <w:t>2</w:t>
      </w:r>
      <w:r>
        <w:rPr>
          <w:lang w:val="en-US"/>
        </w:rPr>
        <w:t xml:space="preserve">), </w:t>
      </w:r>
      <w:r w:rsidRPr="00A856DB">
        <w:rPr>
          <w:lang w:val="en-US"/>
        </w:rPr>
        <w:t>217-229.</w:t>
      </w:r>
    </w:p>
    <w:p w14:paraId="79711A09" w14:textId="77777777" w:rsidR="00FD43EF" w:rsidRPr="00A856DB" w:rsidRDefault="00FD43EF" w:rsidP="00FD43EF">
      <w:pPr>
        <w:rPr>
          <w:lang w:val="en-US"/>
        </w:rPr>
      </w:pPr>
    </w:p>
    <w:p w14:paraId="0300CF26" w14:textId="6A494D71" w:rsidR="00FD43EF" w:rsidRPr="00A856DB" w:rsidRDefault="00FD43EF" w:rsidP="00FD43EF">
      <w:pPr>
        <w:rPr>
          <w:lang w:val="en-US"/>
        </w:rPr>
      </w:pPr>
      <w:r w:rsidRPr="00A856DB">
        <w:rPr>
          <w:lang w:val="en-US"/>
        </w:rPr>
        <w:t>Nitsch, E</w:t>
      </w:r>
      <w:r>
        <w:rPr>
          <w:lang w:val="en-US"/>
        </w:rPr>
        <w:t>.</w:t>
      </w:r>
      <w:r w:rsidR="00C247A4">
        <w:rPr>
          <w:lang w:val="en-US"/>
        </w:rPr>
        <w:t xml:space="preserve"> </w:t>
      </w:r>
      <w:r w:rsidRPr="00A856DB">
        <w:rPr>
          <w:lang w:val="en-US"/>
        </w:rPr>
        <w:t xml:space="preserve">K., Humphrey, </w:t>
      </w:r>
      <w:r>
        <w:rPr>
          <w:lang w:val="en-US"/>
        </w:rPr>
        <w:t>L.</w:t>
      </w:r>
      <w:r w:rsidR="00C247A4">
        <w:rPr>
          <w:lang w:val="en-US"/>
        </w:rPr>
        <w:t xml:space="preserve"> </w:t>
      </w:r>
      <w:r>
        <w:rPr>
          <w:lang w:val="en-US"/>
        </w:rPr>
        <w:t xml:space="preserve">T., &amp; </w:t>
      </w:r>
      <w:r w:rsidRPr="00A856DB">
        <w:rPr>
          <w:lang w:val="en-US"/>
        </w:rPr>
        <w:t>Hedges</w:t>
      </w:r>
      <w:r>
        <w:rPr>
          <w:lang w:val="en-US"/>
        </w:rPr>
        <w:t>, R.E.M. (2011).</w:t>
      </w:r>
      <w:r w:rsidRPr="00A856DB">
        <w:rPr>
          <w:lang w:val="en-US"/>
        </w:rPr>
        <w:t xml:space="preserve"> Using stable isotope analysis to examine the effect of economic change on breastfeeding practices in Spitalfields, London, UK. </w:t>
      </w:r>
      <w:r w:rsidRPr="00A856DB">
        <w:rPr>
          <w:i/>
          <w:lang w:val="en-US"/>
        </w:rPr>
        <w:t>American Journal of Physical Anthropology</w:t>
      </w:r>
      <w:r>
        <w:rPr>
          <w:lang w:val="en-US"/>
        </w:rPr>
        <w:t xml:space="preserve">, </w:t>
      </w:r>
      <w:r w:rsidRPr="00D13D58">
        <w:rPr>
          <w:i/>
          <w:lang w:val="en-US"/>
        </w:rPr>
        <w:t>146</w:t>
      </w:r>
      <w:r>
        <w:rPr>
          <w:lang w:val="en-US"/>
        </w:rPr>
        <w:t>(</w:t>
      </w:r>
      <w:r w:rsidRPr="00A856DB">
        <w:rPr>
          <w:lang w:val="en-US"/>
        </w:rPr>
        <w:t>4</w:t>
      </w:r>
      <w:r>
        <w:rPr>
          <w:lang w:val="en-US"/>
        </w:rPr>
        <w:t xml:space="preserve">), </w:t>
      </w:r>
      <w:r w:rsidRPr="00A856DB">
        <w:rPr>
          <w:lang w:val="en-US"/>
        </w:rPr>
        <w:t>619-628.</w:t>
      </w:r>
    </w:p>
    <w:p w14:paraId="51178C4B" w14:textId="77777777" w:rsidR="00FD43EF" w:rsidRPr="00A856DB" w:rsidRDefault="00FD43EF" w:rsidP="00FD43EF">
      <w:pPr>
        <w:rPr>
          <w:lang w:val="en-US"/>
        </w:rPr>
      </w:pPr>
    </w:p>
    <w:p w14:paraId="0F6DE887" w14:textId="77777777" w:rsidR="00FD43EF" w:rsidRPr="00A856DB" w:rsidRDefault="00FD43EF" w:rsidP="00FD43EF">
      <w:pPr>
        <w:rPr>
          <w:lang w:val="en-US"/>
        </w:rPr>
      </w:pPr>
      <w:r w:rsidRPr="00A856DB">
        <w:rPr>
          <w:lang w:val="en-US"/>
        </w:rPr>
        <w:t>O'Leary, M</w:t>
      </w:r>
      <w:r>
        <w:rPr>
          <w:lang w:val="en-US"/>
        </w:rPr>
        <w:t>.</w:t>
      </w:r>
      <w:r w:rsidRPr="00A856DB">
        <w:rPr>
          <w:lang w:val="en-US"/>
        </w:rPr>
        <w:t xml:space="preserve"> H. </w:t>
      </w:r>
      <w:r>
        <w:rPr>
          <w:lang w:val="en-US"/>
        </w:rPr>
        <w:t xml:space="preserve">(1988). </w:t>
      </w:r>
      <w:r w:rsidRPr="00A856DB">
        <w:rPr>
          <w:lang w:val="en-US"/>
        </w:rPr>
        <w:t xml:space="preserve">Carbon isotopes in photosynthesis. </w:t>
      </w:r>
      <w:r w:rsidRPr="00A856DB">
        <w:rPr>
          <w:i/>
          <w:lang w:val="en-US"/>
        </w:rPr>
        <w:t>Bioscience</w:t>
      </w:r>
      <w:r>
        <w:rPr>
          <w:i/>
          <w:lang w:val="en-US"/>
        </w:rPr>
        <w:t>,</w:t>
      </w:r>
      <w:r w:rsidRPr="00A856DB">
        <w:rPr>
          <w:lang w:val="en-US"/>
        </w:rPr>
        <w:t xml:space="preserve"> </w:t>
      </w:r>
      <w:r w:rsidRPr="00D13D58">
        <w:rPr>
          <w:i/>
          <w:lang w:val="en-US"/>
        </w:rPr>
        <w:t>38</w:t>
      </w:r>
      <w:r>
        <w:rPr>
          <w:lang w:val="en-US"/>
        </w:rPr>
        <w:t>(</w:t>
      </w:r>
      <w:r w:rsidRPr="00A856DB">
        <w:rPr>
          <w:lang w:val="en-US"/>
        </w:rPr>
        <w:t>5</w:t>
      </w:r>
      <w:r>
        <w:rPr>
          <w:lang w:val="en-US"/>
        </w:rPr>
        <w:t xml:space="preserve">), </w:t>
      </w:r>
      <w:r w:rsidRPr="00A856DB">
        <w:rPr>
          <w:lang w:val="en-US"/>
        </w:rPr>
        <w:t>328-336.</w:t>
      </w:r>
    </w:p>
    <w:p w14:paraId="067E2DE8" w14:textId="77777777" w:rsidR="00FD43EF" w:rsidRPr="00A856DB" w:rsidRDefault="00FD43EF" w:rsidP="00FD43EF">
      <w:pPr>
        <w:rPr>
          <w:lang w:val="en-US"/>
        </w:rPr>
      </w:pPr>
    </w:p>
    <w:p w14:paraId="31B3CCDD" w14:textId="7A3D98CB" w:rsidR="00FD43EF" w:rsidRPr="00A856DB" w:rsidRDefault="00FD43EF" w:rsidP="00FD43EF">
      <w:pPr>
        <w:rPr>
          <w:lang w:val="en-US"/>
        </w:rPr>
      </w:pPr>
      <w:r w:rsidRPr="00A856DB">
        <w:rPr>
          <w:lang w:val="en-US"/>
        </w:rPr>
        <w:t>Palkovich, A</w:t>
      </w:r>
      <w:r>
        <w:rPr>
          <w:lang w:val="en-US"/>
        </w:rPr>
        <w:t>.</w:t>
      </w:r>
      <w:r w:rsidRPr="00A856DB">
        <w:rPr>
          <w:lang w:val="en-US"/>
        </w:rPr>
        <w:t xml:space="preserve"> M.</w:t>
      </w:r>
      <w:r>
        <w:rPr>
          <w:lang w:val="en-US"/>
        </w:rPr>
        <w:t xml:space="preserve"> (1987).</w:t>
      </w:r>
      <w:r w:rsidRPr="00A856DB">
        <w:rPr>
          <w:lang w:val="en-US"/>
        </w:rPr>
        <w:t xml:space="preserve"> Endemic disease patterns in paleopathology: </w:t>
      </w:r>
      <w:r w:rsidR="003A3A35">
        <w:rPr>
          <w:lang w:val="en-US"/>
        </w:rPr>
        <w:t>P</w:t>
      </w:r>
      <w:r w:rsidRPr="00A856DB">
        <w:rPr>
          <w:lang w:val="en-US"/>
        </w:rPr>
        <w:t xml:space="preserve">orotic hyperostosis. </w:t>
      </w:r>
      <w:r w:rsidRPr="00A856DB">
        <w:rPr>
          <w:i/>
          <w:lang w:val="en-US"/>
        </w:rPr>
        <w:t>American Journal of Physical Anthropology</w:t>
      </w:r>
      <w:r>
        <w:rPr>
          <w:i/>
          <w:lang w:val="en-US"/>
        </w:rPr>
        <w:t>,</w:t>
      </w:r>
      <w:r w:rsidRPr="00A856DB">
        <w:rPr>
          <w:lang w:val="en-US"/>
        </w:rPr>
        <w:t xml:space="preserve"> </w:t>
      </w:r>
      <w:r w:rsidRPr="00D13D58">
        <w:rPr>
          <w:i/>
          <w:lang w:val="en-US"/>
        </w:rPr>
        <w:t>74</w:t>
      </w:r>
      <w:r>
        <w:rPr>
          <w:lang w:val="en-US"/>
        </w:rPr>
        <w:t>(</w:t>
      </w:r>
      <w:r w:rsidRPr="00A856DB">
        <w:rPr>
          <w:lang w:val="en-US"/>
        </w:rPr>
        <w:t>4</w:t>
      </w:r>
      <w:r>
        <w:rPr>
          <w:lang w:val="en-US"/>
        </w:rPr>
        <w:t xml:space="preserve">), </w:t>
      </w:r>
      <w:r w:rsidRPr="00A856DB">
        <w:rPr>
          <w:lang w:val="en-US"/>
        </w:rPr>
        <w:t>527-537.</w:t>
      </w:r>
    </w:p>
    <w:p w14:paraId="59C6FADF" w14:textId="77777777" w:rsidR="00FD43EF" w:rsidRPr="00A856DB" w:rsidRDefault="00FD43EF" w:rsidP="00FD43EF">
      <w:pPr>
        <w:rPr>
          <w:lang w:val="en-US"/>
        </w:rPr>
      </w:pPr>
    </w:p>
    <w:p w14:paraId="41932CE1" w14:textId="47287621" w:rsidR="00FD43EF" w:rsidRPr="00A856DB" w:rsidRDefault="00FD43EF" w:rsidP="00FD43EF">
      <w:pPr>
        <w:rPr>
          <w:lang w:val="en-US"/>
        </w:rPr>
      </w:pPr>
      <w:r w:rsidRPr="00A856DB">
        <w:rPr>
          <w:lang w:val="en-US"/>
        </w:rPr>
        <w:t>Papageorgopoulou, C</w:t>
      </w:r>
      <w:r>
        <w:rPr>
          <w:lang w:val="en-US"/>
        </w:rPr>
        <w:t>.</w:t>
      </w:r>
      <w:r w:rsidRPr="00A856DB">
        <w:rPr>
          <w:lang w:val="en-US"/>
        </w:rPr>
        <w:t>,</w:t>
      </w:r>
      <w:r>
        <w:rPr>
          <w:lang w:val="en-US"/>
        </w:rPr>
        <w:t xml:space="preserve"> </w:t>
      </w:r>
      <w:r w:rsidRPr="00A856DB">
        <w:rPr>
          <w:lang w:val="en-US"/>
        </w:rPr>
        <w:t xml:space="preserve">Suter, </w:t>
      </w:r>
      <w:r>
        <w:rPr>
          <w:lang w:val="en-US"/>
        </w:rPr>
        <w:t>S.</w:t>
      </w:r>
      <w:r w:rsidR="00C247A4">
        <w:rPr>
          <w:lang w:val="en-US"/>
        </w:rPr>
        <w:t xml:space="preserve"> </w:t>
      </w:r>
      <w:r>
        <w:rPr>
          <w:lang w:val="en-US"/>
        </w:rPr>
        <w:t>K.,</w:t>
      </w:r>
      <w:r w:rsidRPr="00A856DB">
        <w:rPr>
          <w:lang w:val="en-US"/>
        </w:rPr>
        <w:t xml:space="preserve"> Rühli, </w:t>
      </w:r>
      <w:r>
        <w:rPr>
          <w:lang w:val="en-US"/>
        </w:rPr>
        <w:t>F.</w:t>
      </w:r>
      <w:r w:rsidR="00C247A4">
        <w:rPr>
          <w:lang w:val="en-US"/>
        </w:rPr>
        <w:t xml:space="preserve"> </w:t>
      </w:r>
      <w:r>
        <w:rPr>
          <w:lang w:val="en-US"/>
        </w:rPr>
        <w:t xml:space="preserve">J., &amp; </w:t>
      </w:r>
      <w:r w:rsidRPr="00A856DB">
        <w:rPr>
          <w:lang w:val="en-US"/>
        </w:rPr>
        <w:t>Siegmund</w:t>
      </w:r>
      <w:r>
        <w:rPr>
          <w:lang w:val="en-US"/>
        </w:rPr>
        <w:t>, F. (2011).</w:t>
      </w:r>
      <w:r w:rsidRPr="00A856DB">
        <w:rPr>
          <w:lang w:val="en-US"/>
        </w:rPr>
        <w:t xml:space="preserve"> Harris lines revisited: </w:t>
      </w:r>
      <w:r w:rsidR="003A3A35">
        <w:rPr>
          <w:lang w:val="en-US"/>
        </w:rPr>
        <w:t>P</w:t>
      </w:r>
      <w:r w:rsidRPr="00A856DB">
        <w:rPr>
          <w:lang w:val="en-US"/>
        </w:rPr>
        <w:t>revalence, comorbidities, and possible etiologies.</w:t>
      </w:r>
      <w:r>
        <w:rPr>
          <w:lang w:val="en-US"/>
        </w:rPr>
        <w:t xml:space="preserve"> </w:t>
      </w:r>
      <w:r w:rsidRPr="00A856DB">
        <w:rPr>
          <w:i/>
          <w:lang w:val="en-US"/>
        </w:rPr>
        <w:t>American Journal of Human Biology</w:t>
      </w:r>
      <w:r>
        <w:rPr>
          <w:i/>
          <w:lang w:val="en-US"/>
        </w:rPr>
        <w:t>,</w:t>
      </w:r>
      <w:r w:rsidRPr="00A856DB">
        <w:rPr>
          <w:lang w:val="en-US"/>
        </w:rPr>
        <w:t xml:space="preserve"> </w:t>
      </w:r>
      <w:r w:rsidRPr="00D13D58">
        <w:rPr>
          <w:i/>
          <w:lang w:val="en-US"/>
        </w:rPr>
        <w:t>23</w:t>
      </w:r>
      <w:r>
        <w:rPr>
          <w:lang w:val="en-US"/>
        </w:rPr>
        <w:t>(</w:t>
      </w:r>
      <w:r w:rsidRPr="00A856DB">
        <w:rPr>
          <w:lang w:val="en-US"/>
        </w:rPr>
        <w:t>3</w:t>
      </w:r>
      <w:r>
        <w:rPr>
          <w:lang w:val="en-US"/>
        </w:rPr>
        <w:t xml:space="preserve">), </w:t>
      </w:r>
      <w:r w:rsidRPr="00A856DB">
        <w:rPr>
          <w:lang w:val="en-US"/>
        </w:rPr>
        <w:t>381-391.</w:t>
      </w:r>
    </w:p>
    <w:p w14:paraId="462D94D8" w14:textId="77777777" w:rsidR="00FD43EF" w:rsidRDefault="00FD43EF" w:rsidP="00FD43EF">
      <w:pPr>
        <w:rPr>
          <w:lang w:val="en-US"/>
        </w:rPr>
      </w:pPr>
    </w:p>
    <w:p w14:paraId="5DB40BE4" w14:textId="2A90A275" w:rsidR="00FD43EF" w:rsidRPr="00D86B24" w:rsidRDefault="00FD43EF" w:rsidP="00FD43EF">
      <w:pPr>
        <w:rPr>
          <w:color w:val="000000" w:themeColor="text1"/>
        </w:rPr>
      </w:pPr>
      <w:r w:rsidRPr="00D86B24">
        <w:rPr>
          <w:color w:val="000000" w:themeColor="text1"/>
        </w:rPr>
        <w:t>Parker, S</w:t>
      </w:r>
      <w:r>
        <w:rPr>
          <w:color w:val="000000" w:themeColor="text1"/>
        </w:rPr>
        <w:t>.</w:t>
      </w:r>
      <w:r w:rsidR="00C247A4">
        <w:rPr>
          <w:color w:val="000000" w:themeColor="text1"/>
        </w:rPr>
        <w:t xml:space="preserve"> </w:t>
      </w:r>
      <w:r w:rsidRPr="00D86B24">
        <w:rPr>
          <w:color w:val="000000" w:themeColor="text1"/>
        </w:rPr>
        <w:t>T.</w:t>
      </w:r>
      <w:r>
        <w:rPr>
          <w:color w:val="000000" w:themeColor="text1"/>
        </w:rPr>
        <w:t xml:space="preserve"> (1994).</w:t>
      </w:r>
      <w:r w:rsidRPr="00D86B24">
        <w:rPr>
          <w:color w:val="000000" w:themeColor="text1"/>
        </w:rPr>
        <w:t> </w:t>
      </w:r>
      <w:r w:rsidRPr="00351066">
        <w:rPr>
          <w:iCs/>
          <w:color w:val="000000" w:themeColor="text1"/>
        </w:rPr>
        <w:t xml:space="preserve">The Roman ʻAqaba </w:t>
      </w:r>
      <w:r w:rsidR="003A3A35">
        <w:rPr>
          <w:iCs/>
          <w:color w:val="000000" w:themeColor="text1"/>
        </w:rPr>
        <w:t>p</w:t>
      </w:r>
      <w:r w:rsidRPr="00351066">
        <w:rPr>
          <w:iCs/>
          <w:color w:val="000000" w:themeColor="text1"/>
        </w:rPr>
        <w:t xml:space="preserve">roject, the 1994 </w:t>
      </w:r>
      <w:r w:rsidR="003A3A35">
        <w:rPr>
          <w:iCs/>
          <w:color w:val="000000" w:themeColor="text1"/>
        </w:rPr>
        <w:t>c</w:t>
      </w:r>
      <w:r w:rsidRPr="00351066">
        <w:rPr>
          <w:iCs/>
          <w:color w:val="000000" w:themeColor="text1"/>
        </w:rPr>
        <w:t>ampaign</w:t>
      </w:r>
      <w:r w:rsidRPr="00D86B24">
        <w:rPr>
          <w:color w:val="000000" w:themeColor="text1"/>
        </w:rPr>
        <w:t xml:space="preserve">. </w:t>
      </w:r>
      <w:r w:rsidRPr="00351066">
        <w:rPr>
          <w:i/>
          <w:color w:val="000000" w:themeColor="text1"/>
        </w:rPr>
        <w:t>Department of Antiquities of Jordan,</w:t>
      </w:r>
      <w:r>
        <w:rPr>
          <w:color w:val="000000" w:themeColor="text1"/>
        </w:rPr>
        <w:t xml:space="preserve"> </w:t>
      </w:r>
      <w:r w:rsidRPr="00351066">
        <w:rPr>
          <w:i/>
          <w:color w:val="000000" w:themeColor="text1"/>
        </w:rPr>
        <w:t>40</w:t>
      </w:r>
      <w:r>
        <w:rPr>
          <w:color w:val="000000" w:themeColor="text1"/>
        </w:rPr>
        <w:t>(1), 231-57.</w:t>
      </w:r>
    </w:p>
    <w:p w14:paraId="5F391978" w14:textId="77777777" w:rsidR="00FD43EF" w:rsidRPr="00A856DB" w:rsidRDefault="00FD43EF" w:rsidP="00FD43EF">
      <w:pPr>
        <w:rPr>
          <w:lang w:val="en-US"/>
        </w:rPr>
      </w:pPr>
    </w:p>
    <w:p w14:paraId="2C930329" w14:textId="2CD8C4CA" w:rsidR="00FD43EF" w:rsidRPr="00A856DB" w:rsidRDefault="00FD43EF" w:rsidP="00FD43EF">
      <w:pPr>
        <w:rPr>
          <w:lang w:val="en-US"/>
        </w:rPr>
      </w:pPr>
      <w:r w:rsidRPr="00A856DB">
        <w:rPr>
          <w:lang w:val="en-US"/>
        </w:rPr>
        <w:t>Penny-Mason, B</w:t>
      </w:r>
      <w:r>
        <w:rPr>
          <w:lang w:val="en-US"/>
        </w:rPr>
        <w:t>.</w:t>
      </w:r>
      <w:r w:rsidRPr="00A856DB">
        <w:rPr>
          <w:lang w:val="en-US"/>
        </w:rPr>
        <w:t xml:space="preserve"> J., </w:t>
      </w:r>
      <w:r>
        <w:rPr>
          <w:lang w:val="en-US"/>
        </w:rPr>
        <w:t>&amp;</w:t>
      </w:r>
      <w:r w:rsidRPr="00A856DB">
        <w:rPr>
          <w:lang w:val="en-US"/>
        </w:rPr>
        <w:t xml:space="preserve"> Gowland</w:t>
      </w:r>
      <w:r>
        <w:rPr>
          <w:lang w:val="en-US"/>
        </w:rPr>
        <w:t>, R.</w:t>
      </w:r>
      <w:r w:rsidR="00C247A4">
        <w:rPr>
          <w:lang w:val="en-US"/>
        </w:rPr>
        <w:t xml:space="preserve"> </w:t>
      </w:r>
      <w:r>
        <w:rPr>
          <w:lang w:val="en-US"/>
        </w:rPr>
        <w:t>L. (2014).</w:t>
      </w:r>
      <w:r w:rsidRPr="00A856DB">
        <w:rPr>
          <w:lang w:val="en-US"/>
        </w:rPr>
        <w:t xml:space="preserve"> The children of the Reformation: </w:t>
      </w:r>
      <w:r w:rsidR="003A3A35">
        <w:rPr>
          <w:lang w:val="en-US"/>
        </w:rPr>
        <w:t>C</w:t>
      </w:r>
      <w:r w:rsidRPr="00A856DB">
        <w:rPr>
          <w:lang w:val="en-US"/>
        </w:rPr>
        <w:t xml:space="preserve">hildhood palaeoepidemiology in Britain, AD 1000–1700. </w:t>
      </w:r>
      <w:r w:rsidRPr="00A856DB">
        <w:rPr>
          <w:i/>
          <w:lang w:val="en-US"/>
        </w:rPr>
        <w:t>Medieval Archaeology</w:t>
      </w:r>
      <w:r>
        <w:rPr>
          <w:i/>
          <w:lang w:val="en-US"/>
        </w:rPr>
        <w:t>,</w:t>
      </w:r>
      <w:r w:rsidRPr="00A856DB">
        <w:rPr>
          <w:lang w:val="en-US"/>
        </w:rPr>
        <w:t xml:space="preserve"> </w:t>
      </w:r>
      <w:r w:rsidRPr="00D13D58">
        <w:rPr>
          <w:i/>
          <w:lang w:val="en-US"/>
        </w:rPr>
        <w:t>58</w:t>
      </w:r>
      <w:r>
        <w:rPr>
          <w:lang w:val="en-US"/>
        </w:rPr>
        <w:t>(</w:t>
      </w:r>
      <w:r w:rsidRPr="00A856DB">
        <w:rPr>
          <w:lang w:val="en-US"/>
        </w:rPr>
        <w:t>1</w:t>
      </w:r>
      <w:r>
        <w:rPr>
          <w:lang w:val="en-US"/>
        </w:rPr>
        <w:t xml:space="preserve">), </w:t>
      </w:r>
      <w:r w:rsidRPr="00A856DB">
        <w:rPr>
          <w:lang w:val="en-US"/>
        </w:rPr>
        <w:t>162-194.</w:t>
      </w:r>
    </w:p>
    <w:p w14:paraId="1EED0B52" w14:textId="77777777" w:rsidR="00FD43EF" w:rsidRPr="00A856DB" w:rsidRDefault="00FD43EF" w:rsidP="00FD43EF">
      <w:pPr>
        <w:rPr>
          <w:lang w:val="en-US"/>
        </w:rPr>
      </w:pPr>
    </w:p>
    <w:p w14:paraId="06D810F3" w14:textId="32013DE8" w:rsidR="00FD43EF" w:rsidRPr="00A856DB" w:rsidRDefault="00FD43EF" w:rsidP="00FD43EF">
      <w:pPr>
        <w:rPr>
          <w:iCs/>
          <w:color w:val="000000" w:themeColor="text1"/>
          <w:lang w:val="en-US"/>
        </w:rPr>
      </w:pPr>
      <w:r w:rsidRPr="00A856DB">
        <w:rPr>
          <w:iCs/>
          <w:color w:val="000000" w:themeColor="text1"/>
          <w:lang w:val="en-US"/>
        </w:rPr>
        <w:t>Perry, M</w:t>
      </w:r>
      <w:r>
        <w:rPr>
          <w:iCs/>
          <w:color w:val="000000" w:themeColor="text1"/>
          <w:lang w:val="en-US"/>
        </w:rPr>
        <w:t>.</w:t>
      </w:r>
      <w:r w:rsidR="00C247A4">
        <w:rPr>
          <w:iCs/>
          <w:color w:val="000000" w:themeColor="text1"/>
          <w:lang w:val="en-US"/>
        </w:rPr>
        <w:t xml:space="preserve"> </w:t>
      </w:r>
      <w:r w:rsidRPr="00A856DB">
        <w:rPr>
          <w:iCs/>
          <w:color w:val="000000" w:themeColor="text1"/>
          <w:lang w:val="en-US"/>
        </w:rPr>
        <w:t>A.</w:t>
      </w:r>
      <w:r>
        <w:rPr>
          <w:iCs/>
          <w:color w:val="000000" w:themeColor="text1"/>
          <w:lang w:val="en-US"/>
        </w:rPr>
        <w:t xml:space="preserve"> (2005).</w:t>
      </w:r>
      <w:r w:rsidRPr="00A856DB">
        <w:rPr>
          <w:iCs/>
          <w:color w:val="000000" w:themeColor="text1"/>
          <w:lang w:val="en-US"/>
        </w:rPr>
        <w:t xml:space="preserve"> Redefining childhood through bioarchaeology: Toward an archaeological and biological understanding of children in antiquity. </w:t>
      </w:r>
      <w:r w:rsidRPr="00A856DB">
        <w:rPr>
          <w:i/>
          <w:iCs/>
          <w:color w:val="000000" w:themeColor="text1"/>
          <w:lang w:val="en-US"/>
        </w:rPr>
        <w:t>Archeological Papers of the American Anthropological Association</w:t>
      </w:r>
      <w:r>
        <w:rPr>
          <w:i/>
          <w:iCs/>
          <w:color w:val="000000" w:themeColor="text1"/>
          <w:lang w:val="en-US"/>
        </w:rPr>
        <w:t>,</w:t>
      </w:r>
      <w:r w:rsidRPr="00A856DB">
        <w:rPr>
          <w:iCs/>
          <w:color w:val="000000" w:themeColor="text1"/>
          <w:lang w:val="en-US"/>
        </w:rPr>
        <w:t> </w:t>
      </w:r>
      <w:r w:rsidRPr="00D13D58">
        <w:rPr>
          <w:i/>
          <w:iCs/>
          <w:color w:val="000000" w:themeColor="text1"/>
          <w:lang w:val="en-US"/>
        </w:rPr>
        <w:t>15</w:t>
      </w:r>
      <w:r>
        <w:rPr>
          <w:iCs/>
          <w:color w:val="000000" w:themeColor="text1"/>
          <w:lang w:val="en-US"/>
        </w:rPr>
        <w:t>(</w:t>
      </w:r>
      <w:r w:rsidRPr="00A856DB">
        <w:rPr>
          <w:iCs/>
          <w:color w:val="000000" w:themeColor="text1"/>
          <w:lang w:val="en-US"/>
        </w:rPr>
        <w:t>1</w:t>
      </w:r>
      <w:r>
        <w:rPr>
          <w:iCs/>
          <w:color w:val="000000" w:themeColor="text1"/>
          <w:lang w:val="en-US"/>
        </w:rPr>
        <w:t>),</w:t>
      </w:r>
      <w:r w:rsidRPr="00A856DB">
        <w:rPr>
          <w:iCs/>
          <w:color w:val="000000" w:themeColor="text1"/>
          <w:lang w:val="en-US"/>
        </w:rPr>
        <w:t xml:space="preserve"> 89-111.</w:t>
      </w:r>
    </w:p>
    <w:p w14:paraId="2A0EEAAF" w14:textId="77777777" w:rsidR="00FD43EF" w:rsidRPr="00A856DB" w:rsidRDefault="00FD43EF" w:rsidP="00FD43EF">
      <w:pPr>
        <w:rPr>
          <w:iCs/>
          <w:color w:val="000000" w:themeColor="text1"/>
          <w:lang w:val="en-US"/>
        </w:rPr>
      </w:pPr>
    </w:p>
    <w:p w14:paraId="194DFC17" w14:textId="77777777" w:rsidR="00FD43EF" w:rsidRPr="00A856DB" w:rsidRDefault="00FD43EF" w:rsidP="00FD43EF">
      <w:pPr>
        <w:rPr>
          <w:color w:val="000000" w:themeColor="text1"/>
          <w:lang w:val="en-US"/>
        </w:rPr>
      </w:pPr>
      <w:r w:rsidRPr="00EE3CC9">
        <w:rPr>
          <w:color w:val="000000" w:themeColor="text1"/>
          <w:lang w:val="en-US"/>
        </w:rPr>
        <w:t xml:space="preserve">Peruzzi, B. (2016). </w:t>
      </w:r>
      <w:r w:rsidRPr="003A3A35">
        <w:rPr>
          <w:i/>
          <w:color w:val="000000" w:themeColor="text1"/>
          <w:lang w:val="en-US"/>
        </w:rPr>
        <w:t>Populating Peucetia: Central Apulian Grave Good Assemblages from the Classical Period (late 6th-3rd centuries BC).</w:t>
      </w:r>
      <w:r w:rsidRPr="00EE3CC9">
        <w:rPr>
          <w:color w:val="000000" w:themeColor="text1"/>
          <w:lang w:val="en-US"/>
        </w:rPr>
        <w:t xml:space="preserve"> Unpublished PhD diss., University of Cincinnati.</w:t>
      </w:r>
    </w:p>
    <w:p w14:paraId="5FCCC0E4" w14:textId="77777777" w:rsidR="00FD43EF" w:rsidRPr="00A856DB" w:rsidRDefault="00FD43EF" w:rsidP="00FD43EF">
      <w:pPr>
        <w:rPr>
          <w:color w:val="000000" w:themeColor="text1"/>
          <w:lang w:val="en-US"/>
        </w:rPr>
      </w:pPr>
    </w:p>
    <w:p w14:paraId="4D10D00E" w14:textId="170A419D" w:rsidR="00FD43EF" w:rsidRPr="00A856DB" w:rsidRDefault="00FD43EF" w:rsidP="00FD43EF">
      <w:pPr>
        <w:rPr>
          <w:color w:val="000000" w:themeColor="text1"/>
          <w:lang w:val="en-US"/>
        </w:rPr>
      </w:pPr>
      <w:r w:rsidRPr="00A856DB">
        <w:rPr>
          <w:color w:val="000000" w:themeColor="text1"/>
          <w:lang w:val="en-US"/>
        </w:rPr>
        <w:t xml:space="preserve">Philp, B. </w:t>
      </w:r>
      <w:r>
        <w:rPr>
          <w:color w:val="000000" w:themeColor="text1"/>
          <w:lang w:val="en-US"/>
        </w:rPr>
        <w:t xml:space="preserve">(1966). </w:t>
      </w:r>
      <w:r w:rsidRPr="00A856DB">
        <w:rPr>
          <w:color w:val="000000" w:themeColor="text1"/>
          <w:lang w:val="en-US"/>
        </w:rPr>
        <w:t xml:space="preserve">Ritual </w:t>
      </w:r>
      <w:r w:rsidR="003A3A35">
        <w:rPr>
          <w:color w:val="000000" w:themeColor="text1"/>
          <w:lang w:val="en-US"/>
        </w:rPr>
        <w:t>b</w:t>
      </w:r>
      <w:r w:rsidRPr="00A856DB">
        <w:rPr>
          <w:color w:val="000000" w:themeColor="text1"/>
          <w:lang w:val="en-US"/>
        </w:rPr>
        <w:t xml:space="preserve">urials at Reculver. </w:t>
      </w:r>
      <w:r w:rsidRPr="00A856DB">
        <w:rPr>
          <w:i/>
          <w:iCs/>
          <w:color w:val="000000" w:themeColor="text1"/>
          <w:lang w:val="en-US"/>
        </w:rPr>
        <w:t>Kent Archaeological Review</w:t>
      </w:r>
      <w:r>
        <w:rPr>
          <w:i/>
          <w:iCs/>
          <w:color w:val="000000" w:themeColor="text1"/>
          <w:lang w:val="en-US"/>
        </w:rPr>
        <w:t>,</w:t>
      </w:r>
      <w:r w:rsidRPr="00A856DB">
        <w:rPr>
          <w:color w:val="000000" w:themeColor="text1"/>
          <w:lang w:val="en-US"/>
        </w:rPr>
        <w:t> </w:t>
      </w:r>
      <w:r w:rsidRPr="00D13D58">
        <w:rPr>
          <w:i/>
          <w:color w:val="000000" w:themeColor="text1"/>
          <w:lang w:val="en-US"/>
        </w:rPr>
        <w:t>6</w:t>
      </w:r>
      <w:r>
        <w:rPr>
          <w:color w:val="000000" w:themeColor="text1"/>
          <w:lang w:val="en-US"/>
        </w:rPr>
        <w:t>(1),</w:t>
      </w:r>
      <w:r w:rsidRPr="00A856DB">
        <w:rPr>
          <w:color w:val="000000" w:themeColor="text1"/>
          <w:lang w:val="en-US"/>
        </w:rPr>
        <w:t xml:space="preserve"> 7.</w:t>
      </w:r>
    </w:p>
    <w:p w14:paraId="190A9223" w14:textId="77777777" w:rsidR="00FD43EF" w:rsidRPr="00A856DB" w:rsidRDefault="00FD43EF" w:rsidP="00FD43EF">
      <w:pPr>
        <w:rPr>
          <w:color w:val="000000" w:themeColor="text1"/>
          <w:lang w:val="en-US"/>
        </w:rPr>
      </w:pPr>
    </w:p>
    <w:p w14:paraId="45951584" w14:textId="396CC91F" w:rsidR="00FD43EF" w:rsidRPr="00A856DB" w:rsidRDefault="00FD43EF" w:rsidP="00FD43EF">
      <w:pPr>
        <w:rPr>
          <w:color w:val="000000" w:themeColor="text1"/>
          <w:lang w:val="en-US"/>
        </w:rPr>
      </w:pPr>
      <w:r w:rsidRPr="00A856DB">
        <w:rPr>
          <w:color w:val="000000" w:themeColor="text1"/>
          <w:lang w:val="en-US"/>
        </w:rPr>
        <w:t>Pickering, L</w:t>
      </w:r>
      <w:r>
        <w:rPr>
          <w:color w:val="000000" w:themeColor="text1"/>
          <w:lang w:val="en-US"/>
        </w:rPr>
        <w:t>.</w:t>
      </w:r>
      <w:r w:rsidRPr="00A856DB">
        <w:rPr>
          <w:color w:val="000000" w:themeColor="text1"/>
          <w:lang w:val="en-US"/>
        </w:rPr>
        <w:t xml:space="preserve"> K., </w:t>
      </w:r>
      <w:r>
        <w:rPr>
          <w:color w:val="000000" w:themeColor="text1"/>
          <w:lang w:val="en-US"/>
        </w:rPr>
        <w:t>&amp;</w:t>
      </w:r>
      <w:r w:rsidRPr="00A856DB">
        <w:rPr>
          <w:color w:val="000000" w:themeColor="text1"/>
          <w:lang w:val="en-US"/>
        </w:rPr>
        <w:t xml:space="preserve"> Ruiz-Palacios</w:t>
      </w:r>
      <w:r>
        <w:rPr>
          <w:color w:val="000000" w:themeColor="text1"/>
          <w:lang w:val="en-US"/>
        </w:rPr>
        <w:t>, G. (1986).</w:t>
      </w:r>
      <w:r w:rsidRPr="00A856DB">
        <w:rPr>
          <w:color w:val="000000" w:themeColor="text1"/>
          <w:lang w:val="en-US"/>
        </w:rPr>
        <w:t xml:space="preserve"> </w:t>
      </w:r>
      <w:r w:rsidRPr="008C4A6A">
        <w:rPr>
          <w:color w:val="000000" w:themeColor="text1"/>
          <w:lang w:val="en-US"/>
        </w:rPr>
        <w:t xml:space="preserve">Antibodies in milk directed against specific enteropathogens. </w:t>
      </w:r>
      <w:r w:rsidRPr="00A856DB">
        <w:rPr>
          <w:color w:val="000000" w:themeColor="text1"/>
          <w:lang w:val="en-US"/>
        </w:rPr>
        <w:t>In</w:t>
      </w:r>
      <w:r w:rsidR="00C247A4">
        <w:rPr>
          <w:color w:val="000000" w:themeColor="text1"/>
          <w:lang w:val="en-US"/>
        </w:rPr>
        <w:t>:</w:t>
      </w:r>
      <w:r>
        <w:rPr>
          <w:color w:val="000000" w:themeColor="text1"/>
          <w:lang w:val="en-US"/>
        </w:rPr>
        <w:t xml:space="preserve"> Hamoush, M. &amp; Goldman, A.S. (Eds.)</w:t>
      </w:r>
      <w:r w:rsidRPr="00A856DB">
        <w:rPr>
          <w:color w:val="000000" w:themeColor="text1"/>
          <w:lang w:val="en-US"/>
        </w:rPr>
        <w:t xml:space="preserve"> </w:t>
      </w:r>
      <w:r w:rsidRPr="00046F50">
        <w:rPr>
          <w:i/>
          <w:color w:val="000000" w:themeColor="text1"/>
          <w:lang w:val="en-US"/>
        </w:rPr>
        <w:t>Human Lactation 2</w:t>
      </w:r>
      <w:r w:rsidRPr="00A856DB">
        <w:rPr>
          <w:color w:val="000000" w:themeColor="text1"/>
          <w:lang w:val="en-US"/>
        </w:rPr>
        <w:t xml:space="preserve"> </w:t>
      </w:r>
      <w:r>
        <w:rPr>
          <w:color w:val="000000" w:themeColor="text1"/>
          <w:lang w:val="en-US"/>
        </w:rPr>
        <w:t>(</w:t>
      </w:r>
      <w:r w:rsidRPr="00A856DB">
        <w:rPr>
          <w:color w:val="000000" w:themeColor="text1"/>
          <w:lang w:val="en-US"/>
        </w:rPr>
        <w:t>pp. 499-506</w:t>
      </w:r>
      <w:r>
        <w:rPr>
          <w:color w:val="000000" w:themeColor="text1"/>
          <w:lang w:val="en-US"/>
        </w:rPr>
        <w:t>). Boston:</w:t>
      </w:r>
      <w:r w:rsidRPr="00A856DB">
        <w:rPr>
          <w:color w:val="000000" w:themeColor="text1"/>
          <w:lang w:val="en-US"/>
        </w:rPr>
        <w:t xml:space="preserve"> Springer</w:t>
      </w:r>
    </w:p>
    <w:p w14:paraId="036749C4" w14:textId="77777777" w:rsidR="00FD43EF" w:rsidRPr="00A856DB" w:rsidRDefault="00FD43EF" w:rsidP="00FD43EF">
      <w:pPr>
        <w:rPr>
          <w:color w:val="000000" w:themeColor="text1"/>
          <w:lang w:val="en-US"/>
        </w:rPr>
      </w:pPr>
    </w:p>
    <w:p w14:paraId="2C858B64" w14:textId="77777777" w:rsidR="00FD43EF" w:rsidRPr="00046F50" w:rsidRDefault="00FD43EF" w:rsidP="00FD43EF">
      <w:r w:rsidRPr="00A856DB">
        <w:rPr>
          <w:color w:val="000000" w:themeColor="text1"/>
          <w:lang w:val="en-US"/>
        </w:rPr>
        <w:t xml:space="preserve">Pinhasi, </w:t>
      </w:r>
      <w:r>
        <w:rPr>
          <w:color w:val="000000" w:themeColor="text1"/>
          <w:lang w:val="en-US"/>
        </w:rPr>
        <w:t>R.</w:t>
      </w:r>
      <w:r w:rsidRPr="00A856DB">
        <w:rPr>
          <w:color w:val="000000" w:themeColor="text1"/>
          <w:lang w:val="en-US"/>
        </w:rPr>
        <w:t>,</w:t>
      </w:r>
      <w:r>
        <w:rPr>
          <w:color w:val="000000" w:themeColor="text1"/>
          <w:lang w:val="en-US"/>
        </w:rPr>
        <w:t xml:space="preserve"> &amp;</w:t>
      </w:r>
      <w:r w:rsidRPr="00A856DB">
        <w:rPr>
          <w:color w:val="000000" w:themeColor="text1"/>
          <w:lang w:val="en-US"/>
        </w:rPr>
        <w:t xml:space="preserve"> Mays</w:t>
      </w:r>
      <w:r>
        <w:rPr>
          <w:color w:val="000000" w:themeColor="text1"/>
          <w:lang w:val="en-US"/>
        </w:rPr>
        <w:t>, S. E</w:t>
      </w:r>
      <w:r w:rsidRPr="00A856DB">
        <w:rPr>
          <w:color w:val="000000" w:themeColor="text1"/>
          <w:lang w:val="en-US"/>
        </w:rPr>
        <w:t>ds.</w:t>
      </w:r>
      <w:r>
        <w:rPr>
          <w:color w:val="000000" w:themeColor="text1"/>
          <w:lang w:val="en-US"/>
        </w:rPr>
        <w:t xml:space="preserve"> (2008).</w:t>
      </w:r>
      <w:r w:rsidRPr="00A856DB">
        <w:rPr>
          <w:color w:val="000000" w:themeColor="text1"/>
          <w:lang w:val="en-US"/>
        </w:rPr>
        <w:t xml:space="preserve"> </w:t>
      </w:r>
      <w:r w:rsidRPr="00A856DB">
        <w:rPr>
          <w:i/>
          <w:color w:val="000000" w:themeColor="text1"/>
          <w:lang w:val="en-US"/>
        </w:rPr>
        <w:t>Advances in Human Palaeopathology</w:t>
      </w:r>
      <w:r w:rsidRPr="00A856DB">
        <w:rPr>
          <w:color w:val="000000" w:themeColor="text1"/>
          <w:lang w:val="en-US"/>
        </w:rPr>
        <w:t xml:space="preserve">. </w:t>
      </w:r>
      <w:r>
        <w:t xml:space="preserve">Chichester: </w:t>
      </w:r>
      <w:r w:rsidRPr="00A856DB">
        <w:rPr>
          <w:color w:val="000000" w:themeColor="text1"/>
          <w:lang w:val="en-US"/>
        </w:rPr>
        <w:t>John Wiley &amp; Sons</w:t>
      </w:r>
      <w:r>
        <w:rPr>
          <w:color w:val="000000" w:themeColor="text1"/>
          <w:lang w:val="en-US"/>
        </w:rPr>
        <w:t>.</w:t>
      </w:r>
    </w:p>
    <w:p w14:paraId="1A415518" w14:textId="77777777" w:rsidR="00FD43EF" w:rsidRPr="00A856DB" w:rsidRDefault="00FD43EF" w:rsidP="00FD43EF">
      <w:pPr>
        <w:rPr>
          <w:color w:val="000000" w:themeColor="text1"/>
          <w:lang w:val="en-US"/>
        </w:rPr>
      </w:pPr>
    </w:p>
    <w:p w14:paraId="576A446C" w14:textId="4A6F6F87" w:rsidR="00FD43EF" w:rsidRPr="00A856DB" w:rsidRDefault="00FD43EF" w:rsidP="00FD43EF">
      <w:pPr>
        <w:rPr>
          <w:lang w:val="en-US"/>
        </w:rPr>
      </w:pPr>
      <w:r w:rsidRPr="00A856DB">
        <w:rPr>
          <w:lang w:val="en-US"/>
        </w:rPr>
        <w:t>Pollock, L</w:t>
      </w:r>
      <w:r>
        <w:rPr>
          <w:lang w:val="en-US"/>
        </w:rPr>
        <w:t>.</w:t>
      </w:r>
      <w:r w:rsidRPr="00A856DB">
        <w:rPr>
          <w:lang w:val="en-US"/>
        </w:rPr>
        <w:t xml:space="preserve"> A.</w:t>
      </w:r>
      <w:r>
        <w:rPr>
          <w:lang w:val="en-US"/>
        </w:rPr>
        <w:t xml:space="preserve"> (1983). </w:t>
      </w:r>
      <w:r w:rsidRPr="00A856DB">
        <w:rPr>
          <w:i/>
          <w:lang w:val="en-US"/>
        </w:rPr>
        <w:t xml:space="preserve">Forgotten </w:t>
      </w:r>
      <w:r w:rsidR="00EA0C59">
        <w:rPr>
          <w:i/>
          <w:lang w:val="en-US"/>
        </w:rPr>
        <w:t>C</w:t>
      </w:r>
      <w:r w:rsidRPr="00A856DB">
        <w:rPr>
          <w:i/>
          <w:lang w:val="en-US"/>
        </w:rPr>
        <w:t xml:space="preserve">hildren: Parent-child </w:t>
      </w:r>
      <w:r w:rsidR="00EA0C59">
        <w:rPr>
          <w:i/>
          <w:lang w:val="en-US"/>
        </w:rPr>
        <w:t>R</w:t>
      </w:r>
      <w:r w:rsidRPr="00A856DB">
        <w:rPr>
          <w:i/>
          <w:lang w:val="en-US"/>
        </w:rPr>
        <w:t>elations from 1500 to 1900</w:t>
      </w:r>
      <w:r w:rsidRPr="00A856DB">
        <w:rPr>
          <w:lang w:val="en-US"/>
        </w:rPr>
        <w:t>. Cambridge: Cambridge University Press</w:t>
      </w:r>
      <w:r>
        <w:rPr>
          <w:lang w:val="en-US"/>
        </w:rPr>
        <w:t xml:space="preserve">. </w:t>
      </w:r>
    </w:p>
    <w:p w14:paraId="22CFC0BF" w14:textId="77777777" w:rsidR="00FD43EF" w:rsidRPr="00A856DB" w:rsidRDefault="00FD43EF" w:rsidP="00FD43EF">
      <w:pPr>
        <w:rPr>
          <w:lang w:val="en-US"/>
        </w:rPr>
      </w:pPr>
    </w:p>
    <w:p w14:paraId="17222D3D" w14:textId="61D9973C" w:rsidR="00FD43EF" w:rsidRPr="00A856DB" w:rsidRDefault="00FD43EF" w:rsidP="00FD43EF">
      <w:pPr>
        <w:rPr>
          <w:color w:val="000000" w:themeColor="text1"/>
          <w:lang w:val="en-US"/>
        </w:rPr>
      </w:pPr>
      <w:r w:rsidRPr="00A856DB">
        <w:rPr>
          <w:color w:val="000000" w:themeColor="text1"/>
          <w:lang w:val="en-US"/>
        </w:rPr>
        <w:t>Ponsard, S</w:t>
      </w:r>
      <w:r>
        <w:rPr>
          <w:color w:val="000000" w:themeColor="text1"/>
          <w:lang w:val="en-US"/>
        </w:rPr>
        <w:t>.</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Averbuch</w:t>
      </w:r>
      <w:r>
        <w:rPr>
          <w:color w:val="000000" w:themeColor="text1"/>
          <w:lang w:val="en-US"/>
        </w:rPr>
        <w:t>, P. (1999).</w:t>
      </w:r>
      <w:r w:rsidRPr="00A856DB">
        <w:rPr>
          <w:color w:val="000000" w:themeColor="text1"/>
          <w:lang w:val="en-US"/>
        </w:rPr>
        <w:t xml:space="preserve"> Should growing and adult animals fed on the same diet show different δ</w:t>
      </w:r>
      <w:r w:rsidRPr="005F7C36">
        <w:rPr>
          <w:color w:val="000000" w:themeColor="text1"/>
          <w:vertAlign w:val="superscript"/>
          <w:lang w:val="en-US"/>
        </w:rPr>
        <w:t>15</w:t>
      </w:r>
      <w:r w:rsidRPr="00A856DB">
        <w:rPr>
          <w:color w:val="000000" w:themeColor="text1"/>
          <w:lang w:val="en-US"/>
        </w:rPr>
        <w:t>N values?</w:t>
      </w:r>
      <w:r w:rsidR="00D60DD9">
        <w:rPr>
          <w:color w:val="000000" w:themeColor="text1"/>
          <w:lang w:val="en-US"/>
        </w:rPr>
        <w:t xml:space="preserve"> </w:t>
      </w:r>
      <w:r w:rsidRPr="00A856DB">
        <w:rPr>
          <w:i/>
          <w:color w:val="000000" w:themeColor="text1"/>
          <w:lang w:val="en-US"/>
        </w:rPr>
        <w:t>Rapid Communications in Mass Spectrometry</w:t>
      </w:r>
      <w:r>
        <w:rPr>
          <w:i/>
          <w:color w:val="000000" w:themeColor="text1"/>
          <w:lang w:val="en-US"/>
        </w:rPr>
        <w:t>,</w:t>
      </w:r>
      <w:r w:rsidRPr="00A856DB">
        <w:rPr>
          <w:color w:val="000000" w:themeColor="text1"/>
          <w:lang w:val="en-US"/>
        </w:rPr>
        <w:t xml:space="preserve"> </w:t>
      </w:r>
      <w:r w:rsidRPr="00651536">
        <w:rPr>
          <w:i/>
          <w:color w:val="000000" w:themeColor="text1"/>
          <w:lang w:val="en-US"/>
        </w:rPr>
        <w:t>13</w:t>
      </w:r>
      <w:r>
        <w:rPr>
          <w:color w:val="000000" w:themeColor="text1"/>
          <w:lang w:val="en-US"/>
        </w:rPr>
        <w:t>(</w:t>
      </w:r>
      <w:r w:rsidRPr="00A856DB">
        <w:rPr>
          <w:color w:val="000000" w:themeColor="text1"/>
          <w:lang w:val="en-US"/>
        </w:rPr>
        <w:t>13</w:t>
      </w:r>
      <w:r>
        <w:rPr>
          <w:color w:val="000000" w:themeColor="text1"/>
          <w:lang w:val="en-US"/>
        </w:rPr>
        <w:t>),</w:t>
      </w:r>
      <w:r w:rsidRPr="00A856DB">
        <w:rPr>
          <w:color w:val="000000" w:themeColor="text1"/>
          <w:lang w:val="en-US"/>
        </w:rPr>
        <w:t xml:space="preserve"> 1305-1310.</w:t>
      </w:r>
    </w:p>
    <w:p w14:paraId="152E4C70" w14:textId="77777777" w:rsidR="00FD43EF" w:rsidRPr="00A856DB" w:rsidRDefault="00FD43EF" w:rsidP="00FD43EF">
      <w:pPr>
        <w:rPr>
          <w:color w:val="000000" w:themeColor="text1"/>
          <w:lang w:val="en-US"/>
        </w:rPr>
      </w:pPr>
    </w:p>
    <w:p w14:paraId="2C371EE9" w14:textId="77777777" w:rsidR="00FD43EF" w:rsidRPr="00A856DB" w:rsidRDefault="00FD43EF" w:rsidP="00FD43EF">
      <w:pPr>
        <w:rPr>
          <w:lang w:val="en-US"/>
        </w:rPr>
      </w:pPr>
      <w:r w:rsidRPr="00A856DB">
        <w:rPr>
          <w:lang w:val="en-US"/>
        </w:rPr>
        <w:t>Popkin, B</w:t>
      </w:r>
      <w:r>
        <w:rPr>
          <w:lang w:val="en-US"/>
        </w:rPr>
        <w:t>.</w:t>
      </w:r>
      <w:r w:rsidRPr="00A856DB">
        <w:rPr>
          <w:lang w:val="en-US"/>
        </w:rPr>
        <w:t xml:space="preserve"> M.</w:t>
      </w:r>
      <w:r>
        <w:rPr>
          <w:lang w:val="en-US"/>
        </w:rPr>
        <w:t xml:space="preserve"> (1980).</w:t>
      </w:r>
      <w:r w:rsidRPr="00A856DB">
        <w:rPr>
          <w:lang w:val="en-US"/>
        </w:rPr>
        <w:t xml:space="preserve"> Time allocation of the mother and child nutrition.</w:t>
      </w:r>
      <w:r>
        <w:rPr>
          <w:lang w:val="en-US"/>
        </w:rPr>
        <w:t xml:space="preserve"> </w:t>
      </w:r>
      <w:r w:rsidRPr="00A856DB">
        <w:rPr>
          <w:i/>
          <w:lang w:val="en-US"/>
        </w:rPr>
        <w:t>Ecology of Food and</w:t>
      </w:r>
      <w:r w:rsidRPr="00A856DB">
        <w:rPr>
          <w:lang w:val="en-US"/>
        </w:rPr>
        <w:t xml:space="preserve"> </w:t>
      </w:r>
      <w:r w:rsidRPr="00D60DD9">
        <w:rPr>
          <w:i/>
          <w:lang w:val="en-US"/>
        </w:rPr>
        <w:t>Nutrition,</w:t>
      </w:r>
      <w:r w:rsidRPr="00A856DB">
        <w:rPr>
          <w:lang w:val="en-US"/>
        </w:rPr>
        <w:t xml:space="preserve"> </w:t>
      </w:r>
      <w:r w:rsidRPr="00651536">
        <w:rPr>
          <w:i/>
          <w:lang w:val="en-US"/>
        </w:rPr>
        <w:t>9</w:t>
      </w:r>
      <w:r>
        <w:rPr>
          <w:lang w:val="en-US"/>
        </w:rPr>
        <w:t>(</w:t>
      </w:r>
      <w:r w:rsidRPr="00A856DB">
        <w:rPr>
          <w:lang w:val="en-US"/>
        </w:rPr>
        <w:t>1</w:t>
      </w:r>
      <w:r>
        <w:rPr>
          <w:lang w:val="en-US"/>
        </w:rPr>
        <w:t xml:space="preserve">), </w:t>
      </w:r>
      <w:r w:rsidRPr="00A856DB">
        <w:rPr>
          <w:lang w:val="en-US"/>
        </w:rPr>
        <w:t>1-13.</w:t>
      </w:r>
    </w:p>
    <w:p w14:paraId="59A9894A" w14:textId="77777777" w:rsidR="00FD43EF" w:rsidRPr="00A856DB" w:rsidRDefault="00FD43EF" w:rsidP="00FD43EF">
      <w:pPr>
        <w:rPr>
          <w:lang w:val="en-US"/>
        </w:rPr>
      </w:pPr>
    </w:p>
    <w:p w14:paraId="5804C202" w14:textId="30167598" w:rsidR="00FD43EF" w:rsidRPr="00A856DB" w:rsidRDefault="00FD43EF" w:rsidP="00FD43EF">
      <w:pPr>
        <w:rPr>
          <w:lang w:val="en-US"/>
        </w:rPr>
      </w:pPr>
      <w:r w:rsidRPr="00A856DB">
        <w:rPr>
          <w:lang w:val="en-US"/>
        </w:rPr>
        <w:t>Price, T. D</w:t>
      </w:r>
      <w:r>
        <w:rPr>
          <w:lang w:val="en-US"/>
        </w:rPr>
        <w:t>.,</w:t>
      </w:r>
      <w:r w:rsidRPr="00A856DB">
        <w:rPr>
          <w:lang w:val="en-US"/>
        </w:rPr>
        <w:t xml:space="preserve"> Manzanilla, </w:t>
      </w:r>
      <w:r>
        <w:rPr>
          <w:lang w:val="en-US"/>
        </w:rPr>
        <w:t>L., &amp;</w:t>
      </w:r>
      <w:r w:rsidRPr="00A856DB">
        <w:rPr>
          <w:lang w:val="en-US"/>
        </w:rPr>
        <w:t xml:space="preserve"> Middleton</w:t>
      </w:r>
      <w:r>
        <w:rPr>
          <w:lang w:val="en-US"/>
        </w:rPr>
        <w:t>, W.D. (2000).</w:t>
      </w:r>
      <w:r w:rsidRPr="00A856DB">
        <w:rPr>
          <w:lang w:val="en-US"/>
        </w:rPr>
        <w:t xml:space="preserve"> Immigration and the ancient city of Teotihuacan in Mexico: </w:t>
      </w:r>
      <w:r w:rsidR="00EA0C59">
        <w:rPr>
          <w:lang w:val="en-US"/>
        </w:rPr>
        <w:t>A</w:t>
      </w:r>
      <w:r w:rsidRPr="00A856DB">
        <w:rPr>
          <w:lang w:val="en-US"/>
        </w:rPr>
        <w:t xml:space="preserve"> study using strontium isotope ratios in human bone and teeth. </w:t>
      </w:r>
      <w:r w:rsidRPr="00A856DB">
        <w:rPr>
          <w:i/>
          <w:iCs/>
          <w:lang w:val="en-US"/>
        </w:rPr>
        <w:t>Journal of Archaeological Science</w:t>
      </w:r>
      <w:r>
        <w:rPr>
          <w:i/>
          <w:iCs/>
          <w:lang w:val="en-US"/>
        </w:rPr>
        <w:t>,</w:t>
      </w:r>
      <w:r w:rsidRPr="00A856DB">
        <w:rPr>
          <w:lang w:val="en-US"/>
        </w:rPr>
        <w:t> </w:t>
      </w:r>
      <w:r w:rsidRPr="00651536">
        <w:rPr>
          <w:i/>
          <w:lang w:val="en-US"/>
        </w:rPr>
        <w:t>27</w:t>
      </w:r>
      <w:r>
        <w:rPr>
          <w:lang w:val="en-US"/>
        </w:rPr>
        <w:t>(</w:t>
      </w:r>
      <w:r w:rsidRPr="00A856DB">
        <w:rPr>
          <w:lang w:val="en-US"/>
        </w:rPr>
        <w:t>10</w:t>
      </w:r>
      <w:r>
        <w:rPr>
          <w:lang w:val="en-US"/>
        </w:rPr>
        <w:t xml:space="preserve">), </w:t>
      </w:r>
      <w:r w:rsidRPr="00A856DB">
        <w:rPr>
          <w:lang w:val="en-US"/>
        </w:rPr>
        <w:t>903-913.</w:t>
      </w:r>
    </w:p>
    <w:p w14:paraId="4993B6AB" w14:textId="77777777" w:rsidR="00FD43EF" w:rsidRPr="00A856DB" w:rsidRDefault="00FD43EF" w:rsidP="00FD43EF">
      <w:pPr>
        <w:rPr>
          <w:lang w:val="en-US"/>
        </w:rPr>
      </w:pPr>
    </w:p>
    <w:p w14:paraId="42D3A632" w14:textId="492F5120" w:rsidR="00FD43EF" w:rsidRPr="00651536" w:rsidRDefault="00FD43EF" w:rsidP="00FD43EF">
      <w:r w:rsidRPr="00A856DB">
        <w:rPr>
          <w:lang w:val="en-US"/>
        </w:rPr>
        <w:t>Prowse, T</w:t>
      </w:r>
      <w:r>
        <w:rPr>
          <w:lang w:val="en-US"/>
        </w:rPr>
        <w:t>.</w:t>
      </w:r>
      <w:r w:rsidRPr="00A856DB">
        <w:rPr>
          <w:lang w:val="en-US"/>
        </w:rPr>
        <w:t xml:space="preserve"> L.</w:t>
      </w:r>
      <w:r>
        <w:rPr>
          <w:lang w:val="en-US"/>
        </w:rPr>
        <w:t xml:space="preserve"> (2011).</w:t>
      </w:r>
      <w:r w:rsidRPr="00A856DB">
        <w:rPr>
          <w:lang w:val="en-US"/>
        </w:rPr>
        <w:t xml:space="preserve"> Diet and dental health through the life course in Roman Italy. In</w:t>
      </w:r>
      <w:r w:rsidR="00C247A4">
        <w:rPr>
          <w:lang w:val="en-US"/>
        </w:rPr>
        <w:t>:</w:t>
      </w:r>
      <w:r w:rsidRPr="00A856DB">
        <w:rPr>
          <w:lang w:val="en-US"/>
        </w:rPr>
        <w:t xml:space="preserve"> </w:t>
      </w:r>
      <w:r>
        <w:rPr>
          <w:lang w:val="en-US"/>
        </w:rPr>
        <w:t xml:space="preserve">Agarwal, S.C. &amp; Glencross, B.A. (Eds.) </w:t>
      </w:r>
      <w:r w:rsidRPr="00651536">
        <w:rPr>
          <w:i/>
          <w:lang w:val="en-US"/>
        </w:rPr>
        <w:t xml:space="preserve">Social </w:t>
      </w:r>
      <w:r w:rsidR="00EA0C59">
        <w:rPr>
          <w:i/>
          <w:lang w:val="en-US"/>
        </w:rPr>
        <w:t>B</w:t>
      </w:r>
      <w:r w:rsidRPr="00651536">
        <w:rPr>
          <w:i/>
          <w:lang w:val="en-US"/>
        </w:rPr>
        <w:t>ioarchaeology</w:t>
      </w:r>
      <w:r>
        <w:rPr>
          <w:lang w:val="en-US"/>
        </w:rPr>
        <w:t xml:space="preserve"> (pp.</w:t>
      </w:r>
      <w:r w:rsidRPr="00A856DB">
        <w:rPr>
          <w:lang w:val="en-US"/>
        </w:rPr>
        <w:t xml:space="preserve"> 410-4</w:t>
      </w:r>
      <w:r w:rsidRPr="00651536">
        <w:rPr>
          <w:color w:val="000000" w:themeColor="text1"/>
          <w:lang w:val="en-US"/>
        </w:rPr>
        <w:t>37</w:t>
      </w:r>
      <w:r>
        <w:rPr>
          <w:color w:val="000000" w:themeColor="text1"/>
          <w:lang w:val="en-US"/>
        </w:rPr>
        <w:t>)</w:t>
      </w:r>
      <w:r w:rsidRPr="00651536">
        <w:rPr>
          <w:color w:val="000000" w:themeColor="text1"/>
          <w:lang w:val="en-US"/>
        </w:rPr>
        <w:t xml:space="preserve">. </w:t>
      </w:r>
      <w:r w:rsidR="00756C9A">
        <w:rPr>
          <w:color w:val="000000" w:themeColor="text1"/>
          <w:lang w:val="en-US"/>
        </w:rPr>
        <w:t xml:space="preserve">Chichester: </w:t>
      </w:r>
      <w:r w:rsidRPr="00651536">
        <w:rPr>
          <w:color w:val="000000" w:themeColor="text1"/>
          <w:lang w:val="en-US"/>
        </w:rPr>
        <w:t>Wiley-Blackwell</w:t>
      </w:r>
      <w:r w:rsidR="00756C9A">
        <w:rPr>
          <w:color w:val="000000" w:themeColor="text1"/>
          <w:lang w:val="en-US"/>
        </w:rPr>
        <w:t>.</w:t>
      </w:r>
    </w:p>
    <w:p w14:paraId="4C9BB177" w14:textId="77777777" w:rsidR="00FD43EF" w:rsidRPr="00A856DB" w:rsidRDefault="00FD43EF" w:rsidP="00FD43EF">
      <w:pPr>
        <w:rPr>
          <w:lang w:val="en-US"/>
        </w:rPr>
      </w:pPr>
    </w:p>
    <w:p w14:paraId="0BF41240" w14:textId="3F943041" w:rsidR="00FD43EF" w:rsidRPr="00A856DB" w:rsidRDefault="00FD43EF" w:rsidP="00FD43EF">
      <w:pPr>
        <w:rPr>
          <w:lang w:val="en-US"/>
        </w:rPr>
      </w:pPr>
      <w:r w:rsidRPr="00A856DB">
        <w:rPr>
          <w:lang w:val="en-US"/>
        </w:rPr>
        <w:t>Prowse, T</w:t>
      </w:r>
      <w:r>
        <w:rPr>
          <w:lang w:val="en-US"/>
        </w:rPr>
        <w:t>.</w:t>
      </w:r>
      <w:r w:rsidRPr="00A856DB">
        <w:rPr>
          <w:lang w:val="en-US"/>
        </w:rPr>
        <w:t xml:space="preserve"> L., Saunders,</w:t>
      </w:r>
      <w:r>
        <w:rPr>
          <w:lang w:val="en-US"/>
        </w:rPr>
        <w:t xml:space="preserve"> S.</w:t>
      </w:r>
      <w:r w:rsidR="00C247A4">
        <w:rPr>
          <w:lang w:val="en-US"/>
        </w:rPr>
        <w:t xml:space="preserve"> </w:t>
      </w:r>
      <w:r>
        <w:rPr>
          <w:lang w:val="en-US"/>
        </w:rPr>
        <w:t>R.,</w:t>
      </w:r>
      <w:r w:rsidRPr="00A856DB">
        <w:rPr>
          <w:lang w:val="en-US"/>
        </w:rPr>
        <w:t xml:space="preserve"> Schwarcz, </w:t>
      </w:r>
      <w:r>
        <w:rPr>
          <w:lang w:val="en-US"/>
        </w:rPr>
        <w:t>H.</w:t>
      </w:r>
      <w:r w:rsidR="00C247A4">
        <w:rPr>
          <w:lang w:val="en-US"/>
        </w:rPr>
        <w:t xml:space="preserve"> </w:t>
      </w:r>
      <w:r>
        <w:rPr>
          <w:lang w:val="en-US"/>
        </w:rPr>
        <w:t>P.,</w:t>
      </w:r>
      <w:r w:rsidRPr="00A856DB">
        <w:rPr>
          <w:lang w:val="en-US"/>
        </w:rPr>
        <w:t xml:space="preserve"> Garnsey, </w:t>
      </w:r>
      <w:r>
        <w:rPr>
          <w:lang w:val="en-US"/>
        </w:rPr>
        <w:t xml:space="preserve">P., </w:t>
      </w:r>
      <w:r w:rsidRPr="00A856DB">
        <w:rPr>
          <w:lang w:val="en-US"/>
        </w:rPr>
        <w:t>Macchiarelli,</w:t>
      </w:r>
      <w:r>
        <w:rPr>
          <w:lang w:val="en-US"/>
        </w:rPr>
        <w:t xml:space="preserve"> R. &amp;</w:t>
      </w:r>
      <w:r w:rsidRPr="00A856DB">
        <w:rPr>
          <w:lang w:val="en-US"/>
        </w:rPr>
        <w:t xml:space="preserve"> Bondioli</w:t>
      </w:r>
      <w:r>
        <w:rPr>
          <w:lang w:val="en-US"/>
        </w:rPr>
        <w:t xml:space="preserve">, L. (2008). </w:t>
      </w:r>
      <w:r w:rsidRPr="00A856DB">
        <w:rPr>
          <w:lang w:val="en-US"/>
        </w:rPr>
        <w:t xml:space="preserve">Isotopic and dental evidence for infant and young child feeding practices in an imperial Roman skeletal sample. </w:t>
      </w:r>
      <w:r w:rsidRPr="00A856DB">
        <w:rPr>
          <w:i/>
          <w:lang w:val="en-US"/>
        </w:rPr>
        <w:t>American Journal of Physical Anthropology</w:t>
      </w:r>
      <w:r>
        <w:rPr>
          <w:i/>
          <w:lang w:val="en-US"/>
        </w:rPr>
        <w:t>,</w:t>
      </w:r>
      <w:r w:rsidRPr="00A856DB">
        <w:rPr>
          <w:lang w:val="en-US"/>
        </w:rPr>
        <w:t xml:space="preserve"> </w:t>
      </w:r>
      <w:r w:rsidRPr="00651536">
        <w:rPr>
          <w:i/>
          <w:lang w:val="en-US"/>
        </w:rPr>
        <w:t>137</w:t>
      </w:r>
      <w:r>
        <w:rPr>
          <w:lang w:val="en-US"/>
        </w:rPr>
        <w:t>(</w:t>
      </w:r>
      <w:r w:rsidRPr="00A856DB">
        <w:rPr>
          <w:lang w:val="en-US"/>
        </w:rPr>
        <w:t>3</w:t>
      </w:r>
      <w:r>
        <w:rPr>
          <w:lang w:val="en-US"/>
        </w:rPr>
        <w:t>),</w:t>
      </w:r>
      <w:r w:rsidRPr="00A856DB">
        <w:rPr>
          <w:lang w:val="en-US"/>
        </w:rPr>
        <w:t xml:space="preserve"> 294-308.</w:t>
      </w:r>
    </w:p>
    <w:p w14:paraId="2D6CE9EF" w14:textId="77777777" w:rsidR="00FD43EF" w:rsidRDefault="00FD43EF" w:rsidP="00FD43EF">
      <w:pPr>
        <w:rPr>
          <w:lang w:val="en-US"/>
        </w:rPr>
      </w:pPr>
    </w:p>
    <w:p w14:paraId="465730A5" w14:textId="77777777" w:rsidR="00FD43EF" w:rsidRDefault="00FD43EF" w:rsidP="00FD43EF">
      <w:pPr>
        <w:rPr>
          <w:color w:val="000000" w:themeColor="text1"/>
        </w:rPr>
      </w:pPr>
      <w:r w:rsidRPr="002B5733">
        <w:rPr>
          <w:color w:val="000000" w:themeColor="text1"/>
        </w:rPr>
        <w:t>Prowse</w:t>
      </w:r>
      <w:r>
        <w:rPr>
          <w:color w:val="000000" w:themeColor="text1"/>
        </w:rPr>
        <w:t>,</w:t>
      </w:r>
      <w:r w:rsidRPr="002B5733">
        <w:rPr>
          <w:color w:val="000000" w:themeColor="text1"/>
        </w:rPr>
        <w:t xml:space="preserve"> T</w:t>
      </w:r>
      <w:r>
        <w:rPr>
          <w:color w:val="000000" w:themeColor="text1"/>
        </w:rPr>
        <w:t xml:space="preserve">. </w:t>
      </w:r>
      <w:r w:rsidRPr="002B5733">
        <w:rPr>
          <w:color w:val="000000" w:themeColor="text1"/>
        </w:rPr>
        <w:t>L</w:t>
      </w:r>
      <w:r>
        <w:rPr>
          <w:color w:val="000000" w:themeColor="text1"/>
        </w:rPr>
        <w:t>.</w:t>
      </w:r>
      <w:r w:rsidRPr="002B5733">
        <w:rPr>
          <w:color w:val="000000" w:themeColor="text1"/>
        </w:rPr>
        <w:t>, Smith</w:t>
      </w:r>
      <w:r>
        <w:rPr>
          <w:color w:val="000000" w:themeColor="text1"/>
        </w:rPr>
        <w:t>,</w:t>
      </w:r>
      <w:r w:rsidRPr="002B5733">
        <w:rPr>
          <w:color w:val="000000" w:themeColor="text1"/>
        </w:rPr>
        <w:t xml:space="preserve"> T</w:t>
      </w:r>
      <w:r>
        <w:rPr>
          <w:color w:val="000000" w:themeColor="text1"/>
        </w:rPr>
        <w:t>.</w:t>
      </w:r>
      <w:r w:rsidRPr="002B5733">
        <w:rPr>
          <w:color w:val="000000" w:themeColor="text1"/>
        </w:rPr>
        <w:t xml:space="preserve">, </w:t>
      </w:r>
      <w:r>
        <w:rPr>
          <w:color w:val="000000" w:themeColor="text1"/>
        </w:rPr>
        <w:t xml:space="preserve">&amp; </w:t>
      </w:r>
      <w:r w:rsidRPr="002B5733">
        <w:rPr>
          <w:color w:val="000000" w:themeColor="text1"/>
        </w:rPr>
        <w:t>Avery</w:t>
      </w:r>
      <w:r>
        <w:rPr>
          <w:color w:val="000000" w:themeColor="text1"/>
        </w:rPr>
        <w:t>,</w:t>
      </w:r>
      <w:r w:rsidRPr="002B5733">
        <w:rPr>
          <w:color w:val="000000" w:themeColor="text1"/>
        </w:rPr>
        <w:t xml:space="preserve"> C. </w:t>
      </w:r>
      <w:r>
        <w:rPr>
          <w:color w:val="000000" w:themeColor="text1"/>
        </w:rPr>
        <w:t xml:space="preserve">(2017). </w:t>
      </w:r>
      <w:r w:rsidRPr="002B5733">
        <w:rPr>
          <w:color w:val="000000" w:themeColor="text1"/>
        </w:rPr>
        <w:t>Stable isotope analysis of diet in Iron Age</w:t>
      </w:r>
      <w:r>
        <w:rPr>
          <w:color w:val="000000" w:themeColor="text1"/>
        </w:rPr>
        <w:t xml:space="preserve"> </w:t>
      </w:r>
      <w:r w:rsidRPr="002B5733">
        <w:rPr>
          <w:color w:val="000000" w:themeColor="text1"/>
        </w:rPr>
        <w:t>Apulia (7</w:t>
      </w:r>
      <w:r w:rsidRPr="002B5733">
        <w:rPr>
          <w:color w:val="000000" w:themeColor="text1"/>
          <w:vertAlign w:val="superscript"/>
        </w:rPr>
        <w:t>th</w:t>
      </w:r>
      <w:r w:rsidRPr="002B5733">
        <w:rPr>
          <w:color w:val="000000" w:themeColor="text1"/>
        </w:rPr>
        <w:t xml:space="preserve"> – 4</w:t>
      </w:r>
      <w:r w:rsidRPr="002B5733">
        <w:rPr>
          <w:color w:val="000000" w:themeColor="text1"/>
          <w:vertAlign w:val="superscript"/>
        </w:rPr>
        <w:t>th</w:t>
      </w:r>
      <w:r w:rsidRPr="002B5733">
        <w:rPr>
          <w:color w:val="000000" w:themeColor="text1"/>
        </w:rPr>
        <w:t xml:space="preserve"> centuries BCE), Italy: Possible evidence for manuring? Paper </w:t>
      </w:r>
      <w:r>
        <w:rPr>
          <w:color w:val="000000" w:themeColor="text1"/>
        </w:rPr>
        <w:t xml:space="preserve">presented </w:t>
      </w:r>
    </w:p>
    <w:p w14:paraId="19F1F3F9" w14:textId="283DA82F" w:rsidR="00FD43EF" w:rsidRPr="0089523F" w:rsidRDefault="00FD43EF" w:rsidP="00FD43EF">
      <w:pPr>
        <w:rPr>
          <w:color w:val="000000" w:themeColor="text1"/>
        </w:rPr>
      </w:pPr>
      <w:r w:rsidRPr="002B5733">
        <w:rPr>
          <w:color w:val="000000" w:themeColor="text1"/>
        </w:rPr>
        <w:t xml:space="preserve">at the </w:t>
      </w:r>
      <w:r w:rsidR="003A3A35">
        <w:rPr>
          <w:color w:val="000000" w:themeColor="text1"/>
        </w:rPr>
        <w:t xml:space="preserve">2017 </w:t>
      </w:r>
      <w:r w:rsidRPr="002B5733">
        <w:rPr>
          <w:color w:val="000000" w:themeColor="text1"/>
        </w:rPr>
        <w:t>Canadian Association for Physical Anthropology</w:t>
      </w:r>
      <w:r w:rsidR="00EA0C59">
        <w:rPr>
          <w:color w:val="000000" w:themeColor="text1"/>
        </w:rPr>
        <w:t xml:space="preserve"> meetings</w:t>
      </w:r>
      <w:r>
        <w:rPr>
          <w:color w:val="000000" w:themeColor="text1"/>
        </w:rPr>
        <w:t>.</w:t>
      </w:r>
    </w:p>
    <w:p w14:paraId="72295C9D" w14:textId="77777777" w:rsidR="00FD43EF" w:rsidRPr="00A856DB" w:rsidRDefault="00FD43EF" w:rsidP="00FD43EF">
      <w:pPr>
        <w:rPr>
          <w:lang w:val="en-US"/>
        </w:rPr>
      </w:pPr>
    </w:p>
    <w:p w14:paraId="37D2E5FA" w14:textId="40A500BB" w:rsidR="00FD43EF" w:rsidRPr="00A856DB" w:rsidRDefault="00FD43EF" w:rsidP="00FD43EF">
      <w:pPr>
        <w:rPr>
          <w:color w:val="000000" w:themeColor="text1"/>
          <w:lang w:val="en-US"/>
        </w:rPr>
      </w:pPr>
      <w:r w:rsidRPr="00A856DB">
        <w:rPr>
          <w:color w:val="000000" w:themeColor="text1"/>
          <w:lang w:val="en-US"/>
        </w:rPr>
        <w:t>Raeder</w:t>
      </w:r>
      <w:r>
        <w:rPr>
          <w:color w:val="000000" w:themeColor="text1"/>
          <w:lang w:val="en-US"/>
        </w:rPr>
        <w:t>,</w:t>
      </w:r>
      <w:r w:rsidRPr="00A856DB">
        <w:rPr>
          <w:color w:val="000000" w:themeColor="text1"/>
          <w:lang w:val="en-US"/>
        </w:rPr>
        <w:t xml:space="preserve"> J.</w:t>
      </w:r>
      <w:r>
        <w:rPr>
          <w:color w:val="000000" w:themeColor="text1"/>
          <w:lang w:val="en-US"/>
        </w:rPr>
        <w:t xml:space="preserve"> (1933). </w:t>
      </w:r>
      <w:r w:rsidRPr="00A856DB">
        <w:rPr>
          <w:i/>
          <w:color w:val="000000" w:themeColor="text1"/>
          <w:lang w:val="en-US"/>
        </w:rPr>
        <w:t xml:space="preserve">Oribasius, </w:t>
      </w:r>
      <w:r w:rsidR="00EA0C59">
        <w:rPr>
          <w:i/>
          <w:color w:val="000000" w:themeColor="text1"/>
          <w:lang w:val="en-US"/>
        </w:rPr>
        <w:t>C</w:t>
      </w:r>
      <w:r w:rsidRPr="00A856DB">
        <w:rPr>
          <w:i/>
          <w:color w:val="000000" w:themeColor="text1"/>
          <w:lang w:val="en-US"/>
        </w:rPr>
        <w:t xml:space="preserve">ollectionum </w:t>
      </w:r>
      <w:r w:rsidR="00EA0C59">
        <w:rPr>
          <w:i/>
          <w:color w:val="000000" w:themeColor="text1"/>
          <w:lang w:val="en-US"/>
        </w:rPr>
        <w:t>M</w:t>
      </w:r>
      <w:r w:rsidRPr="00A856DB">
        <w:rPr>
          <w:i/>
          <w:color w:val="000000" w:themeColor="text1"/>
          <w:lang w:val="en-US"/>
        </w:rPr>
        <w:t xml:space="preserve">edicarum </w:t>
      </w:r>
      <w:r w:rsidR="00EA0C59">
        <w:rPr>
          <w:i/>
          <w:color w:val="000000" w:themeColor="text1"/>
          <w:lang w:val="en-US"/>
        </w:rPr>
        <w:t>R</w:t>
      </w:r>
      <w:r w:rsidRPr="00A856DB">
        <w:rPr>
          <w:i/>
          <w:color w:val="000000" w:themeColor="text1"/>
          <w:lang w:val="en-US"/>
        </w:rPr>
        <w:t>eliquiae</w:t>
      </w:r>
      <w:r w:rsidRPr="00A856DB">
        <w:rPr>
          <w:color w:val="000000" w:themeColor="text1"/>
          <w:lang w:val="en-US"/>
        </w:rPr>
        <w:t>. Berlin: Teubner Pres</w:t>
      </w:r>
      <w:r>
        <w:rPr>
          <w:color w:val="000000" w:themeColor="text1"/>
          <w:lang w:val="en-US"/>
        </w:rPr>
        <w:t>s.</w:t>
      </w:r>
    </w:p>
    <w:p w14:paraId="30CD73E0" w14:textId="77777777" w:rsidR="00FD43EF" w:rsidRPr="00A856DB" w:rsidRDefault="00FD43EF" w:rsidP="00FD43EF">
      <w:pPr>
        <w:rPr>
          <w:color w:val="000000" w:themeColor="text1"/>
          <w:lang w:val="en-US"/>
        </w:rPr>
      </w:pPr>
    </w:p>
    <w:p w14:paraId="54E319DD" w14:textId="1921EA56" w:rsidR="00FD43EF" w:rsidRDefault="00FD43EF" w:rsidP="00FD43EF">
      <w:pPr>
        <w:rPr>
          <w:color w:val="000000" w:themeColor="text1"/>
          <w:lang w:val="en-US"/>
        </w:rPr>
      </w:pPr>
      <w:r w:rsidRPr="00D836F5">
        <w:rPr>
          <w:color w:val="000000" w:themeColor="text1"/>
          <w:lang w:val="it-IT"/>
        </w:rPr>
        <w:t>Raggatt, L.</w:t>
      </w:r>
      <w:r w:rsidR="00C247A4">
        <w:rPr>
          <w:color w:val="000000" w:themeColor="text1"/>
          <w:lang w:val="it-IT"/>
        </w:rPr>
        <w:t xml:space="preserve"> </w:t>
      </w:r>
      <w:r w:rsidRPr="00D836F5">
        <w:rPr>
          <w:color w:val="000000" w:themeColor="text1"/>
          <w:lang w:val="it-IT"/>
        </w:rPr>
        <w:t>J., &amp; Partridge, N.</w:t>
      </w:r>
      <w:r w:rsidR="00C247A4">
        <w:rPr>
          <w:color w:val="000000" w:themeColor="text1"/>
          <w:lang w:val="it-IT"/>
        </w:rPr>
        <w:t xml:space="preserve"> </w:t>
      </w:r>
      <w:r w:rsidRPr="00D836F5">
        <w:rPr>
          <w:color w:val="000000" w:themeColor="text1"/>
          <w:lang w:val="it-IT"/>
        </w:rPr>
        <w:t xml:space="preserve">C. (2010). </w:t>
      </w:r>
      <w:r w:rsidRPr="00A856DB">
        <w:rPr>
          <w:color w:val="000000" w:themeColor="text1"/>
          <w:lang w:val="en-US"/>
        </w:rPr>
        <w:t>Cellular and molecular mechanisms of bone remodeling.</w:t>
      </w:r>
      <w:r>
        <w:rPr>
          <w:color w:val="000000" w:themeColor="text1"/>
          <w:lang w:val="en-US"/>
        </w:rPr>
        <w:t xml:space="preserve"> </w:t>
      </w:r>
      <w:r w:rsidRPr="00A856DB">
        <w:rPr>
          <w:i/>
          <w:color w:val="000000" w:themeColor="text1"/>
          <w:lang w:val="en-US"/>
        </w:rPr>
        <w:t>Journal of Biological Chemistry</w:t>
      </w:r>
      <w:r>
        <w:rPr>
          <w:i/>
          <w:color w:val="000000" w:themeColor="text1"/>
          <w:lang w:val="en-US"/>
        </w:rPr>
        <w:t>,</w:t>
      </w:r>
      <w:r w:rsidRPr="00A856DB">
        <w:rPr>
          <w:color w:val="000000" w:themeColor="text1"/>
          <w:lang w:val="en-US"/>
        </w:rPr>
        <w:t xml:space="preserve"> </w:t>
      </w:r>
      <w:r w:rsidRPr="00651536">
        <w:rPr>
          <w:i/>
          <w:color w:val="000000" w:themeColor="text1"/>
          <w:lang w:val="en-US"/>
        </w:rPr>
        <w:t>285</w:t>
      </w:r>
      <w:r>
        <w:rPr>
          <w:color w:val="000000" w:themeColor="text1"/>
          <w:lang w:val="en-US"/>
        </w:rPr>
        <w:t>(</w:t>
      </w:r>
      <w:r w:rsidRPr="00A856DB">
        <w:rPr>
          <w:color w:val="000000" w:themeColor="text1"/>
          <w:lang w:val="en-US"/>
        </w:rPr>
        <w:t>33</w:t>
      </w:r>
      <w:r>
        <w:rPr>
          <w:color w:val="000000" w:themeColor="text1"/>
          <w:lang w:val="en-US"/>
        </w:rPr>
        <w:t xml:space="preserve">), </w:t>
      </w:r>
      <w:r w:rsidRPr="00A856DB">
        <w:rPr>
          <w:color w:val="000000" w:themeColor="text1"/>
          <w:lang w:val="en-US"/>
        </w:rPr>
        <w:t>25103-25108.</w:t>
      </w:r>
    </w:p>
    <w:p w14:paraId="276403AF" w14:textId="77777777" w:rsidR="00FD43EF" w:rsidRDefault="00FD43EF" w:rsidP="00FD43EF">
      <w:pPr>
        <w:rPr>
          <w:color w:val="000000" w:themeColor="text1"/>
          <w:lang w:val="en-US"/>
        </w:rPr>
      </w:pPr>
    </w:p>
    <w:p w14:paraId="42EE2698" w14:textId="77777777" w:rsidR="00FD43EF" w:rsidRDefault="00FD43EF" w:rsidP="00FD43EF">
      <w:pPr>
        <w:rPr>
          <w:color w:val="000000" w:themeColor="text1"/>
          <w:lang w:val="en-US"/>
        </w:rPr>
      </w:pPr>
      <w:r w:rsidRPr="006F4096">
        <w:rPr>
          <w:color w:val="000000" w:themeColor="text1"/>
          <w:lang w:val="en-US"/>
        </w:rPr>
        <w:t xml:space="preserve">Rahkonen, O., Lahelma, E., &amp; Huuhka, M. (1997). Past or present? Childhood living conditions and current socioeconomic status as determinants of adult health. </w:t>
      </w:r>
      <w:r w:rsidRPr="006F4096">
        <w:rPr>
          <w:i/>
          <w:color w:val="000000" w:themeColor="text1"/>
          <w:lang w:val="en-US"/>
        </w:rPr>
        <w:t xml:space="preserve">Social </w:t>
      </w:r>
      <w:r>
        <w:rPr>
          <w:i/>
          <w:color w:val="000000" w:themeColor="text1"/>
          <w:lang w:val="en-US"/>
        </w:rPr>
        <w:t>S</w:t>
      </w:r>
      <w:r w:rsidRPr="006F4096">
        <w:rPr>
          <w:i/>
          <w:color w:val="000000" w:themeColor="text1"/>
          <w:lang w:val="en-US"/>
        </w:rPr>
        <w:t xml:space="preserve">cience &amp; </w:t>
      </w:r>
      <w:r>
        <w:rPr>
          <w:i/>
          <w:color w:val="000000" w:themeColor="text1"/>
          <w:lang w:val="en-US"/>
        </w:rPr>
        <w:t>M</w:t>
      </w:r>
      <w:r w:rsidRPr="006F4096">
        <w:rPr>
          <w:i/>
          <w:color w:val="000000" w:themeColor="text1"/>
          <w:lang w:val="en-US"/>
        </w:rPr>
        <w:t>edicine</w:t>
      </w:r>
      <w:r w:rsidRPr="006F4096">
        <w:rPr>
          <w:color w:val="000000" w:themeColor="text1"/>
          <w:lang w:val="en-US"/>
        </w:rPr>
        <w:t xml:space="preserve">, </w:t>
      </w:r>
      <w:r w:rsidRPr="006F4096">
        <w:rPr>
          <w:i/>
          <w:color w:val="000000" w:themeColor="text1"/>
          <w:lang w:val="en-US"/>
        </w:rPr>
        <w:t>44</w:t>
      </w:r>
      <w:r w:rsidRPr="006F4096">
        <w:rPr>
          <w:color w:val="000000" w:themeColor="text1"/>
          <w:lang w:val="en-US"/>
        </w:rPr>
        <w:t>(3), 327-336.</w:t>
      </w:r>
    </w:p>
    <w:p w14:paraId="454B5CC6" w14:textId="77777777" w:rsidR="00FD43EF" w:rsidRDefault="00FD43EF" w:rsidP="00FD43EF">
      <w:pPr>
        <w:rPr>
          <w:color w:val="000000" w:themeColor="text1"/>
          <w:lang w:val="en-US"/>
        </w:rPr>
      </w:pPr>
    </w:p>
    <w:p w14:paraId="773303AC" w14:textId="64938F62" w:rsidR="00FD43EF" w:rsidRDefault="00FD43EF" w:rsidP="00FD43EF">
      <w:pPr>
        <w:rPr>
          <w:color w:val="000000" w:themeColor="text1"/>
        </w:rPr>
      </w:pPr>
      <w:r w:rsidRPr="00D86B24">
        <w:rPr>
          <w:color w:val="000000" w:themeColor="text1"/>
        </w:rPr>
        <w:t xml:space="preserve">Rawson, </w:t>
      </w:r>
      <w:r>
        <w:rPr>
          <w:color w:val="000000" w:themeColor="text1"/>
        </w:rPr>
        <w:t>B</w:t>
      </w:r>
      <w:r w:rsidRPr="00D86B24">
        <w:rPr>
          <w:color w:val="000000" w:themeColor="text1"/>
        </w:rPr>
        <w:t>.</w:t>
      </w:r>
      <w:r>
        <w:rPr>
          <w:color w:val="000000" w:themeColor="text1"/>
        </w:rPr>
        <w:t xml:space="preserve"> (2003).</w:t>
      </w:r>
      <w:r w:rsidRPr="00D86B24">
        <w:rPr>
          <w:color w:val="000000" w:themeColor="text1"/>
        </w:rPr>
        <w:t> </w:t>
      </w:r>
      <w:r w:rsidRPr="00D86B24">
        <w:rPr>
          <w:i/>
          <w:iCs/>
          <w:color w:val="000000" w:themeColor="text1"/>
        </w:rPr>
        <w:t xml:space="preserve">Children and </w:t>
      </w:r>
      <w:r w:rsidR="00D60DD9">
        <w:rPr>
          <w:i/>
          <w:iCs/>
          <w:color w:val="000000" w:themeColor="text1"/>
        </w:rPr>
        <w:t>C</w:t>
      </w:r>
      <w:r w:rsidRPr="00D86B24">
        <w:rPr>
          <w:i/>
          <w:iCs/>
          <w:color w:val="000000" w:themeColor="text1"/>
        </w:rPr>
        <w:t>hildhood in Roman Italy</w:t>
      </w:r>
      <w:r w:rsidRPr="00D86B24">
        <w:rPr>
          <w:color w:val="000000" w:themeColor="text1"/>
        </w:rPr>
        <w:t xml:space="preserve">. </w:t>
      </w:r>
      <w:r>
        <w:rPr>
          <w:color w:val="000000" w:themeColor="text1"/>
        </w:rPr>
        <w:t xml:space="preserve">New York: Oxford University Press.  </w:t>
      </w:r>
    </w:p>
    <w:p w14:paraId="7B20E553" w14:textId="77777777" w:rsidR="00FD43EF" w:rsidRDefault="00FD43EF" w:rsidP="00FD43EF">
      <w:pPr>
        <w:rPr>
          <w:color w:val="000000" w:themeColor="text1"/>
        </w:rPr>
      </w:pPr>
    </w:p>
    <w:p w14:paraId="380AAD7E" w14:textId="77777777" w:rsidR="00FD43EF" w:rsidRPr="00A45769" w:rsidRDefault="00FD43EF" w:rsidP="00FD43EF">
      <w:pPr>
        <w:rPr>
          <w:color w:val="000000" w:themeColor="text1"/>
        </w:rPr>
      </w:pPr>
      <w:r w:rsidRPr="00D836F5">
        <w:rPr>
          <w:color w:val="000000" w:themeColor="text1"/>
          <w:lang w:val="it-IT"/>
        </w:rPr>
        <w:t xml:space="preserve">Reitsema, L. J., &amp; Vercellotti, G. (2012). </w:t>
      </w:r>
      <w:r w:rsidRPr="00D86B24">
        <w:rPr>
          <w:color w:val="000000" w:themeColor="text1"/>
        </w:rPr>
        <w:t>Stable isotope evidence for sex</w:t>
      </w:r>
      <w:r w:rsidRPr="00D86B24">
        <w:rPr>
          <w:rFonts w:ascii="Cambria Math" w:hAnsi="Cambria Math" w:cs="Cambria Math"/>
          <w:color w:val="000000" w:themeColor="text1"/>
        </w:rPr>
        <w:t>‐</w:t>
      </w:r>
      <w:r w:rsidRPr="00D86B24">
        <w:rPr>
          <w:color w:val="000000" w:themeColor="text1"/>
        </w:rPr>
        <w:t>and status</w:t>
      </w:r>
      <w:r w:rsidRPr="00D86B24">
        <w:rPr>
          <w:rFonts w:ascii="Cambria Math" w:hAnsi="Cambria Math" w:cs="Cambria Math"/>
          <w:color w:val="000000" w:themeColor="text1"/>
        </w:rPr>
        <w:t>‐</w:t>
      </w:r>
      <w:r w:rsidRPr="00D86B24">
        <w:rPr>
          <w:color w:val="000000" w:themeColor="text1"/>
        </w:rPr>
        <w:t>based variations in diet and life history at medieval Trino Vercellese, Italy.</w:t>
      </w:r>
      <w:r>
        <w:rPr>
          <w:color w:val="000000" w:themeColor="text1"/>
        </w:rPr>
        <w:t xml:space="preserve"> </w:t>
      </w:r>
      <w:r w:rsidRPr="00D86B24">
        <w:rPr>
          <w:i/>
          <w:iCs/>
          <w:color w:val="000000" w:themeColor="text1"/>
        </w:rPr>
        <w:t>American Journal of Physical Anthropology</w:t>
      </w:r>
      <w:r>
        <w:rPr>
          <w:i/>
          <w:iCs/>
          <w:color w:val="000000" w:themeColor="text1"/>
        </w:rPr>
        <w:t>,</w:t>
      </w:r>
      <w:r w:rsidRPr="00D86B24">
        <w:rPr>
          <w:color w:val="000000" w:themeColor="text1"/>
        </w:rPr>
        <w:t> </w:t>
      </w:r>
      <w:r w:rsidRPr="00351066">
        <w:rPr>
          <w:i/>
          <w:color w:val="000000" w:themeColor="text1"/>
        </w:rPr>
        <w:t>148</w:t>
      </w:r>
      <w:r>
        <w:rPr>
          <w:color w:val="000000" w:themeColor="text1"/>
        </w:rPr>
        <w:t>(</w:t>
      </w:r>
      <w:r w:rsidRPr="00D86B24">
        <w:rPr>
          <w:color w:val="000000" w:themeColor="text1"/>
        </w:rPr>
        <w:t>4</w:t>
      </w:r>
      <w:r>
        <w:rPr>
          <w:color w:val="000000" w:themeColor="text1"/>
        </w:rPr>
        <w:t xml:space="preserve">), </w:t>
      </w:r>
      <w:r w:rsidRPr="00D86B24">
        <w:rPr>
          <w:color w:val="000000" w:themeColor="text1"/>
        </w:rPr>
        <w:t>589-600.</w:t>
      </w:r>
    </w:p>
    <w:p w14:paraId="0CAE9CDC" w14:textId="77777777" w:rsidR="00FD43EF" w:rsidRPr="00A856DB" w:rsidRDefault="00FD43EF" w:rsidP="00FD43EF">
      <w:pPr>
        <w:rPr>
          <w:color w:val="000000" w:themeColor="text1"/>
          <w:lang w:val="en-US"/>
        </w:rPr>
      </w:pPr>
    </w:p>
    <w:p w14:paraId="21C44E7C" w14:textId="45279FC3" w:rsidR="00FD43EF" w:rsidRPr="00651536" w:rsidRDefault="00FD43EF" w:rsidP="00FD43EF">
      <w:r w:rsidRPr="00A856DB">
        <w:rPr>
          <w:lang w:val="en-US"/>
        </w:rPr>
        <w:t xml:space="preserve">Repetto, E., Canci, </w:t>
      </w:r>
      <w:r>
        <w:rPr>
          <w:lang w:val="en-US"/>
        </w:rPr>
        <w:t xml:space="preserve">A., &amp; </w:t>
      </w:r>
      <w:r w:rsidRPr="00A856DB">
        <w:rPr>
          <w:lang w:val="en-US"/>
        </w:rPr>
        <w:t>Borgognini Tarli</w:t>
      </w:r>
      <w:r>
        <w:rPr>
          <w:lang w:val="en-US"/>
        </w:rPr>
        <w:t>, S.</w:t>
      </w:r>
      <w:r w:rsidR="00C247A4">
        <w:rPr>
          <w:lang w:val="en-US"/>
        </w:rPr>
        <w:t xml:space="preserve"> </w:t>
      </w:r>
      <w:r>
        <w:rPr>
          <w:lang w:val="en-US"/>
        </w:rPr>
        <w:t>M. (1988).</w:t>
      </w:r>
      <w:r w:rsidRPr="00A856DB">
        <w:rPr>
          <w:lang w:val="en-US"/>
        </w:rPr>
        <w:t xml:space="preserve"> Skeletal indicators of health conditions in the Bronze Age sample from Toppo Daguzzo (Basilicata, Southern Italy).</w:t>
      </w:r>
      <w:r>
        <w:rPr>
          <w:lang w:val="en-US"/>
        </w:rPr>
        <w:t xml:space="preserve"> </w:t>
      </w:r>
      <w:r w:rsidRPr="00A856DB">
        <w:rPr>
          <w:i/>
          <w:lang w:val="en-US"/>
        </w:rPr>
        <w:t>Anthropologie</w:t>
      </w:r>
      <w:r>
        <w:rPr>
          <w:i/>
          <w:lang w:val="en-US"/>
        </w:rPr>
        <w:t>,</w:t>
      </w:r>
      <w:r w:rsidRPr="00A856DB">
        <w:rPr>
          <w:lang w:val="en-US"/>
        </w:rPr>
        <w:t xml:space="preserve"> </w:t>
      </w:r>
      <w:r w:rsidRPr="00651536">
        <w:rPr>
          <w:i/>
        </w:rPr>
        <w:t>XXVI</w:t>
      </w:r>
      <w:r>
        <w:t>(1)</w:t>
      </w:r>
      <w:r w:rsidRPr="00651536">
        <w:rPr>
          <w:i/>
        </w:rPr>
        <w:t>,</w:t>
      </w:r>
      <w:r>
        <w:t xml:space="preserve"> </w:t>
      </w:r>
      <w:r w:rsidRPr="00A856DB">
        <w:rPr>
          <w:lang w:val="en-US"/>
        </w:rPr>
        <w:t>173-182.</w:t>
      </w:r>
    </w:p>
    <w:p w14:paraId="0303A51F" w14:textId="77777777" w:rsidR="00FD43EF" w:rsidRPr="00A856DB" w:rsidRDefault="00FD43EF" w:rsidP="00FD43EF">
      <w:pPr>
        <w:rPr>
          <w:lang w:val="en-US"/>
        </w:rPr>
      </w:pPr>
    </w:p>
    <w:p w14:paraId="3DE240F9" w14:textId="5201D645" w:rsidR="00FD43EF" w:rsidRPr="00A856DB" w:rsidRDefault="00FD43EF" w:rsidP="00FD43EF">
      <w:pPr>
        <w:rPr>
          <w:lang w:val="en-US"/>
        </w:rPr>
      </w:pPr>
      <w:r w:rsidRPr="00A856DB">
        <w:rPr>
          <w:lang w:val="en-US"/>
        </w:rPr>
        <w:t>Reynard, L</w:t>
      </w:r>
      <w:r>
        <w:rPr>
          <w:lang w:val="en-US"/>
        </w:rPr>
        <w:t>.</w:t>
      </w:r>
      <w:r w:rsidRPr="00A856DB">
        <w:rPr>
          <w:lang w:val="en-US"/>
        </w:rPr>
        <w:t xml:space="preserve"> M., </w:t>
      </w:r>
      <w:r>
        <w:rPr>
          <w:lang w:val="en-US"/>
        </w:rPr>
        <w:t xml:space="preserve">&amp; </w:t>
      </w:r>
      <w:r w:rsidRPr="00A856DB">
        <w:rPr>
          <w:lang w:val="en-US"/>
        </w:rPr>
        <w:t>Tuross</w:t>
      </w:r>
      <w:r>
        <w:rPr>
          <w:lang w:val="en-US"/>
        </w:rPr>
        <w:t>, N. (2015).</w:t>
      </w:r>
      <w:r w:rsidRPr="00A856DB">
        <w:rPr>
          <w:lang w:val="en-US"/>
        </w:rPr>
        <w:t xml:space="preserve"> The known, the unknown and the unknowable: </w:t>
      </w:r>
      <w:r w:rsidR="003A3A35">
        <w:rPr>
          <w:lang w:val="en-US"/>
        </w:rPr>
        <w:t>W</w:t>
      </w:r>
      <w:r w:rsidRPr="00A856DB">
        <w:rPr>
          <w:lang w:val="en-US"/>
        </w:rPr>
        <w:t xml:space="preserve">eaning times from archaeological bones using nitrogen isotope ratios. </w:t>
      </w:r>
      <w:r w:rsidRPr="00A856DB">
        <w:rPr>
          <w:i/>
          <w:lang w:val="en-US"/>
        </w:rPr>
        <w:t>Journal of Archaeological Science</w:t>
      </w:r>
      <w:r>
        <w:rPr>
          <w:i/>
          <w:lang w:val="en-US"/>
        </w:rPr>
        <w:t>,</w:t>
      </w:r>
      <w:r w:rsidRPr="00A856DB">
        <w:rPr>
          <w:lang w:val="en-US"/>
        </w:rPr>
        <w:t xml:space="preserve"> </w:t>
      </w:r>
      <w:r w:rsidRPr="00651536">
        <w:rPr>
          <w:i/>
          <w:lang w:val="en-US"/>
        </w:rPr>
        <w:t>53</w:t>
      </w:r>
      <w:r>
        <w:rPr>
          <w:lang w:val="en-US"/>
        </w:rPr>
        <w:t>(1),</w:t>
      </w:r>
      <w:r w:rsidRPr="00A856DB">
        <w:rPr>
          <w:lang w:val="en-US"/>
        </w:rPr>
        <w:t xml:space="preserve"> 618-625.</w:t>
      </w:r>
    </w:p>
    <w:p w14:paraId="2BE35878" w14:textId="77777777" w:rsidR="00FD43EF" w:rsidRPr="00A856DB" w:rsidRDefault="00FD43EF" w:rsidP="00FD43EF">
      <w:pPr>
        <w:rPr>
          <w:lang w:val="en-US"/>
        </w:rPr>
      </w:pPr>
    </w:p>
    <w:p w14:paraId="4BC5AD10" w14:textId="64CE2F10" w:rsidR="00FD43EF" w:rsidRPr="00A856DB" w:rsidRDefault="00FD43EF" w:rsidP="00FD43EF">
      <w:pPr>
        <w:rPr>
          <w:lang w:val="en-US"/>
        </w:rPr>
      </w:pPr>
      <w:r w:rsidRPr="00A856DB">
        <w:rPr>
          <w:lang w:val="en-US"/>
        </w:rPr>
        <w:t>Richards, M</w:t>
      </w:r>
      <w:r>
        <w:rPr>
          <w:lang w:val="en-US"/>
        </w:rPr>
        <w:t>.</w:t>
      </w:r>
      <w:r w:rsidRPr="00A856DB">
        <w:rPr>
          <w:lang w:val="en-US"/>
        </w:rPr>
        <w:t xml:space="preserve"> P., Pearson, </w:t>
      </w:r>
      <w:r>
        <w:rPr>
          <w:lang w:val="en-US"/>
        </w:rPr>
        <w:t>J.</w:t>
      </w:r>
      <w:r w:rsidR="00C247A4">
        <w:rPr>
          <w:lang w:val="en-US"/>
        </w:rPr>
        <w:t xml:space="preserve"> </w:t>
      </w:r>
      <w:r>
        <w:rPr>
          <w:lang w:val="en-US"/>
        </w:rPr>
        <w:t>A.,</w:t>
      </w:r>
      <w:r w:rsidRPr="00A856DB">
        <w:rPr>
          <w:lang w:val="en-US"/>
        </w:rPr>
        <w:t xml:space="preserve"> Molleson, </w:t>
      </w:r>
      <w:r>
        <w:rPr>
          <w:lang w:val="en-US"/>
        </w:rPr>
        <w:t>T.</w:t>
      </w:r>
      <w:r w:rsidR="00C247A4">
        <w:rPr>
          <w:lang w:val="en-US"/>
        </w:rPr>
        <w:t xml:space="preserve"> </w:t>
      </w:r>
      <w:r>
        <w:rPr>
          <w:lang w:val="en-US"/>
        </w:rPr>
        <w:t xml:space="preserve">I., </w:t>
      </w:r>
      <w:r w:rsidRPr="00A856DB">
        <w:rPr>
          <w:lang w:val="en-US"/>
        </w:rPr>
        <w:t xml:space="preserve">Russell, </w:t>
      </w:r>
      <w:r>
        <w:rPr>
          <w:lang w:val="en-US"/>
        </w:rPr>
        <w:t>N., &amp;</w:t>
      </w:r>
      <w:r w:rsidRPr="00A856DB">
        <w:rPr>
          <w:lang w:val="en-US"/>
        </w:rPr>
        <w:t xml:space="preserve"> Martin</w:t>
      </w:r>
      <w:r>
        <w:rPr>
          <w:lang w:val="en-US"/>
        </w:rPr>
        <w:t>, L. (2003).</w:t>
      </w:r>
      <w:r w:rsidRPr="00A856DB">
        <w:rPr>
          <w:lang w:val="en-US"/>
        </w:rPr>
        <w:t xml:space="preserve"> Stable isotope evidence of diet at Neolithic Çatalhöyük, Turkey. </w:t>
      </w:r>
      <w:r w:rsidRPr="00A856DB">
        <w:rPr>
          <w:i/>
          <w:lang w:val="en-US"/>
        </w:rPr>
        <w:t>Journal of Archaeological Science</w:t>
      </w:r>
      <w:r>
        <w:rPr>
          <w:i/>
          <w:lang w:val="en-US"/>
        </w:rPr>
        <w:t>,</w:t>
      </w:r>
      <w:r w:rsidRPr="00A856DB">
        <w:rPr>
          <w:i/>
          <w:lang w:val="en-US"/>
        </w:rPr>
        <w:t xml:space="preserve"> </w:t>
      </w:r>
      <w:r w:rsidRPr="00651536">
        <w:rPr>
          <w:i/>
          <w:lang w:val="en-US"/>
        </w:rPr>
        <w:t>30</w:t>
      </w:r>
      <w:r>
        <w:rPr>
          <w:lang w:val="en-US"/>
        </w:rPr>
        <w:t>(</w:t>
      </w:r>
      <w:r w:rsidRPr="00A856DB">
        <w:rPr>
          <w:lang w:val="en-US"/>
        </w:rPr>
        <w:t>1</w:t>
      </w:r>
      <w:r>
        <w:rPr>
          <w:lang w:val="en-US"/>
        </w:rPr>
        <w:t>),</w:t>
      </w:r>
      <w:r w:rsidRPr="00A856DB">
        <w:rPr>
          <w:lang w:val="en-US"/>
        </w:rPr>
        <w:t xml:space="preserve"> 67-76.</w:t>
      </w:r>
    </w:p>
    <w:p w14:paraId="798D24DD" w14:textId="77777777" w:rsidR="00FD43EF" w:rsidRPr="00A856DB" w:rsidRDefault="00FD43EF" w:rsidP="00FD43EF">
      <w:pPr>
        <w:rPr>
          <w:lang w:val="en-US"/>
        </w:rPr>
      </w:pPr>
    </w:p>
    <w:p w14:paraId="36CC1B43" w14:textId="77777777" w:rsidR="00FD43EF" w:rsidRDefault="00FD43EF" w:rsidP="00FD43EF">
      <w:pPr>
        <w:rPr>
          <w:lang w:val="en-US"/>
        </w:rPr>
      </w:pPr>
      <w:r w:rsidRPr="00A856DB">
        <w:rPr>
          <w:lang w:val="en-US"/>
        </w:rPr>
        <w:t>Richards, M</w:t>
      </w:r>
      <w:r>
        <w:rPr>
          <w:lang w:val="en-US"/>
        </w:rPr>
        <w:t>.</w:t>
      </w:r>
      <w:r w:rsidRPr="00A856DB">
        <w:rPr>
          <w:lang w:val="en-US"/>
        </w:rPr>
        <w:t xml:space="preserve"> P., Mays,</w:t>
      </w:r>
      <w:r>
        <w:rPr>
          <w:lang w:val="en-US"/>
        </w:rPr>
        <w:t xml:space="preserve"> S., &amp;</w:t>
      </w:r>
      <w:r w:rsidRPr="00A856DB">
        <w:rPr>
          <w:lang w:val="en-US"/>
        </w:rPr>
        <w:t xml:space="preserve"> Fuller</w:t>
      </w:r>
      <w:r>
        <w:rPr>
          <w:lang w:val="en-US"/>
        </w:rPr>
        <w:t xml:space="preserve">, B. T. (2002). </w:t>
      </w:r>
      <w:r w:rsidRPr="00A856DB">
        <w:rPr>
          <w:lang w:val="en-US"/>
        </w:rPr>
        <w:t xml:space="preserve">Stable carbon and nitrogen isotope values of bone and teeth reflect weaning age at the Medieval Wharram Percy site, Yorkshire, UK. </w:t>
      </w:r>
      <w:r w:rsidRPr="00A856DB">
        <w:rPr>
          <w:i/>
          <w:lang w:val="en-US"/>
        </w:rPr>
        <w:t>American Journal of Physical Anthropology</w:t>
      </w:r>
      <w:r>
        <w:rPr>
          <w:i/>
          <w:lang w:val="en-US"/>
        </w:rPr>
        <w:t>,</w:t>
      </w:r>
      <w:r w:rsidRPr="00A856DB">
        <w:rPr>
          <w:lang w:val="en-US"/>
        </w:rPr>
        <w:t xml:space="preserve"> </w:t>
      </w:r>
      <w:r w:rsidRPr="00DF026E">
        <w:rPr>
          <w:i/>
          <w:lang w:val="en-US"/>
        </w:rPr>
        <w:t>119</w:t>
      </w:r>
      <w:r>
        <w:rPr>
          <w:lang w:val="en-US"/>
        </w:rPr>
        <w:t xml:space="preserve">(3), </w:t>
      </w:r>
      <w:r w:rsidRPr="00A856DB">
        <w:rPr>
          <w:lang w:val="en-US"/>
        </w:rPr>
        <w:t>205-210.</w:t>
      </w:r>
    </w:p>
    <w:p w14:paraId="4F3E9F3F" w14:textId="77777777" w:rsidR="00FD43EF" w:rsidRDefault="00FD43EF" w:rsidP="00FD43EF">
      <w:pPr>
        <w:rPr>
          <w:lang w:val="en-US"/>
        </w:rPr>
      </w:pPr>
    </w:p>
    <w:p w14:paraId="30701FC9" w14:textId="54F06A41" w:rsidR="00FD43EF" w:rsidRPr="00A6468F" w:rsidRDefault="00FD43EF" w:rsidP="00FD43EF">
      <w:pPr>
        <w:rPr>
          <w:color w:val="000000" w:themeColor="text1"/>
        </w:rPr>
      </w:pPr>
      <w:r w:rsidRPr="00D86B24">
        <w:rPr>
          <w:color w:val="000000" w:themeColor="text1"/>
        </w:rPr>
        <w:t>Robbins, C</w:t>
      </w:r>
      <w:r>
        <w:rPr>
          <w:color w:val="000000" w:themeColor="text1"/>
        </w:rPr>
        <w:t>.</w:t>
      </w:r>
      <w:r w:rsidRPr="00D86B24">
        <w:rPr>
          <w:color w:val="000000" w:themeColor="text1"/>
        </w:rPr>
        <w:t xml:space="preserve"> T., Felicetti,</w:t>
      </w:r>
      <w:r>
        <w:rPr>
          <w:color w:val="000000" w:themeColor="text1"/>
        </w:rPr>
        <w:t xml:space="preserve"> L.</w:t>
      </w:r>
      <w:r w:rsidR="00C247A4">
        <w:rPr>
          <w:color w:val="000000" w:themeColor="text1"/>
        </w:rPr>
        <w:t xml:space="preserve"> </w:t>
      </w:r>
      <w:r>
        <w:rPr>
          <w:color w:val="000000" w:themeColor="text1"/>
        </w:rPr>
        <w:t>A,</w:t>
      </w:r>
      <w:r w:rsidRPr="00D86B24">
        <w:rPr>
          <w:color w:val="000000" w:themeColor="text1"/>
        </w:rPr>
        <w:t xml:space="preserve"> </w:t>
      </w:r>
      <w:r>
        <w:rPr>
          <w:color w:val="000000" w:themeColor="text1"/>
        </w:rPr>
        <w:t xml:space="preserve">&amp; </w:t>
      </w:r>
      <w:r w:rsidRPr="00D86B24">
        <w:rPr>
          <w:color w:val="000000" w:themeColor="text1"/>
        </w:rPr>
        <w:t>Sponheimer</w:t>
      </w:r>
      <w:r>
        <w:rPr>
          <w:color w:val="000000" w:themeColor="text1"/>
        </w:rPr>
        <w:t>, M. (2005).</w:t>
      </w:r>
      <w:r w:rsidRPr="00D86B24">
        <w:rPr>
          <w:color w:val="000000" w:themeColor="text1"/>
        </w:rPr>
        <w:t xml:space="preserve"> The effect of dietary protein quality on nitrogen isotope discrimination in mammals and birds. </w:t>
      </w:r>
      <w:r w:rsidRPr="00D86B24">
        <w:rPr>
          <w:i/>
          <w:iCs/>
          <w:color w:val="000000" w:themeColor="text1"/>
        </w:rPr>
        <w:t>Oecologia</w:t>
      </w:r>
      <w:r>
        <w:rPr>
          <w:i/>
          <w:iCs/>
          <w:color w:val="000000" w:themeColor="text1"/>
        </w:rPr>
        <w:t>,</w:t>
      </w:r>
      <w:r w:rsidRPr="00D86B24">
        <w:rPr>
          <w:color w:val="000000" w:themeColor="text1"/>
        </w:rPr>
        <w:t> </w:t>
      </w:r>
      <w:r w:rsidRPr="004F6CCC">
        <w:rPr>
          <w:i/>
          <w:color w:val="000000" w:themeColor="text1"/>
        </w:rPr>
        <w:t>144</w:t>
      </w:r>
      <w:r>
        <w:rPr>
          <w:color w:val="000000" w:themeColor="text1"/>
        </w:rPr>
        <w:t>(</w:t>
      </w:r>
      <w:r w:rsidRPr="00D86B24">
        <w:rPr>
          <w:color w:val="000000" w:themeColor="text1"/>
        </w:rPr>
        <w:t>4</w:t>
      </w:r>
      <w:r>
        <w:rPr>
          <w:color w:val="000000" w:themeColor="text1"/>
        </w:rPr>
        <w:t>),</w:t>
      </w:r>
      <w:r w:rsidRPr="00D86B24">
        <w:rPr>
          <w:color w:val="000000" w:themeColor="text1"/>
        </w:rPr>
        <w:t xml:space="preserve"> 534-540.</w:t>
      </w:r>
    </w:p>
    <w:p w14:paraId="58802B13" w14:textId="77777777" w:rsidR="00FD43EF" w:rsidRPr="00A856DB" w:rsidRDefault="00FD43EF" w:rsidP="00FD43EF">
      <w:pPr>
        <w:rPr>
          <w:lang w:val="en-US"/>
        </w:rPr>
      </w:pPr>
    </w:p>
    <w:p w14:paraId="48015590" w14:textId="77777777" w:rsidR="00FD43EF" w:rsidRPr="00A856DB" w:rsidRDefault="00FD43EF" w:rsidP="00FD43EF">
      <w:pPr>
        <w:rPr>
          <w:lang w:val="en-US"/>
        </w:rPr>
      </w:pPr>
      <w:r w:rsidRPr="008C4A6A">
        <w:rPr>
          <w:lang w:val="en-US"/>
        </w:rPr>
        <w:t>Rowland, M. G. M., Barrell,</w:t>
      </w:r>
      <w:r w:rsidRPr="00EC45E9">
        <w:rPr>
          <w:lang w:val="en-US"/>
        </w:rPr>
        <w:t xml:space="preserve"> </w:t>
      </w:r>
      <w:r w:rsidRPr="008C4A6A">
        <w:rPr>
          <w:lang w:val="en-US"/>
        </w:rPr>
        <w:t>R. A. E.</w:t>
      </w:r>
      <w:r>
        <w:rPr>
          <w:lang w:val="en-US"/>
        </w:rPr>
        <w:t>,</w:t>
      </w:r>
      <w:r w:rsidRPr="008C4A6A">
        <w:rPr>
          <w:lang w:val="en-US"/>
        </w:rPr>
        <w:t xml:space="preserve"> </w:t>
      </w:r>
      <w:r>
        <w:rPr>
          <w:lang w:val="en-US"/>
        </w:rPr>
        <w:t>&amp;</w:t>
      </w:r>
      <w:r w:rsidRPr="008C4A6A">
        <w:rPr>
          <w:lang w:val="en-US"/>
        </w:rPr>
        <w:t xml:space="preserve"> Whitehead</w:t>
      </w:r>
      <w:r>
        <w:rPr>
          <w:lang w:val="en-US"/>
        </w:rPr>
        <w:t>, R. G. (1978).</w:t>
      </w:r>
      <w:r w:rsidRPr="008C4A6A">
        <w:rPr>
          <w:lang w:val="en-US"/>
        </w:rPr>
        <w:t xml:space="preserve"> </w:t>
      </w:r>
      <w:r w:rsidRPr="00A856DB">
        <w:rPr>
          <w:lang w:val="en-US"/>
        </w:rPr>
        <w:t xml:space="preserve">Bacterial contamination in traditional Gambian weaning foods. </w:t>
      </w:r>
      <w:r w:rsidRPr="00A856DB">
        <w:rPr>
          <w:i/>
          <w:lang w:val="en-US"/>
        </w:rPr>
        <w:t>The Lancet</w:t>
      </w:r>
      <w:r>
        <w:rPr>
          <w:i/>
          <w:lang w:val="en-US"/>
        </w:rPr>
        <w:t>,</w:t>
      </w:r>
      <w:r w:rsidRPr="00A856DB">
        <w:rPr>
          <w:lang w:val="en-US"/>
        </w:rPr>
        <w:t xml:space="preserve"> </w:t>
      </w:r>
      <w:r w:rsidRPr="00EC45E9">
        <w:rPr>
          <w:i/>
          <w:lang w:val="en-US"/>
        </w:rPr>
        <w:t>311</w:t>
      </w:r>
      <w:r>
        <w:rPr>
          <w:lang w:val="en-US"/>
        </w:rPr>
        <w:t>(</w:t>
      </w:r>
      <w:r w:rsidRPr="00A856DB">
        <w:rPr>
          <w:lang w:val="en-US"/>
        </w:rPr>
        <w:t>8056</w:t>
      </w:r>
      <w:r>
        <w:rPr>
          <w:lang w:val="en-US"/>
        </w:rPr>
        <w:t xml:space="preserve">), </w:t>
      </w:r>
      <w:r w:rsidRPr="00A856DB">
        <w:rPr>
          <w:lang w:val="en-US"/>
        </w:rPr>
        <w:t>136-138.</w:t>
      </w:r>
    </w:p>
    <w:p w14:paraId="763C5119" w14:textId="77777777" w:rsidR="00FD43EF" w:rsidRPr="00A856DB" w:rsidRDefault="00FD43EF" w:rsidP="00FD43EF">
      <w:pPr>
        <w:rPr>
          <w:lang w:val="en-US"/>
        </w:rPr>
      </w:pPr>
    </w:p>
    <w:p w14:paraId="0300197B" w14:textId="371FDEE8" w:rsidR="00FD43EF" w:rsidRPr="00A856DB" w:rsidRDefault="00FD43EF" w:rsidP="00FD43EF">
      <w:pPr>
        <w:rPr>
          <w:lang w:val="en-US"/>
        </w:rPr>
      </w:pPr>
      <w:r w:rsidRPr="008C4A6A">
        <w:rPr>
          <w:lang w:val="en-US"/>
        </w:rPr>
        <w:t>Rutgers, L. V.,</w:t>
      </w:r>
      <w:r>
        <w:rPr>
          <w:lang w:val="en-US"/>
        </w:rPr>
        <w:t xml:space="preserve"> </w:t>
      </w:r>
      <w:r w:rsidRPr="008C4A6A">
        <w:rPr>
          <w:lang w:val="en-US"/>
        </w:rPr>
        <w:t xml:space="preserve">Strydonck, </w:t>
      </w:r>
      <w:r>
        <w:rPr>
          <w:lang w:val="en-US"/>
        </w:rPr>
        <w:t xml:space="preserve">M. V., </w:t>
      </w:r>
      <w:r w:rsidRPr="008C4A6A">
        <w:rPr>
          <w:lang w:val="en-US"/>
        </w:rPr>
        <w:t>Boudin</w:t>
      </w:r>
      <w:r>
        <w:rPr>
          <w:lang w:val="en-US"/>
        </w:rPr>
        <w:t>, M.,</w:t>
      </w:r>
      <w:r w:rsidRPr="008C4A6A">
        <w:rPr>
          <w:lang w:val="en-US"/>
        </w:rPr>
        <w:t xml:space="preserve"> </w:t>
      </w:r>
      <w:r>
        <w:rPr>
          <w:lang w:val="en-US"/>
        </w:rPr>
        <w:t xml:space="preserve">&amp; </w:t>
      </w:r>
      <w:r w:rsidRPr="008C4A6A">
        <w:rPr>
          <w:lang w:val="en-US"/>
        </w:rPr>
        <w:t>Van der Linde</w:t>
      </w:r>
      <w:r>
        <w:rPr>
          <w:lang w:val="en-US"/>
        </w:rPr>
        <w:t>, C. (2009).</w:t>
      </w:r>
      <w:r w:rsidRPr="008C4A6A">
        <w:rPr>
          <w:lang w:val="en-US"/>
        </w:rPr>
        <w:t xml:space="preserve"> Stable isotope data from the early Christian catacombs of ancient Rome: </w:t>
      </w:r>
      <w:r w:rsidR="003A3A35">
        <w:rPr>
          <w:lang w:val="en-US"/>
        </w:rPr>
        <w:t>N</w:t>
      </w:r>
      <w:r w:rsidRPr="008C4A6A">
        <w:rPr>
          <w:lang w:val="en-US"/>
        </w:rPr>
        <w:t>ew insights into the dietary habits of Rome's early Christians.</w:t>
      </w:r>
      <w:r>
        <w:rPr>
          <w:lang w:val="en-US"/>
        </w:rPr>
        <w:t xml:space="preserve"> </w:t>
      </w:r>
      <w:r w:rsidRPr="00A856DB">
        <w:rPr>
          <w:i/>
          <w:lang w:val="en-US"/>
        </w:rPr>
        <w:t>Journal of Archaeological Science</w:t>
      </w:r>
      <w:r>
        <w:rPr>
          <w:i/>
          <w:lang w:val="en-US"/>
        </w:rPr>
        <w:t>,</w:t>
      </w:r>
      <w:r w:rsidRPr="00A856DB">
        <w:rPr>
          <w:lang w:val="en-US"/>
        </w:rPr>
        <w:t xml:space="preserve"> </w:t>
      </w:r>
      <w:r w:rsidRPr="00EC45E9">
        <w:rPr>
          <w:i/>
          <w:lang w:val="en-US"/>
        </w:rPr>
        <w:t>36</w:t>
      </w:r>
      <w:r>
        <w:rPr>
          <w:lang w:val="en-US"/>
        </w:rPr>
        <w:t>(</w:t>
      </w:r>
      <w:r w:rsidRPr="00A856DB">
        <w:rPr>
          <w:lang w:val="en-US"/>
        </w:rPr>
        <w:t>5</w:t>
      </w:r>
      <w:r>
        <w:rPr>
          <w:lang w:val="en-US"/>
        </w:rPr>
        <w:t xml:space="preserve">), </w:t>
      </w:r>
      <w:r w:rsidRPr="00A856DB">
        <w:rPr>
          <w:lang w:val="en-US"/>
        </w:rPr>
        <w:t>1127-1134.</w:t>
      </w:r>
    </w:p>
    <w:p w14:paraId="35DE3EA7" w14:textId="77777777" w:rsidR="00FD43EF" w:rsidRPr="00A856DB" w:rsidRDefault="00FD43EF" w:rsidP="00FD43EF">
      <w:pPr>
        <w:rPr>
          <w:lang w:val="en-US"/>
        </w:rPr>
      </w:pPr>
    </w:p>
    <w:p w14:paraId="2A1664A3" w14:textId="77777777" w:rsidR="00FD43EF" w:rsidRPr="00A856DB" w:rsidRDefault="00FD43EF" w:rsidP="00FD43EF">
      <w:pPr>
        <w:rPr>
          <w:lang w:val="en-US"/>
        </w:rPr>
      </w:pPr>
      <w:r w:rsidRPr="00A856DB">
        <w:rPr>
          <w:lang w:val="en-US"/>
        </w:rPr>
        <w:t>Salmon</w:t>
      </w:r>
      <w:r>
        <w:rPr>
          <w:lang w:val="en-US"/>
        </w:rPr>
        <w:t>,</w:t>
      </w:r>
      <w:r w:rsidRPr="00A856DB">
        <w:rPr>
          <w:lang w:val="en-US"/>
        </w:rPr>
        <w:t xml:space="preserve"> E.</w:t>
      </w:r>
      <w:r>
        <w:rPr>
          <w:lang w:val="en-US"/>
        </w:rPr>
        <w:t xml:space="preserve"> (1955).</w:t>
      </w:r>
      <w:r w:rsidRPr="00A856DB">
        <w:rPr>
          <w:lang w:val="en-US"/>
        </w:rPr>
        <w:t xml:space="preserve"> Roman expansion and Roman colonization in Italy. </w:t>
      </w:r>
      <w:r w:rsidRPr="00A856DB">
        <w:rPr>
          <w:i/>
          <w:lang w:val="en-US"/>
        </w:rPr>
        <w:t>Phoenix</w:t>
      </w:r>
      <w:r>
        <w:rPr>
          <w:i/>
          <w:lang w:val="en-US"/>
        </w:rPr>
        <w:t>,</w:t>
      </w:r>
      <w:r w:rsidRPr="00A856DB">
        <w:rPr>
          <w:lang w:val="en-US"/>
        </w:rPr>
        <w:t xml:space="preserve"> </w:t>
      </w:r>
      <w:r w:rsidRPr="00EC45E9">
        <w:rPr>
          <w:i/>
          <w:lang w:val="en-US"/>
        </w:rPr>
        <w:t>9</w:t>
      </w:r>
      <w:r>
        <w:rPr>
          <w:lang w:val="en-US"/>
        </w:rPr>
        <w:t xml:space="preserve">(1), </w:t>
      </w:r>
      <w:r w:rsidRPr="00A856DB">
        <w:rPr>
          <w:lang w:val="en-US"/>
        </w:rPr>
        <w:t xml:space="preserve">36–75. </w:t>
      </w:r>
    </w:p>
    <w:p w14:paraId="381F9523" w14:textId="77777777" w:rsidR="00FD43EF" w:rsidRPr="00A856DB" w:rsidRDefault="00FD43EF" w:rsidP="00FD43EF">
      <w:pPr>
        <w:rPr>
          <w:lang w:val="en-US"/>
        </w:rPr>
      </w:pPr>
    </w:p>
    <w:p w14:paraId="2EA923FA" w14:textId="31BE3B36" w:rsidR="00FD43EF" w:rsidRPr="00A856DB" w:rsidRDefault="00FD43EF" w:rsidP="00FD43EF">
      <w:pPr>
        <w:rPr>
          <w:color w:val="000000" w:themeColor="text1"/>
          <w:lang w:val="en-US"/>
        </w:rPr>
      </w:pPr>
      <w:r w:rsidRPr="00A856DB">
        <w:rPr>
          <w:color w:val="000000" w:themeColor="text1"/>
          <w:lang w:val="en-US"/>
        </w:rPr>
        <w:t>Sampietro, M</w:t>
      </w:r>
      <w:r>
        <w:rPr>
          <w:color w:val="000000" w:themeColor="text1"/>
          <w:lang w:val="en-US"/>
        </w:rPr>
        <w:t>.</w:t>
      </w:r>
      <w:r w:rsidRPr="00A856DB">
        <w:rPr>
          <w:color w:val="000000" w:themeColor="text1"/>
          <w:lang w:val="en-US"/>
        </w:rPr>
        <w:t xml:space="preserve"> </w:t>
      </w:r>
      <w:r>
        <w:rPr>
          <w:color w:val="000000" w:themeColor="text1"/>
          <w:lang w:val="en-US"/>
        </w:rPr>
        <w:t>L.</w:t>
      </w:r>
      <w:r w:rsidRPr="00A856DB">
        <w:rPr>
          <w:color w:val="000000" w:themeColor="text1"/>
          <w:lang w:val="en-US"/>
        </w:rPr>
        <w:t>,Thomas</w:t>
      </w:r>
      <w:r>
        <w:rPr>
          <w:color w:val="000000" w:themeColor="text1"/>
          <w:lang w:val="en-US"/>
        </w:rPr>
        <w:t xml:space="preserve">, M., </w:t>
      </w:r>
      <w:r w:rsidRPr="00A856DB">
        <w:rPr>
          <w:color w:val="000000" w:themeColor="text1"/>
          <w:lang w:val="en-US"/>
        </w:rPr>
        <w:t>Gilbert,</w:t>
      </w:r>
      <w:r>
        <w:rPr>
          <w:color w:val="000000" w:themeColor="text1"/>
          <w:lang w:val="en-US"/>
        </w:rPr>
        <w:t xml:space="preserve"> P.,</w:t>
      </w:r>
      <w:r w:rsidRPr="00A856DB">
        <w:rPr>
          <w:color w:val="000000" w:themeColor="text1"/>
          <w:lang w:val="en-US"/>
        </w:rPr>
        <w:t xml:space="preserve"> L</w:t>
      </w:r>
      <w:r w:rsidR="00C247A4">
        <w:rPr>
          <w:color w:val="000000" w:themeColor="text1"/>
          <w:lang w:val="en-US"/>
        </w:rPr>
        <w:t>ao</w:t>
      </w:r>
      <w:r w:rsidRPr="00A856DB">
        <w:rPr>
          <w:color w:val="000000" w:themeColor="text1"/>
          <w:lang w:val="en-US"/>
        </w:rPr>
        <w:t>,</w:t>
      </w:r>
      <w:r>
        <w:rPr>
          <w:color w:val="000000" w:themeColor="text1"/>
          <w:lang w:val="en-US"/>
        </w:rPr>
        <w:t xml:space="preserve"> O.,</w:t>
      </w:r>
      <w:r w:rsidRPr="00A856DB">
        <w:rPr>
          <w:color w:val="000000" w:themeColor="text1"/>
          <w:lang w:val="en-US"/>
        </w:rPr>
        <w:t xml:space="preserve"> Caramelli, </w:t>
      </w:r>
      <w:r>
        <w:rPr>
          <w:color w:val="000000" w:themeColor="text1"/>
          <w:lang w:val="en-US"/>
        </w:rPr>
        <w:t>D.,</w:t>
      </w:r>
      <w:r w:rsidRPr="00A856DB">
        <w:rPr>
          <w:color w:val="000000" w:themeColor="text1"/>
          <w:lang w:val="en-US"/>
        </w:rPr>
        <w:t xml:space="preserve"> Lari,</w:t>
      </w:r>
      <w:r>
        <w:rPr>
          <w:color w:val="000000" w:themeColor="text1"/>
          <w:lang w:val="en-US"/>
        </w:rPr>
        <w:t xml:space="preserve"> M.,</w:t>
      </w:r>
      <w:r w:rsidRPr="00A856DB">
        <w:rPr>
          <w:color w:val="000000" w:themeColor="text1"/>
          <w:lang w:val="en-US"/>
        </w:rPr>
        <w:t xml:space="preserve"> Bertranpetit, </w:t>
      </w:r>
      <w:r>
        <w:rPr>
          <w:color w:val="000000" w:themeColor="text1"/>
          <w:lang w:val="en-US"/>
        </w:rPr>
        <w:t>J., &amp;</w:t>
      </w:r>
      <w:r w:rsidRPr="00A856DB">
        <w:rPr>
          <w:color w:val="000000" w:themeColor="text1"/>
          <w:lang w:val="en-US"/>
        </w:rPr>
        <w:t xml:space="preserve"> Lalueza-Fox</w:t>
      </w:r>
      <w:r>
        <w:rPr>
          <w:color w:val="000000" w:themeColor="text1"/>
          <w:lang w:val="en-US"/>
        </w:rPr>
        <w:t>, C</w:t>
      </w:r>
      <w:r w:rsidRPr="00A856DB">
        <w:rPr>
          <w:color w:val="000000" w:themeColor="text1"/>
          <w:lang w:val="en-US"/>
        </w:rPr>
        <w:t>.</w:t>
      </w:r>
      <w:r>
        <w:rPr>
          <w:color w:val="000000" w:themeColor="text1"/>
          <w:lang w:val="en-US"/>
        </w:rPr>
        <w:t xml:space="preserve"> (2006).</w:t>
      </w:r>
      <w:r w:rsidRPr="00A856DB">
        <w:rPr>
          <w:color w:val="000000" w:themeColor="text1"/>
          <w:lang w:val="en-US"/>
        </w:rPr>
        <w:t xml:space="preserve"> Tracking down human contamination in ancient human teeth. </w:t>
      </w:r>
      <w:r w:rsidRPr="00A856DB">
        <w:rPr>
          <w:i/>
          <w:color w:val="000000" w:themeColor="text1"/>
          <w:lang w:val="en-US"/>
        </w:rPr>
        <w:t>Molecular Biology and Evolution</w:t>
      </w:r>
      <w:r>
        <w:rPr>
          <w:i/>
          <w:color w:val="000000" w:themeColor="text1"/>
          <w:lang w:val="en-US"/>
        </w:rPr>
        <w:t>,</w:t>
      </w:r>
      <w:r w:rsidRPr="00A856DB">
        <w:rPr>
          <w:color w:val="000000" w:themeColor="text1"/>
          <w:lang w:val="en-US"/>
        </w:rPr>
        <w:t xml:space="preserve"> </w:t>
      </w:r>
      <w:r w:rsidRPr="0059773A">
        <w:rPr>
          <w:i/>
          <w:color w:val="000000" w:themeColor="text1"/>
          <w:lang w:val="en-US"/>
        </w:rPr>
        <w:t>23</w:t>
      </w:r>
      <w:r>
        <w:rPr>
          <w:color w:val="000000" w:themeColor="text1"/>
          <w:lang w:val="en-US"/>
        </w:rPr>
        <w:t>(</w:t>
      </w:r>
      <w:r w:rsidRPr="00A856DB">
        <w:rPr>
          <w:color w:val="000000" w:themeColor="text1"/>
          <w:lang w:val="en-US"/>
        </w:rPr>
        <w:t>9</w:t>
      </w:r>
      <w:r>
        <w:rPr>
          <w:color w:val="000000" w:themeColor="text1"/>
          <w:lang w:val="en-US"/>
        </w:rPr>
        <w:t xml:space="preserve">), </w:t>
      </w:r>
      <w:r w:rsidRPr="00A856DB">
        <w:rPr>
          <w:color w:val="000000" w:themeColor="text1"/>
          <w:lang w:val="en-US"/>
        </w:rPr>
        <w:t>1801-1807.</w:t>
      </w:r>
    </w:p>
    <w:p w14:paraId="29D5F381" w14:textId="77777777" w:rsidR="00FD43EF" w:rsidRPr="00A856DB" w:rsidRDefault="00FD43EF" w:rsidP="00FD43EF">
      <w:pPr>
        <w:rPr>
          <w:color w:val="000000" w:themeColor="text1"/>
          <w:lang w:val="en-US"/>
        </w:rPr>
      </w:pPr>
    </w:p>
    <w:p w14:paraId="0FEB72DC" w14:textId="77777777" w:rsidR="00FD43EF" w:rsidRDefault="00FD43EF" w:rsidP="00FD43EF">
      <w:pPr>
        <w:rPr>
          <w:color w:val="000000" w:themeColor="text1"/>
          <w:lang w:val="en-US"/>
        </w:rPr>
      </w:pPr>
      <w:r w:rsidRPr="00A856DB">
        <w:rPr>
          <w:color w:val="000000" w:themeColor="text1"/>
          <w:lang w:val="en-US"/>
        </w:rPr>
        <w:t>Sandberg, P</w:t>
      </w:r>
      <w:r>
        <w:rPr>
          <w:color w:val="000000" w:themeColor="text1"/>
          <w:lang w:val="en-US"/>
        </w:rPr>
        <w:t>.</w:t>
      </w:r>
      <w:r w:rsidRPr="00A856DB">
        <w:rPr>
          <w:color w:val="000000" w:themeColor="text1"/>
          <w:lang w:val="en-US"/>
        </w:rPr>
        <w:t xml:space="preserve"> A.,</w:t>
      </w:r>
      <w:r>
        <w:rPr>
          <w:color w:val="000000" w:themeColor="text1"/>
          <w:lang w:val="en-US"/>
        </w:rPr>
        <w:t xml:space="preserve"> </w:t>
      </w:r>
      <w:r w:rsidRPr="00A856DB">
        <w:rPr>
          <w:color w:val="000000" w:themeColor="text1"/>
          <w:lang w:val="en-US"/>
        </w:rPr>
        <w:t xml:space="preserve">Sponheimer, </w:t>
      </w:r>
      <w:r>
        <w:rPr>
          <w:color w:val="000000" w:themeColor="text1"/>
          <w:lang w:val="en-US"/>
        </w:rPr>
        <w:t xml:space="preserve">M., </w:t>
      </w:r>
      <w:r w:rsidRPr="00A856DB">
        <w:rPr>
          <w:color w:val="000000" w:themeColor="text1"/>
          <w:lang w:val="en-US"/>
        </w:rPr>
        <w:t>Lee</w:t>
      </w:r>
      <w:r w:rsidRPr="00A856DB">
        <w:rPr>
          <w:rFonts w:ascii="Cambria Math" w:hAnsi="Cambria Math" w:cs="Cambria Math"/>
          <w:color w:val="000000" w:themeColor="text1"/>
          <w:lang w:val="en-US"/>
        </w:rPr>
        <w:t>‐</w:t>
      </w:r>
      <w:r w:rsidRPr="00A856DB">
        <w:rPr>
          <w:color w:val="000000" w:themeColor="text1"/>
          <w:lang w:val="en-US"/>
        </w:rPr>
        <w:t xml:space="preserve">Thorp, </w:t>
      </w:r>
      <w:r>
        <w:rPr>
          <w:color w:val="000000" w:themeColor="text1"/>
          <w:lang w:val="en-US"/>
        </w:rPr>
        <w:t xml:space="preserve">J., &amp; </w:t>
      </w:r>
      <w:r w:rsidRPr="00A856DB">
        <w:rPr>
          <w:color w:val="000000" w:themeColor="text1"/>
          <w:lang w:val="en-US"/>
        </w:rPr>
        <w:t>Van Gerven</w:t>
      </w:r>
      <w:r>
        <w:rPr>
          <w:color w:val="000000" w:themeColor="text1"/>
          <w:lang w:val="en-US"/>
        </w:rPr>
        <w:t>, D. (2014)</w:t>
      </w:r>
      <w:r w:rsidRPr="00A856DB">
        <w:rPr>
          <w:color w:val="000000" w:themeColor="text1"/>
          <w:lang w:val="en-US"/>
        </w:rPr>
        <w:t>. Intra</w:t>
      </w:r>
      <w:r w:rsidRPr="00A856DB">
        <w:rPr>
          <w:rFonts w:ascii="Cambria Math" w:hAnsi="Cambria Math" w:cs="Cambria Math"/>
          <w:color w:val="000000" w:themeColor="text1"/>
          <w:lang w:val="en-US"/>
        </w:rPr>
        <w:t>‐</w:t>
      </w:r>
      <w:r w:rsidRPr="00A856DB">
        <w:rPr>
          <w:color w:val="000000" w:themeColor="text1"/>
          <w:lang w:val="en-US"/>
        </w:rPr>
        <w:t>tooth stable isotope analysis of dentine: A step toward addressing selective mortality in the reconstruction of life history in the archaeological record.</w:t>
      </w:r>
      <w:r>
        <w:rPr>
          <w:color w:val="000000" w:themeColor="text1"/>
          <w:lang w:val="en-US"/>
        </w:rPr>
        <w:t xml:space="preserve"> </w:t>
      </w:r>
      <w:r w:rsidRPr="00A856DB">
        <w:rPr>
          <w:i/>
          <w:color w:val="000000" w:themeColor="text1"/>
          <w:lang w:val="en-US"/>
        </w:rPr>
        <w:t>American Journal of Physical Anthropology</w:t>
      </w:r>
      <w:r>
        <w:rPr>
          <w:i/>
          <w:color w:val="000000" w:themeColor="text1"/>
          <w:lang w:val="en-US"/>
        </w:rPr>
        <w:t>,</w:t>
      </w:r>
      <w:r w:rsidRPr="0059773A">
        <w:rPr>
          <w:i/>
          <w:color w:val="000000" w:themeColor="text1"/>
          <w:lang w:val="en-US"/>
        </w:rPr>
        <w:t xml:space="preserve"> 155</w:t>
      </w:r>
      <w:r>
        <w:rPr>
          <w:color w:val="000000" w:themeColor="text1"/>
          <w:lang w:val="en-US"/>
        </w:rPr>
        <w:t xml:space="preserve">(2), </w:t>
      </w:r>
      <w:r w:rsidRPr="00A856DB">
        <w:rPr>
          <w:color w:val="000000" w:themeColor="text1"/>
          <w:lang w:val="en-US"/>
        </w:rPr>
        <w:t>281-293.</w:t>
      </w:r>
    </w:p>
    <w:p w14:paraId="56A210FA" w14:textId="77777777" w:rsidR="00FD43EF" w:rsidRDefault="00FD43EF" w:rsidP="00FD43EF">
      <w:pPr>
        <w:rPr>
          <w:color w:val="000000" w:themeColor="text1"/>
          <w:lang w:val="en-US"/>
        </w:rPr>
      </w:pPr>
    </w:p>
    <w:p w14:paraId="2272235C" w14:textId="7D55AF96" w:rsidR="00FD43EF" w:rsidRPr="00A6468F" w:rsidRDefault="00FD43EF" w:rsidP="00FD43EF">
      <w:pPr>
        <w:rPr>
          <w:color w:val="000000" w:themeColor="text1"/>
        </w:rPr>
      </w:pPr>
      <w:r w:rsidRPr="00D86B24">
        <w:rPr>
          <w:color w:val="000000" w:themeColor="text1"/>
        </w:rPr>
        <w:t>Sandberg, P</w:t>
      </w:r>
      <w:r>
        <w:rPr>
          <w:color w:val="000000" w:themeColor="text1"/>
        </w:rPr>
        <w:t>.</w:t>
      </w:r>
      <w:r w:rsidRPr="00D86B24">
        <w:rPr>
          <w:color w:val="000000" w:themeColor="text1"/>
        </w:rPr>
        <w:t xml:space="preserve"> A., Loudon, </w:t>
      </w:r>
      <w:r>
        <w:rPr>
          <w:color w:val="000000" w:themeColor="text1"/>
        </w:rPr>
        <w:t>J. E., &amp;</w:t>
      </w:r>
      <w:r w:rsidRPr="00D86B24">
        <w:rPr>
          <w:color w:val="000000" w:themeColor="text1"/>
        </w:rPr>
        <w:t xml:space="preserve"> Sponheimer</w:t>
      </w:r>
      <w:r>
        <w:rPr>
          <w:color w:val="000000" w:themeColor="text1"/>
        </w:rPr>
        <w:t>, M. (2012).</w:t>
      </w:r>
      <w:r w:rsidRPr="00D86B24">
        <w:rPr>
          <w:color w:val="000000" w:themeColor="text1"/>
        </w:rPr>
        <w:t xml:space="preserve"> Stable isotope analysis in primatology: </w:t>
      </w:r>
      <w:r w:rsidR="003A3A35">
        <w:rPr>
          <w:color w:val="000000" w:themeColor="text1"/>
        </w:rPr>
        <w:t>A</w:t>
      </w:r>
      <w:r w:rsidRPr="00D86B24">
        <w:rPr>
          <w:color w:val="000000" w:themeColor="text1"/>
        </w:rPr>
        <w:t xml:space="preserve"> critical review. </w:t>
      </w:r>
      <w:r w:rsidRPr="00D86B24">
        <w:rPr>
          <w:i/>
          <w:iCs/>
          <w:color w:val="000000" w:themeColor="text1"/>
        </w:rPr>
        <w:t xml:space="preserve">American </w:t>
      </w:r>
      <w:r w:rsidR="00EA0C59">
        <w:rPr>
          <w:i/>
          <w:iCs/>
          <w:color w:val="000000" w:themeColor="text1"/>
        </w:rPr>
        <w:t>J</w:t>
      </w:r>
      <w:r w:rsidRPr="00D86B24">
        <w:rPr>
          <w:i/>
          <w:iCs/>
          <w:color w:val="000000" w:themeColor="text1"/>
        </w:rPr>
        <w:t xml:space="preserve">ournal of </w:t>
      </w:r>
      <w:r w:rsidR="00EA0C59">
        <w:rPr>
          <w:i/>
          <w:iCs/>
          <w:color w:val="000000" w:themeColor="text1"/>
        </w:rPr>
        <w:t>P</w:t>
      </w:r>
      <w:r w:rsidRPr="00D86B24">
        <w:rPr>
          <w:i/>
          <w:iCs/>
          <w:color w:val="000000" w:themeColor="text1"/>
        </w:rPr>
        <w:t>rimatology</w:t>
      </w:r>
      <w:r>
        <w:rPr>
          <w:i/>
          <w:iCs/>
          <w:color w:val="000000" w:themeColor="text1"/>
        </w:rPr>
        <w:t>,</w:t>
      </w:r>
      <w:r w:rsidRPr="00D86B24">
        <w:rPr>
          <w:color w:val="000000" w:themeColor="text1"/>
        </w:rPr>
        <w:t> </w:t>
      </w:r>
      <w:r w:rsidRPr="004F6CCC">
        <w:rPr>
          <w:i/>
          <w:color w:val="000000" w:themeColor="text1"/>
        </w:rPr>
        <w:t>74</w:t>
      </w:r>
      <w:r>
        <w:rPr>
          <w:color w:val="000000" w:themeColor="text1"/>
        </w:rPr>
        <w:t>(</w:t>
      </w:r>
      <w:r w:rsidRPr="00D86B24">
        <w:rPr>
          <w:color w:val="000000" w:themeColor="text1"/>
        </w:rPr>
        <w:t>11</w:t>
      </w:r>
      <w:r>
        <w:rPr>
          <w:color w:val="000000" w:themeColor="text1"/>
        </w:rPr>
        <w:t>),</w:t>
      </w:r>
      <w:r w:rsidRPr="00D86B24">
        <w:rPr>
          <w:color w:val="000000" w:themeColor="text1"/>
        </w:rPr>
        <w:t xml:space="preserve"> 969-989.</w:t>
      </w:r>
    </w:p>
    <w:p w14:paraId="0FC3406A" w14:textId="77777777" w:rsidR="00FD43EF" w:rsidRPr="00A856DB" w:rsidRDefault="00FD43EF" w:rsidP="00FD43EF">
      <w:pPr>
        <w:rPr>
          <w:color w:val="000000" w:themeColor="text1"/>
          <w:lang w:val="en-US"/>
        </w:rPr>
      </w:pPr>
    </w:p>
    <w:p w14:paraId="508ADAA1" w14:textId="231AFFC1" w:rsidR="00FD43EF" w:rsidRPr="008C4A6A" w:rsidRDefault="00FD43EF" w:rsidP="00FD43EF">
      <w:pPr>
        <w:rPr>
          <w:lang w:val="en-US"/>
        </w:rPr>
      </w:pPr>
      <w:r w:rsidRPr="008C4A6A">
        <w:rPr>
          <w:lang w:val="en-US"/>
        </w:rPr>
        <w:t xml:space="preserve">Scheuer, J. L., </w:t>
      </w:r>
      <w:r>
        <w:rPr>
          <w:lang w:val="en-US"/>
        </w:rPr>
        <w:t xml:space="preserve">&amp; </w:t>
      </w:r>
      <w:r w:rsidRPr="008C4A6A">
        <w:rPr>
          <w:lang w:val="en-US"/>
        </w:rPr>
        <w:t>Bowman</w:t>
      </w:r>
      <w:r>
        <w:rPr>
          <w:lang w:val="en-US"/>
        </w:rPr>
        <w:t>, J.</w:t>
      </w:r>
      <w:r w:rsidR="00C247A4">
        <w:rPr>
          <w:lang w:val="en-US"/>
        </w:rPr>
        <w:t xml:space="preserve"> </w:t>
      </w:r>
      <w:r>
        <w:rPr>
          <w:lang w:val="en-US"/>
        </w:rPr>
        <w:t xml:space="preserve">E. (1995). </w:t>
      </w:r>
      <w:r w:rsidRPr="008C4A6A">
        <w:rPr>
          <w:lang w:val="en-US"/>
        </w:rPr>
        <w:t>Correlation of documentary and skeletal evidence in the St. Bride’s crypt population.</w:t>
      </w:r>
      <w:r>
        <w:rPr>
          <w:lang w:val="en-US"/>
        </w:rPr>
        <w:t xml:space="preserve"> </w:t>
      </w:r>
      <w:r w:rsidRPr="008C4A6A">
        <w:rPr>
          <w:lang w:val="en-US"/>
        </w:rPr>
        <w:t>In</w:t>
      </w:r>
      <w:r w:rsidR="00C247A4">
        <w:rPr>
          <w:lang w:val="en-US"/>
        </w:rPr>
        <w:t>:</w:t>
      </w:r>
      <w:r>
        <w:rPr>
          <w:lang w:val="en-US"/>
        </w:rPr>
        <w:t xml:space="preserve"> Saunders, S. R. &amp; Herring, A. (Eds.)</w:t>
      </w:r>
      <w:r w:rsidRPr="008C4A6A">
        <w:rPr>
          <w:lang w:val="en-US"/>
        </w:rPr>
        <w:t xml:space="preserve"> </w:t>
      </w:r>
      <w:r w:rsidRPr="008C4A6A">
        <w:rPr>
          <w:i/>
          <w:lang w:val="en-US"/>
        </w:rPr>
        <w:t>Grave Reflections Portraying the Past through Cemetery Studie</w:t>
      </w:r>
      <w:r w:rsidR="00C247A4">
        <w:rPr>
          <w:i/>
          <w:lang w:val="en-US"/>
        </w:rPr>
        <w:t>s</w:t>
      </w:r>
      <w:r>
        <w:rPr>
          <w:i/>
          <w:lang w:val="en-US"/>
        </w:rPr>
        <w:t xml:space="preserve"> </w:t>
      </w:r>
      <w:r>
        <w:rPr>
          <w:lang w:val="en-US"/>
        </w:rPr>
        <w:t>(pp. 49-70)</w:t>
      </w:r>
      <w:r w:rsidRPr="008C4A6A">
        <w:rPr>
          <w:i/>
          <w:lang w:val="en-US"/>
        </w:rPr>
        <w:t>.</w:t>
      </w:r>
      <w:r>
        <w:rPr>
          <w:lang w:val="en-US"/>
        </w:rPr>
        <w:t xml:space="preserve"> Toronto:</w:t>
      </w:r>
      <w:r w:rsidRPr="008C4A6A">
        <w:rPr>
          <w:i/>
          <w:lang w:val="en-US"/>
        </w:rPr>
        <w:t xml:space="preserve"> </w:t>
      </w:r>
      <w:r w:rsidRPr="008C4A6A">
        <w:rPr>
          <w:lang w:val="en-US"/>
        </w:rPr>
        <w:t>Canadian Scholar's Press Inc.</w:t>
      </w:r>
    </w:p>
    <w:p w14:paraId="79F22E33" w14:textId="77777777" w:rsidR="00FD43EF" w:rsidRPr="008C4A6A" w:rsidRDefault="00FD43EF" w:rsidP="00FD43EF">
      <w:pPr>
        <w:rPr>
          <w:lang w:val="en-US"/>
        </w:rPr>
      </w:pPr>
    </w:p>
    <w:p w14:paraId="5AE340F4" w14:textId="7D6FCCD6" w:rsidR="00FD43EF" w:rsidRPr="00A856DB" w:rsidRDefault="00FD43EF" w:rsidP="00FD43EF">
      <w:pPr>
        <w:rPr>
          <w:color w:val="000000" w:themeColor="text1"/>
          <w:lang w:val="en-US"/>
        </w:rPr>
      </w:pPr>
      <w:r w:rsidRPr="00A856DB">
        <w:rPr>
          <w:color w:val="000000" w:themeColor="text1"/>
          <w:lang w:val="en-US"/>
        </w:rPr>
        <w:lastRenderedPageBreak/>
        <w:t xml:space="preserve">Scheuer, </w:t>
      </w:r>
      <w:r>
        <w:rPr>
          <w:color w:val="000000" w:themeColor="text1"/>
          <w:lang w:val="en-US"/>
        </w:rPr>
        <w:t>L.</w:t>
      </w:r>
      <w:r w:rsidRPr="00A856DB">
        <w:rPr>
          <w:color w:val="000000" w:themeColor="text1"/>
          <w:lang w:val="en-US"/>
        </w:rPr>
        <w:t xml:space="preserve">, </w:t>
      </w:r>
      <w:r>
        <w:rPr>
          <w:color w:val="000000" w:themeColor="text1"/>
          <w:lang w:val="en-US"/>
        </w:rPr>
        <w:t>&amp;</w:t>
      </w:r>
      <w:r w:rsidRPr="00A856DB">
        <w:rPr>
          <w:color w:val="000000" w:themeColor="text1"/>
          <w:lang w:val="en-US"/>
        </w:rPr>
        <w:t xml:space="preserve"> Blac</w:t>
      </w:r>
      <w:r>
        <w:rPr>
          <w:color w:val="000000" w:themeColor="text1"/>
          <w:lang w:val="en-US"/>
        </w:rPr>
        <w:t>k, S. (2000).</w:t>
      </w:r>
      <w:r w:rsidRPr="00A856DB">
        <w:rPr>
          <w:color w:val="000000" w:themeColor="text1"/>
          <w:lang w:val="en-US"/>
        </w:rPr>
        <w:t xml:space="preserve"> Development and ageing of the juvenile skeleton. In</w:t>
      </w:r>
      <w:r w:rsidR="00C247A4">
        <w:rPr>
          <w:color w:val="000000" w:themeColor="text1"/>
          <w:lang w:val="en-US"/>
        </w:rPr>
        <w:t>:</w:t>
      </w:r>
      <w:r w:rsidRPr="00A856DB">
        <w:rPr>
          <w:color w:val="000000" w:themeColor="text1"/>
          <w:lang w:val="en-US"/>
        </w:rPr>
        <w:t xml:space="preserve"> </w:t>
      </w:r>
      <w:r>
        <w:rPr>
          <w:color w:val="000000" w:themeColor="text1"/>
          <w:lang w:val="en-US"/>
        </w:rPr>
        <w:t xml:space="preserve">Mays, S. &amp; Cox, M. (Eds.) </w:t>
      </w:r>
      <w:r w:rsidRPr="005F7C36">
        <w:rPr>
          <w:i/>
          <w:iCs/>
          <w:color w:val="000000" w:themeColor="text1"/>
          <w:lang w:val="en-US"/>
        </w:rPr>
        <w:t xml:space="preserve">Human Osteology in Archaeology and Forensic </w:t>
      </w:r>
      <w:r w:rsidR="00EA0C59">
        <w:rPr>
          <w:i/>
          <w:iCs/>
          <w:color w:val="000000" w:themeColor="text1"/>
          <w:lang w:val="en-US"/>
        </w:rPr>
        <w:t>S</w:t>
      </w:r>
      <w:r w:rsidRPr="005F7C36">
        <w:rPr>
          <w:i/>
          <w:iCs/>
          <w:color w:val="000000" w:themeColor="text1"/>
          <w:lang w:val="en-US"/>
        </w:rPr>
        <w:t>cience</w:t>
      </w:r>
      <w:r>
        <w:rPr>
          <w:color w:val="000000" w:themeColor="text1"/>
          <w:lang w:val="en-US"/>
        </w:rPr>
        <w:t xml:space="preserve"> (pp.</w:t>
      </w:r>
      <w:r w:rsidRPr="00A856DB">
        <w:rPr>
          <w:color w:val="000000" w:themeColor="text1"/>
          <w:lang w:val="en-US"/>
        </w:rPr>
        <w:t xml:space="preserve"> 9-22</w:t>
      </w:r>
      <w:r>
        <w:rPr>
          <w:color w:val="000000" w:themeColor="text1"/>
          <w:lang w:val="en-US"/>
        </w:rPr>
        <w:t>)</w:t>
      </w:r>
      <w:r w:rsidRPr="00A856DB">
        <w:rPr>
          <w:color w:val="000000" w:themeColor="text1"/>
          <w:lang w:val="en-US"/>
        </w:rPr>
        <w:t>.</w:t>
      </w:r>
      <w:r>
        <w:rPr>
          <w:color w:val="000000" w:themeColor="text1"/>
          <w:lang w:val="en-US"/>
        </w:rPr>
        <w:t xml:space="preserve"> London: Greenwich Medical Media.</w:t>
      </w:r>
    </w:p>
    <w:p w14:paraId="5B3FB62B" w14:textId="77777777" w:rsidR="00FD43EF" w:rsidRPr="00A856DB" w:rsidRDefault="00FD43EF" w:rsidP="00FD43EF">
      <w:pPr>
        <w:rPr>
          <w:color w:val="000000" w:themeColor="text1"/>
          <w:lang w:val="en-US"/>
        </w:rPr>
      </w:pPr>
    </w:p>
    <w:p w14:paraId="363C6E2E" w14:textId="45122541" w:rsidR="00FD43EF" w:rsidRPr="00A856DB" w:rsidRDefault="00FD43EF" w:rsidP="00FD43EF">
      <w:pPr>
        <w:rPr>
          <w:lang w:val="en-US"/>
        </w:rPr>
      </w:pPr>
      <w:r w:rsidRPr="00A856DB">
        <w:rPr>
          <w:lang w:val="en-US"/>
        </w:rPr>
        <w:t>Schoeninger, M</w:t>
      </w:r>
      <w:r>
        <w:rPr>
          <w:lang w:val="en-US"/>
        </w:rPr>
        <w:t>.</w:t>
      </w:r>
      <w:r w:rsidR="00C247A4">
        <w:rPr>
          <w:lang w:val="en-US"/>
        </w:rPr>
        <w:t xml:space="preserve"> </w:t>
      </w:r>
      <w:r w:rsidRPr="00A856DB">
        <w:rPr>
          <w:lang w:val="en-US"/>
        </w:rPr>
        <w:t>J.</w:t>
      </w:r>
      <w:r>
        <w:rPr>
          <w:lang w:val="en-US"/>
        </w:rPr>
        <w:t xml:space="preserve"> (1985).</w:t>
      </w:r>
      <w:r w:rsidRPr="00A856DB">
        <w:rPr>
          <w:lang w:val="en-US"/>
        </w:rPr>
        <w:t xml:space="preserve"> Trophic level effects on </w:t>
      </w:r>
      <w:r w:rsidRPr="00A856DB">
        <w:rPr>
          <w:vertAlign w:val="superscript"/>
          <w:lang w:val="en-US"/>
        </w:rPr>
        <w:t>15</w:t>
      </w:r>
      <w:r w:rsidRPr="00A856DB">
        <w:rPr>
          <w:lang w:val="en-US"/>
        </w:rPr>
        <w:t>N/</w:t>
      </w:r>
      <w:r w:rsidRPr="00A856DB">
        <w:rPr>
          <w:vertAlign w:val="superscript"/>
          <w:lang w:val="en-US"/>
        </w:rPr>
        <w:t>14</w:t>
      </w:r>
      <w:r w:rsidRPr="00A856DB">
        <w:rPr>
          <w:lang w:val="en-US"/>
        </w:rPr>
        <w:t xml:space="preserve">N and </w:t>
      </w:r>
      <w:r w:rsidRPr="00A856DB">
        <w:rPr>
          <w:vertAlign w:val="superscript"/>
          <w:lang w:val="en-US"/>
        </w:rPr>
        <w:t>13</w:t>
      </w:r>
      <w:r w:rsidRPr="00A856DB">
        <w:rPr>
          <w:lang w:val="en-US"/>
        </w:rPr>
        <w:t>C/</w:t>
      </w:r>
      <w:r w:rsidRPr="00A856DB">
        <w:rPr>
          <w:vertAlign w:val="superscript"/>
          <w:lang w:val="en-US"/>
        </w:rPr>
        <w:t>12</w:t>
      </w:r>
      <w:r w:rsidRPr="00A856DB">
        <w:rPr>
          <w:lang w:val="en-US"/>
        </w:rPr>
        <w:t xml:space="preserve">C ratios in bone collagen and strontium levels in bone mineral. </w:t>
      </w:r>
      <w:r w:rsidRPr="00A856DB">
        <w:rPr>
          <w:i/>
          <w:lang w:val="en-US"/>
        </w:rPr>
        <w:t>Journal of Human Evolution</w:t>
      </w:r>
      <w:r>
        <w:rPr>
          <w:i/>
          <w:lang w:val="en-US"/>
        </w:rPr>
        <w:t>,</w:t>
      </w:r>
      <w:r w:rsidRPr="00A856DB">
        <w:rPr>
          <w:lang w:val="en-US"/>
        </w:rPr>
        <w:t xml:space="preserve"> </w:t>
      </w:r>
      <w:r w:rsidRPr="00910008">
        <w:rPr>
          <w:i/>
          <w:lang w:val="en-US"/>
        </w:rPr>
        <w:t>14</w:t>
      </w:r>
      <w:r>
        <w:rPr>
          <w:lang w:val="en-US"/>
        </w:rPr>
        <w:t>(</w:t>
      </w:r>
      <w:r w:rsidRPr="00A856DB">
        <w:rPr>
          <w:lang w:val="en-US"/>
        </w:rPr>
        <w:t>5</w:t>
      </w:r>
      <w:r>
        <w:rPr>
          <w:lang w:val="en-US"/>
        </w:rPr>
        <w:t xml:space="preserve">), </w:t>
      </w:r>
      <w:r w:rsidRPr="00A856DB">
        <w:rPr>
          <w:lang w:val="en-US"/>
        </w:rPr>
        <w:t>515-525.</w:t>
      </w:r>
    </w:p>
    <w:p w14:paraId="475BBD64" w14:textId="77777777" w:rsidR="00FD43EF" w:rsidRPr="00A856DB" w:rsidRDefault="00FD43EF" w:rsidP="00FD43EF">
      <w:pPr>
        <w:rPr>
          <w:lang w:val="en-US"/>
        </w:rPr>
      </w:pPr>
    </w:p>
    <w:p w14:paraId="257D87A3" w14:textId="75CB80FA" w:rsidR="00FD43EF" w:rsidRPr="00A856DB" w:rsidRDefault="00FD43EF" w:rsidP="00FD43EF">
      <w:pPr>
        <w:rPr>
          <w:color w:val="000000" w:themeColor="text1"/>
          <w:lang w:val="en-US"/>
        </w:rPr>
      </w:pPr>
      <w:r w:rsidRPr="00A856DB">
        <w:rPr>
          <w:color w:val="000000" w:themeColor="text1"/>
          <w:lang w:val="en-US"/>
        </w:rPr>
        <w:t>Schurr, M</w:t>
      </w:r>
      <w:r>
        <w:rPr>
          <w:color w:val="000000" w:themeColor="text1"/>
          <w:lang w:val="en-US"/>
        </w:rPr>
        <w:t xml:space="preserve">. </w:t>
      </w:r>
      <w:r w:rsidRPr="00A856DB">
        <w:rPr>
          <w:color w:val="000000" w:themeColor="text1"/>
          <w:lang w:val="en-US"/>
        </w:rPr>
        <w:t xml:space="preserve">R. </w:t>
      </w:r>
      <w:r>
        <w:rPr>
          <w:color w:val="000000" w:themeColor="text1"/>
          <w:lang w:val="en-US"/>
        </w:rPr>
        <w:t xml:space="preserve">(1997). </w:t>
      </w:r>
      <w:r w:rsidRPr="00A856DB">
        <w:rPr>
          <w:color w:val="000000" w:themeColor="text1"/>
          <w:lang w:val="en-US"/>
        </w:rPr>
        <w:t xml:space="preserve">Stable nitrogen isotopes as evidence for the age of weaning at the Angel site: </w:t>
      </w:r>
      <w:r w:rsidR="003A3A35">
        <w:rPr>
          <w:color w:val="000000" w:themeColor="text1"/>
          <w:lang w:val="en-US"/>
        </w:rPr>
        <w:t>A</w:t>
      </w:r>
      <w:r w:rsidRPr="00A856DB">
        <w:rPr>
          <w:color w:val="000000" w:themeColor="text1"/>
          <w:lang w:val="en-US"/>
        </w:rPr>
        <w:t xml:space="preserve"> comparison of isotopic and demographic measures of weaning age.</w:t>
      </w:r>
      <w:r w:rsidRPr="00A856DB">
        <w:rPr>
          <w:i/>
          <w:color w:val="000000" w:themeColor="text1"/>
          <w:lang w:val="en-US"/>
        </w:rPr>
        <w:t xml:space="preserve"> Journal of Archaeological Science</w:t>
      </w:r>
      <w:r>
        <w:rPr>
          <w:i/>
          <w:color w:val="000000" w:themeColor="text1"/>
          <w:lang w:val="en-US"/>
        </w:rPr>
        <w:t>,</w:t>
      </w:r>
      <w:r w:rsidRPr="00A856DB">
        <w:rPr>
          <w:color w:val="000000" w:themeColor="text1"/>
          <w:lang w:val="en-US"/>
        </w:rPr>
        <w:t xml:space="preserve"> </w:t>
      </w:r>
      <w:r w:rsidRPr="00910008">
        <w:rPr>
          <w:i/>
          <w:color w:val="000000" w:themeColor="text1"/>
          <w:lang w:val="en-US"/>
        </w:rPr>
        <w:t>24</w:t>
      </w:r>
      <w:r>
        <w:rPr>
          <w:color w:val="000000" w:themeColor="text1"/>
          <w:lang w:val="en-US"/>
        </w:rPr>
        <w:t>(</w:t>
      </w:r>
      <w:r w:rsidRPr="00A856DB">
        <w:rPr>
          <w:color w:val="000000" w:themeColor="text1"/>
          <w:lang w:val="en-US"/>
        </w:rPr>
        <w:t>10</w:t>
      </w:r>
      <w:r>
        <w:rPr>
          <w:color w:val="000000" w:themeColor="text1"/>
          <w:lang w:val="en-US"/>
        </w:rPr>
        <w:t xml:space="preserve">), </w:t>
      </w:r>
      <w:r w:rsidRPr="00A856DB">
        <w:rPr>
          <w:color w:val="000000" w:themeColor="text1"/>
          <w:lang w:val="en-US"/>
        </w:rPr>
        <w:t>919-927.</w:t>
      </w:r>
    </w:p>
    <w:p w14:paraId="5BC937AE" w14:textId="77777777" w:rsidR="00FD43EF" w:rsidRPr="00A856DB" w:rsidRDefault="00FD43EF" w:rsidP="00FD43EF">
      <w:pPr>
        <w:rPr>
          <w:color w:val="000000" w:themeColor="text1"/>
          <w:lang w:val="en-US"/>
        </w:rPr>
      </w:pPr>
    </w:p>
    <w:p w14:paraId="5169E248" w14:textId="77777777" w:rsidR="00FD43EF" w:rsidRPr="00A856DB" w:rsidRDefault="00FD43EF" w:rsidP="00FD43EF">
      <w:pPr>
        <w:rPr>
          <w:lang w:val="en-US"/>
        </w:rPr>
      </w:pPr>
      <w:r w:rsidRPr="00A856DB">
        <w:rPr>
          <w:lang w:val="en-US"/>
        </w:rPr>
        <w:t>Schurr, M</w:t>
      </w:r>
      <w:r>
        <w:rPr>
          <w:lang w:val="en-US"/>
        </w:rPr>
        <w:t xml:space="preserve">. </w:t>
      </w:r>
      <w:r w:rsidRPr="00A856DB">
        <w:rPr>
          <w:lang w:val="en-US"/>
        </w:rPr>
        <w:t xml:space="preserve">R., </w:t>
      </w:r>
      <w:r>
        <w:rPr>
          <w:lang w:val="en-US"/>
        </w:rPr>
        <w:t>&amp;</w:t>
      </w:r>
      <w:r w:rsidRPr="00A856DB">
        <w:rPr>
          <w:lang w:val="en-US"/>
        </w:rPr>
        <w:t xml:space="preserve"> Powell</w:t>
      </w:r>
      <w:r>
        <w:rPr>
          <w:lang w:val="en-US"/>
        </w:rPr>
        <w:t xml:space="preserve">, M. L. (2005). </w:t>
      </w:r>
      <w:r w:rsidRPr="00A856DB">
        <w:rPr>
          <w:lang w:val="en-US"/>
        </w:rPr>
        <w:t xml:space="preserve">The role of changing childhood diets in the prehistoric evolution of food production: an isotopic assessment. </w:t>
      </w:r>
      <w:r w:rsidRPr="00A856DB">
        <w:rPr>
          <w:i/>
          <w:lang w:val="en-US"/>
        </w:rPr>
        <w:t>American Journal of Physical Anthropology</w:t>
      </w:r>
      <w:r>
        <w:rPr>
          <w:i/>
          <w:lang w:val="en-US"/>
        </w:rPr>
        <w:t>,</w:t>
      </w:r>
      <w:r w:rsidRPr="00910008">
        <w:rPr>
          <w:i/>
          <w:lang w:val="en-US"/>
        </w:rPr>
        <w:t xml:space="preserve"> 126</w:t>
      </w:r>
      <w:r>
        <w:rPr>
          <w:lang w:val="en-US"/>
        </w:rPr>
        <w:t>(</w:t>
      </w:r>
      <w:r w:rsidRPr="00A856DB">
        <w:rPr>
          <w:lang w:val="en-US"/>
        </w:rPr>
        <w:t>3</w:t>
      </w:r>
      <w:r>
        <w:rPr>
          <w:lang w:val="en-US"/>
        </w:rPr>
        <w:t xml:space="preserve">), </w:t>
      </w:r>
      <w:r w:rsidRPr="00A856DB">
        <w:rPr>
          <w:lang w:val="en-US"/>
        </w:rPr>
        <w:t>278-294.</w:t>
      </w:r>
    </w:p>
    <w:p w14:paraId="661AB65A" w14:textId="77777777" w:rsidR="00FD43EF" w:rsidRPr="00A856DB" w:rsidRDefault="00FD43EF" w:rsidP="00FD43EF">
      <w:pPr>
        <w:rPr>
          <w:lang w:val="en-US"/>
        </w:rPr>
      </w:pPr>
    </w:p>
    <w:p w14:paraId="29D27E80" w14:textId="5C94B1AA" w:rsidR="00FD43EF" w:rsidRPr="00A856DB" w:rsidRDefault="00FD43EF" w:rsidP="00FD43EF">
      <w:pPr>
        <w:rPr>
          <w:lang w:val="en-US"/>
        </w:rPr>
      </w:pPr>
      <w:r w:rsidRPr="00A856DB">
        <w:rPr>
          <w:lang w:val="en-US"/>
        </w:rPr>
        <w:t>Schwarcz, H</w:t>
      </w:r>
      <w:r>
        <w:rPr>
          <w:lang w:val="en-US"/>
        </w:rPr>
        <w:t xml:space="preserve">. </w:t>
      </w:r>
      <w:r w:rsidRPr="00A856DB">
        <w:rPr>
          <w:lang w:val="en-US"/>
        </w:rPr>
        <w:t xml:space="preserve">P., </w:t>
      </w:r>
      <w:r>
        <w:rPr>
          <w:lang w:val="en-US"/>
        </w:rPr>
        <w:t xml:space="preserve">&amp; </w:t>
      </w:r>
      <w:r w:rsidRPr="00A856DB">
        <w:rPr>
          <w:lang w:val="en-US"/>
        </w:rPr>
        <w:t>Schoeninger</w:t>
      </w:r>
      <w:r>
        <w:rPr>
          <w:lang w:val="en-US"/>
        </w:rPr>
        <w:t>, M. J. (2012).</w:t>
      </w:r>
      <w:r w:rsidRPr="00A856DB">
        <w:rPr>
          <w:lang w:val="en-US"/>
        </w:rPr>
        <w:t xml:space="preserve"> Stable isotopes of carbon and nitrogen as tracers for paleo-diet reconstruction. In</w:t>
      </w:r>
      <w:r w:rsidR="00240589">
        <w:rPr>
          <w:lang w:val="en-US"/>
        </w:rPr>
        <w:t>:</w:t>
      </w:r>
      <w:r>
        <w:rPr>
          <w:lang w:val="en-US"/>
        </w:rPr>
        <w:t xml:space="preserve"> Baskaran, M. (Ed</w:t>
      </w:r>
      <w:r w:rsidR="00240589">
        <w:rPr>
          <w:lang w:val="en-US"/>
        </w:rPr>
        <w:t>.</w:t>
      </w:r>
      <w:r>
        <w:rPr>
          <w:lang w:val="en-US"/>
        </w:rPr>
        <w:t>)</w:t>
      </w:r>
      <w:r w:rsidRPr="00A856DB">
        <w:rPr>
          <w:lang w:val="en-US"/>
        </w:rPr>
        <w:t xml:space="preserve"> </w:t>
      </w:r>
      <w:r w:rsidRPr="009C2929">
        <w:rPr>
          <w:i/>
          <w:lang w:val="en-US"/>
        </w:rPr>
        <w:t xml:space="preserve">Handbook of </w:t>
      </w:r>
      <w:r w:rsidR="00D60DD9">
        <w:rPr>
          <w:i/>
          <w:lang w:val="en-US"/>
        </w:rPr>
        <w:t>E</w:t>
      </w:r>
      <w:r w:rsidRPr="009C2929">
        <w:rPr>
          <w:i/>
          <w:lang w:val="en-US"/>
        </w:rPr>
        <w:t xml:space="preserve">nvironmental </w:t>
      </w:r>
      <w:r w:rsidR="00D60DD9">
        <w:rPr>
          <w:i/>
          <w:lang w:val="en-US"/>
        </w:rPr>
        <w:t>I</w:t>
      </w:r>
      <w:r w:rsidRPr="009C2929">
        <w:rPr>
          <w:i/>
          <w:lang w:val="en-US"/>
        </w:rPr>
        <w:t xml:space="preserve">sotope </w:t>
      </w:r>
      <w:r w:rsidR="00D60DD9">
        <w:rPr>
          <w:i/>
          <w:lang w:val="en-US"/>
        </w:rPr>
        <w:t>G</w:t>
      </w:r>
      <w:r w:rsidRPr="009C2929">
        <w:rPr>
          <w:i/>
          <w:lang w:val="en-US"/>
        </w:rPr>
        <w:t>eochemistry</w:t>
      </w:r>
      <w:r w:rsidRPr="00A856DB">
        <w:rPr>
          <w:lang w:val="en-US"/>
        </w:rPr>
        <w:t xml:space="preserve"> </w:t>
      </w:r>
      <w:r>
        <w:rPr>
          <w:lang w:val="en-US"/>
        </w:rPr>
        <w:t>(</w:t>
      </w:r>
      <w:r w:rsidRPr="00A856DB">
        <w:rPr>
          <w:lang w:val="en-US"/>
        </w:rPr>
        <w:t>pp. 725-742</w:t>
      </w:r>
      <w:r>
        <w:rPr>
          <w:lang w:val="en-US"/>
        </w:rPr>
        <w:t>)</w:t>
      </w:r>
      <w:r w:rsidRPr="00A856DB">
        <w:rPr>
          <w:lang w:val="en-US"/>
        </w:rPr>
        <w:t>.</w:t>
      </w:r>
      <w:r>
        <w:rPr>
          <w:lang w:val="en-US"/>
        </w:rPr>
        <w:t xml:space="preserve"> </w:t>
      </w:r>
      <w:r w:rsidRPr="00A856DB">
        <w:rPr>
          <w:lang w:val="en-US"/>
        </w:rPr>
        <w:t>Berlin</w:t>
      </w:r>
      <w:r>
        <w:rPr>
          <w:lang w:val="en-US"/>
        </w:rPr>
        <w:t>: Springer.</w:t>
      </w:r>
    </w:p>
    <w:p w14:paraId="0B4BCC3F" w14:textId="77777777" w:rsidR="00FD43EF" w:rsidRPr="00A856DB" w:rsidRDefault="00FD43EF" w:rsidP="00FD43EF">
      <w:pPr>
        <w:rPr>
          <w:lang w:val="en-US"/>
        </w:rPr>
      </w:pPr>
    </w:p>
    <w:p w14:paraId="75E734E5" w14:textId="1746C5D9" w:rsidR="00FD43EF" w:rsidRDefault="00FD43EF" w:rsidP="00FD43EF">
      <w:pPr>
        <w:rPr>
          <w:lang w:val="en-US"/>
        </w:rPr>
      </w:pPr>
      <w:r w:rsidRPr="00A856DB">
        <w:rPr>
          <w:lang w:val="en-US"/>
        </w:rPr>
        <w:t xml:space="preserve">Schmidt, </w:t>
      </w:r>
      <w:r>
        <w:rPr>
          <w:lang w:val="en-US"/>
        </w:rPr>
        <w:t>J.</w:t>
      </w:r>
      <w:r w:rsidRPr="00A856DB">
        <w:rPr>
          <w:lang w:val="en-US"/>
        </w:rPr>
        <w:t>, Kwok,</w:t>
      </w:r>
      <w:r>
        <w:rPr>
          <w:lang w:val="en-US"/>
        </w:rPr>
        <w:t xml:space="preserve"> C.</w:t>
      </w:r>
      <w:r w:rsidRPr="00A856DB">
        <w:rPr>
          <w:lang w:val="en-US"/>
        </w:rPr>
        <w:t xml:space="preserve"> </w:t>
      </w:r>
      <w:r>
        <w:rPr>
          <w:lang w:val="en-US"/>
        </w:rPr>
        <w:t>&amp;</w:t>
      </w:r>
      <w:r w:rsidRPr="00A856DB">
        <w:rPr>
          <w:lang w:val="en-US"/>
        </w:rPr>
        <w:t xml:space="preserve"> Keenleyside</w:t>
      </w:r>
      <w:r>
        <w:rPr>
          <w:lang w:val="en-US"/>
        </w:rPr>
        <w:t>, A. (2016).</w:t>
      </w:r>
      <w:r w:rsidRPr="00A856DB">
        <w:rPr>
          <w:lang w:val="en-US"/>
        </w:rPr>
        <w:t xml:space="preserve"> Infant feeding practices and childhood diet at Apollonia Pontica: Isotopic and dental evidence. </w:t>
      </w:r>
      <w:r w:rsidRPr="00A856DB">
        <w:rPr>
          <w:i/>
          <w:iCs/>
          <w:lang w:val="en-US"/>
        </w:rPr>
        <w:t xml:space="preserve">American </w:t>
      </w:r>
      <w:r w:rsidR="00D60DD9">
        <w:rPr>
          <w:i/>
          <w:iCs/>
          <w:lang w:val="en-US"/>
        </w:rPr>
        <w:t>J</w:t>
      </w:r>
      <w:r w:rsidRPr="00A856DB">
        <w:rPr>
          <w:i/>
          <w:iCs/>
          <w:lang w:val="en-US"/>
        </w:rPr>
        <w:t>ournal of</w:t>
      </w:r>
      <w:r w:rsidR="00D60DD9">
        <w:rPr>
          <w:i/>
          <w:iCs/>
          <w:lang w:val="en-US"/>
        </w:rPr>
        <w:t xml:space="preserve"> P</w:t>
      </w:r>
      <w:r w:rsidRPr="00A856DB">
        <w:rPr>
          <w:i/>
          <w:iCs/>
          <w:lang w:val="en-US"/>
        </w:rPr>
        <w:t xml:space="preserve">hysical </w:t>
      </w:r>
      <w:r w:rsidR="00D60DD9">
        <w:rPr>
          <w:i/>
          <w:iCs/>
          <w:lang w:val="en-US"/>
        </w:rPr>
        <w:t>A</w:t>
      </w:r>
      <w:r w:rsidRPr="00A856DB">
        <w:rPr>
          <w:i/>
          <w:iCs/>
          <w:lang w:val="en-US"/>
        </w:rPr>
        <w:t>nthropology</w:t>
      </w:r>
      <w:r>
        <w:rPr>
          <w:i/>
          <w:iCs/>
          <w:lang w:val="en-US"/>
        </w:rPr>
        <w:t>,</w:t>
      </w:r>
      <w:r w:rsidRPr="00A856DB">
        <w:rPr>
          <w:lang w:val="en-US"/>
        </w:rPr>
        <w:t> </w:t>
      </w:r>
      <w:r w:rsidRPr="00EA7439">
        <w:rPr>
          <w:i/>
          <w:lang w:val="en-US"/>
        </w:rPr>
        <w:t>159</w:t>
      </w:r>
      <w:r>
        <w:rPr>
          <w:lang w:val="en-US"/>
        </w:rPr>
        <w:t>(</w:t>
      </w:r>
      <w:r w:rsidRPr="00A856DB">
        <w:rPr>
          <w:lang w:val="en-US"/>
        </w:rPr>
        <w:t>2</w:t>
      </w:r>
      <w:r>
        <w:rPr>
          <w:lang w:val="en-US"/>
        </w:rPr>
        <w:t xml:space="preserve">), </w:t>
      </w:r>
      <w:r w:rsidRPr="00A856DB">
        <w:rPr>
          <w:lang w:val="en-US"/>
        </w:rPr>
        <w:t>284-299</w:t>
      </w:r>
      <w:r>
        <w:rPr>
          <w:lang w:val="en-US"/>
        </w:rPr>
        <w:t>.</w:t>
      </w:r>
    </w:p>
    <w:p w14:paraId="41E5353E" w14:textId="77777777" w:rsidR="00FD43EF" w:rsidRPr="00A856DB" w:rsidRDefault="00FD43EF" w:rsidP="00FD43EF">
      <w:pPr>
        <w:rPr>
          <w:lang w:val="en-US"/>
        </w:rPr>
      </w:pPr>
    </w:p>
    <w:p w14:paraId="113875B3" w14:textId="3503CAF7" w:rsidR="00FD43EF" w:rsidRPr="00A856DB" w:rsidRDefault="00FD43EF" w:rsidP="00FD43EF">
      <w:pPr>
        <w:rPr>
          <w:color w:val="000000" w:themeColor="text1"/>
          <w:lang w:val="en-US"/>
        </w:rPr>
      </w:pPr>
      <w:r w:rsidRPr="00A856DB">
        <w:rPr>
          <w:color w:val="000000" w:themeColor="text1"/>
          <w:lang w:val="en-US"/>
        </w:rPr>
        <w:t>Sealy, J</w:t>
      </w:r>
      <w:r>
        <w:rPr>
          <w:color w:val="000000" w:themeColor="text1"/>
          <w:lang w:val="en-US"/>
        </w:rPr>
        <w:t>.</w:t>
      </w:r>
      <w:r w:rsidRPr="00A856DB">
        <w:rPr>
          <w:color w:val="000000" w:themeColor="text1"/>
          <w:lang w:val="en-US"/>
        </w:rPr>
        <w:t xml:space="preserve">, Armstrong, </w:t>
      </w:r>
      <w:r>
        <w:rPr>
          <w:color w:val="000000" w:themeColor="text1"/>
          <w:lang w:val="en-US"/>
        </w:rPr>
        <w:t>R., &amp;</w:t>
      </w:r>
      <w:r w:rsidRPr="00A856DB">
        <w:rPr>
          <w:color w:val="000000" w:themeColor="text1"/>
          <w:lang w:val="en-US"/>
        </w:rPr>
        <w:t xml:space="preserve"> Schrire</w:t>
      </w:r>
      <w:r>
        <w:rPr>
          <w:color w:val="000000" w:themeColor="text1"/>
          <w:lang w:val="en-US"/>
        </w:rPr>
        <w:t xml:space="preserve">, C. (1995). </w:t>
      </w:r>
      <w:r w:rsidRPr="00A856DB">
        <w:rPr>
          <w:color w:val="000000" w:themeColor="text1"/>
          <w:lang w:val="en-US"/>
        </w:rPr>
        <w:t xml:space="preserve">Beyond lifetime averages: </w:t>
      </w:r>
      <w:r w:rsidR="003A3A35">
        <w:rPr>
          <w:color w:val="000000" w:themeColor="text1"/>
          <w:lang w:val="en-US"/>
        </w:rPr>
        <w:t>T</w:t>
      </w:r>
      <w:r w:rsidRPr="00A856DB">
        <w:rPr>
          <w:color w:val="000000" w:themeColor="text1"/>
          <w:lang w:val="en-US"/>
        </w:rPr>
        <w:t>racing life histories through isotopic analysis of different calcified tissues from archaeological human skeletons.</w:t>
      </w:r>
      <w:r>
        <w:rPr>
          <w:color w:val="000000" w:themeColor="text1"/>
          <w:lang w:val="en-US"/>
        </w:rPr>
        <w:t xml:space="preserve"> </w:t>
      </w:r>
      <w:r w:rsidRPr="00A856DB">
        <w:rPr>
          <w:i/>
          <w:color w:val="000000" w:themeColor="text1"/>
          <w:lang w:val="en-US"/>
        </w:rPr>
        <w:t>Antiquity</w:t>
      </w:r>
      <w:r>
        <w:rPr>
          <w:i/>
          <w:color w:val="000000" w:themeColor="text1"/>
          <w:lang w:val="en-US"/>
        </w:rPr>
        <w:t>,</w:t>
      </w:r>
      <w:r w:rsidRPr="00EA7439">
        <w:rPr>
          <w:i/>
          <w:color w:val="000000" w:themeColor="text1"/>
          <w:lang w:val="en-US"/>
        </w:rPr>
        <w:t xml:space="preserve"> 69</w:t>
      </w:r>
      <w:r>
        <w:rPr>
          <w:color w:val="000000" w:themeColor="text1"/>
          <w:lang w:val="en-US"/>
        </w:rPr>
        <w:t>(</w:t>
      </w:r>
      <w:r w:rsidRPr="00A856DB">
        <w:rPr>
          <w:color w:val="000000" w:themeColor="text1"/>
          <w:lang w:val="en-US"/>
        </w:rPr>
        <w:t>26</w:t>
      </w:r>
      <w:r>
        <w:rPr>
          <w:color w:val="000000" w:themeColor="text1"/>
          <w:lang w:val="en-US"/>
        </w:rPr>
        <w:t>3),</w:t>
      </w:r>
      <w:r w:rsidRPr="00A856DB">
        <w:rPr>
          <w:color w:val="000000" w:themeColor="text1"/>
          <w:lang w:val="en-US"/>
        </w:rPr>
        <w:t xml:space="preserve"> 290-300.</w:t>
      </w:r>
    </w:p>
    <w:p w14:paraId="3E081644" w14:textId="77777777" w:rsidR="00FD43EF" w:rsidRPr="00A856DB" w:rsidRDefault="00FD43EF" w:rsidP="00FD43EF">
      <w:pPr>
        <w:rPr>
          <w:color w:val="000000" w:themeColor="text1"/>
          <w:lang w:val="en-US"/>
        </w:rPr>
      </w:pPr>
    </w:p>
    <w:p w14:paraId="574AF80F" w14:textId="01EADB17" w:rsidR="00FD43EF" w:rsidRPr="00A856DB" w:rsidRDefault="00FD43EF" w:rsidP="00FD43EF">
      <w:pPr>
        <w:rPr>
          <w:lang w:val="en-US"/>
        </w:rPr>
      </w:pPr>
      <w:r w:rsidRPr="00A856DB">
        <w:rPr>
          <w:lang w:val="en-US"/>
        </w:rPr>
        <w:t>Sellen, D</w:t>
      </w:r>
      <w:r>
        <w:rPr>
          <w:lang w:val="en-US"/>
        </w:rPr>
        <w:t>.</w:t>
      </w:r>
      <w:r w:rsidRPr="00A856DB">
        <w:rPr>
          <w:lang w:val="en-US"/>
        </w:rPr>
        <w:t xml:space="preserve"> W.</w:t>
      </w:r>
      <w:r>
        <w:rPr>
          <w:lang w:val="en-US"/>
        </w:rPr>
        <w:t xml:space="preserve"> (2007).</w:t>
      </w:r>
      <w:r w:rsidRPr="00A856DB">
        <w:rPr>
          <w:lang w:val="en-US"/>
        </w:rPr>
        <w:t xml:space="preserve"> Evolution of infant and young child feeding: </w:t>
      </w:r>
      <w:r w:rsidR="003A3A35">
        <w:rPr>
          <w:lang w:val="en-US"/>
        </w:rPr>
        <w:t>I</w:t>
      </w:r>
      <w:r w:rsidRPr="00A856DB">
        <w:rPr>
          <w:lang w:val="en-US"/>
        </w:rPr>
        <w:t xml:space="preserve">mplications for contemporary public health. </w:t>
      </w:r>
      <w:r w:rsidRPr="00A856DB">
        <w:rPr>
          <w:i/>
          <w:lang w:val="en-US"/>
        </w:rPr>
        <w:t>Annual Review in Nutrition</w:t>
      </w:r>
      <w:r>
        <w:rPr>
          <w:i/>
          <w:lang w:val="en-US"/>
        </w:rPr>
        <w:t>,</w:t>
      </w:r>
      <w:r w:rsidRPr="00A856DB">
        <w:rPr>
          <w:lang w:val="en-US"/>
        </w:rPr>
        <w:t xml:space="preserve"> </w:t>
      </w:r>
      <w:r w:rsidRPr="00EA7439">
        <w:rPr>
          <w:i/>
          <w:lang w:val="en-US"/>
        </w:rPr>
        <w:t>27</w:t>
      </w:r>
      <w:r>
        <w:rPr>
          <w:lang w:val="en-US"/>
        </w:rPr>
        <w:t>(1),</w:t>
      </w:r>
      <w:r w:rsidRPr="00A856DB">
        <w:rPr>
          <w:lang w:val="en-US"/>
        </w:rPr>
        <w:t xml:space="preserve"> 123-148.</w:t>
      </w:r>
    </w:p>
    <w:p w14:paraId="721B2A9E" w14:textId="77777777" w:rsidR="00FD43EF" w:rsidRPr="00A856DB" w:rsidRDefault="00FD43EF" w:rsidP="00FD43EF">
      <w:pPr>
        <w:rPr>
          <w:lang w:val="en-US"/>
        </w:rPr>
      </w:pPr>
    </w:p>
    <w:p w14:paraId="173EE111" w14:textId="77777777" w:rsidR="00FD43EF" w:rsidRPr="00A856DB" w:rsidRDefault="00FD43EF" w:rsidP="00FD43EF">
      <w:pPr>
        <w:rPr>
          <w:lang w:val="en-US"/>
        </w:rPr>
      </w:pPr>
      <w:r w:rsidRPr="00A856DB">
        <w:rPr>
          <w:lang w:val="en-US"/>
        </w:rPr>
        <w:t>Sellen, D</w:t>
      </w:r>
      <w:r>
        <w:rPr>
          <w:lang w:val="en-US"/>
        </w:rPr>
        <w:t>.</w:t>
      </w:r>
      <w:r w:rsidRPr="00A856DB">
        <w:rPr>
          <w:lang w:val="en-US"/>
        </w:rPr>
        <w:t xml:space="preserve"> W., </w:t>
      </w:r>
      <w:r>
        <w:rPr>
          <w:lang w:val="en-US"/>
        </w:rPr>
        <w:t>&amp;</w:t>
      </w:r>
      <w:r w:rsidRPr="00A856DB">
        <w:rPr>
          <w:lang w:val="en-US"/>
        </w:rPr>
        <w:t xml:space="preserve"> Smay</w:t>
      </w:r>
      <w:r>
        <w:rPr>
          <w:lang w:val="en-US"/>
        </w:rPr>
        <w:t>, D. B. (2001).</w:t>
      </w:r>
      <w:r w:rsidRPr="00A856DB">
        <w:rPr>
          <w:lang w:val="en-US"/>
        </w:rPr>
        <w:t xml:space="preserve"> Relationship between subsistence and age at weaning in “preindustrial” societies.</w:t>
      </w:r>
      <w:r>
        <w:rPr>
          <w:lang w:val="en-US"/>
        </w:rPr>
        <w:t xml:space="preserve"> </w:t>
      </w:r>
      <w:r w:rsidRPr="00A856DB">
        <w:rPr>
          <w:i/>
          <w:lang w:val="en-US"/>
        </w:rPr>
        <w:t>Human Nature</w:t>
      </w:r>
      <w:r>
        <w:rPr>
          <w:i/>
          <w:lang w:val="en-US"/>
        </w:rPr>
        <w:t>,</w:t>
      </w:r>
      <w:r w:rsidRPr="00A856DB">
        <w:rPr>
          <w:lang w:val="en-US"/>
        </w:rPr>
        <w:t xml:space="preserve"> </w:t>
      </w:r>
      <w:r w:rsidRPr="00EA7439">
        <w:rPr>
          <w:i/>
          <w:lang w:val="en-US"/>
        </w:rPr>
        <w:t>12</w:t>
      </w:r>
      <w:r w:rsidRPr="00EA7439">
        <w:rPr>
          <w:lang w:val="en-US"/>
        </w:rPr>
        <w:t>(</w:t>
      </w:r>
      <w:r w:rsidRPr="00A856DB">
        <w:rPr>
          <w:lang w:val="en-US"/>
        </w:rPr>
        <w:t>1</w:t>
      </w:r>
      <w:r>
        <w:rPr>
          <w:lang w:val="en-US"/>
        </w:rPr>
        <w:t>),</w:t>
      </w:r>
      <w:r w:rsidRPr="00A856DB">
        <w:rPr>
          <w:lang w:val="en-US"/>
        </w:rPr>
        <w:t xml:space="preserve"> 47-87.</w:t>
      </w:r>
    </w:p>
    <w:p w14:paraId="624D11C8" w14:textId="77777777" w:rsidR="00FD43EF" w:rsidRPr="00A856DB" w:rsidRDefault="00FD43EF" w:rsidP="00FD43EF">
      <w:pPr>
        <w:rPr>
          <w:lang w:val="en-US"/>
        </w:rPr>
      </w:pPr>
    </w:p>
    <w:p w14:paraId="41AFFFDF" w14:textId="77777777" w:rsidR="00FD43EF" w:rsidRDefault="00FD43EF" w:rsidP="00FD43EF">
      <w:pPr>
        <w:rPr>
          <w:lang w:val="en-US"/>
        </w:rPr>
      </w:pPr>
      <w:r w:rsidRPr="00EE3CC9">
        <w:rPr>
          <w:lang w:val="en-US"/>
        </w:rPr>
        <w:t xml:space="preserve">Semchuk, L. (2016). </w:t>
      </w:r>
      <w:r w:rsidRPr="003A3A35">
        <w:rPr>
          <w:i/>
          <w:lang w:val="en-US"/>
        </w:rPr>
        <w:t>A Stable Isotope Investigation of Diet at Vagnari.</w:t>
      </w:r>
      <w:r w:rsidRPr="00EE3CC9">
        <w:rPr>
          <w:lang w:val="en-US"/>
        </w:rPr>
        <w:t xml:space="preserve"> Unpublished MA thesis, McMaster University.</w:t>
      </w:r>
    </w:p>
    <w:p w14:paraId="17F7DC2A" w14:textId="77777777" w:rsidR="00FD43EF" w:rsidRPr="008C4A6A" w:rsidRDefault="00FD43EF" w:rsidP="00FD43EF">
      <w:pPr>
        <w:rPr>
          <w:lang w:val="en-US"/>
        </w:rPr>
      </w:pPr>
    </w:p>
    <w:p w14:paraId="1AC5FC0B" w14:textId="77777777" w:rsidR="00FD43EF" w:rsidRPr="00A856DB" w:rsidRDefault="00FD43EF" w:rsidP="00FD43EF">
      <w:pPr>
        <w:rPr>
          <w:color w:val="000000" w:themeColor="text1"/>
          <w:lang w:val="en-US"/>
        </w:rPr>
      </w:pPr>
      <w:r w:rsidRPr="008C4A6A">
        <w:rPr>
          <w:color w:val="000000" w:themeColor="text1"/>
          <w:lang w:val="en-US"/>
        </w:rPr>
        <w:t xml:space="preserve">Sick, H., Roos, </w:t>
      </w:r>
      <w:r>
        <w:rPr>
          <w:color w:val="000000" w:themeColor="text1"/>
          <w:lang w:val="en-US"/>
        </w:rPr>
        <w:t xml:space="preserve">N., </w:t>
      </w:r>
      <w:r w:rsidRPr="008C4A6A">
        <w:rPr>
          <w:color w:val="000000" w:themeColor="text1"/>
          <w:lang w:val="en-US"/>
        </w:rPr>
        <w:t xml:space="preserve">Saggau, </w:t>
      </w:r>
      <w:r>
        <w:rPr>
          <w:color w:val="000000" w:themeColor="text1"/>
          <w:lang w:val="en-US"/>
        </w:rPr>
        <w:t xml:space="preserve">E., </w:t>
      </w:r>
      <w:r w:rsidRPr="008C4A6A">
        <w:rPr>
          <w:color w:val="000000" w:themeColor="text1"/>
          <w:lang w:val="en-US"/>
        </w:rPr>
        <w:t>Haas,</w:t>
      </w:r>
      <w:r>
        <w:rPr>
          <w:color w:val="000000" w:themeColor="text1"/>
          <w:lang w:val="en-US"/>
        </w:rPr>
        <w:t xml:space="preserve"> K., </w:t>
      </w:r>
      <w:r w:rsidRPr="008C4A6A">
        <w:rPr>
          <w:color w:val="000000" w:themeColor="text1"/>
          <w:lang w:val="en-US"/>
        </w:rPr>
        <w:t xml:space="preserve">Meyn, </w:t>
      </w:r>
      <w:r>
        <w:rPr>
          <w:color w:val="000000" w:themeColor="text1"/>
          <w:lang w:val="en-US"/>
        </w:rPr>
        <w:t xml:space="preserve">V., </w:t>
      </w:r>
      <w:r w:rsidRPr="008C4A6A">
        <w:rPr>
          <w:color w:val="000000" w:themeColor="text1"/>
          <w:lang w:val="en-US"/>
        </w:rPr>
        <w:t>Walch,</w:t>
      </w:r>
      <w:r>
        <w:rPr>
          <w:color w:val="000000" w:themeColor="text1"/>
          <w:lang w:val="en-US"/>
        </w:rPr>
        <w:t xml:space="preserve"> B.,</w:t>
      </w:r>
      <w:r w:rsidRPr="008C4A6A">
        <w:rPr>
          <w:color w:val="000000" w:themeColor="text1"/>
          <w:lang w:val="en-US"/>
        </w:rPr>
        <w:t xml:space="preserve"> </w:t>
      </w:r>
      <w:r>
        <w:rPr>
          <w:color w:val="000000" w:themeColor="text1"/>
          <w:lang w:val="en-US"/>
        </w:rPr>
        <w:t xml:space="preserve">&amp; </w:t>
      </w:r>
      <w:r w:rsidRPr="008C4A6A">
        <w:rPr>
          <w:color w:val="000000" w:themeColor="text1"/>
          <w:lang w:val="en-US"/>
        </w:rPr>
        <w:t>Trugo</w:t>
      </w:r>
      <w:r>
        <w:rPr>
          <w:color w:val="000000" w:themeColor="text1"/>
          <w:lang w:val="en-US"/>
        </w:rPr>
        <w:t>, N. (1997).</w:t>
      </w:r>
      <w:r w:rsidRPr="00A856DB">
        <w:rPr>
          <w:color w:val="000000" w:themeColor="text1"/>
          <w:lang w:val="en-US"/>
        </w:rPr>
        <w:t xml:space="preserve"> Amino acid utilization and isotope discrimination of amino nitrogen in nitrogen metabolism of rat liverin vivo.</w:t>
      </w:r>
      <w:r>
        <w:rPr>
          <w:color w:val="000000" w:themeColor="text1"/>
          <w:lang w:val="en-US"/>
        </w:rPr>
        <w:t xml:space="preserve"> </w:t>
      </w:r>
      <w:r w:rsidRPr="00A856DB">
        <w:rPr>
          <w:i/>
          <w:color w:val="000000" w:themeColor="text1"/>
          <w:lang w:val="en-US"/>
        </w:rPr>
        <w:t>Zeitschrift für Ernährungswissenschaft</w:t>
      </w:r>
      <w:r>
        <w:rPr>
          <w:i/>
          <w:color w:val="000000" w:themeColor="text1"/>
          <w:lang w:val="en-US"/>
        </w:rPr>
        <w:t>,</w:t>
      </w:r>
      <w:r w:rsidRPr="00A856DB">
        <w:rPr>
          <w:color w:val="000000" w:themeColor="text1"/>
          <w:lang w:val="en-US"/>
        </w:rPr>
        <w:t xml:space="preserve"> </w:t>
      </w:r>
      <w:r w:rsidRPr="00EA7439">
        <w:rPr>
          <w:i/>
          <w:color w:val="000000" w:themeColor="text1"/>
          <w:lang w:val="en-US"/>
        </w:rPr>
        <w:t>36</w:t>
      </w:r>
      <w:r>
        <w:rPr>
          <w:color w:val="000000" w:themeColor="text1"/>
          <w:lang w:val="en-US"/>
        </w:rPr>
        <w:t>(4),</w:t>
      </w:r>
      <w:r w:rsidRPr="00A856DB">
        <w:rPr>
          <w:color w:val="000000" w:themeColor="text1"/>
          <w:lang w:val="en-US"/>
        </w:rPr>
        <w:t xml:space="preserve"> 340-346.</w:t>
      </w:r>
    </w:p>
    <w:p w14:paraId="38630218" w14:textId="77777777" w:rsidR="00FD43EF" w:rsidRPr="00A856DB" w:rsidRDefault="00FD43EF" w:rsidP="00FD43EF">
      <w:pPr>
        <w:rPr>
          <w:color w:val="000000" w:themeColor="text1"/>
          <w:lang w:val="en-US"/>
        </w:rPr>
      </w:pPr>
    </w:p>
    <w:p w14:paraId="4954333A" w14:textId="1FD0DEBA" w:rsidR="00FD43EF" w:rsidRPr="00A856DB" w:rsidRDefault="00FD43EF" w:rsidP="00FD43EF">
      <w:pPr>
        <w:rPr>
          <w:color w:val="000000" w:themeColor="text1"/>
          <w:lang w:val="en-US"/>
        </w:rPr>
      </w:pPr>
      <w:r w:rsidRPr="00A856DB">
        <w:rPr>
          <w:color w:val="000000" w:themeColor="text1"/>
          <w:lang w:val="en-US"/>
        </w:rPr>
        <w:t>Small, A</w:t>
      </w:r>
      <w:r>
        <w:rPr>
          <w:color w:val="000000" w:themeColor="text1"/>
          <w:lang w:val="en-US"/>
        </w:rPr>
        <w:t>.</w:t>
      </w:r>
      <w:r w:rsidRPr="00A856DB">
        <w:rPr>
          <w:color w:val="000000" w:themeColor="text1"/>
          <w:lang w:val="en-US"/>
        </w:rPr>
        <w:t xml:space="preserve"> M. (2002). Apulia before and after the Roman conquest: </w:t>
      </w:r>
      <w:r w:rsidR="003A3A35">
        <w:rPr>
          <w:color w:val="000000" w:themeColor="text1"/>
          <w:lang w:val="en-US"/>
        </w:rPr>
        <w:t>R</w:t>
      </w:r>
      <w:r w:rsidRPr="00A856DB">
        <w:rPr>
          <w:color w:val="000000" w:themeColor="text1"/>
          <w:lang w:val="en-US"/>
        </w:rPr>
        <w:t>ecent evidence from Botromagno.</w:t>
      </w:r>
      <w:r>
        <w:rPr>
          <w:color w:val="000000" w:themeColor="text1"/>
          <w:lang w:val="en-US"/>
        </w:rPr>
        <w:t xml:space="preserve"> </w:t>
      </w:r>
      <w:r w:rsidRPr="00A856DB">
        <w:rPr>
          <w:i/>
          <w:color w:val="000000" w:themeColor="text1"/>
          <w:lang w:val="en-US"/>
        </w:rPr>
        <w:t>Journal of Roman Archaeology</w:t>
      </w:r>
      <w:r w:rsidRPr="00A856DB">
        <w:rPr>
          <w:color w:val="000000" w:themeColor="text1"/>
          <w:lang w:val="en-US"/>
        </w:rPr>
        <w:t xml:space="preserve">, </w:t>
      </w:r>
      <w:r w:rsidRPr="00EA7439">
        <w:rPr>
          <w:i/>
          <w:color w:val="000000" w:themeColor="text1"/>
          <w:lang w:val="en-US"/>
        </w:rPr>
        <w:t>15</w:t>
      </w:r>
      <w:r>
        <w:rPr>
          <w:color w:val="000000" w:themeColor="text1"/>
          <w:lang w:val="en-US"/>
        </w:rPr>
        <w:t>(1)</w:t>
      </w:r>
      <w:r w:rsidRPr="00A856DB">
        <w:rPr>
          <w:color w:val="000000" w:themeColor="text1"/>
          <w:lang w:val="en-US"/>
        </w:rPr>
        <w:t>, 375-379.</w:t>
      </w:r>
    </w:p>
    <w:p w14:paraId="3E3E101D" w14:textId="77777777" w:rsidR="00FD43EF" w:rsidRPr="00A856DB" w:rsidRDefault="00FD43EF" w:rsidP="00FD43EF">
      <w:pPr>
        <w:rPr>
          <w:color w:val="000000" w:themeColor="text1"/>
          <w:lang w:val="en-US"/>
        </w:rPr>
      </w:pPr>
    </w:p>
    <w:p w14:paraId="6DFCEC6B" w14:textId="77777777" w:rsidR="00FD43EF" w:rsidRPr="00A856DB" w:rsidRDefault="00FD43EF" w:rsidP="00FD43EF">
      <w:pPr>
        <w:rPr>
          <w:lang w:val="en-US"/>
        </w:rPr>
      </w:pPr>
      <w:r w:rsidRPr="00A856DB">
        <w:rPr>
          <w:lang w:val="en-US"/>
        </w:rPr>
        <w:lastRenderedPageBreak/>
        <w:t>Small, A.</w:t>
      </w:r>
      <w:r>
        <w:rPr>
          <w:lang w:val="en-US"/>
        </w:rPr>
        <w:t xml:space="preserve"> (1992).</w:t>
      </w:r>
      <w:r w:rsidRPr="00A856DB">
        <w:rPr>
          <w:lang w:val="en-US"/>
        </w:rPr>
        <w:t xml:space="preserve"> </w:t>
      </w:r>
      <w:r w:rsidRPr="00A856DB">
        <w:rPr>
          <w:i/>
          <w:lang w:val="en-US"/>
        </w:rPr>
        <w:t>An Iron Age and Roman Republican Settlement on Botromagno, Gravina di Puglia: Excavations of 1965-1974</w:t>
      </w:r>
      <w:r w:rsidRPr="00A856DB">
        <w:rPr>
          <w:lang w:val="en-US"/>
        </w:rPr>
        <w:t>. Vol. 2. Rome: British School at Rome</w:t>
      </w:r>
      <w:r>
        <w:rPr>
          <w:lang w:val="en-US"/>
        </w:rPr>
        <w:t>.</w:t>
      </w:r>
    </w:p>
    <w:p w14:paraId="1B06B471" w14:textId="77777777" w:rsidR="00FD43EF" w:rsidRPr="00A856DB" w:rsidRDefault="00FD43EF" w:rsidP="00FD43EF">
      <w:pPr>
        <w:rPr>
          <w:lang w:val="en-US"/>
        </w:rPr>
      </w:pPr>
    </w:p>
    <w:p w14:paraId="6B45185B" w14:textId="77777777" w:rsidR="00FD43EF" w:rsidRPr="008C4A6A" w:rsidRDefault="00FD43EF" w:rsidP="00FD43EF">
      <w:pPr>
        <w:rPr>
          <w:iCs/>
          <w:color w:val="000000" w:themeColor="text1"/>
          <w:lang w:val="en-US"/>
        </w:rPr>
      </w:pPr>
      <w:r w:rsidRPr="008C4A6A">
        <w:rPr>
          <w:iCs/>
          <w:color w:val="000000" w:themeColor="text1"/>
          <w:lang w:val="en-US"/>
        </w:rPr>
        <w:t>Smith, B. H.</w:t>
      </w:r>
      <w:r>
        <w:rPr>
          <w:iCs/>
          <w:color w:val="000000" w:themeColor="text1"/>
          <w:lang w:val="en-US"/>
        </w:rPr>
        <w:t xml:space="preserve"> (1989).</w:t>
      </w:r>
      <w:r w:rsidRPr="008C4A6A">
        <w:rPr>
          <w:iCs/>
          <w:color w:val="000000" w:themeColor="text1"/>
          <w:lang w:val="en-US"/>
        </w:rPr>
        <w:t xml:space="preserve"> Dental development as a measure of life history in primates. </w:t>
      </w:r>
      <w:r w:rsidRPr="008C4A6A">
        <w:rPr>
          <w:i/>
          <w:iCs/>
          <w:color w:val="000000" w:themeColor="text1"/>
          <w:lang w:val="en-US"/>
        </w:rPr>
        <w:t>Evolution</w:t>
      </w:r>
      <w:r>
        <w:rPr>
          <w:i/>
          <w:iCs/>
          <w:color w:val="000000" w:themeColor="text1"/>
          <w:lang w:val="en-US"/>
        </w:rPr>
        <w:t>,</w:t>
      </w:r>
      <w:r w:rsidRPr="008C4A6A">
        <w:rPr>
          <w:iCs/>
          <w:color w:val="000000" w:themeColor="text1"/>
          <w:lang w:val="en-US"/>
        </w:rPr>
        <w:t xml:space="preserve"> </w:t>
      </w:r>
      <w:r w:rsidRPr="00EA7439">
        <w:rPr>
          <w:i/>
          <w:iCs/>
          <w:color w:val="000000" w:themeColor="text1"/>
          <w:lang w:val="en-US"/>
        </w:rPr>
        <w:t>43</w:t>
      </w:r>
      <w:r>
        <w:rPr>
          <w:iCs/>
          <w:color w:val="000000" w:themeColor="text1"/>
          <w:lang w:val="en-US"/>
        </w:rPr>
        <w:t>(</w:t>
      </w:r>
      <w:r w:rsidRPr="008C4A6A">
        <w:rPr>
          <w:iCs/>
          <w:color w:val="000000" w:themeColor="text1"/>
          <w:lang w:val="en-US"/>
        </w:rPr>
        <w:t>3</w:t>
      </w:r>
      <w:r>
        <w:rPr>
          <w:iCs/>
          <w:color w:val="000000" w:themeColor="text1"/>
          <w:lang w:val="en-US"/>
        </w:rPr>
        <w:t xml:space="preserve">), </w:t>
      </w:r>
      <w:r w:rsidRPr="008C4A6A">
        <w:rPr>
          <w:iCs/>
          <w:color w:val="000000" w:themeColor="text1"/>
          <w:lang w:val="en-US"/>
        </w:rPr>
        <w:t>683-688.</w:t>
      </w:r>
    </w:p>
    <w:p w14:paraId="54C45BEF" w14:textId="77777777" w:rsidR="00FD43EF" w:rsidRPr="008C4A6A" w:rsidRDefault="00FD43EF" w:rsidP="00FD43EF">
      <w:pPr>
        <w:rPr>
          <w:iCs/>
          <w:color w:val="000000" w:themeColor="text1"/>
          <w:lang w:val="en-US"/>
        </w:rPr>
      </w:pPr>
    </w:p>
    <w:p w14:paraId="0C07C9DA" w14:textId="77777777" w:rsidR="00FD43EF" w:rsidRDefault="00FD43EF" w:rsidP="00FD43EF">
      <w:pPr>
        <w:rPr>
          <w:iCs/>
          <w:color w:val="000000" w:themeColor="text1"/>
          <w:lang w:val="en-US"/>
        </w:rPr>
      </w:pPr>
      <w:r w:rsidRPr="008C4A6A">
        <w:rPr>
          <w:iCs/>
          <w:color w:val="000000" w:themeColor="text1"/>
          <w:lang w:val="en-US"/>
        </w:rPr>
        <w:t>Smith, B</w:t>
      </w:r>
      <w:r>
        <w:rPr>
          <w:iCs/>
          <w:color w:val="000000" w:themeColor="text1"/>
          <w:lang w:val="en-US"/>
        </w:rPr>
        <w:t>.</w:t>
      </w:r>
      <w:r w:rsidRPr="008C4A6A">
        <w:rPr>
          <w:iCs/>
          <w:color w:val="000000" w:themeColor="text1"/>
          <w:lang w:val="en-US"/>
        </w:rPr>
        <w:t xml:space="preserve"> H.</w:t>
      </w:r>
      <w:r>
        <w:rPr>
          <w:iCs/>
          <w:color w:val="000000" w:themeColor="text1"/>
          <w:lang w:val="en-US"/>
        </w:rPr>
        <w:t xml:space="preserve"> (1992).</w:t>
      </w:r>
      <w:r w:rsidRPr="008C4A6A">
        <w:rPr>
          <w:iCs/>
          <w:color w:val="000000" w:themeColor="text1"/>
          <w:lang w:val="en-US"/>
        </w:rPr>
        <w:t xml:space="preserve"> Life history and the evolution of human maturation. </w:t>
      </w:r>
      <w:r w:rsidRPr="008C4A6A">
        <w:rPr>
          <w:i/>
          <w:iCs/>
          <w:color w:val="000000" w:themeColor="text1"/>
          <w:lang w:val="en-US"/>
        </w:rPr>
        <w:t>Evolution Anthropology</w:t>
      </w:r>
      <w:r>
        <w:rPr>
          <w:i/>
          <w:iCs/>
          <w:color w:val="000000" w:themeColor="text1"/>
          <w:lang w:val="en-US"/>
        </w:rPr>
        <w:t>, 1</w:t>
      </w:r>
      <w:r>
        <w:rPr>
          <w:iCs/>
          <w:color w:val="000000" w:themeColor="text1"/>
          <w:lang w:val="en-US"/>
        </w:rPr>
        <w:t>(1)</w:t>
      </w:r>
      <w:r>
        <w:rPr>
          <w:i/>
          <w:iCs/>
          <w:color w:val="000000" w:themeColor="text1"/>
          <w:lang w:val="en-US"/>
        </w:rPr>
        <w:t xml:space="preserve">, </w:t>
      </w:r>
      <w:r>
        <w:rPr>
          <w:iCs/>
          <w:color w:val="000000" w:themeColor="text1"/>
          <w:lang w:val="en-US"/>
        </w:rPr>
        <w:t xml:space="preserve">134-42. </w:t>
      </w:r>
    </w:p>
    <w:p w14:paraId="21D7647F" w14:textId="77777777" w:rsidR="00FD43EF" w:rsidRDefault="00FD43EF" w:rsidP="00FD43EF">
      <w:pPr>
        <w:rPr>
          <w:iCs/>
          <w:color w:val="000000" w:themeColor="text1"/>
          <w:lang w:val="en-US"/>
        </w:rPr>
      </w:pPr>
    </w:p>
    <w:p w14:paraId="5F372DBB" w14:textId="39D07DA3" w:rsidR="00FD43EF" w:rsidRPr="0024424F" w:rsidRDefault="00FD43EF" w:rsidP="00FD43EF">
      <w:pPr>
        <w:rPr>
          <w:iCs/>
          <w:color w:val="000000" w:themeColor="text1"/>
          <w:lang w:val="en-US"/>
        </w:rPr>
      </w:pPr>
      <w:r>
        <w:rPr>
          <w:iCs/>
          <w:color w:val="000000" w:themeColor="text1"/>
          <w:lang w:val="en-US"/>
        </w:rPr>
        <w:t xml:space="preserve">Smith, T. (2018). </w:t>
      </w:r>
      <w:r w:rsidRPr="003A3A35">
        <w:rPr>
          <w:rFonts w:ascii="TimesNewRomanPSMT" w:hAnsi="TimesNewRomanPSMT" w:cs="TimesNewRomanPSMT"/>
          <w:i/>
        </w:rPr>
        <w:t>Individual Breastfeeding And Weaning Histories In A 19</w:t>
      </w:r>
      <w:r w:rsidRPr="003A3A35">
        <w:rPr>
          <w:rFonts w:ascii="TimesNewRomanPSMT" w:hAnsi="TimesNewRomanPSMT" w:cs="TimesNewRomanPSMT"/>
          <w:i/>
          <w:position w:val="10"/>
          <w:sz w:val="16"/>
          <w:szCs w:val="16"/>
          <w:vertAlign w:val="superscript"/>
        </w:rPr>
        <w:t>th</w:t>
      </w:r>
      <w:r w:rsidR="00240589" w:rsidRPr="003A3A35">
        <w:rPr>
          <w:rFonts w:ascii="TimesNewRomanPSMT" w:hAnsi="TimesNewRomanPSMT" w:cs="TimesNewRomanPSMT"/>
          <w:i/>
          <w:position w:val="10"/>
          <w:sz w:val="16"/>
          <w:szCs w:val="16"/>
        </w:rPr>
        <w:t xml:space="preserve"> </w:t>
      </w:r>
      <w:r w:rsidRPr="003A3A35">
        <w:rPr>
          <w:rFonts w:ascii="TimesNewRomanPSMT" w:hAnsi="TimesNewRomanPSMT" w:cs="TimesNewRomanPSMT"/>
          <w:i/>
          <w:position w:val="10"/>
          <w:sz w:val="16"/>
          <w:szCs w:val="16"/>
        </w:rPr>
        <w:t xml:space="preserve"> </w:t>
      </w:r>
      <w:r w:rsidRPr="003A3A35">
        <w:rPr>
          <w:rFonts w:ascii="TimesNewRomanPSMT" w:hAnsi="TimesNewRomanPSMT" w:cs="TimesNewRomanPSMT"/>
          <w:i/>
        </w:rPr>
        <w:t>Century Spanish Sample Using Stable Isotope Analysis Of Incremental Dentine Sections</w:t>
      </w:r>
      <w:r w:rsidRPr="00D86B24">
        <w:rPr>
          <w:rFonts w:ascii="TimesNewRomanPSMT" w:hAnsi="TimesNewRomanPSMT" w:cs="TimesNewRomanPSMT"/>
        </w:rPr>
        <w:t>.</w:t>
      </w:r>
      <w:r>
        <w:rPr>
          <w:rFonts w:ascii="TimesNewRomanPSMT" w:hAnsi="TimesNewRomanPSMT" w:cs="TimesNewRomanPSMT"/>
        </w:rPr>
        <w:t xml:space="preserve"> </w:t>
      </w:r>
      <w:r w:rsidR="00EA0C59">
        <w:rPr>
          <w:rFonts w:ascii="TimesNewRomanPSMT" w:hAnsi="TimesNewRomanPSMT" w:cs="TimesNewRomanPSMT"/>
        </w:rPr>
        <w:t>Unpublished MA</w:t>
      </w:r>
      <w:r>
        <w:rPr>
          <w:rFonts w:ascii="TimesNewRomanPSMT" w:hAnsi="TimesNewRomanPSMT" w:cs="TimesNewRomanPSMT"/>
        </w:rPr>
        <w:t xml:space="preserve"> thesis</w:t>
      </w:r>
      <w:r w:rsidR="00846A2A">
        <w:rPr>
          <w:rFonts w:ascii="TimesNewRomanPSMT" w:hAnsi="TimesNewRomanPSMT" w:cs="TimesNewRomanPSMT"/>
        </w:rPr>
        <w:t>,</w:t>
      </w:r>
      <w:r>
        <w:rPr>
          <w:rFonts w:ascii="TimesNewRomanPSMT" w:hAnsi="TimesNewRomanPSMT" w:cs="TimesNewRomanPSMT"/>
        </w:rPr>
        <w:t xml:space="preserve"> McMaster University.</w:t>
      </w:r>
    </w:p>
    <w:p w14:paraId="62E257B7" w14:textId="77777777" w:rsidR="00FD43EF" w:rsidRPr="008C4A6A" w:rsidRDefault="00FD43EF" w:rsidP="00FD43EF">
      <w:pPr>
        <w:rPr>
          <w:iCs/>
          <w:color w:val="000000" w:themeColor="text1"/>
          <w:lang w:val="en-US"/>
        </w:rPr>
      </w:pPr>
    </w:p>
    <w:p w14:paraId="204C0031" w14:textId="77777777" w:rsidR="00FD43EF" w:rsidRPr="008C4A6A" w:rsidRDefault="00FD43EF" w:rsidP="00FD43EF">
      <w:pPr>
        <w:rPr>
          <w:color w:val="000000" w:themeColor="text1"/>
          <w:lang w:val="en-US"/>
        </w:rPr>
      </w:pPr>
      <w:r w:rsidRPr="00EE3CC9">
        <w:rPr>
          <w:color w:val="000000" w:themeColor="text1"/>
          <w:lang w:val="en-US"/>
        </w:rPr>
        <w:t xml:space="preserve">Soranus (of Ephesus.), &amp; Temkin, O. (Ed.) (1956). </w:t>
      </w:r>
      <w:r w:rsidRPr="00EE3CC9">
        <w:rPr>
          <w:i/>
          <w:color w:val="000000" w:themeColor="text1"/>
          <w:lang w:val="en-US"/>
        </w:rPr>
        <w:t>Gynecology</w:t>
      </w:r>
      <w:r w:rsidRPr="00EE3CC9">
        <w:rPr>
          <w:color w:val="000000" w:themeColor="text1"/>
          <w:lang w:val="en-US"/>
        </w:rPr>
        <w:t>. Baltimore: Johns Hopkins Press.</w:t>
      </w:r>
    </w:p>
    <w:p w14:paraId="1EB0232E" w14:textId="77777777" w:rsidR="00FD43EF" w:rsidRDefault="00FD43EF" w:rsidP="00FD43EF">
      <w:pPr>
        <w:rPr>
          <w:color w:val="000000" w:themeColor="text1"/>
          <w:lang w:val="en-US"/>
        </w:rPr>
      </w:pPr>
    </w:p>
    <w:p w14:paraId="66426B35" w14:textId="534547B5" w:rsidR="00FD43EF" w:rsidRDefault="00FD43EF" w:rsidP="00FD43EF">
      <w:pPr>
        <w:rPr>
          <w:color w:val="000000" w:themeColor="text1"/>
        </w:rPr>
      </w:pPr>
      <w:r w:rsidRPr="00D86B24">
        <w:rPr>
          <w:color w:val="000000" w:themeColor="text1"/>
        </w:rPr>
        <w:t xml:space="preserve">Stevenson, D. K., Verter, </w:t>
      </w:r>
      <w:r>
        <w:rPr>
          <w:color w:val="000000" w:themeColor="text1"/>
        </w:rPr>
        <w:t xml:space="preserve">J., </w:t>
      </w:r>
      <w:r w:rsidRPr="00D86B24">
        <w:rPr>
          <w:color w:val="000000" w:themeColor="text1"/>
        </w:rPr>
        <w:t>Fanaroff,</w:t>
      </w:r>
      <w:r>
        <w:rPr>
          <w:color w:val="000000" w:themeColor="text1"/>
        </w:rPr>
        <w:t xml:space="preserve"> A. A.,</w:t>
      </w:r>
      <w:r w:rsidRPr="00D86B24">
        <w:rPr>
          <w:color w:val="000000" w:themeColor="text1"/>
        </w:rPr>
        <w:t xml:space="preserve"> Oh, </w:t>
      </w:r>
      <w:r>
        <w:rPr>
          <w:color w:val="000000" w:themeColor="text1"/>
        </w:rPr>
        <w:t xml:space="preserve">W., </w:t>
      </w:r>
      <w:r w:rsidRPr="00D86B24">
        <w:rPr>
          <w:color w:val="000000" w:themeColor="text1"/>
        </w:rPr>
        <w:t xml:space="preserve">Ehrenkranz, </w:t>
      </w:r>
      <w:r>
        <w:rPr>
          <w:color w:val="000000" w:themeColor="text1"/>
        </w:rPr>
        <w:t xml:space="preserve">R.A., </w:t>
      </w:r>
      <w:r w:rsidRPr="00D86B24">
        <w:rPr>
          <w:color w:val="000000" w:themeColor="text1"/>
        </w:rPr>
        <w:t>Shankaran,</w:t>
      </w:r>
      <w:r>
        <w:rPr>
          <w:color w:val="000000" w:themeColor="text1"/>
        </w:rPr>
        <w:t xml:space="preserve"> S., </w:t>
      </w:r>
      <w:r w:rsidRPr="00D86B24">
        <w:rPr>
          <w:color w:val="000000" w:themeColor="text1"/>
        </w:rPr>
        <w:t>Donovan</w:t>
      </w:r>
      <w:r>
        <w:rPr>
          <w:color w:val="000000" w:themeColor="text1"/>
        </w:rPr>
        <w:t xml:space="preserve">, E.F., </w:t>
      </w:r>
      <w:r w:rsidRPr="00D86B24">
        <w:rPr>
          <w:color w:val="000000" w:themeColor="text1"/>
        </w:rPr>
        <w:t xml:space="preserve">et al. </w:t>
      </w:r>
      <w:r w:rsidR="00240589">
        <w:rPr>
          <w:color w:val="000000" w:themeColor="text1"/>
        </w:rPr>
        <w:t xml:space="preserve">(2000). </w:t>
      </w:r>
      <w:r w:rsidRPr="00D86B24">
        <w:rPr>
          <w:color w:val="000000" w:themeColor="text1"/>
        </w:rPr>
        <w:t xml:space="preserve">Sex differences in outcomes of very low birthweight infants: </w:t>
      </w:r>
      <w:r w:rsidR="003A3A35">
        <w:rPr>
          <w:color w:val="000000" w:themeColor="text1"/>
        </w:rPr>
        <w:t>T</w:t>
      </w:r>
      <w:r w:rsidRPr="00D86B24">
        <w:rPr>
          <w:color w:val="000000" w:themeColor="text1"/>
        </w:rPr>
        <w:t>he newborn male disadvantage. </w:t>
      </w:r>
      <w:r w:rsidRPr="00D86B24">
        <w:rPr>
          <w:i/>
          <w:iCs/>
          <w:color w:val="000000" w:themeColor="text1"/>
        </w:rPr>
        <w:t xml:space="preserve">Archives of </w:t>
      </w:r>
      <w:r w:rsidR="00EA0C59">
        <w:rPr>
          <w:i/>
          <w:iCs/>
          <w:color w:val="000000" w:themeColor="text1"/>
        </w:rPr>
        <w:t>D</w:t>
      </w:r>
      <w:r w:rsidRPr="00D86B24">
        <w:rPr>
          <w:i/>
          <w:iCs/>
          <w:color w:val="000000" w:themeColor="text1"/>
        </w:rPr>
        <w:t xml:space="preserve">isease in </w:t>
      </w:r>
      <w:r w:rsidR="00EA0C59">
        <w:rPr>
          <w:i/>
          <w:iCs/>
          <w:color w:val="000000" w:themeColor="text1"/>
        </w:rPr>
        <w:t>C</w:t>
      </w:r>
      <w:r w:rsidRPr="00D86B24">
        <w:rPr>
          <w:i/>
          <w:iCs/>
          <w:color w:val="000000" w:themeColor="text1"/>
        </w:rPr>
        <w:t>hildhood</w:t>
      </w:r>
      <w:r w:rsidR="00EA0C59">
        <w:rPr>
          <w:i/>
          <w:iCs/>
          <w:color w:val="000000" w:themeColor="text1"/>
        </w:rPr>
        <w:t xml:space="preserve"> - F</w:t>
      </w:r>
      <w:r w:rsidRPr="00D86B24">
        <w:rPr>
          <w:i/>
          <w:iCs/>
          <w:color w:val="000000" w:themeColor="text1"/>
        </w:rPr>
        <w:t xml:space="preserve">etal and </w:t>
      </w:r>
      <w:r w:rsidR="00EA0C59">
        <w:rPr>
          <w:i/>
          <w:iCs/>
          <w:color w:val="000000" w:themeColor="text1"/>
        </w:rPr>
        <w:t>N</w:t>
      </w:r>
      <w:r w:rsidRPr="00D86B24">
        <w:rPr>
          <w:i/>
          <w:iCs/>
          <w:color w:val="000000" w:themeColor="text1"/>
        </w:rPr>
        <w:t xml:space="preserve">eonatal </w:t>
      </w:r>
      <w:r w:rsidR="00EA0C59">
        <w:rPr>
          <w:i/>
          <w:iCs/>
          <w:color w:val="000000" w:themeColor="text1"/>
        </w:rPr>
        <w:t>E</w:t>
      </w:r>
      <w:r w:rsidRPr="00D86B24">
        <w:rPr>
          <w:i/>
          <w:iCs/>
          <w:color w:val="000000" w:themeColor="text1"/>
        </w:rPr>
        <w:t>dition</w:t>
      </w:r>
      <w:r>
        <w:rPr>
          <w:i/>
          <w:iCs/>
          <w:color w:val="000000" w:themeColor="text1"/>
        </w:rPr>
        <w:t>,</w:t>
      </w:r>
      <w:r w:rsidRPr="004F6CCC">
        <w:rPr>
          <w:i/>
          <w:color w:val="000000" w:themeColor="text1"/>
        </w:rPr>
        <w:t> 83</w:t>
      </w:r>
      <w:r>
        <w:rPr>
          <w:color w:val="000000" w:themeColor="text1"/>
        </w:rPr>
        <w:t>(</w:t>
      </w:r>
      <w:r w:rsidRPr="00D86B24">
        <w:rPr>
          <w:color w:val="000000" w:themeColor="text1"/>
        </w:rPr>
        <w:t>3</w:t>
      </w:r>
      <w:r>
        <w:rPr>
          <w:color w:val="000000" w:themeColor="text1"/>
        </w:rPr>
        <w:t>),</w:t>
      </w:r>
      <w:r w:rsidRPr="00D86B24">
        <w:rPr>
          <w:color w:val="000000" w:themeColor="text1"/>
        </w:rPr>
        <w:t xml:space="preserve"> F182-F185.</w:t>
      </w:r>
    </w:p>
    <w:p w14:paraId="4CF852DB" w14:textId="6D8F6ECD" w:rsidR="00B02CBD" w:rsidRDefault="00B02CBD" w:rsidP="00FD43EF">
      <w:pPr>
        <w:rPr>
          <w:color w:val="000000" w:themeColor="text1"/>
        </w:rPr>
      </w:pPr>
    </w:p>
    <w:p w14:paraId="329AA71C" w14:textId="6E9BEA31" w:rsidR="00B02CBD" w:rsidRDefault="00B02CBD" w:rsidP="00FD43EF">
      <w:pPr>
        <w:rPr>
          <w:color w:val="000000" w:themeColor="text1"/>
        </w:rPr>
      </w:pPr>
      <w:r w:rsidRPr="00B02CBD">
        <w:rPr>
          <w:color w:val="000000" w:themeColor="text1"/>
        </w:rPr>
        <w:t xml:space="preserve">Stewart, N. A., Gerlach, R. F., Gowland, R. L., Gron, K. J., &amp; Montgomery, J. (2017). Sex determination of human remains from peptides in tooth enamel. </w:t>
      </w:r>
      <w:r w:rsidRPr="00B02CBD">
        <w:rPr>
          <w:i/>
          <w:color w:val="000000" w:themeColor="text1"/>
        </w:rPr>
        <w:t>Proceedings of the National Academy of Sciences, 114</w:t>
      </w:r>
      <w:r w:rsidRPr="00B02CBD">
        <w:rPr>
          <w:color w:val="000000" w:themeColor="text1"/>
        </w:rPr>
        <w:t>(52), 13649-13654.</w:t>
      </w:r>
    </w:p>
    <w:p w14:paraId="1D17C5BE" w14:textId="77777777" w:rsidR="00FD43EF" w:rsidRDefault="00FD43EF" w:rsidP="00FD43EF">
      <w:pPr>
        <w:rPr>
          <w:color w:val="000000" w:themeColor="text1"/>
        </w:rPr>
      </w:pPr>
    </w:p>
    <w:p w14:paraId="3409DCAC" w14:textId="77777777" w:rsidR="00FD43EF" w:rsidRPr="00D86B24" w:rsidRDefault="00FD43EF" w:rsidP="00FD43EF">
      <w:pPr>
        <w:rPr>
          <w:color w:val="000000" w:themeColor="text1"/>
        </w:rPr>
      </w:pPr>
      <w:r w:rsidRPr="0042372C">
        <w:rPr>
          <w:color w:val="000000" w:themeColor="text1"/>
        </w:rPr>
        <w:t xml:space="preserve">Sutter, R. C. (2003). Nonmetric subadult skeletal sexing traits: I. A blind test of the accuracy of eight previously proposed methods using prehistoric known-sex mummies from northern Chile. </w:t>
      </w:r>
      <w:r w:rsidRPr="0042372C">
        <w:rPr>
          <w:i/>
          <w:color w:val="000000" w:themeColor="text1"/>
        </w:rPr>
        <w:t>Journal of Forensic Sciences, 48</w:t>
      </w:r>
      <w:r w:rsidRPr="0042372C">
        <w:rPr>
          <w:color w:val="000000" w:themeColor="text1"/>
        </w:rPr>
        <w:t>(5), 927-935.</w:t>
      </w:r>
    </w:p>
    <w:p w14:paraId="7963735E" w14:textId="77777777" w:rsidR="00FD43EF" w:rsidRPr="008C4A6A" w:rsidRDefault="00FD43EF" w:rsidP="00FD43EF">
      <w:pPr>
        <w:rPr>
          <w:color w:val="000000" w:themeColor="text1"/>
          <w:lang w:val="en-US"/>
        </w:rPr>
      </w:pPr>
    </w:p>
    <w:p w14:paraId="774DE8E3" w14:textId="77777777" w:rsidR="00FD43EF" w:rsidRPr="00A856DB" w:rsidRDefault="00FD43EF" w:rsidP="00FD43EF">
      <w:pPr>
        <w:rPr>
          <w:lang w:val="en-US"/>
        </w:rPr>
      </w:pPr>
      <w:r w:rsidRPr="00D836F5">
        <w:rPr>
          <w:lang w:val="it-IT"/>
        </w:rPr>
        <w:t xml:space="preserve">Tafuri, M. A., Craig, O. I. &amp; Canci, A. (2009). </w:t>
      </w:r>
      <w:r w:rsidRPr="00A856DB">
        <w:rPr>
          <w:lang w:val="en-US"/>
        </w:rPr>
        <w:t>Stable isotope evidence for the consumption of millet and other plants in Bronze Age Italy.</w:t>
      </w:r>
      <w:r>
        <w:rPr>
          <w:lang w:val="en-US"/>
        </w:rPr>
        <w:t xml:space="preserve"> </w:t>
      </w:r>
      <w:r w:rsidRPr="00A856DB">
        <w:rPr>
          <w:i/>
          <w:lang w:val="en-US"/>
        </w:rPr>
        <w:t>American Journal of Physical Anthropology</w:t>
      </w:r>
      <w:r>
        <w:rPr>
          <w:i/>
          <w:lang w:val="en-US"/>
        </w:rPr>
        <w:t>,</w:t>
      </w:r>
      <w:r w:rsidRPr="00A856DB">
        <w:rPr>
          <w:lang w:val="en-US"/>
        </w:rPr>
        <w:t xml:space="preserve"> </w:t>
      </w:r>
      <w:r w:rsidRPr="0024424F">
        <w:rPr>
          <w:i/>
          <w:lang w:val="en-US"/>
        </w:rPr>
        <w:t>139</w:t>
      </w:r>
      <w:r>
        <w:rPr>
          <w:lang w:val="en-US"/>
        </w:rPr>
        <w:t>(</w:t>
      </w:r>
      <w:r w:rsidRPr="00A856DB">
        <w:rPr>
          <w:lang w:val="en-US"/>
        </w:rPr>
        <w:t>2</w:t>
      </w:r>
      <w:r>
        <w:rPr>
          <w:lang w:val="en-US"/>
        </w:rPr>
        <w:t xml:space="preserve">), </w:t>
      </w:r>
      <w:r w:rsidRPr="00A856DB">
        <w:rPr>
          <w:lang w:val="en-US"/>
        </w:rPr>
        <w:t>146-153.</w:t>
      </w:r>
    </w:p>
    <w:p w14:paraId="02EC4388" w14:textId="77777777" w:rsidR="00FD43EF" w:rsidRPr="00A856DB" w:rsidRDefault="00FD43EF" w:rsidP="00FD43EF">
      <w:pPr>
        <w:rPr>
          <w:lang w:val="en-US"/>
        </w:rPr>
      </w:pPr>
    </w:p>
    <w:p w14:paraId="3CE75DA5" w14:textId="30D3D8A2" w:rsidR="00FD43EF" w:rsidRPr="00A856DB" w:rsidRDefault="00FD43EF" w:rsidP="00FD43EF">
      <w:pPr>
        <w:rPr>
          <w:lang w:val="en-US"/>
        </w:rPr>
      </w:pPr>
      <w:r w:rsidRPr="008C4A6A">
        <w:rPr>
          <w:lang w:val="en-US"/>
        </w:rPr>
        <w:t>Taylor</w:t>
      </w:r>
      <w:r>
        <w:rPr>
          <w:lang w:val="en-US"/>
        </w:rPr>
        <w:t>,</w:t>
      </w:r>
      <w:r w:rsidRPr="008C4A6A">
        <w:rPr>
          <w:lang w:val="en-US"/>
        </w:rPr>
        <w:t xml:space="preserve"> J</w:t>
      </w:r>
      <w:r>
        <w:rPr>
          <w:lang w:val="en-US"/>
        </w:rPr>
        <w:t>.</w:t>
      </w:r>
      <w:r w:rsidRPr="008C4A6A">
        <w:rPr>
          <w:lang w:val="en-US"/>
        </w:rPr>
        <w:t>, Dorrell</w:t>
      </w:r>
      <w:r>
        <w:rPr>
          <w:lang w:val="en-US"/>
        </w:rPr>
        <w:t>,</w:t>
      </w:r>
      <w:r w:rsidRPr="008C4A6A">
        <w:rPr>
          <w:lang w:val="en-US"/>
        </w:rPr>
        <w:t xml:space="preserve"> P</w:t>
      </w:r>
      <w:r>
        <w:rPr>
          <w:lang w:val="en-US"/>
        </w:rPr>
        <w:t>.</w:t>
      </w:r>
      <w:r w:rsidRPr="008C4A6A">
        <w:rPr>
          <w:lang w:val="en-US"/>
        </w:rPr>
        <w:t xml:space="preserve">, </w:t>
      </w:r>
      <w:r>
        <w:rPr>
          <w:lang w:val="en-US"/>
        </w:rPr>
        <w:t xml:space="preserve">&amp; </w:t>
      </w:r>
      <w:r w:rsidRPr="008C4A6A">
        <w:rPr>
          <w:lang w:val="en-US"/>
        </w:rPr>
        <w:t>Small</w:t>
      </w:r>
      <w:r>
        <w:rPr>
          <w:lang w:val="en-US"/>
        </w:rPr>
        <w:t>,</w:t>
      </w:r>
      <w:r w:rsidRPr="008C4A6A">
        <w:rPr>
          <w:lang w:val="en-US"/>
        </w:rPr>
        <w:t xml:space="preserve"> A. </w:t>
      </w:r>
      <w:r>
        <w:rPr>
          <w:lang w:val="en-US"/>
        </w:rPr>
        <w:t xml:space="preserve">(1976). </w:t>
      </w:r>
      <w:r w:rsidRPr="00A856DB">
        <w:rPr>
          <w:lang w:val="en-US"/>
        </w:rPr>
        <w:t xml:space="preserve">Gravina-di-Puglia III. Houses and a </w:t>
      </w:r>
      <w:r w:rsidR="003A3A35">
        <w:rPr>
          <w:lang w:val="en-US"/>
        </w:rPr>
        <w:t>c</w:t>
      </w:r>
      <w:r w:rsidRPr="00A856DB">
        <w:rPr>
          <w:lang w:val="en-US"/>
        </w:rPr>
        <w:t xml:space="preserve">emetery of the Iron Age and Classical </w:t>
      </w:r>
      <w:r w:rsidR="003A3A35">
        <w:rPr>
          <w:lang w:val="en-US"/>
        </w:rPr>
        <w:t>p</w:t>
      </w:r>
      <w:r w:rsidRPr="00A856DB">
        <w:rPr>
          <w:lang w:val="en-US"/>
        </w:rPr>
        <w:t xml:space="preserve">eriod. </w:t>
      </w:r>
      <w:r w:rsidR="00511A91">
        <w:rPr>
          <w:i/>
          <w:lang w:val="en-US"/>
        </w:rPr>
        <w:t>Papers of the British School at Rome</w:t>
      </w:r>
      <w:r>
        <w:rPr>
          <w:i/>
          <w:lang w:val="en-US"/>
        </w:rPr>
        <w:t>,</w:t>
      </w:r>
      <w:r w:rsidRPr="00A856DB">
        <w:rPr>
          <w:lang w:val="en-US"/>
        </w:rPr>
        <w:t xml:space="preserve"> </w:t>
      </w:r>
      <w:r w:rsidRPr="0024424F">
        <w:rPr>
          <w:i/>
          <w:lang w:val="en-US"/>
        </w:rPr>
        <w:t>44</w:t>
      </w:r>
      <w:r>
        <w:rPr>
          <w:lang w:val="en-US"/>
        </w:rPr>
        <w:t xml:space="preserve">(1), </w:t>
      </w:r>
      <w:r w:rsidRPr="00A856DB">
        <w:rPr>
          <w:lang w:val="en-US"/>
        </w:rPr>
        <w:t>48–132.</w:t>
      </w:r>
    </w:p>
    <w:p w14:paraId="1300675A" w14:textId="77777777" w:rsidR="00FD43EF" w:rsidRPr="00D86B24" w:rsidRDefault="00FD43EF" w:rsidP="00FD43EF">
      <w:pPr>
        <w:rPr>
          <w:color w:val="000000" w:themeColor="text1"/>
        </w:rPr>
      </w:pPr>
    </w:p>
    <w:p w14:paraId="11899B19" w14:textId="6498502A" w:rsidR="00FD43EF" w:rsidRPr="00C21FF9" w:rsidRDefault="00FD43EF" w:rsidP="00FD43EF">
      <w:pPr>
        <w:rPr>
          <w:color w:val="000000" w:themeColor="text1"/>
        </w:rPr>
      </w:pPr>
      <w:r w:rsidRPr="00EE3CC9">
        <w:rPr>
          <w:color w:val="000000" w:themeColor="text1"/>
        </w:rPr>
        <w:t xml:space="preserve">Teague, T., Loe, L. &amp; Taylor J. (2013). </w:t>
      </w:r>
      <w:r w:rsidR="00C21FF9" w:rsidRPr="00C21FF9">
        <w:rPr>
          <w:i/>
          <w:color w:val="000000" w:themeColor="text1"/>
        </w:rPr>
        <w:t>Thameslink Archaeological Assessment 7: A</w:t>
      </w:r>
      <w:r w:rsidRPr="00C21FF9">
        <w:rPr>
          <w:i/>
          <w:color w:val="000000" w:themeColor="text1"/>
        </w:rPr>
        <w:t xml:space="preserve">rchaeological </w:t>
      </w:r>
      <w:r w:rsidR="003365BF" w:rsidRPr="00C21FF9">
        <w:rPr>
          <w:i/>
          <w:color w:val="000000" w:themeColor="text1"/>
        </w:rPr>
        <w:t xml:space="preserve">Excavations on Land to the Rear of the Hop Exchange and </w:t>
      </w:r>
      <w:r w:rsidRPr="00C21FF9">
        <w:rPr>
          <w:i/>
          <w:color w:val="000000" w:themeColor="text1"/>
        </w:rPr>
        <w:t>Park Street</w:t>
      </w:r>
      <w:r w:rsidR="003365BF" w:rsidRPr="00C21FF9">
        <w:rPr>
          <w:i/>
          <w:color w:val="000000" w:themeColor="text1"/>
        </w:rPr>
        <w:t xml:space="preserve">, </w:t>
      </w:r>
      <w:r w:rsidRPr="00C21FF9">
        <w:rPr>
          <w:i/>
          <w:color w:val="000000" w:themeColor="text1"/>
        </w:rPr>
        <w:t xml:space="preserve">London Borough </w:t>
      </w:r>
      <w:r w:rsidR="003365BF" w:rsidRPr="00C21FF9">
        <w:rPr>
          <w:i/>
          <w:color w:val="000000" w:themeColor="text1"/>
        </w:rPr>
        <w:t xml:space="preserve">of </w:t>
      </w:r>
      <w:r w:rsidRPr="00C21FF9">
        <w:rPr>
          <w:i/>
          <w:color w:val="000000" w:themeColor="text1"/>
        </w:rPr>
        <w:t xml:space="preserve">Southwark. </w:t>
      </w:r>
      <w:r w:rsidR="00C21FF9">
        <w:rPr>
          <w:color w:val="000000" w:themeColor="text1"/>
        </w:rPr>
        <w:t xml:space="preserve">London: </w:t>
      </w:r>
      <w:r w:rsidR="00C21FF9" w:rsidRPr="00C21FF9">
        <w:rPr>
          <w:color w:val="000000" w:themeColor="text1"/>
        </w:rPr>
        <w:t>Pre-Construct Archaeolog</w:t>
      </w:r>
      <w:r w:rsidR="00C21FF9">
        <w:rPr>
          <w:color w:val="000000" w:themeColor="text1"/>
        </w:rPr>
        <w:t>y.</w:t>
      </w:r>
    </w:p>
    <w:p w14:paraId="670FD8C9" w14:textId="77777777" w:rsidR="00FD43EF" w:rsidRDefault="00FD43EF" w:rsidP="00FD43EF">
      <w:pPr>
        <w:rPr>
          <w:lang w:val="en-US"/>
        </w:rPr>
      </w:pPr>
    </w:p>
    <w:p w14:paraId="65FC7487" w14:textId="5A25F8F4" w:rsidR="00FD43EF" w:rsidRPr="00A856DB" w:rsidRDefault="00FD43EF" w:rsidP="00FD43EF">
      <w:pPr>
        <w:rPr>
          <w:lang w:val="en-US"/>
        </w:rPr>
      </w:pPr>
      <w:r w:rsidRPr="00A856DB">
        <w:rPr>
          <w:lang w:val="en-US"/>
        </w:rPr>
        <w:t>Temkin, O</w:t>
      </w:r>
      <w:r>
        <w:rPr>
          <w:lang w:val="en-US"/>
        </w:rPr>
        <w:t>.</w:t>
      </w:r>
      <w:r w:rsidRPr="00A856DB">
        <w:rPr>
          <w:lang w:val="en-US"/>
        </w:rPr>
        <w:t xml:space="preserve">, </w:t>
      </w:r>
      <w:r>
        <w:rPr>
          <w:lang w:val="en-US"/>
        </w:rPr>
        <w:t>&amp;</w:t>
      </w:r>
      <w:r w:rsidRPr="00A856DB">
        <w:rPr>
          <w:lang w:val="en-US"/>
        </w:rPr>
        <w:t xml:space="preserve"> Eastman</w:t>
      </w:r>
      <w:r>
        <w:rPr>
          <w:lang w:val="en-US"/>
        </w:rPr>
        <w:t>, N., J. (Ed</w:t>
      </w:r>
      <w:r w:rsidRPr="00A856DB">
        <w:rPr>
          <w:lang w:val="en-US"/>
        </w:rPr>
        <w:t>s.</w:t>
      </w:r>
      <w:r>
        <w:rPr>
          <w:lang w:val="en-US"/>
        </w:rPr>
        <w:t>). (1991).</w:t>
      </w:r>
      <w:r w:rsidRPr="00A856DB">
        <w:rPr>
          <w:lang w:val="en-US"/>
        </w:rPr>
        <w:t xml:space="preserve"> </w:t>
      </w:r>
      <w:r w:rsidRPr="00C11A3F">
        <w:rPr>
          <w:i/>
          <w:lang w:val="en-US"/>
        </w:rPr>
        <w:t>Soranus' Gynecology</w:t>
      </w:r>
      <w:r w:rsidRPr="00A856DB">
        <w:rPr>
          <w:lang w:val="en-US"/>
        </w:rPr>
        <w:t xml:space="preserve">. </w:t>
      </w:r>
      <w:r>
        <w:rPr>
          <w:lang w:val="en-US"/>
        </w:rPr>
        <w:t>Bal</w:t>
      </w:r>
      <w:r w:rsidR="00511A91">
        <w:rPr>
          <w:lang w:val="en-US"/>
        </w:rPr>
        <w:t>ti</w:t>
      </w:r>
      <w:r>
        <w:rPr>
          <w:lang w:val="en-US"/>
        </w:rPr>
        <w:t>more</w:t>
      </w:r>
      <w:r w:rsidRPr="00A856DB">
        <w:rPr>
          <w:lang w:val="en-US"/>
        </w:rPr>
        <w:t xml:space="preserve">: </w:t>
      </w:r>
      <w:r w:rsidRPr="00C11A3F">
        <w:rPr>
          <w:lang w:val="en-US"/>
        </w:rPr>
        <w:t>JHU Press</w:t>
      </w:r>
      <w:r w:rsidR="00C11A3F" w:rsidRPr="00C11A3F">
        <w:rPr>
          <w:lang w:val="en-US"/>
        </w:rPr>
        <w:t>.</w:t>
      </w:r>
    </w:p>
    <w:p w14:paraId="210F5342" w14:textId="77777777" w:rsidR="00FD43EF" w:rsidRPr="00A856DB" w:rsidRDefault="00FD43EF" w:rsidP="00FD43EF">
      <w:pPr>
        <w:rPr>
          <w:lang w:val="en-US"/>
        </w:rPr>
      </w:pPr>
    </w:p>
    <w:p w14:paraId="5AC6E2CC" w14:textId="0AC3A62F" w:rsidR="003A3A35" w:rsidRDefault="00FD43EF" w:rsidP="00FD43EF">
      <w:pPr>
        <w:rPr>
          <w:lang w:val="en-US"/>
        </w:rPr>
      </w:pPr>
      <w:r w:rsidRPr="00A856DB">
        <w:rPr>
          <w:lang w:val="en-US"/>
        </w:rPr>
        <w:lastRenderedPageBreak/>
        <w:t>Tomczyk, J</w:t>
      </w:r>
      <w:r>
        <w:rPr>
          <w:lang w:val="en-US"/>
        </w:rPr>
        <w:t>.</w:t>
      </w:r>
      <w:r w:rsidRPr="00A856DB">
        <w:rPr>
          <w:lang w:val="en-US"/>
        </w:rPr>
        <w:t>, Tomczyk-Gruca,</w:t>
      </w:r>
      <w:r>
        <w:rPr>
          <w:lang w:val="en-US"/>
        </w:rPr>
        <w:t xml:space="preserve"> M., &amp;</w:t>
      </w:r>
      <w:r w:rsidRPr="00A856DB">
        <w:rPr>
          <w:lang w:val="en-US"/>
        </w:rPr>
        <w:t xml:space="preserve"> Zalewska</w:t>
      </w:r>
      <w:r>
        <w:rPr>
          <w:lang w:val="en-US"/>
        </w:rPr>
        <w:t>, M. (2012).</w:t>
      </w:r>
      <w:r w:rsidRPr="00A856DB">
        <w:rPr>
          <w:lang w:val="en-US"/>
        </w:rPr>
        <w:t xml:space="preserve"> Frequency and chronological distribution of linear enamel hypoplasia (LEH) in the Late Neolithic and Early Bronze Age population from Żerniki Górne (Poland)–preliminary report</w:t>
      </w:r>
      <w:r>
        <w:rPr>
          <w:lang w:val="en-US"/>
        </w:rPr>
        <w:t>.</w:t>
      </w:r>
      <w:r w:rsidRPr="00A856DB">
        <w:rPr>
          <w:lang w:val="en-US"/>
        </w:rPr>
        <w:t xml:space="preserve"> </w:t>
      </w:r>
      <w:r w:rsidRPr="00A856DB">
        <w:rPr>
          <w:i/>
          <w:lang w:val="en-US"/>
        </w:rPr>
        <w:t>Anthropological Review</w:t>
      </w:r>
      <w:r>
        <w:rPr>
          <w:i/>
          <w:lang w:val="en-US"/>
        </w:rPr>
        <w:t>,</w:t>
      </w:r>
      <w:r w:rsidRPr="00A856DB">
        <w:rPr>
          <w:lang w:val="en-US"/>
        </w:rPr>
        <w:t xml:space="preserve"> </w:t>
      </w:r>
      <w:r w:rsidRPr="0024424F">
        <w:rPr>
          <w:i/>
          <w:lang w:val="en-US"/>
        </w:rPr>
        <w:t>75</w:t>
      </w:r>
      <w:r>
        <w:rPr>
          <w:lang w:val="en-US"/>
        </w:rPr>
        <w:t>(</w:t>
      </w:r>
      <w:r w:rsidRPr="00A856DB">
        <w:rPr>
          <w:lang w:val="en-US"/>
        </w:rPr>
        <w:t>1</w:t>
      </w:r>
      <w:r>
        <w:rPr>
          <w:lang w:val="en-US"/>
        </w:rPr>
        <w:t>),</w:t>
      </w:r>
      <w:r w:rsidRPr="00A856DB">
        <w:rPr>
          <w:lang w:val="en-US"/>
        </w:rPr>
        <w:t xml:space="preserve"> 61-73.</w:t>
      </w:r>
    </w:p>
    <w:p w14:paraId="26085F5F" w14:textId="77777777" w:rsidR="003A3A35" w:rsidRDefault="003A3A35" w:rsidP="00FD43EF">
      <w:pPr>
        <w:rPr>
          <w:lang w:val="en-US"/>
        </w:rPr>
      </w:pPr>
    </w:p>
    <w:p w14:paraId="631E2F63" w14:textId="1AF78DD2" w:rsidR="00FD43EF" w:rsidRPr="00A856DB" w:rsidRDefault="00FD43EF" w:rsidP="00FD43EF">
      <w:pPr>
        <w:rPr>
          <w:lang w:val="en-US"/>
        </w:rPr>
      </w:pPr>
      <w:r w:rsidRPr="00A856DB">
        <w:rPr>
          <w:lang w:val="en-US"/>
        </w:rPr>
        <w:t>Trueman, C</w:t>
      </w:r>
      <w:r>
        <w:rPr>
          <w:lang w:val="en-US"/>
        </w:rPr>
        <w:t>.</w:t>
      </w:r>
      <w:r w:rsidRPr="00A856DB">
        <w:rPr>
          <w:lang w:val="en-US"/>
        </w:rPr>
        <w:t xml:space="preserve"> N., McGill,</w:t>
      </w:r>
      <w:r>
        <w:rPr>
          <w:lang w:val="en-US"/>
        </w:rPr>
        <w:t xml:space="preserve"> R.A.R.,</w:t>
      </w:r>
      <w:r w:rsidRPr="00A856DB">
        <w:rPr>
          <w:lang w:val="en-US"/>
        </w:rPr>
        <w:t xml:space="preserve"> </w:t>
      </w:r>
      <w:r>
        <w:rPr>
          <w:lang w:val="en-US"/>
        </w:rPr>
        <w:t>&amp;</w:t>
      </w:r>
      <w:r w:rsidRPr="00A856DB">
        <w:rPr>
          <w:lang w:val="en-US"/>
        </w:rPr>
        <w:t xml:space="preserve"> Guyard</w:t>
      </w:r>
      <w:r>
        <w:rPr>
          <w:lang w:val="en-US"/>
        </w:rPr>
        <w:t xml:space="preserve">, P. H. (2005). </w:t>
      </w:r>
      <w:r w:rsidRPr="00A856DB">
        <w:rPr>
          <w:lang w:val="en-US"/>
        </w:rPr>
        <w:t>The effect of growth rate on tissue</w:t>
      </w:r>
      <w:r w:rsidRPr="00A856DB">
        <w:rPr>
          <w:rFonts w:ascii="Cambria Math" w:hAnsi="Cambria Math" w:cs="Cambria Math"/>
          <w:lang w:val="en-US"/>
        </w:rPr>
        <w:t>‐</w:t>
      </w:r>
      <w:r w:rsidRPr="00A856DB">
        <w:rPr>
          <w:lang w:val="en-US"/>
        </w:rPr>
        <w:t>diet isotopic spacing in rapidly growing animals. An experimental study with Atlantic salmon (Salmo salar). </w:t>
      </w:r>
      <w:r w:rsidRPr="00A856DB">
        <w:rPr>
          <w:i/>
          <w:iCs/>
          <w:lang w:val="en-US"/>
        </w:rPr>
        <w:t>Rapid Communications in Mass Spectrometry</w:t>
      </w:r>
      <w:r>
        <w:rPr>
          <w:i/>
          <w:iCs/>
          <w:lang w:val="en-US"/>
        </w:rPr>
        <w:t>,</w:t>
      </w:r>
      <w:r w:rsidRPr="00A856DB">
        <w:rPr>
          <w:lang w:val="en-US"/>
        </w:rPr>
        <w:t> </w:t>
      </w:r>
      <w:r w:rsidRPr="0024424F">
        <w:rPr>
          <w:i/>
          <w:lang w:val="en-US"/>
        </w:rPr>
        <w:t>19</w:t>
      </w:r>
      <w:r>
        <w:rPr>
          <w:lang w:val="en-US"/>
        </w:rPr>
        <w:t>(</w:t>
      </w:r>
      <w:r w:rsidRPr="00A856DB">
        <w:rPr>
          <w:lang w:val="en-US"/>
        </w:rPr>
        <w:t>22</w:t>
      </w:r>
      <w:r>
        <w:rPr>
          <w:lang w:val="en-US"/>
        </w:rPr>
        <w:t xml:space="preserve">), </w:t>
      </w:r>
      <w:r w:rsidRPr="00A856DB">
        <w:rPr>
          <w:lang w:val="en-US"/>
        </w:rPr>
        <w:t>3239-3247.</w:t>
      </w:r>
    </w:p>
    <w:p w14:paraId="180CCF19" w14:textId="77777777" w:rsidR="00FD43EF" w:rsidRPr="00A856DB" w:rsidRDefault="00FD43EF" w:rsidP="00FD43EF">
      <w:pPr>
        <w:rPr>
          <w:lang w:val="en-US"/>
        </w:rPr>
      </w:pPr>
    </w:p>
    <w:p w14:paraId="3E71AC4D" w14:textId="7DBBC1B2" w:rsidR="00FD43EF" w:rsidRPr="007C1567" w:rsidRDefault="00FD43EF" w:rsidP="00FD43EF">
      <w:r w:rsidRPr="00A856DB">
        <w:rPr>
          <w:lang w:val="en-US"/>
        </w:rPr>
        <w:t>Trussell, J.</w:t>
      </w:r>
      <w:r>
        <w:rPr>
          <w:lang w:val="en-US"/>
        </w:rPr>
        <w:t xml:space="preserve"> (1979).</w:t>
      </w:r>
      <w:r w:rsidRPr="00A856DB">
        <w:rPr>
          <w:lang w:val="en-US"/>
        </w:rPr>
        <w:t xml:space="preserve"> Natural fertility: Measurement and use in fertility models</w:t>
      </w:r>
      <w:r>
        <w:rPr>
          <w:lang w:val="en-US"/>
        </w:rPr>
        <w:t>. In</w:t>
      </w:r>
      <w:r w:rsidR="00C11A3F">
        <w:rPr>
          <w:lang w:val="en-US"/>
        </w:rPr>
        <w:t>:</w:t>
      </w:r>
      <w:r>
        <w:rPr>
          <w:lang w:val="en-US"/>
        </w:rPr>
        <w:t xml:space="preserve"> </w:t>
      </w:r>
      <w:r w:rsidRPr="007C1567">
        <w:t>Léridon</w:t>
      </w:r>
      <w:r>
        <w:t>,</w:t>
      </w:r>
      <w:r w:rsidRPr="007C1567">
        <w:t xml:space="preserve"> H</w:t>
      </w:r>
      <w:r>
        <w:t xml:space="preserve">. &amp; </w:t>
      </w:r>
      <w:r w:rsidRPr="007C1567">
        <w:t>Menken</w:t>
      </w:r>
      <w:r>
        <w:t>,</w:t>
      </w:r>
      <w:r w:rsidRPr="007C1567">
        <w:t xml:space="preserve"> J</w:t>
      </w:r>
      <w:r>
        <w:t>.</w:t>
      </w:r>
      <w:r w:rsidRPr="007C1567">
        <w:t xml:space="preserve"> </w:t>
      </w:r>
      <w:r>
        <w:t>(</w:t>
      </w:r>
      <w:r w:rsidRPr="007C1567">
        <w:t>Eds</w:t>
      </w:r>
      <w:r>
        <w:t>.)</w:t>
      </w:r>
      <w:r w:rsidRPr="007C1567">
        <w:t xml:space="preserve"> </w:t>
      </w:r>
      <w:r w:rsidRPr="007C1567">
        <w:rPr>
          <w:i/>
        </w:rPr>
        <w:t>Natural Fertility</w:t>
      </w:r>
      <w:r w:rsidRPr="007C1567">
        <w:t xml:space="preserve"> </w:t>
      </w:r>
      <w:r>
        <w:t xml:space="preserve">(pp. 31-64). </w:t>
      </w:r>
      <w:r w:rsidRPr="007C1567">
        <w:t>Liège, Ordina Editions</w:t>
      </w:r>
      <w:r>
        <w:t>.</w:t>
      </w:r>
    </w:p>
    <w:p w14:paraId="29EBE4FC" w14:textId="77777777" w:rsidR="00FD43EF" w:rsidRPr="00A856DB" w:rsidRDefault="00FD43EF" w:rsidP="00FD43EF">
      <w:pPr>
        <w:rPr>
          <w:lang w:val="en-US"/>
        </w:rPr>
      </w:pPr>
    </w:p>
    <w:p w14:paraId="59BC574F" w14:textId="77777777" w:rsidR="00FD43EF" w:rsidRPr="00D836F5" w:rsidRDefault="00FD43EF" w:rsidP="00FD43EF">
      <w:pPr>
        <w:rPr>
          <w:lang w:val="es-ES"/>
        </w:rPr>
      </w:pPr>
      <w:r w:rsidRPr="00A856DB">
        <w:rPr>
          <w:lang w:val="en-US"/>
        </w:rPr>
        <w:t>Tsutaya, T</w:t>
      </w:r>
      <w:r>
        <w:rPr>
          <w:lang w:val="en-US"/>
        </w:rPr>
        <w:t>.</w:t>
      </w:r>
      <w:r w:rsidRPr="00A856DB">
        <w:rPr>
          <w:lang w:val="en-US"/>
        </w:rPr>
        <w:t xml:space="preserve">, </w:t>
      </w:r>
      <w:r>
        <w:rPr>
          <w:lang w:val="en-US"/>
        </w:rPr>
        <w:t>&amp;</w:t>
      </w:r>
      <w:r w:rsidRPr="00A856DB">
        <w:rPr>
          <w:lang w:val="en-US"/>
        </w:rPr>
        <w:t xml:space="preserve"> Yoneda</w:t>
      </w:r>
      <w:r>
        <w:rPr>
          <w:lang w:val="en-US"/>
        </w:rPr>
        <w:t>, M. (2013).</w:t>
      </w:r>
      <w:r w:rsidRPr="00A856DB">
        <w:rPr>
          <w:lang w:val="en-US"/>
        </w:rPr>
        <w:t xml:space="preserve"> Quantitative reconstruction of weaning ages in archaeological human populations using bone collagen nitrogen isotope ratios and approximate Bayesian computation. </w:t>
      </w:r>
      <w:r w:rsidRPr="00D836F5">
        <w:rPr>
          <w:i/>
          <w:lang w:val="es-ES"/>
        </w:rPr>
        <w:t>PLoS One,</w:t>
      </w:r>
      <w:r w:rsidRPr="00D836F5">
        <w:rPr>
          <w:lang w:val="es-ES"/>
        </w:rPr>
        <w:t xml:space="preserve"> </w:t>
      </w:r>
      <w:r w:rsidRPr="00D836F5">
        <w:rPr>
          <w:i/>
          <w:lang w:val="es-ES"/>
        </w:rPr>
        <w:t>8</w:t>
      </w:r>
      <w:r w:rsidRPr="00D836F5">
        <w:rPr>
          <w:lang w:val="es-ES"/>
        </w:rPr>
        <w:t>(8), e72327.</w:t>
      </w:r>
    </w:p>
    <w:p w14:paraId="296E61A5" w14:textId="77777777" w:rsidR="00FD43EF" w:rsidRPr="00D836F5" w:rsidRDefault="00FD43EF" w:rsidP="00FD43EF">
      <w:pPr>
        <w:rPr>
          <w:lang w:val="es-ES"/>
        </w:rPr>
      </w:pPr>
    </w:p>
    <w:p w14:paraId="0AA4B8A8" w14:textId="77777777" w:rsidR="00FD43EF" w:rsidRPr="00A856DB" w:rsidRDefault="00FD43EF" w:rsidP="00FD43EF">
      <w:pPr>
        <w:rPr>
          <w:lang w:val="en-US"/>
        </w:rPr>
      </w:pPr>
      <w:r w:rsidRPr="00D836F5">
        <w:rPr>
          <w:lang w:val="es-ES"/>
        </w:rPr>
        <w:t xml:space="preserve">Tsutaya, T., Nagaoka, T., Sawada, J., Hirata, K., &amp; Yoneda, M. (2014). </w:t>
      </w:r>
      <w:r w:rsidRPr="00A856DB">
        <w:rPr>
          <w:lang w:val="en-US"/>
        </w:rPr>
        <w:t xml:space="preserve">Stable isotopic reconstructions of adult diets and infant feeding practices during urbanization of the city of Edo in 17th century Japan. </w:t>
      </w:r>
      <w:r w:rsidRPr="00A856DB">
        <w:rPr>
          <w:i/>
          <w:lang w:val="en-US"/>
        </w:rPr>
        <w:t>American Journal of Physical Anthropology</w:t>
      </w:r>
      <w:r>
        <w:rPr>
          <w:i/>
          <w:lang w:val="en-US"/>
        </w:rPr>
        <w:t>,</w:t>
      </w:r>
      <w:r w:rsidRPr="00A856DB">
        <w:rPr>
          <w:lang w:val="en-US"/>
        </w:rPr>
        <w:t xml:space="preserve"> </w:t>
      </w:r>
      <w:r w:rsidRPr="007C1567">
        <w:rPr>
          <w:i/>
          <w:lang w:val="en-US"/>
        </w:rPr>
        <w:t>153</w:t>
      </w:r>
      <w:r>
        <w:rPr>
          <w:lang w:val="en-US"/>
        </w:rPr>
        <w:t>(</w:t>
      </w:r>
      <w:r w:rsidRPr="00A856DB">
        <w:rPr>
          <w:lang w:val="en-US"/>
        </w:rPr>
        <w:t>4</w:t>
      </w:r>
      <w:r>
        <w:rPr>
          <w:lang w:val="en-US"/>
        </w:rPr>
        <w:t>),</w:t>
      </w:r>
      <w:r w:rsidRPr="00A856DB">
        <w:rPr>
          <w:lang w:val="en-US"/>
        </w:rPr>
        <w:t xml:space="preserve"> 559-569.</w:t>
      </w:r>
    </w:p>
    <w:p w14:paraId="6C4CC3F8" w14:textId="77777777" w:rsidR="00FD43EF" w:rsidRPr="00A856DB" w:rsidRDefault="00FD43EF" w:rsidP="00FD43EF">
      <w:pPr>
        <w:rPr>
          <w:lang w:val="en-US"/>
        </w:rPr>
      </w:pPr>
    </w:p>
    <w:p w14:paraId="5806F11C" w14:textId="77777777" w:rsidR="00FD43EF" w:rsidRPr="00D86B24" w:rsidRDefault="00FD43EF" w:rsidP="00FD43EF">
      <w:r w:rsidRPr="00D86B24">
        <w:t xml:space="preserve">Turner, B. L., Edwards, J. L., Quinn, E. A., Kingston, J. D., &amp; Van Gerven, D. P. (2007). Age-related variation in isotopic indicators of diet at Medieval Kulubnarti, Sudanese Nubia. </w:t>
      </w:r>
      <w:r w:rsidRPr="008E5D91">
        <w:rPr>
          <w:i/>
        </w:rPr>
        <w:t>International Journal of Osteoarchaeology</w:t>
      </w:r>
      <w:r w:rsidRPr="00D86B24">
        <w:t>,</w:t>
      </w:r>
      <w:r w:rsidRPr="008E5D91">
        <w:rPr>
          <w:i/>
        </w:rPr>
        <w:t xml:space="preserve"> 17</w:t>
      </w:r>
      <w:r>
        <w:t>(1)</w:t>
      </w:r>
      <w:r w:rsidRPr="00D86B24">
        <w:t>, 1–25.</w:t>
      </w:r>
    </w:p>
    <w:p w14:paraId="1D5CAE4B" w14:textId="77777777" w:rsidR="00FD43EF" w:rsidRDefault="00FD43EF" w:rsidP="00FD43EF">
      <w:pPr>
        <w:rPr>
          <w:lang w:val="en-US"/>
        </w:rPr>
      </w:pPr>
    </w:p>
    <w:p w14:paraId="07973509" w14:textId="0AA29264" w:rsidR="00FD43EF" w:rsidRDefault="00FD43EF" w:rsidP="00FD43EF">
      <w:r w:rsidRPr="00A856DB">
        <w:rPr>
          <w:lang w:val="en-US"/>
        </w:rPr>
        <w:t>Tuross, N</w:t>
      </w:r>
      <w:r>
        <w:rPr>
          <w:lang w:val="en-US"/>
        </w:rPr>
        <w:t>.</w:t>
      </w:r>
      <w:r w:rsidRPr="00A856DB">
        <w:rPr>
          <w:lang w:val="en-US"/>
        </w:rPr>
        <w:t xml:space="preserve">, </w:t>
      </w:r>
      <w:r>
        <w:rPr>
          <w:lang w:val="en-US"/>
        </w:rPr>
        <w:t>&amp;</w:t>
      </w:r>
      <w:r w:rsidRPr="00A856DB">
        <w:rPr>
          <w:lang w:val="en-US"/>
        </w:rPr>
        <w:t xml:space="preserve"> Fogel</w:t>
      </w:r>
      <w:r>
        <w:rPr>
          <w:lang w:val="en-US"/>
        </w:rPr>
        <w:t>, M.</w:t>
      </w:r>
      <w:r w:rsidR="00C11A3F">
        <w:rPr>
          <w:lang w:val="en-US"/>
        </w:rPr>
        <w:t xml:space="preserve"> </w:t>
      </w:r>
      <w:r>
        <w:rPr>
          <w:lang w:val="en-US"/>
        </w:rPr>
        <w:t>L. (1994).</w:t>
      </w:r>
      <w:r w:rsidRPr="00A856DB">
        <w:rPr>
          <w:lang w:val="en-US"/>
        </w:rPr>
        <w:t xml:space="preserve"> </w:t>
      </w:r>
      <w:r w:rsidRPr="008C4A6A">
        <w:rPr>
          <w:lang w:val="en-US"/>
        </w:rPr>
        <w:t>Stable isotope analysis and subsistence patterns at the Sully site.</w:t>
      </w:r>
      <w:r>
        <w:rPr>
          <w:lang w:val="en-US"/>
        </w:rPr>
        <w:t xml:space="preserve"> In</w:t>
      </w:r>
      <w:r w:rsidR="00C11A3F">
        <w:rPr>
          <w:lang w:val="en-US"/>
        </w:rPr>
        <w:t>:</w:t>
      </w:r>
      <w:r>
        <w:rPr>
          <w:lang w:val="en-US"/>
        </w:rPr>
        <w:t xml:space="preserve"> Owsley, D.W. &amp; Jantz, R.L. (Eds.) </w:t>
      </w:r>
      <w:r w:rsidRPr="008C4A6A">
        <w:rPr>
          <w:i/>
          <w:iCs/>
          <w:lang w:val="en-US"/>
        </w:rPr>
        <w:t>Skeletal Biology in the Great Plains: Migration, Warfare, Health, and Subsistence</w:t>
      </w:r>
      <w:r>
        <w:rPr>
          <w:lang w:val="en-US"/>
        </w:rPr>
        <w:t xml:space="preserve"> (pp. </w:t>
      </w:r>
      <w:r w:rsidRPr="008C4A6A">
        <w:rPr>
          <w:lang w:val="en-US"/>
        </w:rPr>
        <w:t>283-290</w:t>
      </w:r>
      <w:r>
        <w:rPr>
          <w:lang w:val="en-US"/>
        </w:rPr>
        <w:t>)</w:t>
      </w:r>
      <w:r w:rsidRPr="008C4A6A">
        <w:rPr>
          <w:lang w:val="en-US"/>
        </w:rPr>
        <w:t>.</w:t>
      </w:r>
      <w:r>
        <w:t xml:space="preserve"> </w:t>
      </w:r>
      <w:r w:rsidRPr="007C1567">
        <w:t>Washington: Smithsonian Institution Press</w:t>
      </w:r>
      <w:r>
        <w:t>.</w:t>
      </w:r>
      <w:r w:rsidRPr="007C1567">
        <w:t xml:space="preserve"> </w:t>
      </w:r>
    </w:p>
    <w:p w14:paraId="4EDA602D" w14:textId="77777777" w:rsidR="00FD43EF" w:rsidRDefault="00FD43EF" w:rsidP="00FD43EF"/>
    <w:p w14:paraId="43ECBE8D" w14:textId="65188576" w:rsidR="00756C9A" w:rsidRDefault="00FD43EF" w:rsidP="00756C9A">
      <w:r w:rsidRPr="0005018B">
        <w:t xml:space="preserve">Ubelaker, D. H. (1989). </w:t>
      </w:r>
      <w:r w:rsidRPr="00756C9A">
        <w:t>The estimation age at death from immature human bone.</w:t>
      </w:r>
      <w:r w:rsidRPr="0005018B">
        <w:t xml:space="preserve"> </w:t>
      </w:r>
      <w:r>
        <w:t xml:space="preserve">In: </w:t>
      </w:r>
      <w:r w:rsidR="00C11A3F">
        <w:t xml:space="preserve">Iscan, M. Y. (Ed.) </w:t>
      </w:r>
      <w:r w:rsidRPr="0005018B">
        <w:rPr>
          <w:i/>
        </w:rPr>
        <w:t xml:space="preserve">Age </w:t>
      </w:r>
      <w:r w:rsidR="00C21FF9">
        <w:rPr>
          <w:i/>
        </w:rPr>
        <w:t>M</w:t>
      </w:r>
      <w:r w:rsidRPr="0005018B">
        <w:rPr>
          <w:i/>
        </w:rPr>
        <w:t xml:space="preserve">arkers in the </w:t>
      </w:r>
      <w:r w:rsidR="00C21FF9">
        <w:rPr>
          <w:i/>
        </w:rPr>
        <w:t>H</w:t>
      </w:r>
      <w:r w:rsidRPr="0005018B">
        <w:rPr>
          <w:i/>
        </w:rPr>
        <w:t xml:space="preserve">uman </w:t>
      </w:r>
      <w:r w:rsidR="00C21FF9">
        <w:rPr>
          <w:i/>
        </w:rPr>
        <w:t>S</w:t>
      </w:r>
      <w:r w:rsidRPr="0005018B">
        <w:rPr>
          <w:i/>
        </w:rPr>
        <w:t>keleton</w:t>
      </w:r>
      <w:r w:rsidR="00C11A3F">
        <w:t xml:space="preserve"> (pp. </w:t>
      </w:r>
      <w:r w:rsidR="00756C9A">
        <w:t>55-70).</w:t>
      </w:r>
      <w:r w:rsidR="00756C9A" w:rsidRPr="00756C9A">
        <w:t xml:space="preserve"> </w:t>
      </w:r>
      <w:r w:rsidR="00756C9A">
        <w:t>Springfield: Charles C. Thomas.</w:t>
      </w:r>
    </w:p>
    <w:p w14:paraId="1ECC5BF2" w14:textId="77777777" w:rsidR="00FD43EF" w:rsidRPr="008C4A6A" w:rsidRDefault="00FD43EF" w:rsidP="00FD43EF">
      <w:pPr>
        <w:rPr>
          <w:lang w:val="en-US"/>
        </w:rPr>
      </w:pPr>
    </w:p>
    <w:p w14:paraId="20F00A37" w14:textId="644FCB77" w:rsidR="00FD43EF" w:rsidRDefault="00756C9A" w:rsidP="00FD43EF">
      <w:pPr>
        <w:rPr>
          <w:lang w:val="en-US"/>
        </w:rPr>
      </w:pPr>
      <w:r>
        <w:rPr>
          <w:lang w:val="en-US"/>
        </w:rPr>
        <w:t>v</w:t>
      </w:r>
      <w:r w:rsidR="00FD43EF" w:rsidRPr="00A856DB">
        <w:rPr>
          <w:lang w:val="en-US"/>
        </w:rPr>
        <w:t>an der Merwe, N</w:t>
      </w:r>
      <w:r w:rsidR="00FD43EF">
        <w:rPr>
          <w:lang w:val="en-US"/>
        </w:rPr>
        <w:t>.</w:t>
      </w:r>
      <w:r w:rsidR="00FD43EF" w:rsidRPr="00A856DB">
        <w:rPr>
          <w:lang w:val="en-US"/>
        </w:rPr>
        <w:t xml:space="preserve"> J., </w:t>
      </w:r>
      <w:r w:rsidR="00FD43EF">
        <w:rPr>
          <w:lang w:val="en-US"/>
        </w:rPr>
        <w:t xml:space="preserve">&amp; </w:t>
      </w:r>
      <w:r w:rsidR="00FD43EF" w:rsidRPr="00A856DB">
        <w:rPr>
          <w:lang w:val="en-US"/>
        </w:rPr>
        <w:t>Vogel</w:t>
      </w:r>
      <w:r w:rsidR="00FD43EF">
        <w:rPr>
          <w:lang w:val="en-US"/>
        </w:rPr>
        <w:t xml:space="preserve">, J. C. (1978). </w:t>
      </w:r>
      <w:r w:rsidR="00FD43EF" w:rsidRPr="00A856DB">
        <w:rPr>
          <w:vertAlign w:val="superscript"/>
          <w:lang w:val="en-US"/>
        </w:rPr>
        <w:t>13</w:t>
      </w:r>
      <w:r w:rsidR="00FD43EF" w:rsidRPr="00A856DB">
        <w:rPr>
          <w:lang w:val="en-US"/>
        </w:rPr>
        <w:t xml:space="preserve">C content of human collagen as a measure of prehistoric diet in woodland North America. </w:t>
      </w:r>
      <w:r w:rsidR="00FD43EF" w:rsidRPr="00A856DB">
        <w:rPr>
          <w:i/>
          <w:lang w:val="en-US"/>
        </w:rPr>
        <w:t>Nature</w:t>
      </w:r>
      <w:r w:rsidR="00FD43EF">
        <w:rPr>
          <w:i/>
          <w:lang w:val="en-US"/>
        </w:rPr>
        <w:t>,</w:t>
      </w:r>
      <w:r w:rsidR="00FD43EF" w:rsidRPr="00A856DB">
        <w:rPr>
          <w:lang w:val="en-US"/>
        </w:rPr>
        <w:t xml:space="preserve"> </w:t>
      </w:r>
      <w:r w:rsidR="00FD43EF" w:rsidRPr="003C2DD1">
        <w:rPr>
          <w:i/>
          <w:lang w:val="en-US"/>
        </w:rPr>
        <w:t>276</w:t>
      </w:r>
      <w:r w:rsidR="00FD43EF">
        <w:rPr>
          <w:lang w:val="en-US"/>
        </w:rPr>
        <w:t>(5</w:t>
      </w:r>
      <w:r w:rsidR="00FD43EF" w:rsidRPr="00A856DB">
        <w:rPr>
          <w:lang w:val="en-US"/>
        </w:rPr>
        <w:t>690</w:t>
      </w:r>
      <w:r w:rsidR="00FD43EF">
        <w:rPr>
          <w:lang w:val="en-US"/>
        </w:rPr>
        <w:t>),</w:t>
      </w:r>
      <w:r w:rsidR="00FD43EF" w:rsidRPr="00A856DB">
        <w:rPr>
          <w:lang w:val="en-US"/>
        </w:rPr>
        <w:t xml:space="preserve"> 815.</w:t>
      </w:r>
    </w:p>
    <w:p w14:paraId="33C49568" w14:textId="77777777" w:rsidR="00FD43EF" w:rsidRPr="00D86B24" w:rsidRDefault="00FD43EF" w:rsidP="00FD43EF"/>
    <w:p w14:paraId="17A47DD1" w14:textId="66EBA7AF" w:rsidR="00FD43EF" w:rsidRPr="00A36C57" w:rsidRDefault="00FD43EF" w:rsidP="00FD43EF">
      <w:pPr>
        <w:rPr>
          <w:color w:val="000000" w:themeColor="text1"/>
        </w:rPr>
      </w:pPr>
      <w:r w:rsidRPr="00D86B24">
        <w:rPr>
          <w:color w:val="000000" w:themeColor="text1"/>
        </w:rPr>
        <w:t>van der Sluis, L</w:t>
      </w:r>
      <w:r>
        <w:rPr>
          <w:color w:val="000000" w:themeColor="text1"/>
        </w:rPr>
        <w:t>.</w:t>
      </w:r>
      <w:r w:rsidRPr="00D86B24">
        <w:rPr>
          <w:color w:val="000000" w:themeColor="text1"/>
        </w:rPr>
        <w:t xml:space="preserve"> G., Reimer, </w:t>
      </w:r>
      <w:r>
        <w:rPr>
          <w:color w:val="000000" w:themeColor="text1"/>
        </w:rPr>
        <w:t>P.</w:t>
      </w:r>
      <w:r w:rsidR="00C11A3F">
        <w:rPr>
          <w:color w:val="000000" w:themeColor="text1"/>
        </w:rPr>
        <w:t xml:space="preserve"> </w:t>
      </w:r>
      <w:r>
        <w:rPr>
          <w:color w:val="000000" w:themeColor="text1"/>
        </w:rPr>
        <w:t>J., &amp;</w:t>
      </w:r>
      <w:r w:rsidRPr="00D86B24">
        <w:rPr>
          <w:color w:val="000000" w:themeColor="text1"/>
        </w:rPr>
        <w:t xml:space="preserve"> Lynnerup</w:t>
      </w:r>
      <w:r>
        <w:rPr>
          <w:color w:val="000000" w:themeColor="text1"/>
        </w:rPr>
        <w:t>, N. (2015).</w:t>
      </w:r>
      <w:r w:rsidRPr="00D86B24">
        <w:rPr>
          <w:color w:val="000000" w:themeColor="text1"/>
        </w:rPr>
        <w:t xml:space="preserve"> Investigating </w:t>
      </w:r>
      <w:r w:rsidR="003A3A35">
        <w:rPr>
          <w:color w:val="000000" w:themeColor="text1"/>
        </w:rPr>
        <w:t>i</w:t>
      </w:r>
      <w:r w:rsidRPr="00D86B24">
        <w:rPr>
          <w:color w:val="000000" w:themeColor="text1"/>
        </w:rPr>
        <w:t>ntra-</w:t>
      </w:r>
      <w:r w:rsidR="003A3A35">
        <w:rPr>
          <w:color w:val="000000" w:themeColor="text1"/>
        </w:rPr>
        <w:t>i</w:t>
      </w:r>
      <w:r w:rsidRPr="00D86B24">
        <w:rPr>
          <w:color w:val="000000" w:themeColor="text1"/>
        </w:rPr>
        <w:t xml:space="preserve">ndividual </w:t>
      </w:r>
      <w:r w:rsidR="003A3A35">
        <w:rPr>
          <w:color w:val="000000" w:themeColor="text1"/>
        </w:rPr>
        <w:t>d</w:t>
      </w:r>
      <w:r w:rsidRPr="00D86B24">
        <w:rPr>
          <w:color w:val="000000" w:themeColor="text1"/>
        </w:rPr>
        <w:t xml:space="preserve">ietary </w:t>
      </w:r>
      <w:r w:rsidR="003A3A35">
        <w:rPr>
          <w:color w:val="000000" w:themeColor="text1"/>
        </w:rPr>
        <w:t>c</w:t>
      </w:r>
      <w:r w:rsidRPr="00D86B24">
        <w:rPr>
          <w:color w:val="000000" w:themeColor="text1"/>
        </w:rPr>
        <w:t>hanges and</w:t>
      </w:r>
      <w:r w:rsidRPr="003A3A35">
        <w:rPr>
          <w:color w:val="000000" w:themeColor="text1"/>
          <w:vertAlign w:val="superscript"/>
        </w:rPr>
        <w:t xml:space="preserve"> 14</w:t>
      </w:r>
      <w:r w:rsidRPr="00D86B24">
        <w:rPr>
          <w:color w:val="000000" w:themeColor="text1"/>
        </w:rPr>
        <w:t xml:space="preserve">C </w:t>
      </w:r>
      <w:r w:rsidR="003A3A35">
        <w:rPr>
          <w:color w:val="000000" w:themeColor="text1"/>
        </w:rPr>
        <w:t>a</w:t>
      </w:r>
      <w:r w:rsidRPr="00D86B24">
        <w:rPr>
          <w:color w:val="000000" w:themeColor="text1"/>
        </w:rPr>
        <w:t xml:space="preserve">ges </w:t>
      </w:r>
      <w:r w:rsidR="003A3A35">
        <w:rPr>
          <w:color w:val="000000" w:themeColor="text1"/>
        </w:rPr>
        <w:t>u</w:t>
      </w:r>
      <w:r w:rsidRPr="00D86B24">
        <w:rPr>
          <w:color w:val="000000" w:themeColor="text1"/>
        </w:rPr>
        <w:t xml:space="preserve">sing </w:t>
      </w:r>
      <w:r w:rsidR="003A3A35">
        <w:rPr>
          <w:color w:val="000000" w:themeColor="text1"/>
        </w:rPr>
        <w:t>hi</w:t>
      </w:r>
      <w:r w:rsidRPr="00D86B24">
        <w:rPr>
          <w:color w:val="000000" w:themeColor="text1"/>
        </w:rPr>
        <w:t>gh-</w:t>
      </w:r>
      <w:r w:rsidR="003A3A35">
        <w:rPr>
          <w:color w:val="000000" w:themeColor="text1"/>
        </w:rPr>
        <w:t>r</w:t>
      </w:r>
      <w:r w:rsidRPr="00D86B24">
        <w:rPr>
          <w:color w:val="000000" w:themeColor="text1"/>
        </w:rPr>
        <w:t>esolution δ</w:t>
      </w:r>
      <w:r w:rsidRPr="005F7C36">
        <w:rPr>
          <w:color w:val="000000" w:themeColor="text1"/>
          <w:vertAlign w:val="superscript"/>
        </w:rPr>
        <w:t>13</w:t>
      </w:r>
      <w:r w:rsidRPr="00D86B24">
        <w:rPr>
          <w:color w:val="000000" w:themeColor="text1"/>
        </w:rPr>
        <w:t>C and δ</w:t>
      </w:r>
      <w:r w:rsidRPr="005F7C36">
        <w:rPr>
          <w:color w:val="000000" w:themeColor="text1"/>
          <w:vertAlign w:val="superscript"/>
        </w:rPr>
        <w:t>15</w:t>
      </w:r>
      <w:r w:rsidRPr="00D86B24">
        <w:rPr>
          <w:color w:val="000000" w:themeColor="text1"/>
        </w:rPr>
        <w:t xml:space="preserve">N </w:t>
      </w:r>
      <w:r w:rsidR="003A3A35">
        <w:rPr>
          <w:color w:val="000000" w:themeColor="text1"/>
        </w:rPr>
        <w:t>i</w:t>
      </w:r>
      <w:r w:rsidRPr="00D86B24">
        <w:rPr>
          <w:color w:val="000000" w:themeColor="text1"/>
        </w:rPr>
        <w:t xml:space="preserve">sotope </w:t>
      </w:r>
      <w:r w:rsidR="003A3A35">
        <w:rPr>
          <w:color w:val="000000" w:themeColor="text1"/>
        </w:rPr>
        <w:t>r</w:t>
      </w:r>
      <w:r w:rsidRPr="00D86B24">
        <w:rPr>
          <w:color w:val="000000" w:themeColor="text1"/>
        </w:rPr>
        <w:t xml:space="preserve">atios and </w:t>
      </w:r>
      <w:r w:rsidRPr="003A3A35">
        <w:rPr>
          <w:color w:val="000000" w:themeColor="text1"/>
          <w:vertAlign w:val="superscript"/>
        </w:rPr>
        <w:t>14</w:t>
      </w:r>
      <w:r w:rsidRPr="00D86B24">
        <w:rPr>
          <w:color w:val="000000" w:themeColor="text1"/>
        </w:rPr>
        <w:t xml:space="preserve">C </w:t>
      </w:r>
      <w:r w:rsidR="003A3A35">
        <w:rPr>
          <w:color w:val="000000" w:themeColor="text1"/>
        </w:rPr>
        <w:t>a</w:t>
      </w:r>
      <w:r w:rsidRPr="00D86B24">
        <w:rPr>
          <w:color w:val="000000" w:themeColor="text1"/>
        </w:rPr>
        <w:t xml:space="preserve">ges </w:t>
      </w:r>
      <w:r w:rsidR="003A3A35">
        <w:rPr>
          <w:color w:val="000000" w:themeColor="text1"/>
        </w:rPr>
        <w:t>o</w:t>
      </w:r>
      <w:r w:rsidRPr="00D86B24">
        <w:rPr>
          <w:color w:val="000000" w:themeColor="text1"/>
        </w:rPr>
        <w:t xml:space="preserve">btained from </w:t>
      </w:r>
      <w:r w:rsidR="003A3A35">
        <w:rPr>
          <w:color w:val="000000" w:themeColor="text1"/>
        </w:rPr>
        <w:t>d</w:t>
      </w:r>
      <w:r w:rsidRPr="00D86B24">
        <w:rPr>
          <w:color w:val="000000" w:themeColor="text1"/>
        </w:rPr>
        <w:t xml:space="preserve">entine </w:t>
      </w:r>
      <w:r w:rsidR="003A3A35">
        <w:rPr>
          <w:color w:val="000000" w:themeColor="text1"/>
        </w:rPr>
        <w:t>i</w:t>
      </w:r>
      <w:r w:rsidRPr="00D86B24">
        <w:rPr>
          <w:color w:val="000000" w:themeColor="text1"/>
        </w:rPr>
        <w:t>ncrements. </w:t>
      </w:r>
      <w:r w:rsidRPr="00D86B24">
        <w:rPr>
          <w:i/>
          <w:iCs/>
          <w:color w:val="000000" w:themeColor="text1"/>
        </w:rPr>
        <w:t>Radiocarbon</w:t>
      </w:r>
      <w:r w:rsidR="00C11A3F">
        <w:rPr>
          <w:i/>
          <w:iCs/>
          <w:color w:val="000000" w:themeColor="text1"/>
        </w:rPr>
        <w:t>,</w:t>
      </w:r>
      <w:r>
        <w:rPr>
          <w:i/>
          <w:iCs/>
          <w:color w:val="000000" w:themeColor="text1"/>
        </w:rPr>
        <w:t xml:space="preserve"> </w:t>
      </w:r>
      <w:r w:rsidRPr="008E5D91">
        <w:rPr>
          <w:i/>
          <w:color w:val="000000" w:themeColor="text1"/>
        </w:rPr>
        <w:t>57</w:t>
      </w:r>
      <w:r>
        <w:rPr>
          <w:color w:val="000000" w:themeColor="text1"/>
        </w:rPr>
        <w:t>(</w:t>
      </w:r>
      <w:r w:rsidRPr="00D86B24">
        <w:rPr>
          <w:color w:val="000000" w:themeColor="text1"/>
        </w:rPr>
        <w:t>4</w:t>
      </w:r>
      <w:r>
        <w:rPr>
          <w:color w:val="000000" w:themeColor="text1"/>
        </w:rPr>
        <w:t xml:space="preserve">), </w:t>
      </w:r>
      <w:r w:rsidRPr="00D86B24">
        <w:rPr>
          <w:color w:val="000000" w:themeColor="text1"/>
        </w:rPr>
        <w:t>665-677.</w:t>
      </w:r>
    </w:p>
    <w:p w14:paraId="1C7B75E6" w14:textId="77777777" w:rsidR="00FD43EF" w:rsidRPr="00A856DB" w:rsidRDefault="00FD43EF" w:rsidP="00FD43EF">
      <w:pPr>
        <w:rPr>
          <w:lang w:val="en-US"/>
        </w:rPr>
      </w:pPr>
    </w:p>
    <w:p w14:paraId="4766AA28" w14:textId="77777777" w:rsidR="00FD43EF" w:rsidRPr="00A856DB" w:rsidRDefault="00FD43EF" w:rsidP="00FD43EF">
      <w:pPr>
        <w:rPr>
          <w:color w:val="000000" w:themeColor="text1"/>
          <w:lang w:val="en-US"/>
        </w:rPr>
      </w:pPr>
      <w:r w:rsidRPr="00A856DB">
        <w:rPr>
          <w:color w:val="000000" w:themeColor="text1"/>
          <w:lang w:val="en-US"/>
        </w:rPr>
        <w:t xml:space="preserve">van Klinken, G. J. (1999). Bone collagen quality indicators for palaeodietary and radiocarbon measurements. </w:t>
      </w:r>
      <w:r w:rsidRPr="00A856DB">
        <w:rPr>
          <w:i/>
          <w:iCs/>
          <w:color w:val="000000" w:themeColor="text1"/>
          <w:lang w:val="en-US"/>
        </w:rPr>
        <w:t>Journal of Archaeological Science</w:t>
      </w:r>
      <w:r w:rsidRPr="00A856DB">
        <w:rPr>
          <w:color w:val="000000" w:themeColor="text1"/>
          <w:lang w:val="en-US"/>
        </w:rPr>
        <w:t xml:space="preserve">, </w:t>
      </w:r>
      <w:r w:rsidRPr="00A856DB">
        <w:rPr>
          <w:i/>
          <w:iCs/>
          <w:color w:val="000000" w:themeColor="text1"/>
          <w:lang w:val="en-US"/>
        </w:rPr>
        <w:t>26</w:t>
      </w:r>
      <w:r w:rsidRPr="00A856DB">
        <w:rPr>
          <w:color w:val="000000" w:themeColor="text1"/>
          <w:lang w:val="en-US"/>
        </w:rPr>
        <w:t xml:space="preserve">(6), 687–695. </w:t>
      </w:r>
    </w:p>
    <w:p w14:paraId="489AA3D0" w14:textId="77777777" w:rsidR="00FD43EF" w:rsidRPr="00A856DB" w:rsidRDefault="00FD43EF" w:rsidP="00FD43EF">
      <w:pPr>
        <w:rPr>
          <w:color w:val="000000" w:themeColor="text1"/>
          <w:lang w:val="en-US"/>
        </w:rPr>
      </w:pPr>
    </w:p>
    <w:p w14:paraId="6F8B2FE3" w14:textId="2506CD7B" w:rsidR="00FD43EF" w:rsidRPr="00A856DB" w:rsidRDefault="00FD43EF" w:rsidP="00FD43EF">
      <w:pPr>
        <w:rPr>
          <w:lang w:val="en-US"/>
        </w:rPr>
      </w:pPr>
      <w:r w:rsidRPr="00A856DB">
        <w:rPr>
          <w:lang w:val="en-US"/>
        </w:rPr>
        <w:t>Vogel, J</w:t>
      </w:r>
      <w:r>
        <w:rPr>
          <w:lang w:val="en-US"/>
        </w:rPr>
        <w:t>.</w:t>
      </w:r>
      <w:r w:rsidR="00C11A3F">
        <w:rPr>
          <w:lang w:val="en-US"/>
        </w:rPr>
        <w:t xml:space="preserve"> </w:t>
      </w:r>
      <w:r w:rsidRPr="00A856DB">
        <w:rPr>
          <w:lang w:val="en-US"/>
        </w:rPr>
        <w:t xml:space="preserve">C., </w:t>
      </w:r>
      <w:r>
        <w:rPr>
          <w:lang w:val="en-US"/>
        </w:rPr>
        <w:t xml:space="preserve">&amp; </w:t>
      </w:r>
      <w:r w:rsidRPr="00A856DB">
        <w:rPr>
          <w:lang w:val="en-US"/>
        </w:rPr>
        <w:t>Van Der Merwe</w:t>
      </w:r>
      <w:r>
        <w:rPr>
          <w:lang w:val="en-US"/>
        </w:rPr>
        <w:t>, N.J. (1977).</w:t>
      </w:r>
      <w:r w:rsidRPr="00A856DB">
        <w:rPr>
          <w:lang w:val="en-US"/>
        </w:rPr>
        <w:t xml:space="preserve"> Isotopic evidence for early maize cultivation in New York State.</w:t>
      </w:r>
      <w:r>
        <w:rPr>
          <w:lang w:val="en-US"/>
        </w:rPr>
        <w:t xml:space="preserve"> </w:t>
      </w:r>
      <w:r w:rsidRPr="00A856DB">
        <w:rPr>
          <w:i/>
          <w:lang w:val="en-US"/>
        </w:rPr>
        <w:t>American Antiquity</w:t>
      </w:r>
      <w:r>
        <w:rPr>
          <w:i/>
          <w:lang w:val="en-US"/>
        </w:rPr>
        <w:t>,</w:t>
      </w:r>
      <w:r w:rsidRPr="00A856DB">
        <w:rPr>
          <w:lang w:val="en-US"/>
        </w:rPr>
        <w:t xml:space="preserve"> </w:t>
      </w:r>
      <w:r w:rsidRPr="003C2DD1">
        <w:rPr>
          <w:i/>
          <w:lang w:val="en-US"/>
        </w:rPr>
        <w:t>42</w:t>
      </w:r>
      <w:r>
        <w:rPr>
          <w:lang w:val="en-US"/>
        </w:rPr>
        <w:t>(</w:t>
      </w:r>
      <w:r w:rsidRPr="00A856DB">
        <w:rPr>
          <w:lang w:val="en-US"/>
        </w:rPr>
        <w:t>2</w:t>
      </w:r>
      <w:r>
        <w:rPr>
          <w:lang w:val="en-US"/>
        </w:rPr>
        <w:t>),</w:t>
      </w:r>
      <w:r w:rsidRPr="00A856DB">
        <w:rPr>
          <w:lang w:val="en-US"/>
        </w:rPr>
        <w:t xml:space="preserve"> 238-242.</w:t>
      </w:r>
    </w:p>
    <w:p w14:paraId="49B902B0" w14:textId="77777777" w:rsidR="00FD43EF" w:rsidRPr="00A856DB" w:rsidRDefault="00FD43EF" w:rsidP="00FD43EF">
      <w:pPr>
        <w:rPr>
          <w:lang w:val="en-US"/>
        </w:rPr>
      </w:pPr>
    </w:p>
    <w:p w14:paraId="59A8F114" w14:textId="77777777" w:rsidR="00FD43EF" w:rsidRDefault="00FD43EF" w:rsidP="00FD43EF">
      <w:pPr>
        <w:rPr>
          <w:lang w:val="en-US"/>
        </w:rPr>
      </w:pPr>
      <w:r w:rsidRPr="00A856DB">
        <w:rPr>
          <w:lang w:val="en-US"/>
        </w:rPr>
        <w:t>Wandel, M</w:t>
      </w:r>
      <w:r>
        <w:rPr>
          <w:lang w:val="en-US"/>
        </w:rPr>
        <w:t>.</w:t>
      </w:r>
      <w:r w:rsidRPr="00A856DB">
        <w:rPr>
          <w:lang w:val="en-US"/>
        </w:rPr>
        <w:t xml:space="preserve">, </w:t>
      </w:r>
      <w:r>
        <w:rPr>
          <w:lang w:val="en-US"/>
        </w:rPr>
        <w:t>&amp;</w:t>
      </w:r>
      <w:r w:rsidRPr="00A856DB">
        <w:rPr>
          <w:lang w:val="en-US"/>
        </w:rPr>
        <w:t xml:space="preserve"> Holmboe-Ottesen</w:t>
      </w:r>
      <w:r>
        <w:rPr>
          <w:lang w:val="en-US"/>
        </w:rPr>
        <w:t>, G. (1992).</w:t>
      </w:r>
      <w:r w:rsidRPr="00A856DB">
        <w:rPr>
          <w:lang w:val="en-US"/>
        </w:rPr>
        <w:t xml:space="preserve"> Maternal work, child feeding, and nutrition in rural Tanzania. </w:t>
      </w:r>
      <w:r w:rsidRPr="00A856DB">
        <w:rPr>
          <w:i/>
          <w:lang w:val="en-US"/>
        </w:rPr>
        <w:t>Food and Nutrition Bulletin</w:t>
      </w:r>
      <w:r>
        <w:rPr>
          <w:i/>
          <w:lang w:val="en-US"/>
        </w:rPr>
        <w:t>,</w:t>
      </w:r>
      <w:r w:rsidRPr="00A856DB">
        <w:rPr>
          <w:lang w:val="en-US"/>
        </w:rPr>
        <w:t xml:space="preserve"> </w:t>
      </w:r>
      <w:r w:rsidRPr="003C2DD1">
        <w:rPr>
          <w:i/>
          <w:lang w:val="en-US"/>
        </w:rPr>
        <w:t>14</w:t>
      </w:r>
      <w:r>
        <w:rPr>
          <w:lang w:val="en-US"/>
        </w:rPr>
        <w:t>(1),</w:t>
      </w:r>
      <w:r w:rsidRPr="00A856DB">
        <w:rPr>
          <w:lang w:val="en-US"/>
        </w:rPr>
        <w:t xml:space="preserve"> 1-6.</w:t>
      </w:r>
    </w:p>
    <w:p w14:paraId="41356F9F" w14:textId="77777777" w:rsidR="00FD43EF" w:rsidRDefault="00FD43EF" w:rsidP="00FD43EF">
      <w:pPr>
        <w:rPr>
          <w:lang w:val="en-US"/>
        </w:rPr>
      </w:pPr>
    </w:p>
    <w:p w14:paraId="3A07FB0F" w14:textId="5B7B4A34" w:rsidR="00FD43EF" w:rsidRDefault="00FD43EF" w:rsidP="00FD43EF">
      <w:pPr>
        <w:rPr>
          <w:color w:val="000000" w:themeColor="text1"/>
        </w:rPr>
      </w:pPr>
      <w:r w:rsidRPr="00D86B24">
        <w:rPr>
          <w:color w:val="000000" w:themeColor="text1"/>
        </w:rPr>
        <w:t>Waldron, I. (1987)</w:t>
      </w:r>
      <w:r>
        <w:rPr>
          <w:color w:val="000000" w:themeColor="text1"/>
        </w:rPr>
        <w:t>.</w:t>
      </w:r>
      <w:r w:rsidRPr="00D86B24">
        <w:rPr>
          <w:color w:val="000000" w:themeColor="text1"/>
        </w:rPr>
        <w:t xml:space="preserve"> Patterns and causes of excess female mortality among children in developing countries. </w:t>
      </w:r>
      <w:r w:rsidRPr="008E5D91">
        <w:rPr>
          <w:i/>
          <w:color w:val="000000" w:themeColor="text1"/>
        </w:rPr>
        <w:t>World Health Statistics Quarterly</w:t>
      </w:r>
      <w:r>
        <w:rPr>
          <w:color w:val="000000" w:themeColor="text1"/>
        </w:rPr>
        <w:t>,</w:t>
      </w:r>
      <w:r w:rsidRPr="00D86B24">
        <w:rPr>
          <w:color w:val="000000" w:themeColor="text1"/>
        </w:rPr>
        <w:t xml:space="preserve"> </w:t>
      </w:r>
      <w:r w:rsidRPr="008E5D91">
        <w:rPr>
          <w:i/>
          <w:color w:val="000000" w:themeColor="text1"/>
        </w:rPr>
        <w:t>40</w:t>
      </w:r>
      <w:r>
        <w:rPr>
          <w:color w:val="000000" w:themeColor="text1"/>
        </w:rPr>
        <w:t>(1)</w:t>
      </w:r>
      <w:r w:rsidRPr="00D86B24">
        <w:rPr>
          <w:color w:val="000000" w:themeColor="text1"/>
        </w:rPr>
        <w:t>, 194–210.</w:t>
      </w:r>
    </w:p>
    <w:p w14:paraId="23DA920C" w14:textId="13219215" w:rsidR="00A77F0E" w:rsidRDefault="00A77F0E" w:rsidP="00FD43EF">
      <w:pPr>
        <w:rPr>
          <w:color w:val="000000" w:themeColor="text1"/>
        </w:rPr>
      </w:pPr>
    </w:p>
    <w:p w14:paraId="09EDDA31" w14:textId="1E04CB40" w:rsidR="00A77F0E" w:rsidRDefault="00A77F0E" w:rsidP="00FD43EF">
      <w:pPr>
        <w:rPr>
          <w:color w:val="000000" w:themeColor="text1"/>
        </w:rPr>
      </w:pPr>
      <w:r w:rsidRPr="00A77F0E">
        <w:rPr>
          <w:color w:val="000000" w:themeColor="text1"/>
        </w:rPr>
        <w:t xml:space="preserve">Ward-Perkins, J. B., Cotton, M. A., Vander Poel, H. B., Macnamara, E., du Plat Taylor, J., &amp; Carter, A. (1969). Excavations at Botromagno, Gravina di Puglia: Second Interim Report, 1967–68. </w:t>
      </w:r>
      <w:r w:rsidRPr="00A77F0E">
        <w:rPr>
          <w:i/>
          <w:color w:val="000000" w:themeColor="text1"/>
        </w:rPr>
        <w:t>Papers of the British School at Rome</w:t>
      </w:r>
      <w:r w:rsidRPr="00A77F0E">
        <w:rPr>
          <w:color w:val="000000" w:themeColor="text1"/>
        </w:rPr>
        <w:t>,</w:t>
      </w:r>
      <w:r w:rsidRPr="00A77F0E">
        <w:rPr>
          <w:i/>
          <w:color w:val="000000" w:themeColor="text1"/>
        </w:rPr>
        <w:t xml:space="preserve"> 37</w:t>
      </w:r>
      <w:r>
        <w:rPr>
          <w:color w:val="000000" w:themeColor="text1"/>
        </w:rPr>
        <w:t>(1)</w:t>
      </w:r>
      <w:r w:rsidRPr="00A77F0E">
        <w:rPr>
          <w:color w:val="000000" w:themeColor="text1"/>
        </w:rPr>
        <w:t>, 100-157.</w:t>
      </w:r>
    </w:p>
    <w:p w14:paraId="5F372F30" w14:textId="77777777" w:rsidR="00FD43EF" w:rsidRPr="00D86B24" w:rsidRDefault="00FD43EF" w:rsidP="00FD43EF">
      <w:pPr>
        <w:rPr>
          <w:color w:val="000000" w:themeColor="text1"/>
        </w:rPr>
      </w:pPr>
    </w:p>
    <w:p w14:paraId="631A1BE1" w14:textId="3B469C70" w:rsidR="00FD43EF" w:rsidRPr="00D86B24" w:rsidRDefault="00FD43EF" w:rsidP="00FD43EF">
      <w:pPr>
        <w:rPr>
          <w:color w:val="000000" w:themeColor="text1"/>
        </w:rPr>
      </w:pPr>
      <w:r w:rsidRPr="00D86B24">
        <w:rPr>
          <w:color w:val="000000" w:themeColor="text1"/>
        </w:rPr>
        <w:t>Warinner, C</w:t>
      </w:r>
      <w:r>
        <w:rPr>
          <w:color w:val="000000" w:themeColor="text1"/>
        </w:rPr>
        <w:t>.</w:t>
      </w:r>
      <w:r w:rsidRPr="00D86B24">
        <w:rPr>
          <w:color w:val="000000" w:themeColor="text1"/>
        </w:rPr>
        <w:t xml:space="preserve">, </w:t>
      </w:r>
      <w:r>
        <w:rPr>
          <w:color w:val="000000" w:themeColor="text1"/>
        </w:rPr>
        <w:t xml:space="preserve">&amp; </w:t>
      </w:r>
      <w:r w:rsidRPr="00D86B24">
        <w:rPr>
          <w:color w:val="000000" w:themeColor="text1"/>
        </w:rPr>
        <w:t>Tuross</w:t>
      </w:r>
      <w:r>
        <w:rPr>
          <w:color w:val="000000" w:themeColor="text1"/>
        </w:rPr>
        <w:t>, N. (2010).</w:t>
      </w:r>
      <w:r w:rsidRPr="00D86B24">
        <w:rPr>
          <w:color w:val="000000" w:themeColor="text1"/>
        </w:rPr>
        <w:t xml:space="preserve"> Brief communication</w:t>
      </w:r>
      <w:r w:rsidR="003A3A35">
        <w:rPr>
          <w:color w:val="000000" w:themeColor="text1"/>
        </w:rPr>
        <w:t xml:space="preserve"> t</w:t>
      </w:r>
      <w:r w:rsidRPr="00D86B24">
        <w:rPr>
          <w:color w:val="000000" w:themeColor="text1"/>
        </w:rPr>
        <w:t>issue isotopic enrichment associated with growth depression in a pig: Implications for archaeology and ecology. </w:t>
      </w:r>
      <w:r w:rsidRPr="00D86B24">
        <w:rPr>
          <w:i/>
          <w:iCs/>
          <w:color w:val="000000" w:themeColor="text1"/>
        </w:rPr>
        <w:t>American Journal of Physical Anthropology</w:t>
      </w:r>
      <w:r>
        <w:rPr>
          <w:i/>
          <w:iCs/>
          <w:color w:val="000000" w:themeColor="text1"/>
        </w:rPr>
        <w:t>,</w:t>
      </w:r>
      <w:r w:rsidRPr="008E5D91">
        <w:rPr>
          <w:i/>
          <w:color w:val="000000" w:themeColor="text1"/>
        </w:rPr>
        <w:t xml:space="preserve"> 141</w:t>
      </w:r>
      <w:r>
        <w:rPr>
          <w:color w:val="000000" w:themeColor="text1"/>
        </w:rPr>
        <w:t>(</w:t>
      </w:r>
      <w:r w:rsidRPr="00D86B24">
        <w:rPr>
          <w:color w:val="000000" w:themeColor="text1"/>
        </w:rPr>
        <w:t>3</w:t>
      </w:r>
      <w:r>
        <w:rPr>
          <w:color w:val="000000" w:themeColor="text1"/>
        </w:rPr>
        <w:t xml:space="preserve">), </w:t>
      </w:r>
      <w:r w:rsidRPr="00D86B24">
        <w:rPr>
          <w:color w:val="000000" w:themeColor="text1"/>
        </w:rPr>
        <w:t>486-493.</w:t>
      </w:r>
    </w:p>
    <w:p w14:paraId="7BAC5F9A" w14:textId="77777777" w:rsidR="00FD43EF" w:rsidRPr="00A856DB" w:rsidRDefault="00FD43EF" w:rsidP="00FD43EF">
      <w:pPr>
        <w:rPr>
          <w:lang w:val="en-US"/>
        </w:rPr>
      </w:pPr>
    </w:p>
    <w:p w14:paraId="1EDC811F" w14:textId="6C0EB50E" w:rsidR="00FD43EF" w:rsidRPr="00A856DB" w:rsidRDefault="00FD43EF" w:rsidP="00FD43EF">
      <w:pPr>
        <w:rPr>
          <w:color w:val="000000" w:themeColor="text1"/>
          <w:lang w:val="en-US"/>
        </w:rPr>
      </w:pPr>
      <w:r w:rsidRPr="00A856DB">
        <w:rPr>
          <w:color w:val="000000" w:themeColor="text1"/>
          <w:lang w:val="en-US"/>
        </w:rPr>
        <w:t>Waters</w:t>
      </w:r>
      <w:r w:rsidRPr="00A856DB">
        <w:rPr>
          <w:rFonts w:ascii="Cambria Math" w:hAnsi="Cambria Math" w:cs="Cambria Math"/>
          <w:color w:val="000000" w:themeColor="text1"/>
          <w:lang w:val="en-US"/>
        </w:rPr>
        <w:t>‐</w:t>
      </w:r>
      <w:r w:rsidRPr="00A856DB">
        <w:rPr>
          <w:color w:val="000000" w:themeColor="text1"/>
          <w:lang w:val="en-US"/>
        </w:rPr>
        <w:t>Rist, A</w:t>
      </w:r>
      <w:r>
        <w:rPr>
          <w:color w:val="000000" w:themeColor="text1"/>
          <w:lang w:val="en-US"/>
        </w:rPr>
        <w:t>.</w:t>
      </w:r>
      <w:r w:rsidRPr="00A856DB">
        <w:rPr>
          <w:color w:val="000000" w:themeColor="text1"/>
          <w:lang w:val="en-US"/>
        </w:rPr>
        <w:t xml:space="preserve"> L.,</w:t>
      </w:r>
      <w:r w:rsidR="00511A91">
        <w:rPr>
          <w:color w:val="000000" w:themeColor="text1"/>
          <w:lang w:val="en-US"/>
        </w:rPr>
        <w:t xml:space="preserve"> </w:t>
      </w:r>
      <w:r>
        <w:rPr>
          <w:color w:val="000000" w:themeColor="text1"/>
          <w:lang w:val="en-US"/>
        </w:rPr>
        <w:t>&amp;</w:t>
      </w:r>
      <w:r w:rsidRPr="00A856DB">
        <w:rPr>
          <w:color w:val="000000" w:themeColor="text1"/>
          <w:lang w:val="en-US"/>
        </w:rPr>
        <w:t xml:space="preserve"> Katzenberg</w:t>
      </w:r>
      <w:r>
        <w:rPr>
          <w:color w:val="000000" w:themeColor="text1"/>
          <w:lang w:val="en-US"/>
        </w:rPr>
        <w:t>, M.A. (2010).</w:t>
      </w:r>
      <w:r w:rsidRPr="00A856DB">
        <w:rPr>
          <w:color w:val="000000" w:themeColor="text1"/>
          <w:lang w:val="en-US"/>
        </w:rPr>
        <w:t xml:space="preserve"> The effect of growth on stable nitrogen isotope ratios in subadult bone collagen. </w:t>
      </w:r>
      <w:r w:rsidRPr="00A856DB">
        <w:rPr>
          <w:i/>
          <w:color w:val="000000" w:themeColor="text1"/>
          <w:lang w:val="en-US"/>
        </w:rPr>
        <w:t>International Journal of Osteoarchaeology</w:t>
      </w:r>
      <w:r>
        <w:rPr>
          <w:i/>
          <w:color w:val="000000" w:themeColor="text1"/>
          <w:lang w:val="en-US"/>
        </w:rPr>
        <w:t>,</w:t>
      </w:r>
      <w:r w:rsidRPr="00A856DB">
        <w:rPr>
          <w:color w:val="000000" w:themeColor="text1"/>
          <w:lang w:val="en-US"/>
        </w:rPr>
        <w:t xml:space="preserve"> </w:t>
      </w:r>
      <w:r w:rsidRPr="003C2DD1">
        <w:rPr>
          <w:i/>
          <w:color w:val="000000" w:themeColor="text1"/>
          <w:lang w:val="en-US"/>
        </w:rPr>
        <w:t>20</w:t>
      </w:r>
      <w:r>
        <w:rPr>
          <w:color w:val="000000" w:themeColor="text1"/>
          <w:lang w:val="en-US"/>
        </w:rPr>
        <w:t>(2),</w:t>
      </w:r>
      <w:r w:rsidRPr="00A856DB">
        <w:rPr>
          <w:color w:val="000000" w:themeColor="text1"/>
          <w:lang w:val="en-US"/>
        </w:rPr>
        <w:t xml:space="preserve"> 172-191.</w:t>
      </w:r>
    </w:p>
    <w:p w14:paraId="0C524494" w14:textId="77777777" w:rsidR="00FD43EF" w:rsidRPr="00A856DB" w:rsidRDefault="00FD43EF" w:rsidP="00FD43EF">
      <w:pPr>
        <w:rPr>
          <w:color w:val="000000" w:themeColor="text1"/>
          <w:lang w:val="en-US"/>
        </w:rPr>
      </w:pPr>
    </w:p>
    <w:p w14:paraId="4B1D8BBA" w14:textId="77777777" w:rsidR="00FD43EF" w:rsidRPr="00A856DB" w:rsidRDefault="00FD43EF" w:rsidP="00FD43EF">
      <w:pPr>
        <w:rPr>
          <w:lang w:val="en-US"/>
        </w:rPr>
      </w:pPr>
      <w:r w:rsidRPr="00A856DB">
        <w:rPr>
          <w:lang w:val="en-US"/>
        </w:rPr>
        <w:t>Waters</w:t>
      </w:r>
      <w:r w:rsidRPr="00A856DB">
        <w:rPr>
          <w:rFonts w:ascii="Cambria Math" w:hAnsi="Cambria Math" w:cs="Cambria Math"/>
          <w:lang w:val="en-US"/>
        </w:rPr>
        <w:t>‐</w:t>
      </w:r>
      <w:r w:rsidRPr="00A856DB">
        <w:rPr>
          <w:lang w:val="en-US"/>
        </w:rPr>
        <w:t>Rist, A</w:t>
      </w:r>
      <w:r>
        <w:rPr>
          <w:lang w:val="en-US"/>
        </w:rPr>
        <w:t>.</w:t>
      </w:r>
      <w:r w:rsidRPr="00A856DB">
        <w:rPr>
          <w:lang w:val="en-US"/>
        </w:rPr>
        <w:t xml:space="preserve"> L., Bazaliiskii,</w:t>
      </w:r>
      <w:r>
        <w:rPr>
          <w:lang w:val="en-US"/>
        </w:rPr>
        <w:t xml:space="preserve"> V.I.,</w:t>
      </w:r>
      <w:r w:rsidRPr="00A856DB">
        <w:rPr>
          <w:lang w:val="en-US"/>
        </w:rPr>
        <w:t xml:space="preserve"> Weber, </w:t>
      </w:r>
      <w:r>
        <w:rPr>
          <w:lang w:val="en-US"/>
        </w:rPr>
        <w:t>A. W. &amp;</w:t>
      </w:r>
      <w:r w:rsidRPr="00A856DB">
        <w:rPr>
          <w:lang w:val="en-US"/>
        </w:rPr>
        <w:t xml:space="preserve"> Katzenberg</w:t>
      </w:r>
      <w:r>
        <w:rPr>
          <w:lang w:val="en-US"/>
        </w:rPr>
        <w:t>, M.A. (2011).</w:t>
      </w:r>
      <w:r w:rsidRPr="00A856DB">
        <w:rPr>
          <w:lang w:val="en-US"/>
        </w:rPr>
        <w:t xml:space="preserve"> Infant and child diet in Neolithic hunter</w:t>
      </w:r>
      <w:r w:rsidRPr="00A856DB">
        <w:rPr>
          <w:rFonts w:ascii="Cambria Math" w:hAnsi="Cambria Math" w:cs="Cambria Math"/>
          <w:lang w:val="en-US"/>
        </w:rPr>
        <w:t>‐</w:t>
      </w:r>
      <w:r w:rsidRPr="00A856DB">
        <w:rPr>
          <w:lang w:val="en-US"/>
        </w:rPr>
        <w:t>fisher</w:t>
      </w:r>
      <w:r w:rsidRPr="00A856DB">
        <w:rPr>
          <w:rFonts w:ascii="Cambria Math" w:hAnsi="Cambria Math" w:cs="Cambria Math"/>
          <w:lang w:val="en-US"/>
        </w:rPr>
        <w:t>‐</w:t>
      </w:r>
      <w:r w:rsidRPr="00A856DB">
        <w:rPr>
          <w:lang w:val="en-US"/>
        </w:rPr>
        <w:t>gatherers from Cisbaikal, Siberia: Intra</w:t>
      </w:r>
      <w:r w:rsidRPr="00A856DB">
        <w:rPr>
          <w:rFonts w:ascii="Cambria Math" w:hAnsi="Cambria Math" w:cs="Cambria Math"/>
          <w:lang w:val="en-US"/>
        </w:rPr>
        <w:t>‐</w:t>
      </w:r>
      <w:r w:rsidRPr="00A856DB">
        <w:rPr>
          <w:lang w:val="en-US"/>
        </w:rPr>
        <w:t xml:space="preserve">long bone stable nitrogen and carbon isotope ratios. </w:t>
      </w:r>
      <w:r w:rsidRPr="00A856DB">
        <w:rPr>
          <w:i/>
          <w:lang w:val="en-US"/>
        </w:rPr>
        <w:t>American Journal of Physical Anthropology</w:t>
      </w:r>
      <w:r>
        <w:rPr>
          <w:i/>
          <w:lang w:val="en-US"/>
        </w:rPr>
        <w:t>,</w:t>
      </w:r>
      <w:r w:rsidRPr="00A856DB">
        <w:rPr>
          <w:lang w:val="en-US"/>
        </w:rPr>
        <w:t xml:space="preserve"> </w:t>
      </w:r>
      <w:r w:rsidRPr="00DB453D">
        <w:rPr>
          <w:i/>
          <w:lang w:val="en-US"/>
        </w:rPr>
        <w:t>146</w:t>
      </w:r>
      <w:r>
        <w:rPr>
          <w:lang w:val="en-US"/>
        </w:rPr>
        <w:t>(</w:t>
      </w:r>
      <w:r w:rsidRPr="00A856DB">
        <w:rPr>
          <w:lang w:val="en-US"/>
        </w:rPr>
        <w:t>2</w:t>
      </w:r>
      <w:r>
        <w:rPr>
          <w:lang w:val="en-US"/>
        </w:rPr>
        <w:t xml:space="preserve">), </w:t>
      </w:r>
      <w:r w:rsidRPr="00A856DB">
        <w:rPr>
          <w:lang w:val="en-US"/>
        </w:rPr>
        <w:t>225-241.</w:t>
      </w:r>
    </w:p>
    <w:p w14:paraId="47862D9F" w14:textId="77777777" w:rsidR="00FD43EF" w:rsidRPr="00A856DB" w:rsidRDefault="00FD43EF" w:rsidP="00FD43EF">
      <w:pPr>
        <w:rPr>
          <w:lang w:val="en-US"/>
        </w:rPr>
      </w:pPr>
    </w:p>
    <w:p w14:paraId="0190F872" w14:textId="0C5753B5" w:rsidR="00FD43EF" w:rsidRPr="00A856DB" w:rsidRDefault="00FD43EF" w:rsidP="00FD43EF">
      <w:pPr>
        <w:rPr>
          <w:color w:val="000000" w:themeColor="text1"/>
          <w:lang w:val="en-US"/>
        </w:rPr>
      </w:pPr>
      <w:r w:rsidRPr="00A856DB">
        <w:rPr>
          <w:color w:val="000000" w:themeColor="text1"/>
          <w:lang w:val="en-US"/>
        </w:rPr>
        <w:t>White, C</w:t>
      </w:r>
      <w:r>
        <w:rPr>
          <w:color w:val="000000" w:themeColor="text1"/>
          <w:lang w:val="en-US"/>
        </w:rPr>
        <w:t>.</w:t>
      </w:r>
      <w:r w:rsidRPr="00A856DB">
        <w:rPr>
          <w:color w:val="000000" w:themeColor="text1"/>
          <w:lang w:val="en-US"/>
        </w:rPr>
        <w:t xml:space="preserve"> D., Spence, </w:t>
      </w:r>
      <w:r>
        <w:rPr>
          <w:color w:val="000000" w:themeColor="text1"/>
          <w:lang w:val="en-US"/>
        </w:rPr>
        <w:t xml:space="preserve">M. W., </w:t>
      </w:r>
      <w:r w:rsidRPr="00A856DB">
        <w:rPr>
          <w:color w:val="000000" w:themeColor="text1"/>
          <w:lang w:val="en-US"/>
        </w:rPr>
        <w:t xml:space="preserve">Longstaffe, </w:t>
      </w:r>
      <w:r>
        <w:rPr>
          <w:color w:val="000000" w:themeColor="text1"/>
          <w:lang w:val="en-US"/>
        </w:rPr>
        <w:t>F. J. &amp;</w:t>
      </w:r>
      <w:r w:rsidRPr="00A856DB">
        <w:rPr>
          <w:color w:val="000000" w:themeColor="text1"/>
          <w:lang w:val="en-US"/>
        </w:rPr>
        <w:t xml:space="preserve"> Law</w:t>
      </w:r>
      <w:r>
        <w:rPr>
          <w:color w:val="000000" w:themeColor="text1"/>
          <w:lang w:val="en-US"/>
        </w:rPr>
        <w:t>, K. R.</w:t>
      </w:r>
      <w:r w:rsidR="00511A91">
        <w:rPr>
          <w:color w:val="000000" w:themeColor="text1"/>
          <w:lang w:val="en-US"/>
        </w:rPr>
        <w:t xml:space="preserve"> </w:t>
      </w:r>
      <w:r>
        <w:rPr>
          <w:color w:val="000000" w:themeColor="text1"/>
          <w:lang w:val="en-US"/>
        </w:rPr>
        <w:t>(2004).</w:t>
      </w:r>
      <w:r w:rsidRPr="00A856DB">
        <w:rPr>
          <w:color w:val="000000" w:themeColor="text1"/>
          <w:lang w:val="en-US"/>
        </w:rPr>
        <w:t xml:space="preserve"> Demography and ethnic continuity in the Tlailotlacan enclave of Teotihuacan: </w:t>
      </w:r>
      <w:r w:rsidR="003A3A35">
        <w:rPr>
          <w:color w:val="000000" w:themeColor="text1"/>
          <w:lang w:val="en-US"/>
        </w:rPr>
        <w:t>T</w:t>
      </w:r>
      <w:r w:rsidRPr="00A856DB">
        <w:rPr>
          <w:color w:val="000000" w:themeColor="text1"/>
          <w:lang w:val="en-US"/>
        </w:rPr>
        <w:t xml:space="preserve">he evidence from stable oxygen isotopes. </w:t>
      </w:r>
      <w:r w:rsidRPr="00A856DB">
        <w:rPr>
          <w:i/>
          <w:color w:val="000000" w:themeColor="text1"/>
          <w:lang w:val="en-US"/>
        </w:rPr>
        <w:t>Journal of Anthropological Archaeology</w:t>
      </w:r>
      <w:r>
        <w:rPr>
          <w:i/>
          <w:color w:val="000000" w:themeColor="text1"/>
          <w:lang w:val="en-US"/>
        </w:rPr>
        <w:t>,</w:t>
      </w:r>
      <w:r w:rsidRPr="00A856DB">
        <w:rPr>
          <w:color w:val="000000" w:themeColor="text1"/>
          <w:lang w:val="en-US"/>
        </w:rPr>
        <w:t xml:space="preserve"> </w:t>
      </w:r>
      <w:r w:rsidRPr="00DB453D">
        <w:rPr>
          <w:i/>
          <w:color w:val="000000" w:themeColor="text1"/>
          <w:lang w:val="en-US"/>
        </w:rPr>
        <w:t>23</w:t>
      </w:r>
      <w:r>
        <w:rPr>
          <w:color w:val="000000" w:themeColor="text1"/>
          <w:lang w:val="en-US"/>
        </w:rPr>
        <w:t>(</w:t>
      </w:r>
      <w:r w:rsidRPr="00A856DB">
        <w:rPr>
          <w:color w:val="000000" w:themeColor="text1"/>
          <w:lang w:val="en-US"/>
        </w:rPr>
        <w:t>4</w:t>
      </w:r>
      <w:r>
        <w:rPr>
          <w:color w:val="000000" w:themeColor="text1"/>
          <w:lang w:val="en-US"/>
        </w:rPr>
        <w:t>),</w:t>
      </w:r>
      <w:r w:rsidRPr="00A856DB">
        <w:rPr>
          <w:color w:val="000000" w:themeColor="text1"/>
          <w:lang w:val="en-US"/>
        </w:rPr>
        <w:t xml:space="preserve"> 385-403.</w:t>
      </w:r>
    </w:p>
    <w:p w14:paraId="3197CC10" w14:textId="77777777" w:rsidR="00FD43EF" w:rsidRPr="00A856DB" w:rsidRDefault="00FD43EF" w:rsidP="00FD43EF">
      <w:pPr>
        <w:rPr>
          <w:color w:val="000000" w:themeColor="text1"/>
          <w:lang w:val="en-US"/>
        </w:rPr>
      </w:pPr>
    </w:p>
    <w:p w14:paraId="277C4075" w14:textId="5BBBBB1A" w:rsidR="00FD43EF" w:rsidRPr="00A856DB" w:rsidRDefault="00FD43EF" w:rsidP="00FD43EF">
      <w:pPr>
        <w:rPr>
          <w:lang w:val="en-US"/>
        </w:rPr>
      </w:pPr>
      <w:r w:rsidRPr="00A856DB">
        <w:rPr>
          <w:lang w:val="en-US"/>
        </w:rPr>
        <w:t>White, T</w:t>
      </w:r>
      <w:r>
        <w:rPr>
          <w:lang w:val="en-US"/>
        </w:rPr>
        <w:t>.</w:t>
      </w:r>
      <w:r w:rsidRPr="00A856DB">
        <w:rPr>
          <w:lang w:val="en-US"/>
        </w:rPr>
        <w:t xml:space="preserve"> D., </w:t>
      </w:r>
      <w:r>
        <w:rPr>
          <w:lang w:val="en-US"/>
        </w:rPr>
        <w:t>&amp;</w:t>
      </w:r>
      <w:r w:rsidRPr="00A856DB">
        <w:rPr>
          <w:lang w:val="en-US"/>
        </w:rPr>
        <w:t xml:space="preserve"> Folkens</w:t>
      </w:r>
      <w:r>
        <w:rPr>
          <w:lang w:val="en-US"/>
        </w:rPr>
        <w:t>, P. A. (2005).</w:t>
      </w:r>
      <w:r w:rsidRPr="00A856DB">
        <w:rPr>
          <w:lang w:val="en-US"/>
        </w:rPr>
        <w:t xml:space="preserve"> </w:t>
      </w:r>
      <w:r w:rsidRPr="00A856DB">
        <w:rPr>
          <w:i/>
          <w:lang w:val="en-US"/>
        </w:rPr>
        <w:t>The Human Bone Manual</w:t>
      </w:r>
      <w:r w:rsidRPr="00A856DB">
        <w:rPr>
          <w:lang w:val="en-US"/>
        </w:rPr>
        <w:t xml:space="preserve">. </w:t>
      </w:r>
      <w:r>
        <w:rPr>
          <w:lang w:val="en-US"/>
        </w:rPr>
        <w:t>Burlington:</w:t>
      </w:r>
      <w:r w:rsidRPr="00A856DB">
        <w:rPr>
          <w:lang w:val="en-US"/>
        </w:rPr>
        <w:t xml:space="preserve"> Elsevier</w:t>
      </w:r>
      <w:r>
        <w:rPr>
          <w:lang w:val="en-US"/>
        </w:rPr>
        <w:t xml:space="preserve">. </w:t>
      </w:r>
    </w:p>
    <w:p w14:paraId="64C181C9" w14:textId="77777777" w:rsidR="00FD43EF" w:rsidRPr="00A856DB" w:rsidRDefault="00FD43EF" w:rsidP="00FD43EF">
      <w:pPr>
        <w:rPr>
          <w:lang w:val="en-US"/>
        </w:rPr>
      </w:pPr>
    </w:p>
    <w:p w14:paraId="6E9CE3D5" w14:textId="5D0AAAF9" w:rsidR="00FD43EF" w:rsidRPr="00D86B24" w:rsidRDefault="00FD43EF" w:rsidP="00FD43EF">
      <w:pPr>
        <w:rPr>
          <w:color w:val="000000" w:themeColor="text1"/>
        </w:rPr>
      </w:pPr>
      <w:r w:rsidRPr="00D86B24">
        <w:rPr>
          <w:color w:val="000000" w:themeColor="text1"/>
        </w:rPr>
        <w:t>Whitehouse, R</w:t>
      </w:r>
      <w:r>
        <w:rPr>
          <w:color w:val="000000" w:themeColor="text1"/>
        </w:rPr>
        <w:t>.</w:t>
      </w:r>
      <w:r w:rsidRPr="00D86B24">
        <w:rPr>
          <w:color w:val="000000" w:themeColor="text1"/>
        </w:rPr>
        <w:t xml:space="preserve"> D., Wilkins, </w:t>
      </w:r>
      <w:r>
        <w:rPr>
          <w:color w:val="000000" w:themeColor="text1"/>
        </w:rPr>
        <w:t xml:space="preserve">J., </w:t>
      </w:r>
      <w:r w:rsidRPr="00D86B24">
        <w:rPr>
          <w:color w:val="000000" w:themeColor="text1"/>
        </w:rPr>
        <w:t xml:space="preserve">Herring, </w:t>
      </w:r>
      <w:r>
        <w:rPr>
          <w:color w:val="000000" w:themeColor="text1"/>
        </w:rPr>
        <w:t xml:space="preserve">E., &amp; </w:t>
      </w:r>
      <w:r w:rsidRPr="00D86B24">
        <w:rPr>
          <w:color w:val="000000" w:themeColor="text1"/>
        </w:rPr>
        <w:t>Burn</w:t>
      </w:r>
      <w:r>
        <w:rPr>
          <w:color w:val="000000" w:themeColor="text1"/>
        </w:rPr>
        <w:t>, L. (2000).</w:t>
      </w:r>
      <w:r w:rsidRPr="00D86B24">
        <w:rPr>
          <w:color w:val="000000" w:themeColor="text1"/>
        </w:rPr>
        <w:t> </w:t>
      </w:r>
      <w:r w:rsidRPr="00D86B24">
        <w:rPr>
          <w:i/>
          <w:iCs/>
          <w:color w:val="000000" w:themeColor="text1"/>
        </w:rPr>
        <w:t xml:space="preserve">Botromagno: </w:t>
      </w:r>
      <w:r w:rsidR="00511A91">
        <w:rPr>
          <w:i/>
          <w:iCs/>
          <w:color w:val="000000" w:themeColor="text1"/>
        </w:rPr>
        <w:t>E</w:t>
      </w:r>
      <w:r w:rsidRPr="00D86B24">
        <w:rPr>
          <w:i/>
          <w:iCs/>
          <w:color w:val="000000" w:themeColor="text1"/>
        </w:rPr>
        <w:t xml:space="preserve">xcavations and </w:t>
      </w:r>
      <w:r w:rsidR="00511A91">
        <w:rPr>
          <w:i/>
          <w:iCs/>
          <w:color w:val="000000" w:themeColor="text1"/>
        </w:rPr>
        <w:t>S</w:t>
      </w:r>
      <w:r w:rsidRPr="00D86B24">
        <w:rPr>
          <w:i/>
          <w:iCs/>
          <w:color w:val="000000" w:themeColor="text1"/>
        </w:rPr>
        <w:t>urvey at Gravina in Puglia 1979-1985</w:t>
      </w:r>
      <w:r w:rsidRPr="00D86B24">
        <w:rPr>
          <w:color w:val="000000" w:themeColor="text1"/>
        </w:rPr>
        <w:t xml:space="preserve">. </w:t>
      </w:r>
      <w:r w:rsidR="00511A91">
        <w:rPr>
          <w:color w:val="000000" w:themeColor="text1"/>
        </w:rPr>
        <w:t xml:space="preserve">London: </w:t>
      </w:r>
      <w:r w:rsidRPr="00D86B24">
        <w:rPr>
          <w:color w:val="000000" w:themeColor="text1"/>
        </w:rPr>
        <w:t>Accordia Research Institute University of London</w:t>
      </w:r>
      <w:r>
        <w:rPr>
          <w:color w:val="000000" w:themeColor="text1"/>
        </w:rPr>
        <w:t>.</w:t>
      </w:r>
    </w:p>
    <w:p w14:paraId="13DD4271" w14:textId="77777777" w:rsidR="00FD43EF" w:rsidRDefault="00FD43EF" w:rsidP="00FD43EF">
      <w:pPr>
        <w:rPr>
          <w:lang w:val="en-US"/>
        </w:rPr>
      </w:pPr>
    </w:p>
    <w:p w14:paraId="2A4A976F" w14:textId="77777777" w:rsidR="00FD43EF" w:rsidRPr="00A856DB" w:rsidRDefault="00FD43EF" w:rsidP="00FD43EF">
      <w:pPr>
        <w:rPr>
          <w:lang w:val="en-US"/>
        </w:rPr>
      </w:pPr>
      <w:r w:rsidRPr="00A856DB">
        <w:rPr>
          <w:lang w:val="en-US"/>
        </w:rPr>
        <w:t>Williams, J</w:t>
      </w:r>
      <w:r>
        <w:rPr>
          <w:lang w:val="en-US"/>
        </w:rPr>
        <w:t>.</w:t>
      </w:r>
      <w:r w:rsidRPr="00A856DB">
        <w:rPr>
          <w:lang w:val="en-US"/>
        </w:rPr>
        <w:t xml:space="preserve"> S., White,</w:t>
      </w:r>
      <w:r>
        <w:rPr>
          <w:lang w:val="en-US"/>
        </w:rPr>
        <w:t xml:space="preserve"> C.D.</w:t>
      </w:r>
      <w:r w:rsidRPr="00A856DB">
        <w:rPr>
          <w:lang w:val="en-US"/>
        </w:rPr>
        <w:t xml:space="preserve"> </w:t>
      </w:r>
      <w:r>
        <w:rPr>
          <w:lang w:val="en-US"/>
        </w:rPr>
        <w:t>&amp;</w:t>
      </w:r>
      <w:r w:rsidRPr="00A856DB">
        <w:rPr>
          <w:lang w:val="en-US"/>
        </w:rPr>
        <w:t xml:space="preserve"> Longstaffe</w:t>
      </w:r>
      <w:r>
        <w:rPr>
          <w:lang w:val="en-US"/>
        </w:rPr>
        <w:t>, F. J. (2005).</w:t>
      </w:r>
      <w:r w:rsidRPr="00A856DB">
        <w:rPr>
          <w:lang w:val="en-US"/>
        </w:rPr>
        <w:t xml:space="preserve"> Trophic level and macronutrient shift effects associated with the weaning process in the Postclassic Maya. </w:t>
      </w:r>
      <w:r w:rsidRPr="00A856DB">
        <w:rPr>
          <w:i/>
          <w:iCs/>
          <w:lang w:val="en-US"/>
        </w:rPr>
        <w:t>American Journal of Physical Anthropology</w:t>
      </w:r>
      <w:r>
        <w:rPr>
          <w:i/>
          <w:iCs/>
          <w:lang w:val="en-US"/>
        </w:rPr>
        <w:t>,</w:t>
      </w:r>
      <w:r w:rsidRPr="00A856DB" w:rsidDel="008244FF">
        <w:rPr>
          <w:i/>
          <w:iCs/>
          <w:lang w:val="en-US"/>
        </w:rPr>
        <w:t xml:space="preserve"> </w:t>
      </w:r>
      <w:r w:rsidRPr="00873C7D">
        <w:rPr>
          <w:i/>
          <w:lang w:val="en-US"/>
        </w:rPr>
        <w:t>128</w:t>
      </w:r>
      <w:r>
        <w:rPr>
          <w:lang w:val="en-US"/>
        </w:rPr>
        <w:t>(</w:t>
      </w:r>
      <w:r w:rsidRPr="00A856DB">
        <w:rPr>
          <w:lang w:val="en-US"/>
        </w:rPr>
        <w:t>4</w:t>
      </w:r>
      <w:r>
        <w:rPr>
          <w:lang w:val="en-US"/>
        </w:rPr>
        <w:t>),</w:t>
      </w:r>
      <w:r w:rsidRPr="00A856DB">
        <w:rPr>
          <w:lang w:val="en-US"/>
        </w:rPr>
        <w:t xml:space="preserve"> 781-790.</w:t>
      </w:r>
    </w:p>
    <w:p w14:paraId="0AA04183" w14:textId="77777777" w:rsidR="00FD43EF" w:rsidRPr="00A856DB" w:rsidRDefault="00FD43EF" w:rsidP="00FD43EF">
      <w:pPr>
        <w:rPr>
          <w:lang w:val="en-US"/>
        </w:rPr>
      </w:pPr>
    </w:p>
    <w:p w14:paraId="40FDFD4E" w14:textId="76382C4E" w:rsidR="00FD43EF" w:rsidRPr="00A856DB" w:rsidRDefault="00FD43EF" w:rsidP="00FD43EF">
      <w:pPr>
        <w:rPr>
          <w:lang w:val="en-US"/>
        </w:rPr>
      </w:pPr>
      <w:r w:rsidRPr="00A856DB">
        <w:rPr>
          <w:lang w:val="en-US"/>
        </w:rPr>
        <w:t>Wood, J</w:t>
      </w:r>
      <w:r>
        <w:rPr>
          <w:lang w:val="en-US"/>
        </w:rPr>
        <w:t>.</w:t>
      </w:r>
      <w:r w:rsidRPr="00A856DB">
        <w:rPr>
          <w:lang w:val="en-US"/>
        </w:rPr>
        <w:t xml:space="preserve"> W., Milner, </w:t>
      </w:r>
      <w:r>
        <w:rPr>
          <w:lang w:val="en-US"/>
        </w:rPr>
        <w:t xml:space="preserve">G. R., </w:t>
      </w:r>
      <w:r w:rsidRPr="00A856DB">
        <w:rPr>
          <w:lang w:val="en-US"/>
        </w:rPr>
        <w:t xml:space="preserve">Harpending, </w:t>
      </w:r>
      <w:r>
        <w:rPr>
          <w:lang w:val="en-US"/>
        </w:rPr>
        <w:t xml:space="preserve">H. C., </w:t>
      </w:r>
      <w:r w:rsidRPr="00A856DB">
        <w:rPr>
          <w:lang w:val="en-US"/>
        </w:rPr>
        <w:t>Weiss,</w:t>
      </w:r>
      <w:r>
        <w:rPr>
          <w:lang w:val="en-US"/>
        </w:rPr>
        <w:t xml:space="preserve"> K. M.,</w:t>
      </w:r>
      <w:r w:rsidRPr="00A856DB">
        <w:rPr>
          <w:lang w:val="en-US"/>
        </w:rPr>
        <w:t xml:space="preserve"> Cohen,</w:t>
      </w:r>
      <w:r>
        <w:rPr>
          <w:lang w:val="en-US"/>
        </w:rPr>
        <w:t xml:space="preserve"> M. N.,</w:t>
      </w:r>
      <w:r w:rsidRPr="00A856DB">
        <w:rPr>
          <w:lang w:val="en-US"/>
        </w:rPr>
        <w:t xml:space="preserve"> Eisenberg,</w:t>
      </w:r>
      <w:r>
        <w:rPr>
          <w:lang w:val="en-US"/>
        </w:rPr>
        <w:t xml:space="preserve"> L.E.,</w:t>
      </w:r>
      <w:r w:rsidRPr="00A856DB">
        <w:rPr>
          <w:lang w:val="en-US"/>
        </w:rPr>
        <w:t xml:space="preserve"> Hutchinson</w:t>
      </w:r>
      <w:r>
        <w:rPr>
          <w:lang w:val="en-US"/>
        </w:rPr>
        <w:t>, D. L.,</w:t>
      </w:r>
      <w:r w:rsidRPr="00A856DB">
        <w:rPr>
          <w:lang w:val="en-US"/>
        </w:rPr>
        <w:t xml:space="preserve"> et al. </w:t>
      </w:r>
      <w:r>
        <w:rPr>
          <w:lang w:val="en-US"/>
        </w:rPr>
        <w:t>(1992).</w:t>
      </w:r>
      <w:r w:rsidR="00511A91">
        <w:rPr>
          <w:lang w:val="en-US"/>
        </w:rPr>
        <w:t xml:space="preserve"> </w:t>
      </w:r>
      <w:r w:rsidRPr="00A856DB">
        <w:rPr>
          <w:lang w:val="en-US"/>
        </w:rPr>
        <w:t xml:space="preserve">The osteological paradox: </w:t>
      </w:r>
      <w:r w:rsidR="003A3A35">
        <w:rPr>
          <w:lang w:val="en-US"/>
        </w:rPr>
        <w:t>P</w:t>
      </w:r>
      <w:r w:rsidRPr="00A856DB">
        <w:rPr>
          <w:lang w:val="en-US"/>
        </w:rPr>
        <w:t xml:space="preserve">roblems of inferring prehistoric health from skeletal samples. </w:t>
      </w:r>
      <w:r w:rsidRPr="00A856DB">
        <w:rPr>
          <w:i/>
          <w:iCs/>
          <w:lang w:val="en-US"/>
        </w:rPr>
        <w:t>Current Anthropology</w:t>
      </w:r>
      <w:r>
        <w:rPr>
          <w:i/>
          <w:iCs/>
          <w:lang w:val="en-US"/>
        </w:rPr>
        <w:t>,</w:t>
      </w:r>
      <w:r w:rsidRPr="00A856DB">
        <w:rPr>
          <w:lang w:val="en-US"/>
        </w:rPr>
        <w:t> </w:t>
      </w:r>
      <w:r w:rsidRPr="00873C7D">
        <w:rPr>
          <w:i/>
          <w:lang w:val="en-US"/>
        </w:rPr>
        <w:t>33</w:t>
      </w:r>
      <w:r>
        <w:rPr>
          <w:lang w:val="en-US"/>
        </w:rPr>
        <w:t>(</w:t>
      </w:r>
      <w:r w:rsidRPr="00A856DB">
        <w:rPr>
          <w:lang w:val="en-US"/>
        </w:rPr>
        <w:t>4</w:t>
      </w:r>
      <w:r>
        <w:rPr>
          <w:lang w:val="en-US"/>
        </w:rPr>
        <w:t>),</w:t>
      </w:r>
      <w:r w:rsidRPr="00A856DB">
        <w:rPr>
          <w:lang w:val="en-US"/>
        </w:rPr>
        <w:t xml:space="preserve"> 343-370.</w:t>
      </w:r>
    </w:p>
    <w:p w14:paraId="6AEB7472" w14:textId="77777777" w:rsidR="00FD43EF" w:rsidRPr="00A856DB" w:rsidRDefault="00FD43EF" w:rsidP="00FD43EF">
      <w:pPr>
        <w:rPr>
          <w:lang w:val="en-US"/>
        </w:rPr>
      </w:pPr>
    </w:p>
    <w:p w14:paraId="65DF34D2" w14:textId="77777777" w:rsidR="00FD43EF" w:rsidRPr="00A856DB" w:rsidRDefault="00FD43EF" w:rsidP="00FD43EF">
      <w:pPr>
        <w:rPr>
          <w:lang w:val="en-US"/>
        </w:rPr>
      </w:pPr>
      <w:r w:rsidRPr="00A856DB">
        <w:rPr>
          <w:lang w:val="en-US"/>
        </w:rPr>
        <w:t>Worthman, C</w:t>
      </w:r>
      <w:r>
        <w:rPr>
          <w:lang w:val="en-US"/>
        </w:rPr>
        <w:t>.</w:t>
      </w:r>
      <w:r w:rsidRPr="00A856DB">
        <w:rPr>
          <w:lang w:val="en-US"/>
        </w:rPr>
        <w:t xml:space="preserve"> M., Jenkins,</w:t>
      </w:r>
      <w:r>
        <w:rPr>
          <w:lang w:val="en-US"/>
        </w:rPr>
        <w:t xml:space="preserve"> C. L.,</w:t>
      </w:r>
      <w:r w:rsidRPr="00A856DB">
        <w:rPr>
          <w:lang w:val="en-US"/>
        </w:rPr>
        <w:t xml:space="preserve"> Stallings, </w:t>
      </w:r>
      <w:r>
        <w:rPr>
          <w:lang w:val="en-US"/>
        </w:rPr>
        <w:t>J. F., &amp;</w:t>
      </w:r>
      <w:r w:rsidRPr="00A856DB">
        <w:rPr>
          <w:lang w:val="en-US"/>
        </w:rPr>
        <w:t xml:space="preserve"> Lai</w:t>
      </w:r>
      <w:r>
        <w:rPr>
          <w:lang w:val="en-US"/>
        </w:rPr>
        <w:t xml:space="preserve">, D. (1993). </w:t>
      </w:r>
      <w:r w:rsidRPr="00A856DB">
        <w:rPr>
          <w:lang w:val="en-US"/>
        </w:rPr>
        <w:t xml:space="preserve">Attenuation of nursing-related ovarian suppression and high fertility in well-nourished, intensively breast-feeding Amele women of lowland Papua New Guinea. </w:t>
      </w:r>
      <w:r w:rsidRPr="00A856DB">
        <w:rPr>
          <w:i/>
          <w:lang w:val="en-US"/>
        </w:rPr>
        <w:t>Journal of Biosocial Science</w:t>
      </w:r>
      <w:r>
        <w:rPr>
          <w:i/>
          <w:lang w:val="en-US"/>
        </w:rPr>
        <w:t>,</w:t>
      </w:r>
      <w:r w:rsidRPr="00A856DB">
        <w:rPr>
          <w:lang w:val="en-US"/>
        </w:rPr>
        <w:t xml:space="preserve"> </w:t>
      </w:r>
      <w:r w:rsidRPr="00873C7D">
        <w:rPr>
          <w:i/>
          <w:lang w:val="en-US"/>
        </w:rPr>
        <w:t>25</w:t>
      </w:r>
      <w:r>
        <w:rPr>
          <w:lang w:val="en-US"/>
        </w:rPr>
        <w:t>(</w:t>
      </w:r>
      <w:r w:rsidRPr="00A856DB">
        <w:rPr>
          <w:lang w:val="en-US"/>
        </w:rPr>
        <w:t>4</w:t>
      </w:r>
      <w:r>
        <w:rPr>
          <w:lang w:val="en-US"/>
        </w:rPr>
        <w:t xml:space="preserve">), </w:t>
      </w:r>
      <w:r w:rsidRPr="00A856DB">
        <w:rPr>
          <w:lang w:val="en-US"/>
        </w:rPr>
        <w:t>425-443.</w:t>
      </w:r>
    </w:p>
    <w:p w14:paraId="3EFA3C6C" w14:textId="77777777" w:rsidR="00FD43EF" w:rsidRPr="00A856DB" w:rsidRDefault="00FD43EF" w:rsidP="00FD43EF">
      <w:pPr>
        <w:rPr>
          <w:lang w:val="en-US"/>
        </w:rPr>
      </w:pPr>
    </w:p>
    <w:p w14:paraId="20ECD6CD" w14:textId="37A58BC9" w:rsidR="00FD43EF" w:rsidRPr="00A856DB" w:rsidRDefault="00FD43EF" w:rsidP="00FD43EF">
      <w:pPr>
        <w:rPr>
          <w:lang w:val="en-US"/>
        </w:rPr>
      </w:pPr>
      <w:r w:rsidRPr="00A856DB">
        <w:rPr>
          <w:lang w:val="en-US"/>
        </w:rPr>
        <w:t>Wright, L</w:t>
      </w:r>
      <w:r>
        <w:rPr>
          <w:lang w:val="en-US"/>
        </w:rPr>
        <w:t>.</w:t>
      </w:r>
      <w:r w:rsidRPr="00A856DB">
        <w:rPr>
          <w:lang w:val="en-US"/>
        </w:rPr>
        <w:t xml:space="preserve"> E., </w:t>
      </w:r>
      <w:r>
        <w:rPr>
          <w:lang w:val="en-US"/>
        </w:rPr>
        <w:t>&amp;</w:t>
      </w:r>
      <w:r w:rsidRPr="00A856DB">
        <w:rPr>
          <w:lang w:val="en-US"/>
        </w:rPr>
        <w:t xml:space="preserve"> Schwarcz</w:t>
      </w:r>
      <w:r>
        <w:rPr>
          <w:lang w:val="en-US"/>
        </w:rPr>
        <w:t xml:space="preserve">, H. P. (1999). </w:t>
      </w:r>
      <w:r w:rsidRPr="00A856DB">
        <w:rPr>
          <w:lang w:val="en-US"/>
        </w:rPr>
        <w:t xml:space="preserve">Correspondence between stable carbon, oxygen and nitrogen isotopes in human tooth enamel and dentine: </w:t>
      </w:r>
      <w:r w:rsidR="003A3A35">
        <w:rPr>
          <w:lang w:val="en-US"/>
        </w:rPr>
        <w:t>I</w:t>
      </w:r>
      <w:r w:rsidRPr="00A856DB">
        <w:rPr>
          <w:lang w:val="en-US"/>
        </w:rPr>
        <w:t xml:space="preserve">nfant diets at Kaminaljuyu. </w:t>
      </w:r>
      <w:r w:rsidRPr="00A856DB">
        <w:rPr>
          <w:i/>
          <w:lang w:val="en-US"/>
        </w:rPr>
        <w:t>Journal of Archaeological Science</w:t>
      </w:r>
      <w:r>
        <w:rPr>
          <w:i/>
          <w:lang w:val="en-US"/>
        </w:rPr>
        <w:t>,</w:t>
      </w:r>
      <w:r w:rsidRPr="00A856DB">
        <w:rPr>
          <w:lang w:val="en-US"/>
        </w:rPr>
        <w:t xml:space="preserve"> </w:t>
      </w:r>
      <w:r w:rsidRPr="00873C7D">
        <w:rPr>
          <w:i/>
          <w:lang w:val="en-US"/>
        </w:rPr>
        <w:t>26</w:t>
      </w:r>
      <w:r>
        <w:rPr>
          <w:lang w:val="en-US"/>
        </w:rPr>
        <w:t>(</w:t>
      </w:r>
      <w:r w:rsidRPr="00A856DB">
        <w:rPr>
          <w:lang w:val="en-US"/>
        </w:rPr>
        <w:t>9</w:t>
      </w:r>
      <w:r>
        <w:rPr>
          <w:lang w:val="en-US"/>
        </w:rPr>
        <w:t>),</w:t>
      </w:r>
      <w:r w:rsidRPr="00A856DB">
        <w:rPr>
          <w:lang w:val="en-US"/>
        </w:rPr>
        <w:t>1159-1170.</w:t>
      </w:r>
    </w:p>
    <w:p w14:paraId="38F9289A" w14:textId="77777777" w:rsidR="00FD43EF" w:rsidRPr="00A856DB" w:rsidRDefault="00FD43EF" w:rsidP="00FD43EF">
      <w:pPr>
        <w:rPr>
          <w:lang w:val="en-US"/>
        </w:rPr>
      </w:pPr>
    </w:p>
    <w:p w14:paraId="49976347" w14:textId="774A2F11" w:rsidR="00FD43EF" w:rsidRPr="00A856DB" w:rsidRDefault="00FD43EF" w:rsidP="00FD43EF">
      <w:pPr>
        <w:rPr>
          <w:color w:val="000000" w:themeColor="text1"/>
          <w:lang w:val="en-US"/>
        </w:rPr>
      </w:pPr>
      <w:r w:rsidRPr="00A856DB">
        <w:rPr>
          <w:color w:val="000000" w:themeColor="text1"/>
          <w:lang w:val="en-US"/>
        </w:rPr>
        <w:t>Wright, L</w:t>
      </w:r>
      <w:r>
        <w:rPr>
          <w:color w:val="000000" w:themeColor="text1"/>
          <w:lang w:val="en-US"/>
        </w:rPr>
        <w:t xml:space="preserve">. </w:t>
      </w:r>
      <w:r w:rsidRPr="00A856DB">
        <w:rPr>
          <w:color w:val="000000" w:themeColor="text1"/>
          <w:lang w:val="en-US"/>
        </w:rPr>
        <w:t xml:space="preserve">E., </w:t>
      </w:r>
      <w:r>
        <w:rPr>
          <w:color w:val="000000" w:themeColor="text1"/>
          <w:lang w:val="en-US"/>
        </w:rPr>
        <w:t>&amp;</w:t>
      </w:r>
      <w:r w:rsidRPr="00A856DB">
        <w:rPr>
          <w:color w:val="000000" w:themeColor="text1"/>
          <w:lang w:val="en-US"/>
        </w:rPr>
        <w:t xml:space="preserve"> Schwarcz</w:t>
      </w:r>
      <w:r>
        <w:rPr>
          <w:color w:val="000000" w:themeColor="text1"/>
          <w:lang w:val="en-US"/>
        </w:rPr>
        <w:t>, H. P. (1998).</w:t>
      </w:r>
      <w:r w:rsidRPr="00A856DB">
        <w:rPr>
          <w:color w:val="000000" w:themeColor="text1"/>
          <w:lang w:val="en-US"/>
        </w:rPr>
        <w:t xml:space="preserve"> Stable carbon and oxygen isotopes in human tooth enamel: </w:t>
      </w:r>
      <w:r w:rsidR="003A3A35">
        <w:rPr>
          <w:color w:val="000000" w:themeColor="text1"/>
          <w:lang w:val="en-US"/>
        </w:rPr>
        <w:t>I</w:t>
      </w:r>
      <w:r w:rsidRPr="00A856DB">
        <w:rPr>
          <w:color w:val="000000" w:themeColor="text1"/>
          <w:lang w:val="en-US"/>
        </w:rPr>
        <w:t>dentifying breastfeeding and weaning in prehistory.</w:t>
      </w:r>
      <w:r>
        <w:rPr>
          <w:color w:val="000000" w:themeColor="text1"/>
          <w:lang w:val="en-US"/>
        </w:rPr>
        <w:t xml:space="preserve"> </w:t>
      </w:r>
      <w:r w:rsidRPr="00A856DB">
        <w:rPr>
          <w:i/>
          <w:color w:val="000000" w:themeColor="text1"/>
          <w:lang w:val="en-US"/>
        </w:rPr>
        <w:t>American Journal of Physical Anthropology</w:t>
      </w:r>
      <w:r>
        <w:rPr>
          <w:i/>
          <w:color w:val="000000" w:themeColor="text1"/>
          <w:lang w:val="en-US"/>
        </w:rPr>
        <w:t>,</w:t>
      </w:r>
      <w:r w:rsidRPr="00A856DB">
        <w:rPr>
          <w:color w:val="000000" w:themeColor="text1"/>
          <w:lang w:val="en-US"/>
        </w:rPr>
        <w:t xml:space="preserve"> </w:t>
      </w:r>
      <w:r w:rsidRPr="00873C7D">
        <w:rPr>
          <w:i/>
          <w:color w:val="000000" w:themeColor="text1"/>
          <w:lang w:val="en-US"/>
        </w:rPr>
        <w:t>106</w:t>
      </w:r>
      <w:r>
        <w:rPr>
          <w:color w:val="000000" w:themeColor="text1"/>
          <w:lang w:val="en-US"/>
        </w:rPr>
        <w:t>(</w:t>
      </w:r>
      <w:r w:rsidRPr="00A856DB">
        <w:rPr>
          <w:color w:val="000000" w:themeColor="text1"/>
          <w:lang w:val="en-US"/>
        </w:rPr>
        <w:t>1</w:t>
      </w:r>
      <w:r>
        <w:rPr>
          <w:color w:val="000000" w:themeColor="text1"/>
          <w:lang w:val="en-US"/>
        </w:rPr>
        <w:t>),</w:t>
      </w:r>
      <w:r w:rsidRPr="00A856DB">
        <w:rPr>
          <w:color w:val="000000" w:themeColor="text1"/>
          <w:lang w:val="en-US"/>
        </w:rPr>
        <w:t xml:space="preserve"> 1-18.</w:t>
      </w:r>
    </w:p>
    <w:p w14:paraId="4FC871A2" w14:textId="77777777" w:rsidR="00FD43EF" w:rsidRPr="00A856DB" w:rsidRDefault="00FD43EF" w:rsidP="00FD43EF">
      <w:pPr>
        <w:rPr>
          <w:color w:val="000000" w:themeColor="text1"/>
          <w:lang w:val="en-US"/>
        </w:rPr>
      </w:pPr>
    </w:p>
    <w:p w14:paraId="57BC41B2" w14:textId="77777777" w:rsidR="00FD43EF" w:rsidRPr="00A856DB" w:rsidRDefault="00FD43EF" w:rsidP="00FD43EF">
      <w:pPr>
        <w:rPr>
          <w:lang w:val="en-US"/>
        </w:rPr>
      </w:pPr>
      <w:r w:rsidRPr="00A856DB">
        <w:rPr>
          <w:lang w:val="en-US"/>
        </w:rPr>
        <w:t>Wrigley, E</w:t>
      </w:r>
      <w:r>
        <w:rPr>
          <w:lang w:val="en-US"/>
        </w:rPr>
        <w:t>.</w:t>
      </w:r>
      <w:r w:rsidRPr="00A856DB">
        <w:rPr>
          <w:lang w:val="en-US"/>
        </w:rPr>
        <w:t xml:space="preserve"> A. </w:t>
      </w:r>
      <w:r>
        <w:rPr>
          <w:lang w:val="en-US"/>
        </w:rPr>
        <w:t xml:space="preserve">(1977). </w:t>
      </w:r>
      <w:r w:rsidRPr="00A856DB">
        <w:rPr>
          <w:lang w:val="en-US"/>
        </w:rPr>
        <w:t>Births and baptisms: the use of Anglican baptism registers as a source of information about the numbers of births in England before the beginning of civil registration.</w:t>
      </w:r>
      <w:r>
        <w:rPr>
          <w:lang w:val="en-US"/>
        </w:rPr>
        <w:t xml:space="preserve"> </w:t>
      </w:r>
      <w:r w:rsidRPr="00A856DB">
        <w:rPr>
          <w:i/>
          <w:lang w:val="en-US"/>
        </w:rPr>
        <w:t>Population Studies</w:t>
      </w:r>
      <w:r>
        <w:rPr>
          <w:i/>
          <w:lang w:val="en-US"/>
        </w:rPr>
        <w:t>,</w:t>
      </w:r>
      <w:r w:rsidRPr="00A856DB">
        <w:rPr>
          <w:lang w:val="en-US"/>
        </w:rPr>
        <w:t xml:space="preserve"> </w:t>
      </w:r>
      <w:r w:rsidRPr="00873C7D">
        <w:rPr>
          <w:i/>
          <w:lang w:val="en-US"/>
        </w:rPr>
        <w:t>31</w:t>
      </w:r>
      <w:r>
        <w:rPr>
          <w:lang w:val="en-US"/>
        </w:rPr>
        <w:t>(</w:t>
      </w:r>
      <w:r w:rsidRPr="00A856DB">
        <w:rPr>
          <w:lang w:val="en-US"/>
        </w:rPr>
        <w:t>2</w:t>
      </w:r>
      <w:r>
        <w:rPr>
          <w:lang w:val="en-US"/>
        </w:rPr>
        <w:t xml:space="preserve">), </w:t>
      </w:r>
      <w:r w:rsidRPr="00A856DB">
        <w:rPr>
          <w:lang w:val="en-US"/>
        </w:rPr>
        <w:t>281-312.</w:t>
      </w:r>
    </w:p>
    <w:p w14:paraId="6C312E71" w14:textId="77777777" w:rsidR="00FD43EF" w:rsidRPr="00A856DB" w:rsidRDefault="00FD43EF" w:rsidP="00FD43EF">
      <w:pPr>
        <w:rPr>
          <w:lang w:val="en-US"/>
        </w:rPr>
      </w:pPr>
    </w:p>
    <w:p w14:paraId="35CF8AA8" w14:textId="77777777" w:rsidR="00FD43EF" w:rsidRPr="008C4A6A" w:rsidRDefault="00FD43EF" w:rsidP="00FD43EF">
      <w:pPr>
        <w:rPr>
          <w:color w:val="000000" w:themeColor="text1"/>
          <w:lang w:val="en-US"/>
        </w:rPr>
      </w:pPr>
      <w:r w:rsidRPr="00A856DB">
        <w:rPr>
          <w:color w:val="000000" w:themeColor="text1"/>
          <w:lang w:val="en-US"/>
        </w:rPr>
        <w:t>Yntema, D</w:t>
      </w:r>
      <w:r>
        <w:rPr>
          <w:color w:val="000000" w:themeColor="text1"/>
          <w:lang w:val="en-US"/>
        </w:rPr>
        <w:t>.</w:t>
      </w:r>
      <w:r w:rsidRPr="00A856DB">
        <w:rPr>
          <w:color w:val="000000" w:themeColor="text1"/>
          <w:lang w:val="en-US"/>
        </w:rPr>
        <w:t xml:space="preserve"> G. </w:t>
      </w:r>
      <w:r>
        <w:rPr>
          <w:color w:val="000000" w:themeColor="text1"/>
          <w:lang w:val="en-US"/>
        </w:rPr>
        <w:t xml:space="preserve">(2013). </w:t>
      </w:r>
      <w:r w:rsidRPr="00A856DB">
        <w:rPr>
          <w:i/>
          <w:color w:val="000000" w:themeColor="text1"/>
          <w:lang w:val="en-US"/>
        </w:rPr>
        <w:t>The Archaeology of South-east Italy in the First Millenium BC: Greek and Native Societies of Apulia and Lucania Between the 10th and 1st Century BC</w:t>
      </w:r>
      <w:r w:rsidRPr="00A856DB">
        <w:rPr>
          <w:color w:val="000000" w:themeColor="text1"/>
          <w:lang w:val="en-US"/>
        </w:rPr>
        <w:t xml:space="preserve">. </w:t>
      </w:r>
      <w:r w:rsidRPr="008C4A6A">
        <w:rPr>
          <w:color w:val="000000" w:themeColor="text1"/>
          <w:lang w:val="en-US"/>
        </w:rPr>
        <w:t>Amsterdam: Amsterdam University Press</w:t>
      </w:r>
      <w:r>
        <w:rPr>
          <w:color w:val="000000" w:themeColor="text1"/>
          <w:lang w:val="en-US"/>
        </w:rPr>
        <w:t>.</w:t>
      </w:r>
    </w:p>
    <w:p w14:paraId="76070E31" w14:textId="77777777" w:rsidR="00FD43EF" w:rsidRPr="008C4A6A" w:rsidRDefault="00FD43EF" w:rsidP="00FD43EF">
      <w:pPr>
        <w:rPr>
          <w:color w:val="000000" w:themeColor="text1"/>
          <w:lang w:val="en-US"/>
        </w:rPr>
      </w:pPr>
    </w:p>
    <w:p w14:paraId="07B872BA" w14:textId="28CA96F8" w:rsidR="00FD43EF" w:rsidRDefault="00FD43EF" w:rsidP="00FD43EF">
      <w:pPr>
        <w:rPr>
          <w:color w:val="000000" w:themeColor="text1"/>
          <w:lang w:val="en-US"/>
        </w:rPr>
      </w:pPr>
      <w:r w:rsidRPr="005F7C36">
        <w:rPr>
          <w:color w:val="000000" w:themeColor="text1"/>
          <w:lang w:val="en-US"/>
        </w:rPr>
        <w:t>Zazzo, A., Bendrey, R.,</w:t>
      </w:r>
      <w:r w:rsidR="00C11A3F">
        <w:rPr>
          <w:color w:val="000000" w:themeColor="text1"/>
          <w:lang w:val="en-US"/>
        </w:rPr>
        <w:t xml:space="preserve"> </w:t>
      </w:r>
      <w:r w:rsidRPr="005F7C36">
        <w:rPr>
          <w:color w:val="000000" w:themeColor="text1"/>
          <w:lang w:val="en-US"/>
        </w:rPr>
        <w:t xml:space="preserve">Vella, D., Moloney, A. P., Monahan, F. J., &amp; Schmidt, O. (2012). </w:t>
      </w:r>
      <w:r w:rsidRPr="008C4A6A">
        <w:rPr>
          <w:color w:val="000000" w:themeColor="text1"/>
          <w:lang w:val="en-US"/>
        </w:rPr>
        <w:t>A refined sampling strategy for intra-tooth stable isotope analysis of mammalian enamel.</w:t>
      </w:r>
      <w:r>
        <w:rPr>
          <w:color w:val="000000" w:themeColor="text1"/>
          <w:lang w:val="en-US"/>
        </w:rPr>
        <w:t xml:space="preserve"> </w:t>
      </w:r>
      <w:r w:rsidRPr="008C4A6A">
        <w:rPr>
          <w:i/>
          <w:color w:val="000000" w:themeColor="text1"/>
          <w:lang w:val="en-US"/>
        </w:rPr>
        <w:t>Geochimica et Cosmochimica Acta</w:t>
      </w:r>
      <w:r>
        <w:rPr>
          <w:i/>
          <w:color w:val="000000" w:themeColor="text1"/>
          <w:lang w:val="en-US"/>
        </w:rPr>
        <w:t>,</w:t>
      </w:r>
      <w:r w:rsidRPr="008C4A6A">
        <w:rPr>
          <w:i/>
          <w:color w:val="000000" w:themeColor="text1"/>
          <w:lang w:val="en-US"/>
        </w:rPr>
        <w:t xml:space="preserve"> </w:t>
      </w:r>
      <w:r w:rsidRPr="00873C7D">
        <w:rPr>
          <w:i/>
          <w:color w:val="000000" w:themeColor="text1"/>
          <w:lang w:val="en-US"/>
        </w:rPr>
        <w:t>84</w:t>
      </w:r>
      <w:r>
        <w:rPr>
          <w:color w:val="000000" w:themeColor="text1"/>
          <w:lang w:val="en-US"/>
        </w:rPr>
        <w:t>(1),</w:t>
      </w:r>
      <w:r w:rsidRPr="008C4A6A">
        <w:rPr>
          <w:color w:val="000000" w:themeColor="text1"/>
          <w:lang w:val="en-US"/>
        </w:rPr>
        <w:t xml:space="preserve"> 1-13.</w:t>
      </w:r>
    </w:p>
    <w:p w14:paraId="7F0E62AF" w14:textId="65ECD56C" w:rsidR="00D11166" w:rsidRDefault="00D11166" w:rsidP="00FD43EF">
      <w:pPr>
        <w:rPr>
          <w:color w:val="000000" w:themeColor="text1"/>
          <w:lang w:val="en-US"/>
        </w:rPr>
      </w:pPr>
    </w:p>
    <w:p w14:paraId="0B4FFE72" w14:textId="0CBA99CC" w:rsidR="00D11166" w:rsidRDefault="00D11166" w:rsidP="00D11166">
      <w:r w:rsidRPr="00D11166">
        <w:rPr>
          <w:color w:val="000000" w:themeColor="text1"/>
        </w:rPr>
        <w:t>Zuckerman, M. K., &amp; Armelagos, G. J. (2011). The origins of biocultural dimensions in bioarchaeology. </w:t>
      </w:r>
      <w:r>
        <w:rPr>
          <w:color w:val="000000" w:themeColor="text1"/>
        </w:rPr>
        <w:t xml:space="preserve">In </w:t>
      </w:r>
      <w:r>
        <w:t xml:space="preserve">Agarwal, S. C., Glencross, B.A. (Eds.) </w:t>
      </w:r>
      <w:r w:rsidRPr="00D907E4">
        <w:rPr>
          <w:i/>
        </w:rPr>
        <w:t xml:space="preserve">Social </w:t>
      </w:r>
      <w:r>
        <w:rPr>
          <w:i/>
        </w:rPr>
        <w:t>B</w:t>
      </w:r>
      <w:r w:rsidRPr="00D907E4">
        <w:rPr>
          <w:i/>
        </w:rPr>
        <w:t>ioarchaeology</w:t>
      </w:r>
      <w:r>
        <w:t xml:space="preserve"> (pp.15-43)</w:t>
      </w:r>
      <w:r>
        <w:rPr>
          <w:i/>
        </w:rPr>
        <w:t>.</w:t>
      </w:r>
      <w:r>
        <w:t xml:space="preserve"> Chichester: </w:t>
      </w:r>
      <w:r w:rsidRPr="00651536">
        <w:rPr>
          <w:color w:val="000000" w:themeColor="text1"/>
          <w:lang w:val="en-US"/>
        </w:rPr>
        <w:t>Wiley-Blackwell</w:t>
      </w:r>
      <w:r>
        <w:t xml:space="preserve">. </w:t>
      </w:r>
    </w:p>
    <w:p w14:paraId="49C48832" w14:textId="77777777" w:rsidR="00D11166" w:rsidRPr="00873C7D" w:rsidRDefault="00D11166" w:rsidP="00FD43EF">
      <w:pPr>
        <w:rPr>
          <w:color w:val="000000" w:themeColor="text1"/>
          <w:lang w:val="en-US"/>
        </w:rPr>
      </w:pPr>
    </w:p>
    <w:p w14:paraId="4A16060A" w14:textId="77777777" w:rsidR="00FD43EF" w:rsidRDefault="00FD43EF" w:rsidP="00FD43EF"/>
    <w:p w14:paraId="49F27783" w14:textId="77777777" w:rsidR="00FD43EF" w:rsidRDefault="00FD43EF" w:rsidP="00FD43EF">
      <w:pPr>
        <w:jc w:val="center"/>
        <w:rPr>
          <w:b/>
          <w:sz w:val="32"/>
        </w:rPr>
      </w:pPr>
    </w:p>
    <w:p w14:paraId="75DFBA2C" w14:textId="77777777" w:rsidR="00FD43EF" w:rsidRDefault="00FD43EF" w:rsidP="00FD43EF">
      <w:pPr>
        <w:jc w:val="center"/>
        <w:rPr>
          <w:b/>
          <w:sz w:val="32"/>
        </w:rPr>
      </w:pPr>
    </w:p>
    <w:p w14:paraId="22F6252B" w14:textId="77777777" w:rsidR="00FD43EF" w:rsidRDefault="00FD43EF" w:rsidP="00FD43EF">
      <w:pPr>
        <w:jc w:val="center"/>
        <w:rPr>
          <w:b/>
          <w:sz w:val="32"/>
        </w:rPr>
      </w:pPr>
    </w:p>
    <w:p w14:paraId="57FCADC6" w14:textId="77777777" w:rsidR="00FD43EF" w:rsidRDefault="00FD43EF" w:rsidP="00FD43EF">
      <w:pPr>
        <w:jc w:val="center"/>
        <w:rPr>
          <w:b/>
          <w:sz w:val="32"/>
        </w:rPr>
      </w:pPr>
    </w:p>
    <w:p w14:paraId="13A365E4" w14:textId="77777777" w:rsidR="00FD43EF" w:rsidRDefault="00FD43EF" w:rsidP="00FD43EF">
      <w:pPr>
        <w:jc w:val="center"/>
        <w:rPr>
          <w:b/>
          <w:sz w:val="32"/>
        </w:rPr>
      </w:pPr>
    </w:p>
    <w:p w14:paraId="7E8890F3" w14:textId="77777777" w:rsidR="00FD43EF" w:rsidRDefault="00FD43EF" w:rsidP="00FD43EF">
      <w:pPr>
        <w:jc w:val="center"/>
        <w:rPr>
          <w:b/>
          <w:sz w:val="32"/>
        </w:rPr>
      </w:pPr>
    </w:p>
    <w:p w14:paraId="582DB229" w14:textId="77777777" w:rsidR="00FD43EF" w:rsidRDefault="00FD43EF" w:rsidP="00FD43EF">
      <w:pPr>
        <w:jc w:val="center"/>
        <w:rPr>
          <w:b/>
          <w:sz w:val="32"/>
        </w:rPr>
      </w:pPr>
    </w:p>
    <w:p w14:paraId="6C18C0B5" w14:textId="77777777" w:rsidR="00FD43EF" w:rsidRDefault="00FD43EF" w:rsidP="00FD43EF"/>
    <w:p w14:paraId="1FC34179" w14:textId="0CA5DC97" w:rsidR="00D300CD" w:rsidRDefault="00D300CD" w:rsidP="00D300CD">
      <w:pPr>
        <w:jc w:val="center"/>
        <w:rPr>
          <w:rFonts w:eastAsiaTheme="minorHAnsi"/>
          <w:b/>
        </w:rPr>
      </w:pPr>
    </w:p>
    <w:p w14:paraId="520C31A5" w14:textId="38D967E6" w:rsidR="00FD43EF" w:rsidRDefault="00FD43EF" w:rsidP="00D300CD">
      <w:pPr>
        <w:jc w:val="center"/>
        <w:rPr>
          <w:b/>
          <w:sz w:val="32"/>
        </w:rPr>
      </w:pPr>
    </w:p>
    <w:p w14:paraId="0773BE0C" w14:textId="7E4E7D84" w:rsidR="00FD43EF" w:rsidRDefault="00FD43EF" w:rsidP="00D300CD">
      <w:pPr>
        <w:jc w:val="center"/>
        <w:rPr>
          <w:b/>
          <w:sz w:val="32"/>
        </w:rPr>
      </w:pPr>
    </w:p>
    <w:p w14:paraId="243222C5" w14:textId="326CB61C" w:rsidR="00FD43EF" w:rsidRDefault="00FD43EF" w:rsidP="00D300CD">
      <w:pPr>
        <w:jc w:val="center"/>
        <w:rPr>
          <w:b/>
          <w:sz w:val="32"/>
        </w:rPr>
      </w:pPr>
    </w:p>
    <w:p w14:paraId="0F932226" w14:textId="1A91B458" w:rsidR="00FD43EF" w:rsidRDefault="00FD43EF" w:rsidP="00D300CD">
      <w:pPr>
        <w:jc w:val="center"/>
        <w:rPr>
          <w:b/>
          <w:sz w:val="32"/>
        </w:rPr>
      </w:pPr>
    </w:p>
    <w:p w14:paraId="62C051B5" w14:textId="070B805F" w:rsidR="00FD43EF" w:rsidRDefault="00FD43EF" w:rsidP="00D300CD">
      <w:pPr>
        <w:jc w:val="center"/>
        <w:rPr>
          <w:b/>
          <w:sz w:val="32"/>
        </w:rPr>
      </w:pPr>
    </w:p>
    <w:p w14:paraId="5F487A67" w14:textId="7A8C9C9A" w:rsidR="00FD43EF" w:rsidRDefault="00FD43EF" w:rsidP="00D300CD">
      <w:pPr>
        <w:jc w:val="center"/>
        <w:rPr>
          <w:b/>
          <w:sz w:val="32"/>
        </w:rPr>
      </w:pPr>
    </w:p>
    <w:p w14:paraId="7F60C251" w14:textId="3E0B9FBA" w:rsidR="00FD43EF" w:rsidRDefault="00FD43EF" w:rsidP="00D300CD">
      <w:pPr>
        <w:jc w:val="center"/>
        <w:rPr>
          <w:b/>
          <w:sz w:val="32"/>
        </w:rPr>
      </w:pPr>
    </w:p>
    <w:p w14:paraId="5EFB779D" w14:textId="7028A217" w:rsidR="00FD43EF" w:rsidRDefault="00FD43EF" w:rsidP="00D300CD">
      <w:pPr>
        <w:jc w:val="center"/>
        <w:rPr>
          <w:b/>
          <w:sz w:val="32"/>
        </w:rPr>
      </w:pPr>
    </w:p>
    <w:p w14:paraId="61DF4750" w14:textId="4DBFA4C0" w:rsidR="00FD43EF" w:rsidRDefault="00FD43EF" w:rsidP="00D300CD">
      <w:pPr>
        <w:jc w:val="center"/>
        <w:rPr>
          <w:b/>
          <w:sz w:val="32"/>
        </w:rPr>
      </w:pPr>
    </w:p>
    <w:p w14:paraId="4C2027AD" w14:textId="089EEE18" w:rsidR="00FD43EF" w:rsidRDefault="00FD43EF" w:rsidP="00D300CD">
      <w:pPr>
        <w:jc w:val="center"/>
        <w:rPr>
          <w:b/>
          <w:sz w:val="32"/>
        </w:rPr>
      </w:pPr>
    </w:p>
    <w:p w14:paraId="368FEB70" w14:textId="4A47EE45" w:rsidR="000D5AA5" w:rsidRDefault="000D5AA5" w:rsidP="000D5AA5">
      <w:pPr>
        <w:rPr>
          <w:b/>
          <w:sz w:val="32"/>
        </w:rPr>
      </w:pPr>
    </w:p>
    <w:p w14:paraId="448CAAF4" w14:textId="77777777" w:rsidR="000D5AA5" w:rsidRDefault="000D5AA5" w:rsidP="000D5AA5">
      <w:pPr>
        <w:rPr>
          <w:b/>
          <w:sz w:val="32"/>
        </w:rPr>
      </w:pPr>
    </w:p>
    <w:p w14:paraId="05EDD6F2" w14:textId="77777777" w:rsidR="00F33FCF" w:rsidRDefault="00F33FCF" w:rsidP="00D300CD">
      <w:pPr>
        <w:jc w:val="center"/>
        <w:rPr>
          <w:b/>
          <w:sz w:val="32"/>
        </w:rPr>
      </w:pPr>
    </w:p>
    <w:p w14:paraId="671961DE" w14:textId="2D2BD742" w:rsidR="00D300CD" w:rsidRPr="00D75D34" w:rsidRDefault="00D300CD" w:rsidP="00D300CD">
      <w:pPr>
        <w:jc w:val="center"/>
        <w:rPr>
          <w:b/>
          <w:sz w:val="32"/>
        </w:rPr>
      </w:pPr>
      <w:r w:rsidRPr="00D75D34">
        <w:rPr>
          <w:b/>
          <w:sz w:val="32"/>
        </w:rPr>
        <w:t xml:space="preserve">Appendix </w:t>
      </w:r>
      <w:r>
        <w:rPr>
          <w:b/>
          <w:sz w:val="32"/>
        </w:rPr>
        <w:t>A</w:t>
      </w:r>
    </w:p>
    <w:p w14:paraId="53CC6D9F" w14:textId="77777777" w:rsidR="00D300CD" w:rsidRPr="00D75D34" w:rsidRDefault="00D300CD" w:rsidP="00D300CD">
      <w:pPr>
        <w:jc w:val="center"/>
        <w:rPr>
          <w:b/>
          <w:sz w:val="32"/>
        </w:rPr>
      </w:pPr>
    </w:p>
    <w:p w14:paraId="64963CC9" w14:textId="77777777" w:rsidR="00D300CD" w:rsidRPr="00D75D34" w:rsidRDefault="00D300CD" w:rsidP="00D300CD">
      <w:pPr>
        <w:jc w:val="center"/>
        <w:rPr>
          <w:sz w:val="32"/>
        </w:rPr>
      </w:pPr>
      <w:r>
        <w:rPr>
          <w:sz w:val="32"/>
        </w:rPr>
        <w:t xml:space="preserve">Dentine and Bone </w:t>
      </w:r>
      <w:r w:rsidRPr="00D75D34">
        <w:rPr>
          <w:sz w:val="32"/>
        </w:rPr>
        <w:t xml:space="preserve">Collagen Samples Prepared for Mass Spectrometry </w:t>
      </w:r>
      <w:r>
        <w:rPr>
          <w:sz w:val="32"/>
        </w:rPr>
        <w:t>and Stable Isotope Data</w:t>
      </w:r>
    </w:p>
    <w:p w14:paraId="72A6C48E" w14:textId="77777777" w:rsidR="00D300CD" w:rsidRDefault="00D300CD" w:rsidP="00D300CD">
      <w:pPr>
        <w:jc w:val="center"/>
      </w:pPr>
    </w:p>
    <w:p w14:paraId="02CF7E1D" w14:textId="77777777" w:rsidR="00D300CD" w:rsidRDefault="00D300CD" w:rsidP="00D300CD">
      <w:pPr>
        <w:jc w:val="center"/>
      </w:pPr>
    </w:p>
    <w:p w14:paraId="6D25E231" w14:textId="77777777" w:rsidR="00D300CD" w:rsidRDefault="00D300CD" w:rsidP="00D300CD">
      <w:pPr>
        <w:jc w:val="center"/>
      </w:pPr>
    </w:p>
    <w:p w14:paraId="616372D4" w14:textId="77777777" w:rsidR="00D300CD" w:rsidRDefault="00D300CD" w:rsidP="00D300CD">
      <w:pPr>
        <w:jc w:val="center"/>
      </w:pPr>
    </w:p>
    <w:p w14:paraId="3F3917B1" w14:textId="77777777" w:rsidR="00D300CD" w:rsidRDefault="00D300CD" w:rsidP="00D300CD">
      <w:pPr>
        <w:jc w:val="center"/>
      </w:pPr>
    </w:p>
    <w:p w14:paraId="0C4EB1A1" w14:textId="63871CF8" w:rsidR="00D300CD" w:rsidRDefault="00D300CD" w:rsidP="00D300CD">
      <w:pPr>
        <w:jc w:val="center"/>
      </w:pPr>
    </w:p>
    <w:p w14:paraId="516F3720" w14:textId="32A2A915" w:rsidR="000D5AA5" w:rsidRDefault="000D5AA5" w:rsidP="00D300CD">
      <w:pPr>
        <w:jc w:val="center"/>
      </w:pPr>
    </w:p>
    <w:p w14:paraId="253D5808" w14:textId="3D66F6BC" w:rsidR="000D5AA5" w:rsidRDefault="000D5AA5" w:rsidP="00D300CD">
      <w:pPr>
        <w:jc w:val="center"/>
      </w:pPr>
    </w:p>
    <w:p w14:paraId="32145D3E" w14:textId="5249F049" w:rsidR="000D5AA5" w:rsidRDefault="000D5AA5" w:rsidP="00D300CD">
      <w:pPr>
        <w:jc w:val="center"/>
      </w:pPr>
    </w:p>
    <w:p w14:paraId="7993F569" w14:textId="3C3AB5A1" w:rsidR="000D5AA5" w:rsidRDefault="000D5AA5" w:rsidP="00D300CD">
      <w:pPr>
        <w:jc w:val="center"/>
      </w:pPr>
    </w:p>
    <w:p w14:paraId="3356BE53" w14:textId="21D05204" w:rsidR="000D5AA5" w:rsidRDefault="000D5AA5" w:rsidP="00D300CD">
      <w:pPr>
        <w:jc w:val="center"/>
      </w:pPr>
    </w:p>
    <w:p w14:paraId="4FE73174" w14:textId="73610C59" w:rsidR="000D5AA5" w:rsidRDefault="000D5AA5" w:rsidP="00D300CD">
      <w:pPr>
        <w:jc w:val="center"/>
      </w:pPr>
    </w:p>
    <w:p w14:paraId="6D23B109" w14:textId="0D4B861B" w:rsidR="000D5AA5" w:rsidRDefault="000D5AA5" w:rsidP="00D300CD">
      <w:pPr>
        <w:jc w:val="center"/>
      </w:pPr>
    </w:p>
    <w:p w14:paraId="25647993" w14:textId="1A98C5FC" w:rsidR="000D5AA5" w:rsidRDefault="000D5AA5" w:rsidP="00D300CD">
      <w:pPr>
        <w:jc w:val="center"/>
      </w:pPr>
    </w:p>
    <w:p w14:paraId="71F01642" w14:textId="77777777" w:rsidR="000D5AA5" w:rsidRDefault="000D5AA5" w:rsidP="00D300CD">
      <w:pPr>
        <w:jc w:val="center"/>
      </w:pPr>
    </w:p>
    <w:p w14:paraId="4201162D" w14:textId="77777777" w:rsidR="00D300CD" w:rsidRDefault="00D300CD" w:rsidP="00D300CD">
      <w:pPr>
        <w:jc w:val="center"/>
      </w:pPr>
    </w:p>
    <w:p w14:paraId="3EBC8807" w14:textId="77777777" w:rsidR="00D300CD" w:rsidRDefault="00D300CD" w:rsidP="00D300CD">
      <w:pPr>
        <w:jc w:val="center"/>
      </w:pPr>
    </w:p>
    <w:p w14:paraId="61BB398D" w14:textId="6CB61319" w:rsidR="00D300CD" w:rsidRDefault="00D300CD" w:rsidP="00D300CD">
      <w:pPr>
        <w:jc w:val="center"/>
      </w:pPr>
    </w:p>
    <w:p w14:paraId="200784B8" w14:textId="77777777" w:rsidR="00A77F0E" w:rsidRDefault="00A77F0E" w:rsidP="00D300CD">
      <w:pPr>
        <w:jc w:val="center"/>
      </w:pPr>
    </w:p>
    <w:p w14:paraId="669BBB39" w14:textId="77777777" w:rsidR="00D300CD" w:rsidRDefault="00D300CD" w:rsidP="00D300CD">
      <w:pPr>
        <w:jc w:val="center"/>
      </w:pPr>
    </w:p>
    <w:p w14:paraId="2EEA2C76" w14:textId="68B87AF7" w:rsidR="003D00CA" w:rsidRDefault="003D00CA" w:rsidP="000D5AA5"/>
    <w:p w14:paraId="0852363E" w14:textId="54F79A33" w:rsidR="003D00CA" w:rsidRDefault="003D00CA" w:rsidP="00D300CD">
      <w:pPr>
        <w:jc w:val="center"/>
      </w:pPr>
    </w:p>
    <w:p w14:paraId="304DEB26" w14:textId="77777777" w:rsidR="0091068C" w:rsidRDefault="0091068C" w:rsidP="0091068C"/>
    <w:p w14:paraId="4593F116" w14:textId="1AE6A302" w:rsidR="0091068C" w:rsidRDefault="0091068C" w:rsidP="0091068C">
      <w:pPr>
        <w:jc w:val="center"/>
      </w:pPr>
      <w:r w:rsidRPr="00212088">
        <w:rPr>
          <w:b/>
        </w:rPr>
        <w:lastRenderedPageBreak/>
        <w:t>Table A</w:t>
      </w:r>
      <w:r>
        <w:rPr>
          <w:b/>
        </w:rPr>
        <w:t>1</w:t>
      </w:r>
      <w:r w:rsidRPr="00212088">
        <w:rPr>
          <w:b/>
        </w:rPr>
        <w:t>:</w:t>
      </w:r>
      <w:r>
        <w:t xml:space="preserve"> Carbon and nitrogen percentages, along with C:N ratios for each dentine serial section for subadult and adult teeth.</w:t>
      </w:r>
    </w:p>
    <w:p w14:paraId="5794B980" w14:textId="77777777" w:rsidR="0091068C" w:rsidRDefault="0091068C" w:rsidP="0091068C">
      <w:pPr>
        <w:jc w:val="cente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50"/>
        <w:gridCol w:w="851"/>
        <w:gridCol w:w="850"/>
      </w:tblGrid>
      <w:tr w:rsidR="0091068C" w:rsidRPr="00AD3ED7" w14:paraId="4F3A06A6" w14:textId="77777777" w:rsidTr="00986896">
        <w:trPr>
          <w:trHeight w:val="280"/>
        </w:trPr>
        <w:tc>
          <w:tcPr>
            <w:tcW w:w="1413" w:type="dxa"/>
            <w:shd w:val="clear" w:color="auto" w:fill="auto"/>
            <w:noWrap/>
            <w:hideMark/>
          </w:tcPr>
          <w:p w14:paraId="7F9D3B8A" w14:textId="77777777" w:rsidR="0091068C" w:rsidRPr="00212088" w:rsidRDefault="0091068C" w:rsidP="00986896">
            <w:pPr>
              <w:jc w:val="center"/>
              <w:rPr>
                <w:b/>
                <w:bCs/>
                <w:color w:val="000000"/>
              </w:rPr>
            </w:pPr>
            <w:r w:rsidRPr="00212088">
              <w:rPr>
                <w:b/>
                <w:bCs/>
                <w:color w:val="000000"/>
              </w:rPr>
              <w:t>Sample ID</w:t>
            </w:r>
          </w:p>
        </w:tc>
        <w:tc>
          <w:tcPr>
            <w:tcW w:w="850" w:type="dxa"/>
            <w:shd w:val="clear" w:color="auto" w:fill="auto"/>
            <w:noWrap/>
            <w:hideMark/>
          </w:tcPr>
          <w:p w14:paraId="4E020761" w14:textId="77777777" w:rsidR="0091068C" w:rsidRPr="00212088" w:rsidRDefault="0091068C" w:rsidP="00986896">
            <w:pPr>
              <w:jc w:val="center"/>
              <w:rPr>
                <w:b/>
                <w:bCs/>
                <w:color w:val="000000"/>
              </w:rPr>
            </w:pPr>
            <w:r w:rsidRPr="00212088">
              <w:rPr>
                <w:b/>
                <w:bCs/>
                <w:color w:val="000000"/>
              </w:rPr>
              <w:t>C (%)</w:t>
            </w:r>
          </w:p>
        </w:tc>
        <w:tc>
          <w:tcPr>
            <w:tcW w:w="851" w:type="dxa"/>
            <w:shd w:val="clear" w:color="auto" w:fill="auto"/>
            <w:noWrap/>
            <w:hideMark/>
          </w:tcPr>
          <w:p w14:paraId="3EE203F5" w14:textId="77777777" w:rsidR="0091068C" w:rsidRPr="00212088" w:rsidRDefault="0091068C" w:rsidP="00986896">
            <w:pPr>
              <w:jc w:val="center"/>
              <w:rPr>
                <w:b/>
                <w:bCs/>
                <w:color w:val="000000"/>
              </w:rPr>
            </w:pPr>
            <w:r w:rsidRPr="00212088">
              <w:rPr>
                <w:b/>
                <w:bCs/>
                <w:color w:val="000000"/>
              </w:rPr>
              <w:t>N (%)</w:t>
            </w:r>
          </w:p>
        </w:tc>
        <w:tc>
          <w:tcPr>
            <w:tcW w:w="850" w:type="dxa"/>
          </w:tcPr>
          <w:p w14:paraId="7FBEA12C" w14:textId="77777777" w:rsidR="0091068C" w:rsidRPr="00212088" w:rsidRDefault="0091068C" w:rsidP="00986896">
            <w:pPr>
              <w:jc w:val="center"/>
              <w:rPr>
                <w:b/>
                <w:bCs/>
                <w:color w:val="000000"/>
              </w:rPr>
            </w:pPr>
            <w:r w:rsidRPr="00212088">
              <w:rPr>
                <w:b/>
                <w:bCs/>
                <w:color w:val="000000"/>
              </w:rPr>
              <w:t>C:N</w:t>
            </w:r>
          </w:p>
        </w:tc>
      </w:tr>
      <w:tr w:rsidR="0091068C" w:rsidRPr="00AD3ED7" w14:paraId="1F9A252F" w14:textId="77777777" w:rsidTr="00986896">
        <w:trPr>
          <w:trHeight w:val="280"/>
        </w:trPr>
        <w:tc>
          <w:tcPr>
            <w:tcW w:w="1413" w:type="dxa"/>
            <w:shd w:val="clear" w:color="auto" w:fill="auto"/>
            <w:noWrap/>
            <w:hideMark/>
          </w:tcPr>
          <w:p w14:paraId="001DFD47" w14:textId="77777777" w:rsidR="0091068C" w:rsidRPr="00212088" w:rsidRDefault="0091068C" w:rsidP="00986896">
            <w:pPr>
              <w:jc w:val="center"/>
              <w:rPr>
                <w:color w:val="000000"/>
              </w:rPr>
            </w:pPr>
            <w:r w:rsidRPr="00212088">
              <w:rPr>
                <w:color w:val="000000"/>
              </w:rPr>
              <w:t>T1.01</w:t>
            </w:r>
          </w:p>
        </w:tc>
        <w:tc>
          <w:tcPr>
            <w:tcW w:w="850" w:type="dxa"/>
            <w:shd w:val="clear" w:color="auto" w:fill="auto"/>
            <w:noWrap/>
            <w:hideMark/>
          </w:tcPr>
          <w:p w14:paraId="198A40A5" w14:textId="77777777" w:rsidR="0091068C" w:rsidRPr="00212088" w:rsidRDefault="0091068C" w:rsidP="00986896">
            <w:pPr>
              <w:jc w:val="center"/>
              <w:rPr>
                <w:color w:val="000000"/>
              </w:rPr>
            </w:pPr>
            <w:r w:rsidRPr="00212088">
              <w:rPr>
                <w:color w:val="000000"/>
              </w:rPr>
              <w:t>43.3</w:t>
            </w:r>
          </w:p>
        </w:tc>
        <w:tc>
          <w:tcPr>
            <w:tcW w:w="851" w:type="dxa"/>
            <w:shd w:val="clear" w:color="auto" w:fill="auto"/>
            <w:noWrap/>
            <w:hideMark/>
          </w:tcPr>
          <w:p w14:paraId="67DEC817" w14:textId="77777777" w:rsidR="0091068C" w:rsidRPr="00212088" w:rsidRDefault="0091068C" w:rsidP="00986896">
            <w:pPr>
              <w:jc w:val="center"/>
              <w:rPr>
                <w:color w:val="000000"/>
              </w:rPr>
            </w:pPr>
            <w:r w:rsidRPr="0021208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68AF13DE" w14:textId="77777777" w:rsidR="0091068C" w:rsidRPr="00212088" w:rsidRDefault="0091068C" w:rsidP="00986896">
            <w:pPr>
              <w:jc w:val="center"/>
              <w:rPr>
                <w:color w:val="000000"/>
              </w:rPr>
            </w:pPr>
            <w:r w:rsidRPr="00212088">
              <w:rPr>
                <w:color w:val="000000"/>
              </w:rPr>
              <w:t>3.2</w:t>
            </w:r>
          </w:p>
        </w:tc>
      </w:tr>
      <w:tr w:rsidR="0091068C" w:rsidRPr="00AD3ED7" w14:paraId="53E96327" w14:textId="77777777" w:rsidTr="00986896">
        <w:trPr>
          <w:trHeight w:val="280"/>
        </w:trPr>
        <w:tc>
          <w:tcPr>
            <w:tcW w:w="1413" w:type="dxa"/>
            <w:shd w:val="clear" w:color="auto" w:fill="auto"/>
            <w:noWrap/>
            <w:hideMark/>
          </w:tcPr>
          <w:p w14:paraId="77914760" w14:textId="77777777" w:rsidR="0091068C" w:rsidRPr="00212088" w:rsidRDefault="0091068C" w:rsidP="00986896">
            <w:pPr>
              <w:jc w:val="center"/>
              <w:rPr>
                <w:color w:val="000000"/>
              </w:rPr>
            </w:pPr>
            <w:r w:rsidRPr="00212088">
              <w:rPr>
                <w:color w:val="000000"/>
              </w:rPr>
              <w:t>T1.02</w:t>
            </w:r>
          </w:p>
        </w:tc>
        <w:tc>
          <w:tcPr>
            <w:tcW w:w="850" w:type="dxa"/>
            <w:shd w:val="clear" w:color="auto" w:fill="auto"/>
            <w:noWrap/>
            <w:hideMark/>
          </w:tcPr>
          <w:p w14:paraId="1B6C1CC5" w14:textId="77777777" w:rsidR="0091068C" w:rsidRPr="00212088" w:rsidRDefault="0091068C" w:rsidP="00986896">
            <w:pPr>
              <w:jc w:val="center"/>
              <w:rPr>
                <w:color w:val="000000"/>
              </w:rPr>
            </w:pPr>
            <w:r w:rsidRPr="00212088">
              <w:rPr>
                <w:color w:val="000000"/>
              </w:rPr>
              <w:t>44.1</w:t>
            </w:r>
          </w:p>
        </w:tc>
        <w:tc>
          <w:tcPr>
            <w:tcW w:w="851" w:type="dxa"/>
            <w:shd w:val="clear" w:color="auto" w:fill="auto"/>
            <w:noWrap/>
            <w:hideMark/>
          </w:tcPr>
          <w:p w14:paraId="1D9884D0" w14:textId="77777777" w:rsidR="0091068C" w:rsidRPr="00212088" w:rsidRDefault="0091068C" w:rsidP="00986896">
            <w:pPr>
              <w:jc w:val="center"/>
              <w:rPr>
                <w:color w:val="000000"/>
              </w:rPr>
            </w:pPr>
            <w:r w:rsidRPr="0021208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7F2BF1D5" w14:textId="77777777" w:rsidR="0091068C" w:rsidRPr="00212088" w:rsidRDefault="0091068C" w:rsidP="00986896">
            <w:pPr>
              <w:jc w:val="center"/>
              <w:rPr>
                <w:color w:val="000000"/>
              </w:rPr>
            </w:pPr>
            <w:r w:rsidRPr="00212088">
              <w:rPr>
                <w:color w:val="000000"/>
              </w:rPr>
              <w:t>3.2</w:t>
            </w:r>
          </w:p>
        </w:tc>
      </w:tr>
      <w:tr w:rsidR="0091068C" w:rsidRPr="00AD3ED7" w14:paraId="6FB61B38" w14:textId="77777777" w:rsidTr="00986896">
        <w:trPr>
          <w:trHeight w:val="280"/>
        </w:trPr>
        <w:tc>
          <w:tcPr>
            <w:tcW w:w="1413" w:type="dxa"/>
            <w:shd w:val="clear" w:color="auto" w:fill="auto"/>
            <w:noWrap/>
            <w:hideMark/>
          </w:tcPr>
          <w:p w14:paraId="3B8DA2DD" w14:textId="77777777" w:rsidR="0091068C" w:rsidRPr="00212088" w:rsidRDefault="0091068C" w:rsidP="00986896">
            <w:pPr>
              <w:jc w:val="center"/>
              <w:rPr>
                <w:color w:val="000000"/>
              </w:rPr>
            </w:pPr>
            <w:r w:rsidRPr="00212088">
              <w:rPr>
                <w:color w:val="000000"/>
              </w:rPr>
              <w:t>T1.03</w:t>
            </w:r>
          </w:p>
        </w:tc>
        <w:tc>
          <w:tcPr>
            <w:tcW w:w="850" w:type="dxa"/>
            <w:shd w:val="clear" w:color="auto" w:fill="auto"/>
            <w:noWrap/>
            <w:hideMark/>
          </w:tcPr>
          <w:p w14:paraId="43ADCE01" w14:textId="77777777" w:rsidR="0091068C" w:rsidRPr="00212088" w:rsidRDefault="0091068C" w:rsidP="00986896">
            <w:pPr>
              <w:jc w:val="center"/>
              <w:rPr>
                <w:color w:val="000000"/>
              </w:rPr>
            </w:pPr>
            <w:r w:rsidRPr="00212088">
              <w:rPr>
                <w:color w:val="000000"/>
              </w:rPr>
              <w:t>43.2</w:t>
            </w:r>
          </w:p>
        </w:tc>
        <w:tc>
          <w:tcPr>
            <w:tcW w:w="851" w:type="dxa"/>
            <w:shd w:val="clear" w:color="auto" w:fill="auto"/>
            <w:noWrap/>
            <w:hideMark/>
          </w:tcPr>
          <w:p w14:paraId="7DC4CE68" w14:textId="77777777" w:rsidR="0091068C" w:rsidRPr="00212088" w:rsidRDefault="0091068C" w:rsidP="00986896">
            <w:pPr>
              <w:jc w:val="center"/>
              <w:rPr>
                <w:color w:val="000000"/>
              </w:rPr>
            </w:pPr>
            <w:r w:rsidRPr="00212088">
              <w:rPr>
                <w:color w:val="000000"/>
              </w:rPr>
              <w:t>15.7</w:t>
            </w:r>
          </w:p>
        </w:tc>
        <w:tc>
          <w:tcPr>
            <w:tcW w:w="850" w:type="dxa"/>
            <w:tcBorders>
              <w:top w:val="single" w:sz="4" w:space="0" w:color="auto"/>
              <w:left w:val="nil"/>
              <w:bottom w:val="single" w:sz="4" w:space="0" w:color="auto"/>
              <w:right w:val="single" w:sz="4" w:space="0" w:color="auto"/>
            </w:tcBorders>
            <w:shd w:val="clear" w:color="auto" w:fill="auto"/>
            <w:vAlign w:val="bottom"/>
          </w:tcPr>
          <w:p w14:paraId="022F6804"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616E8FEF" w14:textId="77777777" w:rsidTr="00986896">
        <w:trPr>
          <w:trHeight w:val="280"/>
        </w:trPr>
        <w:tc>
          <w:tcPr>
            <w:tcW w:w="1413" w:type="dxa"/>
            <w:shd w:val="clear" w:color="auto" w:fill="auto"/>
            <w:noWrap/>
            <w:hideMark/>
          </w:tcPr>
          <w:p w14:paraId="383F3546" w14:textId="77777777" w:rsidR="0091068C" w:rsidRPr="00212088" w:rsidRDefault="0091068C" w:rsidP="00986896">
            <w:pPr>
              <w:jc w:val="center"/>
              <w:rPr>
                <w:color w:val="000000"/>
              </w:rPr>
            </w:pPr>
            <w:r w:rsidRPr="00212088">
              <w:rPr>
                <w:color w:val="000000"/>
              </w:rPr>
              <w:t>T1.04</w:t>
            </w:r>
          </w:p>
        </w:tc>
        <w:tc>
          <w:tcPr>
            <w:tcW w:w="850" w:type="dxa"/>
            <w:shd w:val="clear" w:color="auto" w:fill="auto"/>
            <w:noWrap/>
            <w:hideMark/>
          </w:tcPr>
          <w:p w14:paraId="6BEB87A2" w14:textId="77777777" w:rsidR="0091068C" w:rsidRPr="00212088" w:rsidRDefault="0091068C" w:rsidP="00986896">
            <w:pPr>
              <w:jc w:val="center"/>
              <w:rPr>
                <w:color w:val="000000"/>
              </w:rPr>
            </w:pPr>
            <w:r w:rsidRPr="00212088">
              <w:rPr>
                <w:color w:val="000000"/>
              </w:rPr>
              <w:t>42.6</w:t>
            </w:r>
          </w:p>
        </w:tc>
        <w:tc>
          <w:tcPr>
            <w:tcW w:w="851" w:type="dxa"/>
            <w:shd w:val="clear" w:color="auto" w:fill="auto"/>
            <w:noWrap/>
            <w:hideMark/>
          </w:tcPr>
          <w:p w14:paraId="45BF3D73" w14:textId="77777777" w:rsidR="0091068C" w:rsidRPr="00212088" w:rsidRDefault="0091068C" w:rsidP="00986896">
            <w:pPr>
              <w:jc w:val="center"/>
              <w:rPr>
                <w:color w:val="000000"/>
              </w:rPr>
            </w:pPr>
            <w:r w:rsidRPr="00212088">
              <w:rPr>
                <w:color w:val="000000"/>
              </w:rPr>
              <w:t>15.3</w:t>
            </w:r>
          </w:p>
        </w:tc>
        <w:tc>
          <w:tcPr>
            <w:tcW w:w="850" w:type="dxa"/>
            <w:tcBorders>
              <w:top w:val="single" w:sz="4" w:space="0" w:color="auto"/>
              <w:left w:val="nil"/>
              <w:bottom w:val="single" w:sz="4" w:space="0" w:color="auto"/>
              <w:right w:val="single" w:sz="4" w:space="0" w:color="auto"/>
            </w:tcBorders>
            <w:shd w:val="clear" w:color="auto" w:fill="auto"/>
            <w:vAlign w:val="bottom"/>
          </w:tcPr>
          <w:p w14:paraId="54A53852" w14:textId="77777777" w:rsidR="0091068C" w:rsidRPr="00212088" w:rsidRDefault="0091068C" w:rsidP="00986896">
            <w:pPr>
              <w:jc w:val="center"/>
              <w:rPr>
                <w:color w:val="000000"/>
              </w:rPr>
            </w:pPr>
            <w:r w:rsidRPr="00212088">
              <w:rPr>
                <w:color w:val="000000"/>
              </w:rPr>
              <w:t>3.</w:t>
            </w:r>
            <w:r>
              <w:rPr>
                <w:color w:val="000000"/>
              </w:rPr>
              <w:t>3</w:t>
            </w:r>
          </w:p>
        </w:tc>
      </w:tr>
      <w:tr w:rsidR="0091068C" w:rsidRPr="00AD3ED7" w14:paraId="401D78DA" w14:textId="77777777" w:rsidTr="00986896">
        <w:trPr>
          <w:trHeight w:val="280"/>
        </w:trPr>
        <w:tc>
          <w:tcPr>
            <w:tcW w:w="1413" w:type="dxa"/>
            <w:shd w:val="clear" w:color="auto" w:fill="auto"/>
            <w:noWrap/>
            <w:hideMark/>
          </w:tcPr>
          <w:p w14:paraId="69949E1C" w14:textId="77777777" w:rsidR="0091068C" w:rsidRPr="00212088" w:rsidRDefault="0091068C" w:rsidP="00986896">
            <w:pPr>
              <w:jc w:val="center"/>
              <w:rPr>
                <w:color w:val="000000"/>
              </w:rPr>
            </w:pPr>
            <w:r w:rsidRPr="00212088">
              <w:rPr>
                <w:color w:val="000000"/>
              </w:rPr>
              <w:t>T1.05</w:t>
            </w:r>
          </w:p>
        </w:tc>
        <w:tc>
          <w:tcPr>
            <w:tcW w:w="850" w:type="dxa"/>
            <w:shd w:val="clear" w:color="auto" w:fill="auto"/>
            <w:noWrap/>
            <w:hideMark/>
          </w:tcPr>
          <w:p w14:paraId="058293A8" w14:textId="77777777" w:rsidR="0091068C" w:rsidRPr="00212088" w:rsidRDefault="0091068C" w:rsidP="00986896">
            <w:pPr>
              <w:jc w:val="center"/>
              <w:rPr>
                <w:color w:val="000000"/>
              </w:rPr>
            </w:pPr>
            <w:r w:rsidRPr="00212088">
              <w:rPr>
                <w:color w:val="000000"/>
              </w:rPr>
              <w:t>41.9</w:t>
            </w:r>
          </w:p>
        </w:tc>
        <w:tc>
          <w:tcPr>
            <w:tcW w:w="851" w:type="dxa"/>
            <w:shd w:val="clear" w:color="auto" w:fill="auto"/>
            <w:noWrap/>
            <w:hideMark/>
          </w:tcPr>
          <w:p w14:paraId="7D6754B1" w14:textId="77777777" w:rsidR="0091068C" w:rsidRPr="00212088" w:rsidRDefault="0091068C" w:rsidP="00986896">
            <w:pPr>
              <w:jc w:val="center"/>
              <w:rPr>
                <w:color w:val="000000"/>
              </w:rPr>
            </w:pPr>
            <w:r w:rsidRPr="00212088">
              <w:rPr>
                <w:color w:val="000000"/>
              </w:rPr>
              <w:t>15</w:t>
            </w:r>
            <w:r>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00290124" w14:textId="77777777" w:rsidR="0091068C" w:rsidRPr="00212088" w:rsidRDefault="0091068C" w:rsidP="00986896">
            <w:pPr>
              <w:jc w:val="center"/>
              <w:rPr>
                <w:color w:val="000000"/>
              </w:rPr>
            </w:pPr>
            <w:r w:rsidRPr="00212088">
              <w:rPr>
                <w:color w:val="000000"/>
              </w:rPr>
              <w:t>3.</w:t>
            </w:r>
            <w:r>
              <w:rPr>
                <w:color w:val="000000"/>
              </w:rPr>
              <w:t>3</w:t>
            </w:r>
          </w:p>
        </w:tc>
      </w:tr>
      <w:tr w:rsidR="0091068C" w:rsidRPr="00AD3ED7" w14:paraId="3A49B848" w14:textId="77777777" w:rsidTr="00986896">
        <w:trPr>
          <w:trHeight w:val="280"/>
        </w:trPr>
        <w:tc>
          <w:tcPr>
            <w:tcW w:w="1413" w:type="dxa"/>
            <w:shd w:val="clear" w:color="auto" w:fill="auto"/>
            <w:noWrap/>
            <w:hideMark/>
          </w:tcPr>
          <w:p w14:paraId="45B21492" w14:textId="77777777" w:rsidR="0091068C" w:rsidRPr="00212088" w:rsidRDefault="0091068C" w:rsidP="00986896">
            <w:pPr>
              <w:jc w:val="center"/>
              <w:rPr>
                <w:color w:val="000000"/>
              </w:rPr>
            </w:pPr>
            <w:r w:rsidRPr="00212088">
              <w:rPr>
                <w:color w:val="000000"/>
              </w:rPr>
              <w:t>T2.01</w:t>
            </w:r>
          </w:p>
        </w:tc>
        <w:tc>
          <w:tcPr>
            <w:tcW w:w="850" w:type="dxa"/>
            <w:shd w:val="clear" w:color="auto" w:fill="auto"/>
            <w:noWrap/>
            <w:hideMark/>
          </w:tcPr>
          <w:p w14:paraId="5BCBF0F1" w14:textId="77777777" w:rsidR="0091068C" w:rsidRPr="00212088" w:rsidRDefault="0091068C" w:rsidP="00986896">
            <w:pPr>
              <w:jc w:val="center"/>
              <w:rPr>
                <w:color w:val="000000"/>
              </w:rPr>
            </w:pPr>
            <w:r w:rsidRPr="00212088">
              <w:rPr>
                <w:color w:val="000000"/>
              </w:rPr>
              <w:t>44.4</w:t>
            </w:r>
          </w:p>
        </w:tc>
        <w:tc>
          <w:tcPr>
            <w:tcW w:w="851" w:type="dxa"/>
            <w:shd w:val="clear" w:color="auto" w:fill="auto"/>
            <w:noWrap/>
            <w:hideMark/>
          </w:tcPr>
          <w:p w14:paraId="39E72777" w14:textId="77777777" w:rsidR="0091068C" w:rsidRPr="00212088" w:rsidRDefault="0091068C" w:rsidP="00986896">
            <w:pPr>
              <w:jc w:val="center"/>
              <w:rPr>
                <w:color w:val="000000"/>
              </w:rPr>
            </w:pPr>
            <w:r w:rsidRPr="00212088">
              <w:rPr>
                <w:color w:val="000000"/>
              </w:rPr>
              <w:t>16.2</w:t>
            </w:r>
          </w:p>
        </w:tc>
        <w:tc>
          <w:tcPr>
            <w:tcW w:w="850" w:type="dxa"/>
            <w:tcBorders>
              <w:top w:val="single" w:sz="4" w:space="0" w:color="auto"/>
              <w:left w:val="nil"/>
              <w:bottom w:val="single" w:sz="4" w:space="0" w:color="auto"/>
              <w:right w:val="single" w:sz="4" w:space="0" w:color="auto"/>
            </w:tcBorders>
            <w:shd w:val="clear" w:color="auto" w:fill="auto"/>
            <w:vAlign w:val="bottom"/>
          </w:tcPr>
          <w:p w14:paraId="73E1D8DE" w14:textId="77777777" w:rsidR="0091068C" w:rsidRPr="00212088" w:rsidRDefault="0091068C" w:rsidP="00986896">
            <w:pPr>
              <w:jc w:val="center"/>
              <w:rPr>
                <w:color w:val="000000"/>
              </w:rPr>
            </w:pPr>
            <w:r w:rsidRPr="00212088">
              <w:rPr>
                <w:color w:val="000000"/>
              </w:rPr>
              <w:t>3.2</w:t>
            </w:r>
          </w:p>
        </w:tc>
      </w:tr>
      <w:tr w:rsidR="0091068C" w:rsidRPr="00AD3ED7" w14:paraId="7D628023" w14:textId="77777777" w:rsidTr="00986896">
        <w:trPr>
          <w:trHeight w:val="280"/>
        </w:trPr>
        <w:tc>
          <w:tcPr>
            <w:tcW w:w="1413" w:type="dxa"/>
            <w:shd w:val="clear" w:color="auto" w:fill="auto"/>
            <w:noWrap/>
            <w:hideMark/>
          </w:tcPr>
          <w:p w14:paraId="392F70E8" w14:textId="77777777" w:rsidR="0091068C" w:rsidRPr="00212088" w:rsidRDefault="0091068C" w:rsidP="00986896">
            <w:pPr>
              <w:jc w:val="center"/>
              <w:rPr>
                <w:color w:val="000000"/>
              </w:rPr>
            </w:pPr>
            <w:r w:rsidRPr="00212088">
              <w:rPr>
                <w:color w:val="000000"/>
              </w:rPr>
              <w:t>T2.02</w:t>
            </w:r>
          </w:p>
        </w:tc>
        <w:tc>
          <w:tcPr>
            <w:tcW w:w="850" w:type="dxa"/>
            <w:shd w:val="clear" w:color="auto" w:fill="auto"/>
            <w:noWrap/>
            <w:hideMark/>
          </w:tcPr>
          <w:p w14:paraId="6C0B4A72" w14:textId="77777777" w:rsidR="0091068C" w:rsidRPr="00212088" w:rsidRDefault="0091068C" w:rsidP="00986896">
            <w:pPr>
              <w:jc w:val="center"/>
              <w:rPr>
                <w:color w:val="000000"/>
              </w:rPr>
            </w:pPr>
            <w:r w:rsidRPr="00212088">
              <w:rPr>
                <w:color w:val="000000"/>
              </w:rPr>
              <w:t>42.5</w:t>
            </w:r>
          </w:p>
        </w:tc>
        <w:tc>
          <w:tcPr>
            <w:tcW w:w="851" w:type="dxa"/>
            <w:shd w:val="clear" w:color="auto" w:fill="auto"/>
            <w:noWrap/>
            <w:hideMark/>
          </w:tcPr>
          <w:p w14:paraId="0833F346" w14:textId="77777777" w:rsidR="0091068C" w:rsidRPr="00212088" w:rsidRDefault="0091068C" w:rsidP="00986896">
            <w:pPr>
              <w:jc w:val="center"/>
              <w:rPr>
                <w:color w:val="000000"/>
              </w:rPr>
            </w:pPr>
            <w:r w:rsidRPr="0021208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4C0881A5"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29712230" w14:textId="77777777" w:rsidTr="00986896">
        <w:trPr>
          <w:trHeight w:val="280"/>
        </w:trPr>
        <w:tc>
          <w:tcPr>
            <w:tcW w:w="1413" w:type="dxa"/>
            <w:shd w:val="clear" w:color="auto" w:fill="auto"/>
            <w:noWrap/>
            <w:hideMark/>
          </w:tcPr>
          <w:p w14:paraId="46DABFD1" w14:textId="77777777" w:rsidR="0091068C" w:rsidRPr="00212088" w:rsidRDefault="0091068C" w:rsidP="00986896">
            <w:pPr>
              <w:jc w:val="center"/>
              <w:rPr>
                <w:color w:val="000000"/>
              </w:rPr>
            </w:pPr>
            <w:r w:rsidRPr="00212088">
              <w:rPr>
                <w:color w:val="000000"/>
              </w:rPr>
              <w:t>T2.03</w:t>
            </w:r>
          </w:p>
        </w:tc>
        <w:tc>
          <w:tcPr>
            <w:tcW w:w="850" w:type="dxa"/>
            <w:shd w:val="clear" w:color="auto" w:fill="auto"/>
            <w:noWrap/>
            <w:hideMark/>
          </w:tcPr>
          <w:p w14:paraId="50FD8D91" w14:textId="77777777" w:rsidR="0091068C" w:rsidRPr="00212088" w:rsidRDefault="0091068C" w:rsidP="00986896">
            <w:pPr>
              <w:jc w:val="center"/>
              <w:rPr>
                <w:color w:val="000000"/>
              </w:rPr>
            </w:pPr>
            <w:r w:rsidRPr="00212088">
              <w:rPr>
                <w:color w:val="000000"/>
              </w:rPr>
              <w:t>42.8</w:t>
            </w:r>
          </w:p>
        </w:tc>
        <w:tc>
          <w:tcPr>
            <w:tcW w:w="851" w:type="dxa"/>
            <w:shd w:val="clear" w:color="auto" w:fill="auto"/>
            <w:noWrap/>
            <w:hideMark/>
          </w:tcPr>
          <w:p w14:paraId="2A2CC8F2" w14:textId="77777777" w:rsidR="0091068C" w:rsidRPr="00212088" w:rsidRDefault="0091068C" w:rsidP="00986896">
            <w:pPr>
              <w:jc w:val="center"/>
              <w:rPr>
                <w:color w:val="000000"/>
              </w:rPr>
            </w:pPr>
            <w:r w:rsidRPr="00212088">
              <w:rPr>
                <w:color w:val="000000"/>
              </w:rPr>
              <w:t>15.5</w:t>
            </w:r>
          </w:p>
        </w:tc>
        <w:tc>
          <w:tcPr>
            <w:tcW w:w="850" w:type="dxa"/>
            <w:tcBorders>
              <w:top w:val="single" w:sz="4" w:space="0" w:color="auto"/>
              <w:left w:val="nil"/>
              <w:bottom w:val="single" w:sz="4" w:space="0" w:color="auto"/>
              <w:right w:val="single" w:sz="4" w:space="0" w:color="auto"/>
            </w:tcBorders>
            <w:shd w:val="clear" w:color="auto" w:fill="auto"/>
            <w:vAlign w:val="bottom"/>
          </w:tcPr>
          <w:p w14:paraId="1325BA84" w14:textId="77777777" w:rsidR="0091068C" w:rsidRPr="00212088" w:rsidRDefault="0091068C" w:rsidP="00986896">
            <w:pPr>
              <w:jc w:val="center"/>
              <w:rPr>
                <w:color w:val="000000"/>
              </w:rPr>
            </w:pPr>
            <w:r w:rsidRPr="00212088">
              <w:rPr>
                <w:color w:val="000000"/>
              </w:rPr>
              <w:t>3.2</w:t>
            </w:r>
          </w:p>
        </w:tc>
      </w:tr>
      <w:tr w:rsidR="0091068C" w:rsidRPr="00AD3ED7" w14:paraId="02D964B6" w14:textId="77777777" w:rsidTr="00986896">
        <w:trPr>
          <w:trHeight w:val="280"/>
        </w:trPr>
        <w:tc>
          <w:tcPr>
            <w:tcW w:w="1413" w:type="dxa"/>
            <w:shd w:val="clear" w:color="auto" w:fill="auto"/>
            <w:noWrap/>
            <w:hideMark/>
          </w:tcPr>
          <w:p w14:paraId="743942CF" w14:textId="77777777" w:rsidR="0091068C" w:rsidRPr="00212088" w:rsidRDefault="0091068C" w:rsidP="00986896">
            <w:pPr>
              <w:jc w:val="center"/>
              <w:rPr>
                <w:color w:val="000000"/>
              </w:rPr>
            </w:pPr>
            <w:r w:rsidRPr="00212088">
              <w:rPr>
                <w:color w:val="000000"/>
              </w:rPr>
              <w:t>T2.04</w:t>
            </w:r>
          </w:p>
        </w:tc>
        <w:tc>
          <w:tcPr>
            <w:tcW w:w="850" w:type="dxa"/>
            <w:shd w:val="clear" w:color="auto" w:fill="auto"/>
            <w:noWrap/>
            <w:hideMark/>
          </w:tcPr>
          <w:p w14:paraId="53C4E1F4" w14:textId="77777777" w:rsidR="0091068C" w:rsidRPr="00212088" w:rsidRDefault="0091068C" w:rsidP="00986896">
            <w:pPr>
              <w:jc w:val="center"/>
              <w:rPr>
                <w:color w:val="000000"/>
              </w:rPr>
            </w:pPr>
            <w:r w:rsidRPr="00212088">
              <w:rPr>
                <w:color w:val="000000"/>
              </w:rPr>
              <w:t>42</w:t>
            </w:r>
            <w:r>
              <w:rPr>
                <w:color w:val="000000"/>
              </w:rPr>
              <w:t>.0</w:t>
            </w:r>
          </w:p>
        </w:tc>
        <w:tc>
          <w:tcPr>
            <w:tcW w:w="851" w:type="dxa"/>
            <w:shd w:val="clear" w:color="auto" w:fill="auto"/>
            <w:noWrap/>
            <w:hideMark/>
          </w:tcPr>
          <w:p w14:paraId="431D3711" w14:textId="77777777" w:rsidR="0091068C" w:rsidRPr="00212088" w:rsidRDefault="0091068C" w:rsidP="00986896">
            <w:pPr>
              <w:jc w:val="center"/>
              <w:rPr>
                <w:color w:val="000000"/>
              </w:rPr>
            </w:pPr>
            <w:r w:rsidRPr="00212088">
              <w:rPr>
                <w:color w:val="000000"/>
              </w:rPr>
              <w:t>15.5</w:t>
            </w:r>
          </w:p>
        </w:tc>
        <w:tc>
          <w:tcPr>
            <w:tcW w:w="850" w:type="dxa"/>
            <w:tcBorders>
              <w:top w:val="single" w:sz="4" w:space="0" w:color="auto"/>
              <w:left w:val="nil"/>
              <w:bottom w:val="single" w:sz="4" w:space="0" w:color="auto"/>
              <w:right w:val="single" w:sz="4" w:space="0" w:color="auto"/>
            </w:tcBorders>
            <w:shd w:val="clear" w:color="auto" w:fill="auto"/>
            <w:vAlign w:val="bottom"/>
          </w:tcPr>
          <w:p w14:paraId="52D65074"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0630DBF0" w14:textId="77777777" w:rsidTr="00986896">
        <w:trPr>
          <w:trHeight w:val="280"/>
        </w:trPr>
        <w:tc>
          <w:tcPr>
            <w:tcW w:w="1413" w:type="dxa"/>
            <w:shd w:val="clear" w:color="auto" w:fill="auto"/>
            <w:noWrap/>
            <w:hideMark/>
          </w:tcPr>
          <w:p w14:paraId="68F9432D" w14:textId="77777777" w:rsidR="0091068C" w:rsidRPr="00212088" w:rsidRDefault="0091068C" w:rsidP="00986896">
            <w:pPr>
              <w:jc w:val="center"/>
              <w:rPr>
                <w:color w:val="000000"/>
              </w:rPr>
            </w:pPr>
            <w:r w:rsidRPr="00212088">
              <w:rPr>
                <w:color w:val="000000"/>
              </w:rPr>
              <w:t>T3.01</w:t>
            </w:r>
          </w:p>
        </w:tc>
        <w:tc>
          <w:tcPr>
            <w:tcW w:w="850" w:type="dxa"/>
            <w:shd w:val="clear" w:color="auto" w:fill="auto"/>
            <w:noWrap/>
            <w:hideMark/>
          </w:tcPr>
          <w:p w14:paraId="3D9303DF" w14:textId="77777777" w:rsidR="0091068C" w:rsidRPr="00212088" w:rsidRDefault="0091068C" w:rsidP="00986896">
            <w:pPr>
              <w:jc w:val="center"/>
              <w:rPr>
                <w:color w:val="000000"/>
              </w:rPr>
            </w:pPr>
            <w:r w:rsidRPr="00212088">
              <w:rPr>
                <w:color w:val="000000"/>
              </w:rPr>
              <w:t>44.7</w:t>
            </w:r>
          </w:p>
        </w:tc>
        <w:tc>
          <w:tcPr>
            <w:tcW w:w="851" w:type="dxa"/>
            <w:shd w:val="clear" w:color="auto" w:fill="auto"/>
            <w:noWrap/>
            <w:hideMark/>
          </w:tcPr>
          <w:p w14:paraId="4C08496B" w14:textId="77777777" w:rsidR="0091068C" w:rsidRPr="00212088" w:rsidRDefault="0091068C" w:rsidP="00986896">
            <w:pPr>
              <w:jc w:val="center"/>
              <w:rPr>
                <w:color w:val="000000"/>
              </w:rPr>
            </w:pPr>
            <w:r w:rsidRPr="00212088">
              <w:rPr>
                <w:color w:val="000000"/>
              </w:rPr>
              <w:t>16.3</w:t>
            </w:r>
          </w:p>
        </w:tc>
        <w:tc>
          <w:tcPr>
            <w:tcW w:w="850" w:type="dxa"/>
            <w:tcBorders>
              <w:top w:val="single" w:sz="4" w:space="0" w:color="auto"/>
              <w:left w:val="nil"/>
              <w:bottom w:val="single" w:sz="4" w:space="0" w:color="auto"/>
              <w:right w:val="single" w:sz="4" w:space="0" w:color="auto"/>
            </w:tcBorders>
            <w:shd w:val="clear" w:color="auto" w:fill="auto"/>
            <w:vAlign w:val="bottom"/>
          </w:tcPr>
          <w:p w14:paraId="74F56BAE" w14:textId="77777777" w:rsidR="0091068C" w:rsidRPr="00212088" w:rsidRDefault="0091068C" w:rsidP="00986896">
            <w:pPr>
              <w:jc w:val="center"/>
              <w:rPr>
                <w:color w:val="000000"/>
              </w:rPr>
            </w:pPr>
            <w:r w:rsidRPr="00212088">
              <w:rPr>
                <w:color w:val="000000"/>
              </w:rPr>
              <w:t>3.2</w:t>
            </w:r>
          </w:p>
        </w:tc>
      </w:tr>
      <w:tr w:rsidR="0091068C" w:rsidRPr="00AD3ED7" w14:paraId="6788A892" w14:textId="77777777" w:rsidTr="00986896">
        <w:trPr>
          <w:trHeight w:val="280"/>
        </w:trPr>
        <w:tc>
          <w:tcPr>
            <w:tcW w:w="1413" w:type="dxa"/>
            <w:shd w:val="clear" w:color="auto" w:fill="auto"/>
            <w:noWrap/>
            <w:hideMark/>
          </w:tcPr>
          <w:p w14:paraId="1B72450E" w14:textId="77777777" w:rsidR="0091068C" w:rsidRPr="00212088" w:rsidRDefault="0091068C" w:rsidP="00986896">
            <w:pPr>
              <w:jc w:val="center"/>
              <w:rPr>
                <w:color w:val="000000"/>
              </w:rPr>
            </w:pPr>
            <w:r w:rsidRPr="00212088">
              <w:rPr>
                <w:color w:val="000000"/>
              </w:rPr>
              <w:t>T3.02</w:t>
            </w:r>
          </w:p>
        </w:tc>
        <w:tc>
          <w:tcPr>
            <w:tcW w:w="850" w:type="dxa"/>
            <w:shd w:val="clear" w:color="auto" w:fill="auto"/>
            <w:noWrap/>
            <w:hideMark/>
          </w:tcPr>
          <w:p w14:paraId="09CFECC7" w14:textId="77777777" w:rsidR="0091068C" w:rsidRPr="00212088" w:rsidRDefault="0091068C" w:rsidP="00986896">
            <w:pPr>
              <w:jc w:val="center"/>
              <w:rPr>
                <w:color w:val="000000"/>
              </w:rPr>
            </w:pPr>
            <w:r w:rsidRPr="00212088">
              <w:rPr>
                <w:color w:val="000000"/>
              </w:rPr>
              <w:t>43.9</w:t>
            </w:r>
          </w:p>
        </w:tc>
        <w:tc>
          <w:tcPr>
            <w:tcW w:w="851" w:type="dxa"/>
            <w:shd w:val="clear" w:color="auto" w:fill="auto"/>
            <w:noWrap/>
            <w:hideMark/>
          </w:tcPr>
          <w:p w14:paraId="08BB34BC" w14:textId="77777777" w:rsidR="0091068C" w:rsidRPr="00212088" w:rsidRDefault="0091068C" w:rsidP="00986896">
            <w:pPr>
              <w:jc w:val="center"/>
              <w:rPr>
                <w:color w:val="000000"/>
              </w:rPr>
            </w:pPr>
            <w:r w:rsidRPr="00212088">
              <w:rPr>
                <w:color w:val="000000"/>
              </w:rPr>
              <w:t>16.2</w:t>
            </w:r>
          </w:p>
        </w:tc>
        <w:tc>
          <w:tcPr>
            <w:tcW w:w="850" w:type="dxa"/>
            <w:tcBorders>
              <w:top w:val="single" w:sz="4" w:space="0" w:color="auto"/>
              <w:left w:val="nil"/>
              <w:bottom w:val="single" w:sz="4" w:space="0" w:color="auto"/>
              <w:right w:val="single" w:sz="4" w:space="0" w:color="auto"/>
            </w:tcBorders>
            <w:shd w:val="clear" w:color="auto" w:fill="auto"/>
            <w:vAlign w:val="bottom"/>
          </w:tcPr>
          <w:p w14:paraId="10E2CABF"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472A1135" w14:textId="77777777" w:rsidTr="00986896">
        <w:trPr>
          <w:trHeight w:val="280"/>
        </w:trPr>
        <w:tc>
          <w:tcPr>
            <w:tcW w:w="1413" w:type="dxa"/>
            <w:shd w:val="clear" w:color="auto" w:fill="auto"/>
            <w:noWrap/>
            <w:hideMark/>
          </w:tcPr>
          <w:p w14:paraId="00B7E92C" w14:textId="77777777" w:rsidR="0091068C" w:rsidRPr="00212088" w:rsidRDefault="0091068C" w:rsidP="00986896">
            <w:pPr>
              <w:jc w:val="center"/>
              <w:rPr>
                <w:color w:val="000000"/>
              </w:rPr>
            </w:pPr>
            <w:r w:rsidRPr="00212088">
              <w:rPr>
                <w:color w:val="000000"/>
              </w:rPr>
              <w:t>T3.03</w:t>
            </w:r>
          </w:p>
        </w:tc>
        <w:tc>
          <w:tcPr>
            <w:tcW w:w="850" w:type="dxa"/>
            <w:shd w:val="clear" w:color="auto" w:fill="auto"/>
            <w:noWrap/>
            <w:hideMark/>
          </w:tcPr>
          <w:p w14:paraId="2A78E154" w14:textId="77777777" w:rsidR="0091068C" w:rsidRPr="00212088" w:rsidRDefault="0091068C" w:rsidP="00986896">
            <w:pPr>
              <w:jc w:val="center"/>
              <w:rPr>
                <w:color w:val="000000"/>
              </w:rPr>
            </w:pPr>
            <w:r w:rsidRPr="00212088">
              <w:rPr>
                <w:color w:val="000000"/>
              </w:rPr>
              <w:t>41</w:t>
            </w:r>
            <w:r>
              <w:rPr>
                <w:color w:val="000000"/>
              </w:rPr>
              <w:t>.0</w:t>
            </w:r>
          </w:p>
        </w:tc>
        <w:tc>
          <w:tcPr>
            <w:tcW w:w="851" w:type="dxa"/>
            <w:shd w:val="clear" w:color="auto" w:fill="auto"/>
            <w:noWrap/>
            <w:hideMark/>
          </w:tcPr>
          <w:p w14:paraId="7A690AA9" w14:textId="77777777" w:rsidR="0091068C" w:rsidRPr="00212088" w:rsidRDefault="0091068C" w:rsidP="00986896">
            <w:pPr>
              <w:jc w:val="center"/>
              <w:rPr>
                <w:color w:val="000000"/>
              </w:rPr>
            </w:pPr>
            <w:r w:rsidRPr="00212088">
              <w:rPr>
                <w:color w:val="000000"/>
              </w:rPr>
              <w:t>1</w:t>
            </w:r>
            <w:r>
              <w:rPr>
                <w:color w:val="000000"/>
              </w:rPr>
              <w:t>5.0</w:t>
            </w:r>
          </w:p>
        </w:tc>
        <w:tc>
          <w:tcPr>
            <w:tcW w:w="850" w:type="dxa"/>
            <w:tcBorders>
              <w:top w:val="single" w:sz="4" w:space="0" w:color="auto"/>
              <w:left w:val="nil"/>
              <w:bottom w:val="single" w:sz="4" w:space="0" w:color="auto"/>
              <w:right w:val="single" w:sz="4" w:space="0" w:color="auto"/>
            </w:tcBorders>
            <w:shd w:val="clear" w:color="auto" w:fill="auto"/>
            <w:vAlign w:val="bottom"/>
          </w:tcPr>
          <w:p w14:paraId="2ACAF51D" w14:textId="77777777" w:rsidR="0091068C" w:rsidRPr="00212088" w:rsidRDefault="0091068C" w:rsidP="00986896">
            <w:pPr>
              <w:jc w:val="center"/>
              <w:rPr>
                <w:color w:val="000000"/>
              </w:rPr>
            </w:pPr>
            <w:r w:rsidRPr="00212088">
              <w:rPr>
                <w:color w:val="000000"/>
              </w:rPr>
              <w:t>3.2</w:t>
            </w:r>
          </w:p>
        </w:tc>
      </w:tr>
      <w:tr w:rsidR="0091068C" w:rsidRPr="00AD3ED7" w14:paraId="1240D78C" w14:textId="77777777" w:rsidTr="00986896">
        <w:trPr>
          <w:trHeight w:val="280"/>
        </w:trPr>
        <w:tc>
          <w:tcPr>
            <w:tcW w:w="1413" w:type="dxa"/>
            <w:shd w:val="clear" w:color="auto" w:fill="auto"/>
            <w:noWrap/>
            <w:hideMark/>
          </w:tcPr>
          <w:p w14:paraId="33E2F685" w14:textId="77777777" w:rsidR="0091068C" w:rsidRPr="00212088" w:rsidRDefault="0091068C" w:rsidP="00986896">
            <w:pPr>
              <w:jc w:val="center"/>
              <w:rPr>
                <w:color w:val="000000"/>
              </w:rPr>
            </w:pPr>
            <w:r w:rsidRPr="00212088">
              <w:rPr>
                <w:color w:val="000000"/>
              </w:rPr>
              <w:t>T3.04</w:t>
            </w:r>
          </w:p>
        </w:tc>
        <w:tc>
          <w:tcPr>
            <w:tcW w:w="850" w:type="dxa"/>
            <w:shd w:val="clear" w:color="auto" w:fill="auto"/>
            <w:noWrap/>
            <w:hideMark/>
          </w:tcPr>
          <w:p w14:paraId="2518251C" w14:textId="77777777" w:rsidR="0091068C" w:rsidRPr="00212088" w:rsidRDefault="0091068C" w:rsidP="00986896">
            <w:pPr>
              <w:jc w:val="center"/>
              <w:rPr>
                <w:color w:val="000000"/>
              </w:rPr>
            </w:pPr>
            <w:r w:rsidRPr="00212088">
              <w:rPr>
                <w:color w:val="000000"/>
              </w:rPr>
              <w:t>43.9</w:t>
            </w:r>
          </w:p>
        </w:tc>
        <w:tc>
          <w:tcPr>
            <w:tcW w:w="851" w:type="dxa"/>
            <w:shd w:val="clear" w:color="auto" w:fill="auto"/>
            <w:noWrap/>
            <w:hideMark/>
          </w:tcPr>
          <w:p w14:paraId="2A546004" w14:textId="77777777" w:rsidR="0091068C" w:rsidRPr="00212088" w:rsidRDefault="0091068C" w:rsidP="00986896">
            <w:pPr>
              <w:jc w:val="center"/>
              <w:rPr>
                <w:color w:val="000000"/>
              </w:rPr>
            </w:pPr>
            <w:r w:rsidRPr="0021208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01F43FD1"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5DC420A9" w14:textId="77777777" w:rsidTr="00986896">
        <w:trPr>
          <w:trHeight w:val="280"/>
        </w:trPr>
        <w:tc>
          <w:tcPr>
            <w:tcW w:w="1413" w:type="dxa"/>
            <w:shd w:val="clear" w:color="auto" w:fill="auto"/>
            <w:noWrap/>
            <w:hideMark/>
          </w:tcPr>
          <w:p w14:paraId="5C99C630" w14:textId="77777777" w:rsidR="0091068C" w:rsidRPr="00212088" w:rsidRDefault="0091068C" w:rsidP="00986896">
            <w:pPr>
              <w:jc w:val="center"/>
              <w:rPr>
                <w:color w:val="000000"/>
              </w:rPr>
            </w:pPr>
            <w:r w:rsidRPr="00212088">
              <w:rPr>
                <w:color w:val="000000"/>
              </w:rPr>
              <w:t>T4.01</w:t>
            </w:r>
          </w:p>
        </w:tc>
        <w:tc>
          <w:tcPr>
            <w:tcW w:w="850" w:type="dxa"/>
            <w:shd w:val="clear" w:color="auto" w:fill="auto"/>
            <w:noWrap/>
            <w:hideMark/>
          </w:tcPr>
          <w:p w14:paraId="1255165A" w14:textId="77777777" w:rsidR="0091068C" w:rsidRPr="00212088" w:rsidRDefault="0091068C" w:rsidP="00986896">
            <w:pPr>
              <w:jc w:val="center"/>
              <w:rPr>
                <w:color w:val="000000"/>
              </w:rPr>
            </w:pPr>
            <w:r w:rsidRPr="00212088">
              <w:rPr>
                <w:color w:val="000000"/>
              </w:rPr>
              <w:t>36.4</w:t>
            </w:r>
          </w:p>
        </w:tc>
        <w:tc>
          <w:tcPr>
            <w:tcW w:w="851" w:type="dxa"/>
            <w:shd w:val="clear" w:color="auto" w:fill="auto"/>
            <w:noWrap/>
            <w:hideMark/>
          </w:tcPr>
          <w:p w14:paraId="65473849" w14:textId="77777777" w:rsidR="0091068C" w:rsidRPr="00212088" w:rsidRDefault="0091068C" w:rsidP="00986896">
            <w:pPr>
              <w:jc w:val="center"/>
              <w:rPr>
                <w:color w:val="000000"/>
              </w:rPr>
            </w:pPr>
            <w:r w:rsidRPr="00212088">
              <w:rPr>
                <w:color w:val="000000"/>
              </w:rPr>
              <w:t>13.</w:t>
            </w:r>
            <w:r>
              <w:rPr>
                <w:color w:val="000000"/>
              </w:rPr>
              <w:t>4</w:t>
            </w:r>
          </w:p>
        </w:tc>
        <w:tc>
          <w:tcPr>
            <w:tcW w:w="850" w:type="dxa"/>
            <w:tcBorders>
              <w:top w:val="single" w:sz="4" w:space="0" w:color="auto"/>
              <w:left w:val="nil"/>
              <w:bottom w:val="single" w:sz="4" w:space="0" w:color="auto"/>
              <w:right w:val="single" w:sz="4" w:space="0" w:color="auto"/>
            </w:tcBorders>
            <w:shd w:val="clear" w:color="auto" w:fill="auto"/>
            <w:vAlign w:val="bottom"/>
          </w:tcPr>
          <w:p w14:paraId="78472E32"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574D9B81" w14:textId="77777777" w:rsidTr="00986896">
        <w:trPr>
          <w:trHeight w:val="280"/>
        </w:trPr>
        <w:tc>
          <w:tcPr>
            <w:tcW w:w="1413" w:type="dxa"/>
            <w:shd w:val="clear" w:color="auto" w:fill="auto"/>
            <w:noWrap/>
            <w:hideMark/>
          </w:tcPr>
          <w:p w14:paraId="4825CDD5" w14:textId="77777777" w:rsidR="0091068C" w:rsidRPr="00212088" w:rsidRDefault="0091068C" w:rsidP="00986896">
            <w:pPr>
              <w:jc w:val="center"/>
              <w:rPr>
                <w:color w:val="000000"/>
              </w:rPr>
            </w:pPr>
            <w:r w:rsidRPr="00212088">
              <w:rPr>
                <w:color w:val="000000"/>
              </w:rPr>
              <w:t>T4.02</w:t>
            </w:r>
          </w:p>
        </w:tc>
        <w:tc>
          <w:tcPr>
            <w:tcW w:w="850" w:type="dxa"/>
            <w:shd w:val="clear" w:color="auto" w:fill="auto"/>
            <w:noWrap/>
            <w:hideMark/>
          </w:tcPr>
          <w:p w14:paraId="6D56476F" w14:textId="77777777" w:rsidR="0091068C" w:rsidRPr="00212088" w:rsidRDefault="0091068C" w:rsidP="00986896">
            <w:pPr>
              <w:jc w:val="center"/>
              <w:rPr>
                <w:color w:val="000000"/>
              </w:rPr>
            </w:pPr>
            <w:r w:rsidRPr="00212088">
              <w:rPr>
                <w:color w:val="000000"/>
              </w:rPr>
              <w:t>43.6</w:t>
            </w:r>
          </w:p>
        </w:tc>
        <w:tc>
          <w:tcPr>
            <w:tcW w:w="851" w:type="dxa"/>
            <w:shd w:val="clear" w:color="auto" w:fill="auto"/>
            <w:noWrap/>
            <w:hideMark/>
          </w:tcPr>
          <w:p w14:paraId="21FF4C1C" w14:textId="77777777" w:rsidR="0091068C" w:rsidRPr="00212088" w:rsidRDefault="0091068C" w:rsidP="00986896">
            <w:pPr>
              <w:jc w:val="center"/>
              <w:rPr>
                <w:color w:val="000000"/>
              </w:rPr>
            </w:pPr>
            <w:r w:rsidRPr="0021208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5A179F78" w14:textId="77777777" w:rsidR="0091068C" w:rsidRPr="00212088" w:rsidRDefault="0091068C" w:rsidP="00986896">
            <w:pPr>
              <w:jc w:val="center"/>
              <w:rPr>
                <w:color w:val="000000"/>
              </w:rPr>
            </w:pPr>
            <w:r w:rsidRPr="00212088">
              <w:rPr>
                <w:color w:val="000000"/>
              </w:rPr>
              <w:t>3.2</w:t>
            </w:r>
          </w:p>
        </w:tc>
      </w:tr>
      <w:tr w:rsidR="0091068C" w:rsidRPr="00AD3ED7" w14:paraId="0EF64EEF" w14:textId="77777777" w:rsidTr="00986896">
        <w:trPr>
          <w:trHeight w:val="280"/>
        </w:trPr>
        <w:tc>
          <w:tcPr>
            <w:tcW w:w="1413" w:type="dxa"/>
            <w:shd w:val="clear" w:color="auto" w:fill="auto"/>
            <w:noWrap/>
            <w:hideMark/>
          </w:tcPr>
          <w:p w14:paraId="575386B1" w14:textId="77777777" w:rsidR="0091068C" w:rsidRPr="00212088" w:rsidRDefault="0091068C" w:rsidP="00986896">
            <w:pPr>
              <w:jc w:val="center"/>
              <w:rPr>
                <w:color w:val="000000"/>
              </w:rPr>
            </w:pPr>
            <w:r w:rsidRPr="00212088">
              <w:rPr>
                <w:color w:val="000000"/>
              </w:rPr>
              <w:t>T4.03</w:t>
            </w:r>
          </w:p>
        </w:tc>
        <w:tc>
          <w:tcPr>
            <w:tcW w:w="850" w:type="dxa"/>
            <w:shd w:val="clear" w:color="auto" w:fill="auto"/>
            <w:noWrap/>
            <w:hideMark/>
          </w:tcPr>
          <w:p w14:paraId="3A63248B" w14:textId="77777777" w:rsidR="0091068C" w:rsidRPr="00212088" w:rsidRDefault="0091068C" w:rsidP="00986896">
            <w:pPr>
              <w:jc w:val="center"/>
              <w:rPr>
                <w:color w:val="000000"/>
              </w:rPr>
            </w:pPr>
            <w:r w:rsidRPr="00212088">
              <w:rPr>
                <w:color w:val="000000"/>
              </w:rPr>
              <w:t>41.4</w:t>
            </w:r>
          </w:p>
        </w:tc>
        <w:tc>
          <w:tcPr>
            <w:tcW w:w="851" w:type="dxa"/>
            <w:shd w:val="clear" w:color="auto" w:fill="auto"/>
            <w:noWrap/>
            <w:hideMark/>
          </w:tcPr>
          <w:p w14:paraId="087DC616" w14:textId="77777777" w:rsidR="0091068C" w:rsidRPr="00212088" w:rsidRDefault="0091068C" w:rsidP="00986896">
            <w:pPr>
              <w:jc w:val="center"/>
              <w:rPr>
                <w:color w:val="000000"/>
              </w:rPr>
            </w:pPr>
            <w:r w:rsidRPr="00212088">
              <w:rPr>
                <w:color w:val="000000"/>
              </w:rPr>
              <w:t>14.</w:t>
            </w:r>
            <w:r>
              <w:rPr>
                <w:color w:val="000000"/>
              </w:rPr>
              <w:t>5</w:t>
            </w:r>
          </w:p>
        </w:tc>
        <w:tc>
          <w:tcPr>
            <w:tcW w:w="850" w:type="dxa"/>
            <w:tcBorders>
              <w:top w:val="single" w:sz="4" w:space="0" w:color="auto"/>
              <w:left w:val="nil"/>
              <w:bottom w:val="single" w:sz="4" w:space="0" w:color="auto"/>
              <w:right w:val="single" w:sz="4" w:space="0" w:color="auto"/>
            </w:tcBorders>
            <w:shd w:val="clear" w:color="auto" w:fill="auto"/>
            <w:vAlign w:val="bottom"/>
          </w:tcPr>
          <w:p w14:paraId="5C24E872" w14:textId="77777777" w:rsidR="0091068C" w:rsidRPr="00212088" w:rsidRDefault="0091068C" w:rsidP="00986896">
            <w:pPr>
              <w:jc w:val="center"/>
              <w:rPr>
                <w:color w:val="000000"/>
              </w:rPr>
            </w:pPr>
            <w:r w:rsidRPr="00212088">
              <w:rPr>
                <w:color w:val="000000"/>
              </w:rPr>
              <w:t>3.3</w:t>
            </w:r>
          </w:p>
        </w:tc>
      </w:tr>
      <w:tr w:rsidR="0091068C" w:rsidRPr="00AD3ED7" w14:paraId="75496E9D" w14:textId="77777777" w:rsidTr="00986896">
        <w:trPr>
          <w:trHeight w:val="280"/>
        </w:trPr>
        <w:tc>
          <w:tcPr>
            <w:tcW w:w="1413" w:type="dxa"/>
            <w:shd w:val="clear" w:color="auto" w:fill="auto"/>
            <w:noWrap/>
            <w:hideMark/>
          </w:tcPr>
          <w:p w14:paraId="1A3EE16C" w14:textId="77777777" w:rsidR="0091068C" w:rsidRPr="00212088" w:rsidRDefault="0091068C" w:rsidP="00986896">
            <w:pPr>
              <w:jc w:val="center"/>
              <w:rPr>
                <w:color w:val="000000"/>
              </w:rPr>
            </w:pPr>
            <w:r w:rsidRPr="00212088">
              <w:rPr>
                <w:color w:val="000000"/>
              </w:rPr>
              <w:t>T4.04</w:t>
            </w:r>
          </w:p>
        </w:tc>
        <w:tc>
          <w:tcPr>
            <w:tcW w:w="850" w:type="dxa"/>
            <w:shd w:val="clear" w:color="auto" w:fill="auto"/>
            <w:noWrap/>
            <w:hideMark/>
          </w:tcPr>
          <w:p w14:paraId="795AA15B" w14:textId="77777777" w:rsidR="0091068C" w:rsidRPr="00212088" w:rsidRDefault="0091068C" w:rsidP="00986896">
            <w:pPr>
              <w:jc w:val="center"/>
              <w:rPr>
                <w:color w:val="000000"/>
              </w:rPr>
            </w:pPr>
            <w:r w:rsidRPr="00212088">
              <w:rPr>
                <w:color w:val="000000"/>
              </w:rPr>
              <w:t>40.5</w:t>
            </w:r>
          </w:p>
        </w:tc>
        <w:tc>
          <w:tcPr>
            <w:tcW w:w="851" w:type="dxa"/>
            <w:shd w:val="clear" w:color="auto" w:fill="auto"/>
            <w:noWrap/>
            <w:hideMark/>
          </w:tcPr>
          <w:p w14:paraId="24ED17F2" w14:textId="77777777" w:rsidR="0091068C" w:rsidRPr="00212088" w:rsidRDefault="0091068C" w:rsidP="00986896">
            <w:pPr>
              <w:jc w:val="center"/>
              <w:rPr>
                <w:color w:val="000000"/>
              </w:rPr>
            </w:pPr>
            <w:r w:rsidRPr="00212088">
              <w:rPr>
                <w:color w:val="000000"/>
              </w:rPr>
              <w:t>14.</w:t>
            </w:r>
            <w:r>
              <w:rPr>
                <w:color w:val="000000"/>
              </w:rPr>
              <w:t>3</w:t>
            </w:r>
          </w:p>
        </w:tc>
        <w:tc>
          <w:tcPr>
            <w:tcW w:w="850" w:type="dxa"/>
            <w:tcBorders>
              <w:top w:val="single" w:sz="4" w:space="0" w:color="auto"/>
              <w:left w:val="nil"/>
              <w:bottom w:val="single" w:sz="4" w:space="0" w:color="auto"/>
              <w:right w:val="single" w:sz="4" w:space="0" w:color="auto"/>
            </w:tcBorders>
            <w:shd w:val="clear" w:color="auto" w:fill="auto"/>
            <w:vAlign w:val="bottom"/>
          </w:tcPr>
          <w:p w14:paraId="36BC6A5E" w14:textId="77777777" w:rsidR="0091068C" w:rsidRPr="00212088" w:rsidRDefault="0091068C" w:rsidP="00986896">
            <w:pPr>
              <w:jc w:val="center"/>
              <w:rPr>
                <w:color w:val="000000"/>
              </w:rPr>
            </w:pPr>
            <w:r w:rsidRPr="00212088">
              <w:rPr>
                <w:color w:val="000000"/>
              </w:rPr>
              <w:t>3.3</w:t>
            </w:r>
          </w:p>
        </w:tc>
      </w:tr>
      <w:tr w:rsidR="0091068C" w:rsidRPr="00AD3ED7" w14:paraId="6258D5A3" w14:textId="77777777" w:rsidTr="00986896">
        <w:trPr>
          <w:trHeight w:val="280"/>
        </w:trPr>
        <w:tc>
          <w:tcPr>
            <w:tcW w:w="1413" w:type="dxa"/>
            <w:shd w:val="clear" w:color="auto" w:fill="auto"/>
            <w:noWrap/>
            <w:hideMark/>
          </w:tcPr>
          <w:p w14:paraId="1D256E67" w14:textId="77777777" w:rsidR="0091068C" w:rsidRPr="00212088" w:rsidRDefault="0091068C" w:rsidP="00986896">
            <w:pPr>
              <w:jc w:val="center"/>
              <w:rPr>
                <w:color w:val="000000"/>
              </w:rPr>
            </w:pPr>
            <w:r w:rsidRPr="00212088">
              <w:rPr>
                <w:color w:val="000000"/>
              </w:rPr>
              <w:t>T4.05</w:t>
            </w:r>
          </w:p>
        </w:tc>
        <w:tc>
          <w:tcPr>
            <w:tcW w:w="850" w:type="dxa"/>
            <w:shd w:val="clear" w:color="auto" w:fill="auto"/>
            <w:noWrap/>
            <w:hideMark/>
          </w:tcPr>
          <w:p w14:paraId="40093884" w14:textId="77777777" w:rsidR="0091068C" w:rsidRPr="00212088" w:rsidRDefault="0091068C" w:rsidP="00986896">
            <w:pPr>
              <w:jc w:val="center"/>
              <w:rPr>
                <w:color w:val="000000"/>
              </w:rPr>
            </w:pPr>
            <w:r w:rsidRPr="00212088">
              <w:rPr>
                <w:color w:val="000000"/>
              </w:rPr>
              <w:t>39.4</w:t>
            </w:r>
          </w:p>
        </w:tc>
        <w:tc>
          <w:tcPr>
            <w:tcW w:w="851" w:type="dxa"/>
            <w:shd w:val="clear" w:color="auto" w:fill="auto"/>
            <w:noWrap/>
            <w:hideMark/>
          </w:tcPr>
          <w:p w14:paraId="3CC9E44A" w14:textId="77777777" w:rsidR="0091068C" w:rsidRPr="00212088" w:rsidRDefault="0091068C" w:rsidP="00986896">
            <w:pPr>
              <w:jc w:val="center"/>
              <w:rPr>
                <w:color w:val="000000"/>
              </w:rPr>
            </w:pPr>
            <w:r w:rsidRPr="00212088">
              <w:rPr>
                <w:color w:val="000000"/>
              </w:rPr>
              <w:t>14.</w:t>
            </w:r>
            <w:r>
              <w:rPr>
                <w:color w:val="000000"/>
              </w:rPr>
              <w:t>1</w:t>
            </w:r>
          </w:p>
        </w:tc>
        <w:tc>
          <w:tcPr>
            <w:tcW w:w="850" w:type="dxa"/>
            <w:tcBorders>
              <w:top w:val="single" w:sz="4" w:space="0" w:color="auto"/>
              <w:left w:val="nil"/>
              <w:bottom w:val="single" w:sz="4" w:space="0" w:color="auto"/>
              <w:right w:val="single" w:sz="4" w:space="0" w:color="auto"/>
            </w:tcBorders>
            <w:shd w:val="clear" w:color="auto" w:fill="auto"/>
            <w:vAlign w:val="bottom"/>
          </w:tcPr>
          <w:p w14:paraId="2847B789" w14:textId="77777777" w:rsidR="0091068C" w:rsidRPr="00212088" w:rsidRDefault="0091068C" w:rsidP="00986896">
            <w:pPr>
              <w:jc w:val="center"/>
              <w:rPr>
                <w:color w:val="000000"/>
              </w:rPr>
            </w:pPr>
            <w:r w:rsidRPr="00212088">
              <w:rPr>
                <w:color w:val="000000"/>
              </w:rPr>
              <w:t>3.</w:t>
            </w:r>
            <w:r>
              <w:rPr>
                <w:color w:val="000000"/>
              </w:rPr>
              <w:t>3</w:t>
            </w:r>
          </w:p>
        </w:tc>
      </w:tr>
      <w:tr w:rsidR="0091068C" w:rsidRPr="00AD3ED7" w14:paraId="6C847320" w14:textId="77777777" w:rsidTr="00986896">
        <w:trPr>
          <w:trHeight w:val="280"/>
        </w:trPr>
        <w:tc>
          <w:tcPr>
            <w:tcW w:w="1413" w:type="dxa"/>
            <w:shd w:val="clear" w:color="auto" w:fill="auto"/>
            <w:noWrap/>
            <w:hideMark/>
          </w:tcPr>
          <w:p w14:paraId="0508CA60" w14:textId="77777777" w:rsidR="0091068C" w:rsidRPr="00212088" w:rsidRDefault="0091068C" w:rsidP="00986896">
            <w:pPr>
              <w:jc w:val="center"/>
              <w:rPr>
                <w:color w:val="000000"/>
              </w:rPr>
            </w:pPr>
            <w:r w:rsidRPr="00212088">
              <w:rPr>
                <w:color w:val="000000"/>
              </w:rPr>
              <w:t>T5.01</w:t>
            </w:r>
          </w:p>
        </w:tc>
        <w:tc>
          <w:tcPr>
            <w:tcW w:w="850" w:type="dxa"/>
            <w:shd w:val="clear" w:color="auto" w:fill="auto"/>
            <w:noWrap/>
            <w:hideMark/>
          </w:tcPr>
          <w:p w14:paraId="3D487787" w14:textId="77777777" w:rsidR="0091068C" w:rsidRPr="00212088" w:rsidRDefault="0091068C" w:rsidP="00986896">
            <w:pPr>
              <w:jc w:val="center"/>
              <w:rPr>
                <w:color w:val="000000"/>
              </w:rPr>
            </w:pPr>
            <w:r w:rsidRPr="00212088">
              <w:rPr>
                <w:color w:val="000000"/>
              </w:rPr>
              <w:t>44.2</w:t>
            </w:r>
          </w:p>
        </w:tc>
        <w:tc>
          <w:tcPr>
            <w:tcW w:w="851" w:type="dxa"/>
            <w:shd w:val="clear" w:color="auto" w:fill="auto"/>
            <w:noWrap/>
            <w:hideMark/>
          </w:tcPr>
          <w:p w14:paraId="201E47CB" w14:textId="77777777" w:rsidR="0091068C" w:rsidRPr="00212088" w:rsidRDefault="0091068C" w:rsidP="00986896">
            <w:pPr>
              <w:jc w:val="center"/>
              <w:rPr>
                <w:color w:val="000000"/>
              </w:rPr>
            </w:pPr>
            <w:r w:rsidRPr="00212088">
              <w:rPr>
                <w:color w:val="000000"/>
              </w:rPr>
              <w:t>16.2</w:t>
            </w:r>
          </w:p>
        </w:tc>
        <w:tc>
          <w:tcPr>
            <w:tcW w:w="850" w:type="dxa"/>
            <w:tcBorders>
              <w:top w:val="single" w:sz="4" w:space="0" w:color="auto"/>
              <w:left w:val="nil"/>
              <w:bottom w:val="single" w:sz="4" w:space="0" w:color="auto"/>
              <w:right w:val="single" w:sz="4" w:space="0" w:color="auto"/>
            </w:tcBorders>
            <w:shd w:val="clear" w:color="auto" w:fill="auto"/>
            <w:vAlign w:val="bottom"/>
          </w:tcPr>
          <w:p w14:paraId="44B4F0BE"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4F768553" w14:textId="77777777" w:rsidTr="00986896">
        <w:trPr>
          <w:trHeight w:val="280"/>
        </w:trPr>
        <w:tc>
          <w:tcPr>
            <w:tcW w:w="1413" w:type="dxa"/>
            <w:shd w:val="clear" w:color="auto" w:fill="auto"/>
            <w:noWrap/>
            <w:hideMark/>
          </w:tcPr>
          <w:p w14:paraId="3041851E" w14:textId="77777777" w:rsidR="0091068C" w:rsidRPr="00212088" w:rsidRDefault="0091068C" w:rsidP="00986896">
            <w:pPr>
              <w:jc w:val="center"/>
              <w:rPr>
                <w:color w:val="000000"/>
              </w:rPr>
            </w:pPr>
            <w:r w:rsidRPr="00212088">
              <w:rPr>
                <w:color w:val="000000"/>
              </w:rPr>
              <w:t>T5.02</w:t>
            </w:r>
          </w:p>
        </w:tc>
        <w:tc>
          <w:tcPr>
            <w:tcW w:w="850" w:type="dxa"/>
            <w:shd w:val="clear" w:color="auto" w:fill="auto"/>
            <w:noWrap/>
            <w:hideMark/>
          </w:tcPr>
          <w:p w14:paraId="5C9C985A" w14:textId="77777777" w:rsidR="0091068C" w:rsidRPr="00212088" w:rsidRDefault="0091068C" w:rsidP="00986896">
            <w:pPr>
              <w:jc w:val="center"/>
              <w:rPr>
                <w:color w:val="000000"/>
              </w:rPr>
            </w:pPr>
            <w:r w:rsidRPr="00212088">
              <w:rPr>
                <w:color w:val="000000"/>
              </w:rPr>
              <w:t>43.7</w:t>
            </w:r>
          </w:p>
        </w:tc>
        <w:tc>
          <w:tcPr>
            <w:tcW w:w="851" w:type="dxa"/>
            <w:shd w:val="clear" w:color="auto" w:fill="auto"/>
            <w:noWrap/>
            <w:hideMark/>
          </w:tcPr>
          <w:p w14:paraId="7E8DA755" w14:textId="77777777" w:rsidR="0091068C" w:rsidRPr="00212088" w:rsidRDefault="0091068C" w:rsidP="00986896">
            <w:pPr>
              <w:jc w:val="center"/>
              <w:rPr>
                <w:color w:val="000000"/>
              </w:rPr>
            </w:pPr>
            <w:r w:rsidRPr="0021208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1B5964A3"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75B3FE18" w14:textId="77777777" w:rsidTr="00986896">
        <w:trPr>
          <w:trHeight w:val="280"/>
        </w:trPr>
        <w:tc>
          <w:tcPr>
            <w:tcW w:w="1413" w:type="dxa"/>
            <w:shd w:val="clear" w:color="auto" w:fill="auto"/>
            <w:noWrap/>
            <w:hideMark/>
          </w:tcPr>
          <w:p w14:paraId="10E59F44" w14:textId="77777777" w:rsidR="0091068C" w:rsidRPr="00212088" w:rsidRDefault="0091068C" w:rsidP="00986896">
            <w:pPr>
              <w:jc w:val="center"/>
              <w:rPr>
                <w:color w:val="000000"/>
              </w:rPr>
            </w:pPr>
            <w:r w:rsidRPr="00212088">
              <w:rPr>
                <w:color w:val="000000"/>
              </w:rPr>
              <w:t>T5.03</w:t>
            </w:r>
          </w:p>
        </w:tc>
        <w:tc>
          <w:tcPr>
            <w:tcW w:w="850" w:type="dxa"/>
            <w:shd w:val="clear" w:color="auto" w:fill="auto"/>
            <w:noWrap/>
            <w:hideMark/>
          </w:tcPr>
          <w:p w14:paraId="541BAC93" w14:textId="77777777" w:rsidR="0091068C" w:rsidRPr="00212088" w:rsidRDefault="0091068C" w:rsidP="00986896">
            <w:pPr>
              <w:jc w:val="center"/>
              <w:rPr>
                <w:color w:val="000000"/>
              </w:rPr>
            </w:pPr>
            <w:r w:rsidRPr="00212088">
              <w:rPr>
                <w:color w:val="000000"/>
              </w:rPr>
              <w:t>42.2</w:t>
            </w:r>
          </w:p>
        </w:tc>
        <w:tc>
          <w:tcPr>
            <w:tcW w:w="851" w:type="dxa"/>
            <w:shd w:val="clear" w:color="auto" w:fill="auto"/>
            <w:noWrap/>
            <w:hideMark/>
          </w:tcPr>
          <w:p w14:paraId="44B85812" w14:textId="77777777" w:rsidR="0091068C" w:rsidRPr="00212088" w:rsidRDefault="0091068C" w:rsidP="00986896">
            <w:pPr>
              <w:jc w:val="center"/>
              <w:rPr>
                <w:color w:val="000000"/>
              </w:rPr>
            </w:pPr>
            <w:r w:rsidRPr="00212088">
              <w:rPr>
                <w:color w:val="000000"/>
              </w:rPr>
              <w:t>15.5</w:t>
            </w:r>
          </w:p>
        </w:tc>
        <w:tc>
          <w:tcPr>
            <w:tcW w:w="850" w:type="dxa"/>
            <w:tcBorders>
              <w:top w:val="single" w:sz="4" w:space="0" w:color="auto"/>
              <w:left w:val="nil"/>
              <w:bottom w:val="single" w:sz="4" w:space="0" w:color="auto"/>
              <w:right w:val="single" w:sz="4" w:space="0" w:color="auto"/>
            </w:tcBorders>
            <w:shd w:val="clear" w:color="auto" w:fill="auto"/>
            <w:vAlign w:val="bottom"/>
          </w:tcPr>
          <w:p w14:paraId="6F178E1E"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36E8AA14" w14:textId="77777777" w:rsidTr="00986896">
        <w:trPr>
          <w:trHeight w:val="280"/>
        </w:trPr>
        <w:tc>
          <w:tcPr>
            <w:tcW w:w="1413" w:type="dxa"/>
            <w:shd w:val="clear" w:color="auto" w:fill="auto"/>
            <w:noWrap/>
            <w:hideMark/>
          </w:tcPr>
          <w:p w14:paraId="1527DFD3" w14:textId="77777777" w:rsidR="0091068C" w:rsidRPr="00212088" w:rsidRDefault="0091068C" w:rsidP="00986896">
            <w:pPr>
              <w:jc w:val="center"/>
              <w:rPr>
                <w:color w:val="000000"/>
              </w:rPr>
            </w:pPr>
            <w:r w:rsidRPr="00212088">
              <w:rPr>
                <w:color w:val="000000"/>
              </w:rPr>
              <w:t>T5.04</w:t>
            </w:r>
          </w:p>
        </w:tc>
        <w:tc>
          <w:tcPr>
            <w:tcW w:w="850" w:type="dxa"/>
            <w:shd w:val="clear" w:color="auto" w:fill="auto"/>
            <w:noWrap/>
            <w:hideMark/>
          </w:tcPr>
          <w:p w14:paraId="35C253EE" w14:textId="77777777" w:rsidR="0091068C" w:rsidRPr="00212088" w:rsidRDefault="0091068C" w:rsidP="00986896">
            <w:pPr>
              <w:jc w:val="center"/>
              <w:rPr>
                <w:color w:val="000000"/>
              </w:rPr>
            </w:pPr>
            <w:r w:rsidRPr="00212088">
              <w:rPr>
                <w:color w:val="000000"/>
              </w:rPr>
              <w:t>42</w:t>
            </w:r>
            <w:r>
              <w:rPr>
                <w:color w:val="000000"/>
              </w:rPr>
              <w:t>.0</w:t>
            </w:r>
          </w:p>
        </w:tc>
        <w:tc>
          <w:tcPr>
            <w:tcW w:w="851" w:type="dxa"/>
            <w:shd w:val="clear" w:color="auto" w:fill="auto"/>
            <w:noWrap/>
            <w:hideMark/>
          </w:tcPr>
          <w:p w14:paraId="7B1AA6BA" w14:textId="77777777" w:rsidR="0091068C" w:rsidRPr="00212088" w:rsidRDefault="0091068C" w:rsidP="00986896">
            <w:pPr>
              <w:jc w:val="center"/>
              <w:rPr>
                <w:color w:val="000000"/>
              </w:rPr>
            </w:pPr>
            <w:r w:rsidRPr="0021208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487B2288" w14:textId="77777777" w:rsidR="0091068C" w:rsidRPr="00212088" w:rsidRDefault="0091068C" w:rsidP="00986896">
            <w:pPr>
              <w:jc w:val="center"/>
              <w:rPr>
                <w:color w:val="000000"/>
              </w:rPr>
            </w:pPr>
            <w:r w:rsidRPr="00212088">
              <w:rPr>
                <w:color w:val="000000"/>
              </w:rPr>
              <w:t>3.1</w:t>
            </w:r>
          </w:p>
        </w:tc>
      </w:tr>
      <w:tr w:rsidR="0091068C" w:rsidRPr="00AD3ED7" w14:paraId="0F2CCC10" w14:textId="77777777" w:rsidTr="00986896">
        <w:trPr>
          <w:trHeight w:val="280"/>
        </w:trPr>
        <w:tc>
          <w:tcPr>
            <w:tcW w:w="1413" w:type="dxa"/>
            <w:shd w:val="clear" w:color="auto" w:fill="auto"/>
            <w:noWrap/>
            <w:hideMark/>
          </w:tcPr>
          <w:p w14:paraId="16D17F9C" w14:textId="77777777" w:rsidR="0091068C" w:rsidRPr="00212088" w:rsidRDefault="0091068C" w:rsidP="00986896">
            <w:pPr>
              <w:jc w:val="center"/>
              <w:rPr>
                <w:color w:val="000000"/>
              </w:rPr>
            </w:pPr>
            <w:r w:rsidRPr="00212088">
              <w:rPr>
                <w:color w:val="000000"/>
              </w:rPr>
              <w:t>T5.05</w:t>
            </w:r>
          </w:p>
        </w:tc>
        <w:tc>
          <w:tcPr>
            <w:tcW w:w="850" w:type="dxa"/>
            <w:shd w:val="clear" w:color="auto" w:fill="auto"/>
            <w:noWrap/>
            <w:hideMark/>
          </w:tcPr>
          <w:p w14:paraId="7E193BF1" w14:textId="77777777" w:rsidR="0091068C" w:rsidRPr="00212088" w:rsidRDefault="0091068C" w:rsidP="00986896">
            <w:pPr>
              <w:jc w:val="center"/>
              <w:rPr>
                <w:color w:val="000000"/>
              </w:rPr>
            </w:pPr>
            <w:r w:rsidRPr="00212088">
              <w:rPr>
                <w:color w:val="000000"/>
              </w:rPr>
              <w:t>43.2</w:t>
            </w:r>
          </w:p>
        </w:tc>
        <w:tc>
          <w:tcPr>
            <w:tcW w:w="851" w:type="dxa"/>
            <w:shd w:val="clear" w:color="auto" w:fill="auto"/>
            <w:noWrap/>
            <w:hideMark/>
          </w:tcPr>
          <w:p w14:paraId="291D7634" w14:textId="77777777" w:rsidR="0091068C" w:rsidRPr="00212088" w:rsidRDefault="0091068C" w:rsidP="00986896">
            <w:pPr>
              <w:jc w:val="center"/>
              <w:rPr>
                <w:color w:val="000000"/>
              </w:rPr>
            </w:pPr>
            <w:r w:rsidRPr="0021208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6A4C60DC" w14:textId="77777777" w:rsidR="0091068C" w:rsidRPr="00212088" w:rsidRDefault="0091068C" w:rsidP="00986896">
            <w:pPr>
              <w:jc w:val="center"/>
              <w:rPr>
                <w:color w:val="000000"/>
              </w:rPr>
            </w:pPr>
            <w:r w:rsidRPr="00212088">
              <w:rPr>
                <w:color w:val="000000"/>
              </w:rPr>
              <w:t>3.1</w:t>
            </w:r>
          </w:p>
        </w:tc>
      </w:tr>
      <w:tr w:rsidR="0091068C" w:rsidRPr="00AD3ED7" w14:paraId="560776B1" w14:textId="77777777" w:rsidTr="00986896">
        <w:trPr>
          <w:trHeight w:val="280"/>
        </w:trPr>
        <w:tc>
          <w:tcPr>
            <w:tcW w:w="1413" w:type="dxa"/>
            <w:shd w:val="clear" w:color="auto" w:fill="auto"/>
            <w:noWrap/>
            <w:hideMark/>
          </w:tcPr>
          <w:p w14:paraId="449D4A1E" w14:textId="77777777" w:rsidR="0091068C" w:rsidRPr="00212088" w:rsidRDefault="0091068C" w:rsidP="00986896">
            <w:pPr>
              <w:jc w:val="center"/>
              <w:rPr>
                <w:color w:val="000000"/>
              </w:rPr>
            </w:pPr>
            <w:r w:rsidRPr="00212088">
              <w:rPr>
                <w:color w:val="000000"/>
              </w:rPr>
              <w:t>T5.06</w:t>
            </w:r>
          </w:p>
        </w:tc>
        <w:tc>
          <w:tcPr>
            <w:tcW w:w="850" w:type="dxa"/>
            <w:shd w:val="clear" w:color="auto" w:fill="auto"/>
            <w:noWrap/>
            <w:hideMark/>
          </w:tcPr>
          <w:p w14:paraId="6131459A" w14:textId="77777777" w:rsidR="0091068C" w:rsidRPr="00212088" w:rsidRDefault="0091068C" w:rsidP="00986896">
            <w:pPr>
              <w:jc w:val="center"/>
              <w:rPr>
                <w:color w:val="000000"/>
              </w:rPr>
            </w:pPr>
            <w:r w:rsidRPr="00212088">
              <w:rPr>
                <w:color w:val="000000"/>
              </w:rPr>
              <w:t>41.7</w:t>
            </w:r>
          </w:p>
        </w:tc>
        <w:tc>
          <w:tcPr>
            <w:tcW w:w="851" w:type="dxa"/>
            <w:shd w:val="clear" w:color="auto" w:fill="auto"/>
            <w:noWrap/>
            <w:hideMark/>
          </w:tcPr>
          <w:p w14:paraId="3A480395" w14:textId="77777777" w:rsidR="0091068C" w:rsidRPr="00212088" w:rsidRDefault="0091068C" w:rsidP="00986896">
            <w:pPr>
              <w:jc w:val="center"/>
              <w:rPr>
                <w:color w:val="000000"/>
              </w:rPr>
            </w:pPr>
            <w:r w:rsidRPr="00212088">
              <w:rPr>
                <w:color w:val="000000"/>
              </w:rPr>
              <w:t>15.5</w:t>
            </w:r>
          </w:p>
        </w:tc>
        <w:tc>
          <w:tcPr>
            <w:tcW w:w="850" w:type="dxa"/>
            <w:tcBorders>
              <w:top w:val="single" w:sz="4" w:space="0" w:color="auto"/>
              <w:left w:val="nil"/>
              <w:bottom w:val="single" w:sz="4" w:space="0" w:color="auto"/>
              <w:right w:val="single" w:sz="4" w:space="0" w:color="auto"/>
            </w:tcBorders>
            <w:shd w:val="clear" w:color="auto" w:fill="auto"/>
            <w:vAlign w:val="bottom"/>
          </w:tcPr>
          <w:p w14:paraId="77BE2E69" w14:textId="77777777" w:rsidR="0091068C" w:rsidRPr="00212088" w:rsidRDefault="0091068C" w:rsidP="00986896">
            <w:pPr>
              <w:jc w:val="center"/>
              <w:rPr>
                <w:color w:val="000000"/>
              </w:rPr>
            </w:pPr>
            <w:r w:rsidRPr="00212088">
              <w:rPr>
                <w:color w:val="000000"/>
              </w:rPr>
              <w:t>3.1</w:t>
            </w:r>
          </w:p>
        </w:tc>
      </w:tr>
      <w:tr w:rsidR="0091068C" w:rsidRPr="00AD3ED7" w14:paraId="39842D7E" w14:textId="77777777" w:rsidTr="00986896">
        <w:trPr>
          <w:trHeight w:val="280"/>
        </w:trPr>
        <w:tc>
          <w:tcPr>
            <w:tcW w:w="1413" w:type="dxa"/>
            <w:shd w:val="clear" w:color="auto" w:fill="auto"/>
            <w:noWrap/>
            <w:hideMark/>
          </w:tcPr>
          <w:p w14:paraId="77614A93" w14:textId="77777777" w:rsidR="0091068C" w:rsidRPr="00212088" w:rsidRDefault="0091068C" w:rsidP="00986896">
            <w:pPr>
              <w:jc w:val="center"/>
              <w:rPr>
                <w:color w:val="000000"/>
              </w:rPr>
            </w:pPr>
            <w:r w:rsidRPr="00212088">
              <w:rPr>
                <w:color w:val="000000"/>
              </w:rPr>
              <w:t>T5.07</w:t>
            </w:r>
          </w:p>
        </w:tc>
        <w:tc>
          <w:tcPr>
            <w:tcW w:w="850" w:type="dxa"/>
            <w:shd w:val="clear" w:color="auto" w:fill="auto"/>
            <w:noWrap/>
            <w:hideMark/>
          </w:tcPr>
          <w:p w14:paraId="6A76E748" w14:textId="77777777" w:rsidR="0091068C" w:rsidRPr="00212088" w:rsidRDefault="0091068C" w:rsidP="00986896">
            <w:pPr>
              <w:jc w:val="center"/>
              <w:rPr>
                <w:color w:val="000000"/>
              </w:rPr>
            </w:pPr>
            <w:r w:rsidRPr="00212088">
              <w:rPr>
                <w:color w:val="000000"/>
              </w:rPr>
              <w:t>39.5</w:t>
            </w:r>
          </w:p>
        </w:tc>
        <w:tc>
          <w:tcPr>
            <w:tcW w:w="851" w:type="dxa"/>
            <w:shd w:val="clear" w:color="auto" w:fill="auto"/>
            <w:noWrap/>
            <w:hideMark/>
          </w:tcPr>
          <w:p w14:paraId="6E9394FD" w14:textId="77777777" w:rsidR="0091068C" w:rsidRPr="00212088" w:rsidRDefault="0091068C" w:rsidP="00986896">
            <w:pPr>
              <w:jc w:val="center"/>
              <w:rPr>
                <w:color w:val="000000"/>
              </w:rPr>
            </w:pPr>
            <w:r w:rsidRPr="00212088">
              <w:rPr>
                <w:color w:val="000000"/>
              </w:rPr>
              <w:t>14.</w:t>
            </w:r>
            <w:r>
              <w:rPr>
                <w:color w:val="000000"/>
              </w:rPr>
              <w:t>6</w:t>
            </w:r>
          </w:p>
        </w:tc>
        <w:tc>
          <w:tcPr>
            <w:tcW w:w="850" w:type="dxa"/>
            <w:tcBorders>
              <w:top w:val="single" w:sz="4" w:space="0" w:color="auto"/>
              <w:left w:val="nil"/>
              <w:bottom w:val="single" w:sz="4" w:space="0" w:color="auto"/>
              <w:right w:val="single" w:sz="4" w:space="0" w:color="auto"/>
            </w:tcBorders>
            <w:shd w:val="clear" w:color="auto" w:fill="auto"/>
            <w:vAlign w:val="bottom"/>
          </w:tcPr>
          <w:p w14:paraId="2EC793F7"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515E28FC" w14:textId="77777777" w:rsidTr="00986896">
        <w:trPr>
          <w:trHeight w:val="280"/>
        </w:trPr>
        <w:tc>
          <w:tcPr>
            <w:tcW w:w="1413" w:type="dxa"/>
            <w:shd w:val="clear" w:color="auto" w:fill="auto"/>
            <w:noWrap/>
            <w:hideMark/>
          </w:tcPr>
          <w:p w14:paraId="1ED20E8C" w14:textId="77777777" w:rsidR="0091068C" w:rsidRPr="00212088" w:rsidRDefault="0091068C" w:rsidP="00986896">
            <w:pPr>
              <w:jc w:val="center"/>
              <w:rPr>
                <w:color w:val="000000"/>
              </w:rPr>
            </w:pPr>
            <w:r w:rsidRPr="00212088">
              <w:rPr>
                <w:color w:val="000000"/>
              </w:rPr>
              <w:t>T6.01</w:t>
            </w:r>
          </w:p>
        </w:tc>
        <w:tc>
          <w:tcPr>
            <w:tcW w:w="850" w:type="dxa"/>
            <w:shd w:val="clear" w:color="auto" w:fill="auto"/>
            <w:noWrap/>
            <w:hideMark/>
          </w:tcPr>
          <w:p w14:paraId="7B84C72E" w14:textId="77777777" w:rsidR="0091068C" w:rsidRPr="00212088" w:rsidRDefault="0091068C" w:rsidP="00986896">
            <w:pPr>
              <w:jc w:val="center"/>
              <w:rPr>
                <w:color w:val="000000"/>
              </w:rPr>
            </w:pPr>
            <w:r w:rsidRPr="00212088">
              <w:rPr>
                <w:color w:val="000000"/>
              </w:rPr>
              <w:t>43.1</w:t>
            </w:r>
          </w:p>
        </w:tc>
        <w:tc>
          <w:tcPr>
            <w:tcW w:w="851" w:type="dxa"/>
            <w:shd w:val="clear" w:color="auto" w:fill="auto"/>
            <w:noWrap/>
            <w:hideMark/>
          </w:tcPr>
          <w:p w14:paraId="2FDA2400" w14:textId="77777777" w:rsidR="0091068C" w:rsidRPr="00212088" w:rsidRDefault="0091068C" w:rsidP="00986896">
            <w:pPr>
              <w:jc w:val="center"/>
              <w:rPr>
                <w:color w:val="000000"/>
              </w:rPr>
            </w:pPr>
            <w:r w:rsidRPr="00212088">
              <w:rPr>
                <w:color w:val="000000"/>
              </w:rPr>
              <w:t>15.7</w:t>
            </w:r>
          </w:p>
        </w:tc>
        <w:tc>
          <w:tcPr>
            <w:tcW w:w="850" w:type="dxa"/>
            <w:tcBorders>
              <w:top w:val="single" w:sz="4" w:space="0" w:color="auto"/>
              <w:left w:val="nil"/>
              <w:bottom w:val="single" w:sz="4" w:space="0" w:color="auto"/>
              <w:right w:val="single" w:sz="4" w:space="0" w:color="auto"/>
            </w:tcBorders>
            <w:shd w:val="clear" w:color="auto" w:fill="auto"/>
            <w:vAlign w:val="bottom"/>
          </w:tcPr>
          <w:p w14:paraId="5EA3EA3E" w14:textId="77777777" w:rsidR="0091068C" w:rsidRPr="00212088" w:rsidRDefault="0091068C" w:rsidP="00986896">
            <w:pPr>
              <w:jc w:val="center"/>
              <w:rPr>
                <w:color w:val="000000"/>
              </w:rPr>
            </w:pPr>
            <w:r w:rsidRPr="00212088">
              <w:rPr>
                <w:color w:val="000000"/>
              </w:rPr>
              <w:t>3.2</w:t>
            </w:r>
          </w:p>
        </w:tc>
      </w:tr>
      <w:tr w:rsidR="0091068C" w:rsidRPr="00AD3ED7" w14:paraId="6BE2EAD3" w14:textId="77777777" w:rsidTr="00986896">
        <w:trPr>
          <w:trHeight w:val="280"/>
        </w:trPr>
        <w:tc>
          <w:tcPr>
            <w:tcW w:w="1413" w:type="dxa"/>
            <w:shd w:val="clear" w:color="auto" w:fill="auto"/>
            <w:noWrap/>
            <w:hideMark/>
          </w:tcPr>
          <w:p w14:paraId="24572AEF" w14:textId="77777777" w:rsidR="0091068C" w:rsidRPr="00212088" w:rsidRDefault="0091068C" w:rsidP="00986896">
            <w:pPr>
              <w:jc w:val="center"/>
              <w:rPr>
                <w:color w:val="000000"/>
              </w:rPr>
            </w:pPr>
            <w:r w:rsidRPr="00212088">
              <w:rPr>
                <w:color w:val="000000"/>
              </w:rPr>
              <w:t>T6.02</w:t>
            </w:r>
          </w:p>
        </w:tc>
        <w:tc>
          <w:tcPr>
            <w:tcW w:w="850" w:type="dxa"/>
            <w:shd w:val="clear" w:color="auto" w:fill="auto"/>
            <w:noWrap/>
            <w:hideMark/>
          </w:tcPr>
          <w:p w14:paraId="3F16CF11" w14:textId="77777777" w:rsidR="0091068C" w:rsidRPr="00212088" w:rsidRDefault="0091068C" w:rsidP="00986896">
            <w:pPr>
              <w:jc w:val="center"/>
              <w:rPr>
                <w:color w:val="000000"/>
              </w:rPr>
            </w:pPr>
            <w:r w:rsidRPr="00212088">
              <w:rPr>
                <w:color w:val="000000"/>
              </w:rPr>
              <w:t>42.4</w:t>
            </w:r>
          </w:p>
        </w:tc>
        <w:tc>
          <w:tcPr>
            <w:tcW w:w="851" w:type="dxa"/>
            <w:shd w:val="clear" w:color="auto" w:fill="auto"/>
            <w:noWrap/>
            <w:hideMark/>
          </w:tcPr>
          <w:p w14:paraId="69129A83" w14:textId="77777777" w:rsidR="0091068C" w:rsidRPr="00212088" w:rsidRDefault="0091068C" w:rsidP="00986896">
            <w:pPr>
              <w:jc w:val="center"/>
              <w:rPr>
                <w:color w:val="000000"/>
              </w:rPr>
            </w:pPr>
            <w:r w:rsidRPr="00212088">
              <w:rPr>
                <w:color w:val="000000"/>
              </w:rPr>
              <w:t>15.2</w:t>
            </w:r>
          </w:p>
        </w:tc>
        <w:tc>
          <w:tcPr>
            <w:tcW w:w="850" w:type="dxa"/>
            <w:tcBorders>
              <w:top w:val="single" w:sz="4" w:space="0" w:color="auto"/>
              <w:left w:val="nil"/>
              <w:bottom w:val="single" w:sz="4" w:space="0" w:color="auto"/>
              <w:right w:val="single" w:sz="4" w:space="0" w:color="auto"/>
            </w:tcBorders>
            <w:shd w:val="clear" w:color="auto" w:fill="auto"/>
            <w:vAlign w:val="bottom"/>
          </w:tcPr>
          <w:p w14:paraId="09BE7D8B" w14:textId="77777777" w:rsidR="0091068C" w:rsidRPr="00212088" w:rsidRDefault="0091068C" w:rsidP="00986896">
            <w:pPr>
              <w:jc w:val="center"/>
              <w:rPr>
                <w:color w:val="000000"/>
              </w:rPr>
            </w:pPr>
            <w:r w:rsidRPr="00212088">
              <w:rPr>
                <w:color w:val="000000"/>
              </w:rPr>
              <w:t>3.</w:t>
            </w:r>
            <w:r>
              <w:rPr>
                <w:color w:val="000000"/>
              </w:rPr>
              <w:t>3</w:t>
            </w:r>
          </w:p>
        </w:tc>
      </w:tr>
      <w:tr w:rsidR="0091068C" w:rsidRPr="00AD3ED7" w14:paraId="2731C309" w14:textId="77777777" w:rsidTr="00986896">
        <w:trPr>
          <w:trHeight w:val="280"/>
        </w:trPr>
        <w:tc>
          <w:tcPr>
            <w:tcW w:w="1413" w:type="dxa"/>
            <w:shd w:val="clear" w:color="auto" w:fill="auto"/>
            <w:noWrap/>
            <w:hideMark/>
          </w:tcPr>
          <w:p w14:paraId="7B579CBB" w14:textId="77777777" w:rsidR="0091068C" w:rsidRPr="00212088" w:rsidRDefault="0091068C" w:rsidP="00986896">
            <w:pPr>
              <w:jc w:val="center"/>
              <w:rPr>
                <w:color w:val="000000"/>
              </w:rPr>
            </w:pPr>
            <w:r w:rsidRPr="00212088">
              <w:rPr>
                <w:color w:val="000000"/>
              </w:rPr>
              <w:t>T6.03</w:t>
            </w:r>
          </w:p>
        </w:tc>
        <w:tc>
          <w:tcPr>
            <w:tcW w:w="850" w:type="dxa"/>
            <w:shd w:val="clear" w:color="auto" w:fill="auto"/>
            <w:noWrap/>
            <w:hideMark/>
          </w:tcPr>
          <w:p w14:paraId="6B24AA57" w14:textId="77777777" w:rsidR="0091068C" w:rsidRPr="00212088" w:rsidRDefault="0091068C" w:rsidP="00986896">
            <w:pPr>
              <w:jc w:val="center"/>
              <w:rPr>
                <w:color w:val="000000"/>
              </w:rPr>
            </w:pPr>
            <w:r w:rsidRPr="00212088">
              <w:rPr>
                <w:color w:val="000000"/>
              </w:rPr>
              <w:t>41.5</w:t>
            </w:r>
          </w:p>
        </w:tc>
        <w:tc>
          <w:tcPr>
            <w:tcW w:w="851" w:type="dxa"/>
            <w:shd w:val="clear" w:color="auto" w:fill="auto"/>
            <w:noWrap/>
            <w:hideMark/>
          </w:tcPr>
          <w:p w14:paraId="78A7C7E9" w14:textId="77777777" w:rsidR="0091068C" w:rsidRPr="00212088" w:rsidRDefault="0091068C" w:rsidP="00986896">
            <w:pPr>
              <w:jc w:val="center"/>
              <w:rPr>
                <w:color w:val="000000"/>
              </w:rPr>
            </w:pPr>
            <w:r w:rsidRPr="00212088">
              <w:rPr>
                <w:color w:val="000000"/>
              </w:rPr>
              <w:t>15.1</w:t>
            </w:r>
          </w:p>
        </w:tc>
        <w:tc>
          <w:tcPr>
            <w:tcW w:w="850" w:type="dxa"/>
            <w:tcBorders>
              <w:top w:val="single" w:sz="4" w:space="0" w:color="auto"/>
              <w:left w:val="nil"/>
              <w:bottom w:val="single" w:sz="4" w:space="0" w:color="auto"/>
              <w:right w:val="single" w:sz="4" w:space="0" w:color="auto"/>
            </w:tcBorders>
            <w:shd w:val="clear" w:color="auto" w:fill="auto"/>
            <w:vAlign w:val="bottom"/>
          </w:tcPr>
          <w:p w14:paraId="57AD1CAB" w14:textId="77777777" w:rsidR="0091068C" w:rsidRPr="00212088" w:rsidRDefault="0091068C" w:rsidP="00986896">
            <w:pPr>
              <w:jc w:val="center"/>
              <w:rPr>
                <w:color w:val="000000"/>
              </w:rPr>
            </w:pPr>
            <w:r w:rsidRPr="00212088">
              <w:rPr>
                <w:color w:val="000000"/>
              </w:rPr>
              <w:t>3.2</w:t>
            </w:r>
          </w:p>
        </w:tc>
      </w:tr>
      <w:tr w:rsidR="0091068C" w:rsidRPr="00AD3ED7" w14:paraId="1A64A973" w14:textId="77777777" w:rsidTr="00986896">
        <w:trPr>
          <w:trHeight w:val="280"/>
        </w:trPr>
        <w:tc>
          <w:tcPr>
            <w:tcW w:w="1413" w:type="dxa"/>
            <w:shd w:val="clear" w:color="auto" w:fill="auto"/>
            <w:noWrap/>
            <w:hideMark/>
          </w:tcPr>
          <w:p w14:paraId="3B13EDDC" w14:textId="77777777" w:rsidR="0091068C" w:rsidRPr="00212088" w:rsidRDefault="0091068C" w:rsidP="00986896">
            <w:pPr>
              <w:jc w:val="center"/>
              <w:rPr>
                <w:color w:val="000000"/>
              </w:rPr>
            </w:pPr>
            <w:r w:rsidRPr="00212088">
              <w:rPr>
                <w:color w:val="000000"/>
              </w:rPr>
              <w:t>T6.04</w:t>
            </w:r>
          </w:p>
        </w:tc>
        <w:tc>
          <w:tcPr>
            <w:tcW w:w="850" w:type="dxa"/>
            <w:shd w:val="clear" w:color="auto" w:fill="auto"/>
            <w:noWrap/>
            <w:hideMark/>
          </w:tcPr>
          <w:p w14:paraId="0698F69A" w14:textId="77777777" w:rsidR="0091068C" w:rsidRPr="00212088" w:rsidRDefault="0091068C" w:rsidP="00986896">
            <w:pPr>
              <w:jc w:val="center"/>
              <w:rPr>
                <w:color w:val="000000"/>
              </w:rPr>
            </w:pPr>
            <w:r w:rsidRPr="00212088">
              <w:rPr>
                <w:color w:val="000000"/>
              </w:rPr>
              <w:t>41.3</w:t>
            </w:r>
          </w:p>
        </w:tc>
        <w:tc>
          <w:tcPr>
            <w:tcW w:w="851" w:type="dxa"/>
            <w:shd w:val="clear" w:color="auto" w:fill="auto"/>
            <w:noWrap/>
            <w:hideMark/>
          </w:tcPr>
          <w:p w14:paraId="35393814" w14:textId="77777777" w:rsidR="0091068C" w:rsidRPr="00212088" w:rsidRDefault="0091068C" w:rsidP="00986896">
            <w:pPr>
              <w:jc w:val="center"/>
              <w:rPr>
                <w:color w:val="000000"/>
              </w:rPr>
            </w:pPr>
            <w:r w:rsidRPr="00212088">
              <w:rPr>
                <w:color w:val="000000"/>
              </w:rPr>
              <w:t>14.</w:t>
            </w:r>
            <w:r>
              <w:rPr>
                <w:color w:val="000000"/>
              </w:rPr>
              <w:t>9</w:t>
            </w:r>
          </w:p>
        </w:tc>
        <w:tc>
          <w:tcPr>
            <w:tcW w:w="850" w:type="dxa"/>
            <w:tcBorders>
              <w:top w:val="single" w:sz="4" w:space="0" w:color="auto"/>
              <w:left w:val="nil"/>
              <w:bottom w:val="single" w:sz="4" w:space="0" w:color="auto"/>
              <w:right w:val="single" w:sz="4" w:space="0" w:color="auto"/>
            </w:tcBorders>
            <w:shd w:val="clear" w:color="auto" w:fill="auto"/>
            <w:vAlign w:val="bottom"/>
          </w:tcPr>
          <w:p w14:paraId="6F2931B4" w14:textId="77777777" w:rsidR="0091068C" w:rsidRPr="00212088" w:rsidRDefault="0091068C" w:rsidP="00986896">
            <w:pPr>
              <w:jc w:val="center"/>
              <w:rPr>
                <w:color w:val="000000"/>
              </w:rPr>
            </w:pPr>
            <w:r w:rsidRPr="00212088">
              <w:rPr>
                <w:color w:val="000000"/>
              </w:rPr>
              <w:t>3.2</w:t>
            </w:r>
          </w:p>
        </w:tc>
      </w:tr>
      <w:tr w:rsidR="0091068C" w:rsidRPr="00AD3ED7" w14:paraId="6BAD73DB" w14:textId="77777777" w:rsidTr="00986896">
        <w:trPr>
          <w:trHeight w:val="280"/>
        </w:trPr>
        <w:tc>
          <w:tcPr>
            <w:tcW w:w="1413" w:type="dxa"/>
            <w:shd w:val="clear" w:color="auto" w:fill="auto"/>
            <w:noWrap/>
            <w:hideMark/>
          </w:tcPr>
          <w:p w14:paraId="22C5595A" w14:textId="77777777" w:rsidR="0091068C" w:rsidRPr="00212088" w:rsidRDefault="0091068C" w:rsidP="00986896">
            <w:pPr>
              <w:jc w:val="center"/>
              <w:rPr>
                <w:color w:val="000000"/>
              </w:rPr>
            </w:pPr>
            <w:r w:rsidRPr="00212088">
              <w:rPr>
                <w:color w:val="000000"/>
              </w:rPr>
              <w:t>T6.05</w:t>
            </w:r>
          </w:p>
        </w:tc>
        <w:tc>
          <w:tcPr>
            <w:tcW w:w="850" w:type="dxa"/>
            <w:shd w:val="clear" w:color="auto" w:fill="auto"/>
            <w:noWrap/>
            <w:hideMark/>
          </w:tcPr>
          <w:p w14:paraId="08018A7F" w14:textId="77777777" w:rsidR="0091068C" w:rsidRPr="00212088" w:rsidRDefault="0091068C" w:rsidP="00986896">
            <w:pPr>
              <w:jc w:val="center"/>
              <w:rPr>
                <w:color w:val="000000"/>
              </w:rPr>
            </w:pPr>
            <w:r w:rsidRPr="00212088">
              <w:rPr>
                <w:color w:val="000000"/>
              </w:rPr>
              <w:t>41.5</w:t>
            </w:r>
          </w:p>
        </w:tc>
        <w:tc>
          <w:tcPr>
            <w:tcW w:w="851" w:type="dxa"/>
            <w:shd w:val="clear" w:color="auto" w:fill="auto"/>
            <w:noWrap/>
            <w:hideMark/>
          </w:tcPr>
          <w:p w14:paraId="3E2AD179" w14:textId="77777777" w:rsidR="0091068C" w:rsidRPr="00212088" w:rsidRDefault="0091068C" w:rsidP="00986896">
            <w:pPr>
              <w:jc w:val="center"/>
              <w:rPr>
                <w:color w:val="000000"/>
              </w:rPr>
            </w:pPr>
            <w:r w:rsidRPr="00212088">
              <w:rPr>
                <w:color w:val="000000"/>
              </w:rPr>
              <w:t>14.9</w:t>
            </w:r>
          </w:p>
        </w:tc>
        <w:tc>
          <w:tcPr>
            <w:tcW w:w="850" w:type="dxa"/>
            <w:tcBorders>
              <w:top w:val="single" w:sz="4" w:space="0" w:color="auto"/>
              <w:left w:val="nil"/>
              <w:bottom w:val="single" w:sz="4" w:space="0" w:color="auto"/>
              <w:right w:val="single" w:sz="4" w:space="0" w:color="auto"/>
            </w:tcBorders>
            <w:shd w:val="clear" w:color="auto" w:fill="auto"/>
            <w:vAlign w:val="bottom"/>
          </w:tcPr>
          <w:p w14:paraId="0BB2F6A9" w14:textId="77777777" w:rsidR="0091068C" w:rsidRPr="00212088" w:rsidRDefault="0091068C" w:rsidP="00986896">
            <w:pPr>
              <w:jc w:val="center"/>
              <w:rPr>
                <w:color w:val="000000"/>
              </w:rPr>
            </w:pPr>
            <w:r w:rsidRPr="00212088">
              <w:rPr>
                <w:color w:val="000000"/>
              </w:rPr>
              <w:t>3.2</w:t>
            </w:r>
          </w:p>
        </w:tc>
      </w:tr>
      <w:tr w:rsidR="0091068C" w:rsidRPr="00AD3ED7" w14:paraId="164B6B0B" w14:textId="77777777" w:rsidTr="00986896">
        <w:trPr>
          <w:trHeight w:val="280"/>
        </w:trPr>
        <w:tc>
          <w:tcPr>
            <w:tcW w:w="1413" w:type="dxa"/>
            <w:shd w:val="clear" w:color="auto" w:fill="auto"/>
            <w:noWrap/>
            <w:hideMark/>
          </w:tcPr>
          <w:p w14:paraId="784276D1" w14:textId="77777777" w:rsidR="0091068C" w:rsidRPr="00212088" w:rsidRDefault="0091068C" w:rsidP="00986896">
            <w:pPr>
              <w:jc w:val="center"/>
              <w:rPr>
                <w:color w:val="000000"/>
              </w:rPr>
            </w:pPr>
            <w:r w:rsidRPr="00212088">
              <w:rPr>
                <w:color w:val="000000"/>
              </w:rPr>
              <w:t>T7.01</w:t>
            </w:r>
          </w:p>
        </w:tc>
        <w:tc>
          <w:tcPr>
            <w:tcW w:w="850" w:type="dxa"/>
            <w:shd w:val="clear" w:color="auto" w:fill="auto"/>
            <w:noWrap/>
            <w:hideMark/>
          </w:tcPr>
          <w:p w14:paraId="28D51D3F" w14:textId="77777777" w:rsidR="0091068C" w:rsidRPr="00212088" w:rsidRDefault="0091068C" w:rsidP="00986896">
            <w:pPr>
              <w:jc w:val="center"/>
              <w:rPr>
                <w:color w:val="000000"/>
              </w:rPr>
            </w:pPr>
            <w:r w:rsidRPr="00212088">
              <w:rPr>
                <w:color w:val="000000"/>
              </w:rPr>
              <w:t>42.8</w:t>
            </w:r>
          </w:p>
        </w:tc>
        <w:tc>
          <w:tcPr>
            <w:tcW w:w="851" w:type="dxa"/>
            <w:shd w:val="clear" w:color="auto" w:fill="auto"/>
            <w:noWrap/>
            <w:hideMark/>
          </w:tcPr>
          <w:p w14:paraId="12CFD454" w14:textId="77777777" w:rsidR="0091068C" w:rsidRPr="00212088" w:rsidRDefault="0091068C" w:rsidP="00986896">
            <w:pPr>
              <w:jc w:val="center"/>
              <w:rPr>
                <w:color w:val="000000"/>
              </w:rPr>
            </w:pPr>
            <w:r w:rsidRPr="0021208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4A115735" w14:textId="77777777" w:rsidR="0091068C" w:rsidRPr="00212088" w:rsidRDefault="0091068C" w:rsidP="00986896">
            <w:pPr>
              <w:jc w:val="center"/>
              <w:rPr>
                <w:color w:val="000000"/>
              </w:rPr>
            </w:pPr>
            <w:r w:rsidRPr="00212088">
              <w:rPr>
                <w:color w:val="000000"/>
              </w:rPr>
              <w:t>3.1</w:t>
            </w:r>
          </w:p>
        </w:tc>
      </w:tr>
      <w:tr w:rsidR="0091068C" w:rsidRPr="00AD3ED7" w14:paraId="06D0590D" w14:textId="77777777" w:rsidTr="00986896">
        <w:trPr>
          <w:trHeight w:val="280"/>
        </w:trPr>
        <w:tc>
          <w:tcPr>
            <w:tcW w:w="1413" w:type="dxa"/>
            <w:shd w:val="clear" w:color="auto" w:fill="auto"/>
            <w:noWrap/>
            <w:hideMark/>
          </w:tcPr>
          <w:p w14:paraId="66562FDA" w14:textId="77777777" w:rsidR="0091068C" w:rsidRPr="00212088" w:rsidRDefault="0091068C" w:rsidP="00986896">
            <w:pPr>
              <w:jc w:val="center"/>
              <w:rPr>
                <w:color w:val="000000"/>
              </w:rPr>
            </w:pPr>
            <w:r w:rsidRPr="00212088">
              <w:rPr>
                <w:color w:val="000000"/>
              </w:rPr>
              <w:t>T7.02</w:t>
            </w:r>
          </w:p>
        </w:tc>
        <w:tc>
          <w:tcPr>
            <w:tcW w:w="850" w:type="dxa"/>
            <w:shd w:val="clear" w:color="auto" w:fill="auto"/>
            <w:noWrap/>
            <w:hideMark/>
          </w:tcPr>
          <w:p w14:paraId="1376BA81" w14:textId="77777777" w:rsidR="0091068C" w:rsidRPr="00212088" w:rsidRDefault="0091068C" w:rsidP="00986896">
            <w:pPr>
              <w:jc w:val="center"/>
              <w:rPr>
                <w:color w:val="000000"/>
              </w:rPr>
            </w:pPr>
            <w:r w:rsidRPr="00212088">
              <w:rPr>
                <w:color w:val="000000"/>
              </w:rPr>
              <w:t>43.6</w:t>
            </w:r>
          </w:p>
        </w:tc>
        <w:tc>
          <w:tcPr>
            <w:tcW w:w="851" w:type="dxa"/>
            <w:shd w:val="clear" w:color="auto" w:fill="auto"/>
            <w:noWrap/>
            <w:hideMark/>
          </w:tcPr>
          <w:p w14:paraId="4CDDA773" w14:textId="77777777" w:rsidR="0091068C" w:rsidRPr="00212088" w:rsidRDefault="0091068C" w:rsidP="00986896">
            <w:pPr>
              <w:jc w:val="center"/>
              <w:rPr>
                <w:color w:val="000000"/>
              </w:rPr>
            </w:pPr>
            <w:r w:rsidRPr="00212088">
              <w:rPr>
                <w:color w:val="000000"/>
              </w:rPr>
              <w:t>16.2</w:t>
            </w:r>
          </w:p>
        </w:tc>
        <w:tc>
          <w:tcPr>
            <w:tcW w:w="850" w:type="dxa"/>
            <w:tcBorders>
              <w:top w:val="single" w:sz="4" w:space="0" w:color="auto"/>
              <w:left w:val="nil"/>
              <w:bottom w:val="single" w:sz="4" w:space="0" w:color="auto"/>
              <w:right w:val="single" w:sz="4" w:space="0" w:color="auto"/>
            </w:tcBorders>
            <w:shd w:val="clear" w:color="auto" w:fill="auto"/>
            <w:vAlign w:val="bottom"/>
          </w:tcPr>
          <w:p w14:paraId="6E6DD6A5" w14:textId="77777777" w:rsidR="0091068C" w:rsidRPr="00212088" w:rsidRDefault="0091068C" w:rsidP="00986896">
            <w:pPr>
              <w:jc w:val="center"/>
              <w:rPr>
                <w:color w:val="000000"/>
              </w:rPr>
            </w:pPr>
            <w:r w:rsidRPr="00212088">
              <w:rPr>
                <w:color w:val="000000"/>
              </w:rPr>
              <w:t>3.1</w:t>
            </w:r>
          </w:p>
        </w:tc>
      </w:tr>
      <w:tr w:rsidR="0091068C" w:rsidRPr="00AD3ED7" w14:paraId="78685D61" w14:textId="77777777" w:rsidTr="00986896">
        <w:trPr>
          <w:trHeight w:val="280"/>
        </w:trPr>
        <w:tc>
          <w:tcPr>
            <w:tcW w:w="1413" w:type="dxa"/>
            <w:shd w:val="clear" w:color="auto" w:fill="auto"/>
            <w:noWrap/>
            <w:hideMark/>
          </w:tcPr>
          <w:p w14:paraId="01F50ACA" w14:textId="77777777" w:rsidR="0091068C" w:rsidRPr="00212088" w:rsidRDefault="0091068C" w:rsidP="00986896">
            <w:pPr>
              <w:jc w:val="center"/>
              <w:rPr>
                <w:color w:val="000000"/>
              </w:rPr>
            </w:pPr>
            <w:r w:rsidRPr="00212088">
              <w:rPr>
                <w:color w:val="000000"/>
              </w:rPr>
              <w:t>T7.03</w:t>
            </w:r>
          </w:p>
        </w:tc>
        <w:tc>
          <w:tcPr>
            <w:tcW w:w="850" w:type="dxa"/>
            <w:shd w:val="clear" w:color="auto" w:fill="auto"/>
            <w:noWrap/>
            <w:hideMark/>
          </w:tcPr>
          <w:p w14:paraId="30AB8A4D" w14:textId="77777777" w:rsidR="0091068C" w:rsidRPr="00212088" w:rsidRDefault="0091068C" w:rsidP="00986896">
            <w:pPr>
              <w:jc w:val="center"/>
              <w:rPr>
                <w:color w:val="000000"/>
              </w:rPr>
            </w:pPr>
            <w:r w:rsidRPr="00212088">
              <w:rPr>
                <w:color w:val="000000"/>
              </w:rPr>
              <w:t>42.5</w:t>
            </w:r>
          </w:p>
        </w:tc>
        <w:tc>
          <w:tcPr>
            <w:tcW w:w="851" w:type="dxa"/>
            <w:shd w:val="clear" w:color="auto" w:fill="auto"/>
            <w:noWrap/>
            <w:hideMark/>
          </w:tcPr>
          <w:p w14:paraId="3FE5782D" w14:textId="77777777" w:rsidR="0091068C" w:rsidRPr="00212088" w:rsidRDefault="0091068C" w:rsidP="00986896">
            <w:pPr>
              <w:jc w:val="center"/>
              <w:rPr>
                <w:color w:val="000000"/>
              </w:rPr>
            </w:pPr>
            <w:r w:rsidRPr="00212088">
              <w:rPr>
                <w:color w:val="000000"/>
              </w:rPr>
              <w:t>15.7</w:t>
            </w:r>
          </w:p>
        </w:tc>
        <w:tc>
          <w:tcPr>
            <w:tcW w:w="850" w:type="dxa"/>
            <w:tcBorders>
              <w:top w:val="single" w:sz="4" w:space="0" w:color="auto"/>
              <w:left w:val="nil"/>
              <w:bottom w:val="single" w:sz="4" w:space="0" w:color="auto"/>
              <w:right w:val="single" w:sz="4" w:space="0" w:color="auto"/>
            </w:tcBorders>
            <w:shd w:val="clear" w:color="auto" w:fill="auto"/>
            <w:vAlign w:val="bottom"/>
          </w:tcPr>
          <w:p w14:paraId="61403CC6"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64192715" w14:textId="77777777" w:rsidTr="00986896">
        <w:trPr>
          <w:trHeight w:val="280"/>
        </w:trPr>
        <w:tc>
          <w:tcPr>
            <w:tcW w:w="1413" w:type="dxa"/>
            <w:shd w:val="clear" w:color="auto" w:fill="auto"/>
            <w:noWrap/>
            <w:hideMark/>
          </w:tcPr>
          <w:p w14:paraId="56D35031" w14:textId="77777777" w:rsidR="0091068C" w:rsidRPr="00212088" w:rsidRDefault="0091068C" w:rsidP="00986896">
            <w:pPr>
              <w:jc w:val="center"/>
              <w:rPr>
                <w:color w:val="000000"/>
              </w:rPr>
            </w:pPr>
            <w:r w:rsidRPr="00212088">
              <w:rPr>
                <w:color w:val="000000"/>
              </w:rPr>
              <w:t>T7.04</w:t>
            </w:r>
          </w:p>
        </w:tc>
        <w:tc>
          <w:tcPr>
            <w:tcW w:w="850" w:type="dxa"/>
            <w:shd w:val="clear" w:color="auto" w:fill="auto"/>
            <w:noWrap/>
            <w:hideMark/>
          </w:tcPr>
          <w:p w14:paraId="03B84EAE" w14:textId="77777777" w:rsidR="0091068C" w:rsidRPr="00212088" w:rsidRDefault="0091068C" w:rsidP="00986896">
            <w:pPr>
              <w:jc w:val="center"/>
              <w:rPr>
                <w:color w:val="000000"/>
              </w:rPr>
            </w:pPr>
            <w:r w:rsidRPr="00212088">
              <w:rPr>
                <w:color w:val="000000"/>
              </w:rPr>
              <w:t>41.8</w:t>
            </w:r>
          </w:p>
        </w:tc>
        <w:tc>
          <w:tcPr>
            <w:tcW w:w="851" w:type="dxa"/>
            <w:shd w:val="clear" w:color="auto" w:fill="auto"/>
            <w:noWrap/>
            <w:hideMark/>
          </w:tcPr>
          <w:p w14:paraId="50AF2BBF" w14:textId="77777777" w:rsidR="0091068C" w:rsidRPr="00212088" w:rsidRDefault="0091068C" w:rsidP="00986896">
            <w:pPr>
              <w:jc w:val="center"/>
              <w:rPr>
                <w:color w:val="000000"/>
              </w:rPr>
            </w:pPr>
            <w:r w:rsidRPr="00212088">
              <w:rPr>
                <w:color w:val="000000"/>
              </w:rPr>
              <w:t>15.3</w:t>
            </w:r>
          </w:p>
        </w:tc>
        <w:tc>
          <w:tcPr>
            <w:tcW w:w="850" w:type="dxa"/>
            <w:tcBorders>
              <w:top w:val="single" w:sz="4" w:space="0" w:color="auto"/>
              <w:left w:val="nil"/>
              <w:bottom w:val="single" w:sz="4" w:space="0" w:color="auto"/>
              <w:right w:val="single" w:sz="4" w:space="0" w:color="auto"/>
            </w:tcBorders>
            <w:shd w:val="clear" w:color="auto" w:fill="auto"/>
            <w:vAlign w:val="bottom"/>
          </w:tcPr>
          <w:p w14:paraId="6B2E239D"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06B84C21" w14:textId="77777777" w:rsidTr="00986896">
        <w:trPr>
          <w:trHeight w:val="280"/>
        </w:trPr>
        <w:tc>
          <w:tcPr>
            <w:tcW w:w="1413" w:type="dxa"/>
            <w:shd w:val="clear" w:color="auto" w:fill="auto"/>
            <w:noWrap/>
            <w:hideMark/>
          </w:tcPr>
          <w:p w14:paraId="33FD43F2" w14:textId="77777777" w:rsidR="0091068C" w:rsidRPr="00212088" w:rsidRDefault="0091068C" w:rsidP="00986896">
            <w:pPr>
              <w:jc w:val="center"/>
              <w:rPr>
                <w:color w:val="000000"/>
              </w:rPr>
            </w:pPr>
            <w:r w:rsidRPr="00212088">
              <w:rPr>
                <w:color w:val="000000"/>
              </w:rPr>
              <w:t>T7.05</w:t>
            </w:r>
          </w:p>
        </w:tc>
        <w:tc>
          <w:tcPr>
            <w:tcW w:w="850" w:type="dxa"/>
            <w:shd w:val="clear" w:color="auto" w:fill="auto"/>
            <w:noWrap/>
            <w:hideMark/>
          </w:tcPr>
          <w:p w14:paraId="1624634C" w14:textId="77777777" w:rsidR="0091068C" w:rsidRPr="00212088" w:rsidRDefault="0091068C" w:rsidP="00986896">
            <w:pPr>
              <w:jc w:val="center"/>
              <w:rPr>
                <w:color w:val="000000"/>
              </w:rPr>
            </w:pPr>
            <w:r w:rsidRPr="00212088">
              <w:rPr>
                <w:color w:val="000000"/>
              </w:rPr>
              <w:t>40.9</w:t>
            </w:r>
          </w:p>
        </w:tc>
        <w:tc>
          <w:tcPr>
            <w:tcW w:w="851" w:type="dxa"/>
            <w:shd w:val="clear" w:color="auto" w:fill="auto"/>
            <w:noWrap/>
            <w:hideMark/>
          </w:tcPr>
          <w:p w14:paraId="0D021FEC" w14:textId="77777777" w:rsidR="0091068C" w:rsidRPr="00212088" w:rsidRDefault="0091068C" w:rsidP="00986896">
            <w:pPr>
              <w:jc w:val="center"/>
              <w:rPr>
                <w:color w:val="000000"/>
              </w:rPr>
            </w:pPr>
            <w:r w:rsidRPr="00212088">
              <w:rPr>
                <w:color w:val="000000"/>
              </w:rPr>
              <w:t>14.8</w:t>
            </w:r>
          </w:p>
        </w:tc>
        <w:tc>
          <w:tcPr>
            <w:tcW w:w="850" w:type="dxa"/>
            <w:tcBorders>
              <w:top w:val="single" w:sz="4" w:space="0" w:color="auto"/>
              <w:left w:val="nil"/>
              <w:bottom w:val="single" w:sz="4" w:space="0" w:color="auto"/>
              <w:right w:val="single" w:sz="4" w:space="0" w:color="auto"/>
            </w:tcBorders>
            <w:shd w:val="clear" w:color="auto" w:fill="auto"/>
            <w:vAlign w:val="bottom"/>
          </w:tcPr>
          <w:p w14:paraId="258F54E3" w14:textId="77777777" w:rsidR="0091068C" w:rsidRPr="00212088" w:rsidRDefault="0091068C" w:rsidP="00986896">
            <w:pPr>
              <w:jc w:val="center"/>
              <w:rPr>
                <w:color w:val="000000"/>
              </w:rPr>
            </w:pPr>
            <w:r w:rsidRPr="00212088">
              <w:rPr>
                <w:color w:val="000000"/>
              </w:rPr>
              <w:t>3.2</w:t>
            </w:r>
          </w:p>
        </w:tc>
      </w:tr>
      <w:tr w:rsidR="0091068C" w:rsidRPr="00AD3ED7" w14:paraId="6706E2E8" w14:textId="77777777" w:rsidTr="00986896">
        <w:trPr>
          <w:trHeight w:val="280"/>
        </w:trPr>
        <w:tc>
          <w:tcPr>
            <w:tcW w:w="1413" w:type="dxa"/>
            <w:shd w:val="clear" w:color="auto" w:fill="auto"/>
            <w:noWrap/>
            <w:hideMark/>
          </w:tcPr>
          <w:p w14:paraId="674D4249" w14:textId="77777777" w:rsidR="0091068C" w:rsidRPr="00212088" w:rsidRDefault="0091068C" w:rsidP="00986896">
            <w:pPr>
              <w:jc w:val="center"/>
              <w:rPr>
                <w:color w:val="000000"/>
              </w:rPr>
            </w:pPr>
            <w:r w:rsidRPr="00212088">
              <w:rPr>
                <w:color w:val="000000"/>
              </w:rPr>
              <w:t>T8.01</w:t>
            </w:r>
          </w:p>
        </w:tc>
        <w:tc>
          <w:tcPr>
            <w:tcW w:w="850" w:type="dxa"/>
            <w:shd w:val="clear" w:color="auto" w:fill="auto"/>
            <w:noWrap/>
            <w:hideMark/>
          </w:tcPr>
          <w:p w14:paraId="19F4E27B" w14:textId="77777777" w:rsidR="0091068C" w:rsidRPr="00212088" w:rsidRDefault="0091068C" w:rsidP="00986896">
            <w:pPr>
              <w:jc w:val="center"/>
              <w:rPr>
                <w:color w:val="000000"/>
              </w:rPr>
            </w:pPr>
            <w:r w:rsidRPr="00212088">
              <w:rPr>
                <w:color w:val="000000"/>
              </w:rPr>
              <w:t>43.3</w:t>
            </w:r>
          </w:p>
        </w:tc>
        <w:tc>
          <w:tcPr>
            <w:tcW w:w="851" w:type="dxa"/>
            <w:shd w:val="clear" w:color="auto" w:fill="auto"/>
            <w:noWrap/>
            <w:hideMark/>
          </w:tcPr>
          <w:p w14:paraId="62A15B1A" w14:textId="77777777" w:rsidR="0091068C" w:rsidRPr="00212088" w:rsidRDefault="0091068C" w:rsidP="00986896">
            <w:pPr>
              <w:jc w:val="center"/>
              <w:rPr>
                <w:color w:val="000000"/>
              </w:rPr>
            </w:pPr>
            <w:r w:rsidRPr="0021208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6330ED27"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7084BD02" w14:textId="77777777" w:rsidTr="00986896">
        <w:trPr>
          <w:trHeight w:val="280"/>
        </w:trPr>
        <w:tc>
          <w:tcPr>
            <w:tcW w:w="1413" w:type="dxa"/>
            <w:shd w:val="clear" w:color="auto" w:fill="auto"/>
            <w:noWrap/>
            <w:hideMark/>
          </w:tcPr>
          <w:p w14:paraId="0E3BD426" w14:textId="77777777" w:rsidR="0091068C" w:rsidRPr="00212088" w:rsidRDefault="0091068C" w:rsidP="00986896">
            <w:pPr>
              <w:jc w:val="center"/>
              <w:rPr>
                <w:color w:val="000000"/>
              </w:rPr>
            </w:pPr>
            <w:r w:rsidRPr="00212088">
              <w:rPr>
                <w:color w:val="000000"/>
              </w:rPr>
              <w:t>T8.02</w:t>
            </w:r>
          </w:p>
        </w:tc>
        <w:tc>
          <w:tcPr>
            <w:tcW w:w="850" w:type="dxa"/>
            <w:shd w:val="clear" w:color="auto" w:fill="auto"/>
            <w:noWrap/>
            <w:hideMark/>
          </w:tcPr>
          <w:p w14:paraId="28465E91" w14:textId="77777777" w:rsidR="0091068C" w:rsidRPr="00212088" w:rsidRDefault="0091068C" w:rsidP="00986896">
            <w:pPr>
              <w:jc w:val="center"/>
              <w:rPr>
                <w:color w:val="000000"/>
              </w:rPr>
            </w:pPr>
            <w:r w:rsidRPr="00212088">
              <w:rPr>
                <w:color w:val="000000"/>
              </w:rPr>
              <w:t>43.1</w:t>
            </w:r>
          </w:p>
        </w:tc>
        <w:tc>
          <w:tcPr>
            <w:tcW w:w="851" w:type="dxa"/>
            <w:shd w:val="clear" w:color="auto" w:fill="auto"/>
            <w:noWrap/>
            <w:hideMark/>
          </w:tcPr>
          <w:p w14:paraId="2EA6B353" w14:textId="77777777" w:rsidR="0091068C" w:rsidRPr="00212088" w:rsidRDefault="0091068C" w:rsidP="00986896">
            <w:pPr>
              <w:jc w:val="center"/>
              <w:rPr>
                <w:color w:val="000000"/>
              </w:rPr>
            </w:pPr>
            <w:r w:rsidRPr="00212088">
              <w:rPr>
                <w:color w:val="000000"/>
              </w:rPr>
              <w:t>15.7</w:t>
            </w:r>
          </w:p>
        </w:tc>
        <w:tc>
          <w:tcPr>
            <w:tcW w:w="850" w:type="dxa"/>
            <w:tcBorders>
              <w:top w:val="single" w:sz="4" w:space="0" w:color="auto"/>
              <w:left w:val="nil"/>
              <w:bottom w:val="single" w:sz="4" w:space="0" w:color="auto"/>
              <w:right w:val="single" w:sz="4" w:space="0" w:color="auto"/>
            </w:tcBorders>
            <w:shd w:val="clear" w:color="auto" w:fill="auto"/>
            <w:vAlign w:val="bottom"/>
          </w:tcPr>
          <w:p w14:paraId="4C3A380A" w14:textId="77777777" w:rsidR="0091068C" w:rsidRPr="00212088" w:rsidRDefault="0091068C" w:rsidP="00986896">
            <w:pPr>
              <w:jc w:val="center"/>
              <w:rPr>
                <w:color w:val="000000"/>
              </w:rPr>
            </w:pPr>
            <w:r w:rsidRPr="00212088">
              <w:rPr>
                <w:color w:val="000000"/>
              </w:rPr>
              <w:t>3.2</w:t>
            </w:r>
          </w:p>
        </w:tc>
      </w:tr>
      <w:tr w:rsidR="0091068C" w:rsidRPr="00AD3ED7" w14:paraId="614B5D9D" w14:textId="77777777" w:rsidTr="00986896">
        <w:trPr>
          <w:trHeight w:val="280"/>
        </w:trPr>
        <w:tc>
          <w:tcPr>
            <w:tcW w:w="1413" w:type="dxa"/>
            <w:shd w:val="clear" w:color="auto" w:fill="auto"/>
            <w:noWrap/>
            <w:hideMark/>
          </w:tcPr>
          <w:p w14:paraId="2F53ECB7" w14:textId="77777777" w:rsidR="0091068C" w:rsidRPr="00212088" w:rsidRDefault="0091068C" w:rsidP="00986896">
            <w:pPr>
              <w:jc w:val="center"/>
              <w:rPr>
                <w:color w:val="000000"/>
              </w:rPr>
            </w:pPr>
            <w:r w:rsidRPr="00212088">
              <w:rPr>
                <w:color w:val="000000"/>
              </w:rPr>
              <w:t>T8.03</w:t>
            </w:r>
          </w:p>
        </w:tc>
        <w:tc>
          <w:tcPr>
            <w:tcW w:w="850" w:type="dxa"/>
            <w:shd w:val="clear" w:color="auto" w:fill="auto"/>
            <w:noWrap/>
            <w:hideMark/>
          </w:tcPr>
          <w:p w14:paraId="41ACED0A" w14:textId="77777777" w:rsidR="0091068C" w:rsidRPr="00212088" w:rsidRDefault="0091068C" w:rsidP="00986896">
            <w:pPr>
              <w:jc w:val="center"/>
              <w:rPr>
                <w:color w:val="000000"/>
              </w:rPr>
            </w:pPr>
            <w:r w:rsidRPr="00212088">
              <w:rPr>
                <w:color w:val="000000"/>
              </w:rPr>
              <w:t>41.8</w:t>
            </w:r>
          </w:p>
        </w:tc>
        <w:tc>
          <w:tcPr>
            <w:tcW w:w="851" w:type="dxa"/>
            <w:shd w:val="clear" w:color="auto" w:fill="auto"/>
            <w:noWrap/>
            <w:hideMark/>
          </w:tcPr>
          <w:p w14:paraId="220E7A31" w14:textId="77777777" w:rsidR="0091068C" w:rsidRPr="00212088" w:rsidRDefault="0091068C" w:rsidP="00986896">
            <w:pPr>
              <w:jc w:val="center"/>
              <w:rPr>
                <w:color w:val="000000"/>
              </w:rPr>
            </w:pPr>
            <w:r w:rsidRPr="00212088">
              <w:rPr>
                <w:color w:val="000000"/>
              </w:rPr>
              <w:t>15.2</w:t>
            </w:r>
          </w:p>
        </w:tc>
        <w:tc>
          <w:tcPr>
            <w:tcW w:w="850" w:type="dxa"/>
            <w:tcBorders>
              <w:top w:val="single" w:sz="4" w:space="0" w:color="auto"/>
              <w:left w:val="nil"/>
              <w:bottom w:val="single" w:sz="4" w:space="0" w:color="auto"/>
              <w:right w:val="single" w:sz="4" w:space="0" w:color="auto"/>
            </w:tcBorders>
            <w:shd w:val="clear" w:color="auto" w:fill="auto"/>
            <w:vAlign w:val="bottom"/>
          </w:tcPr>
          <w:p w14:paraId="20727050" w14:textId="77777777" w:rsidR="0091068C" w:rsidRPr="00212088" w:rsidRDefault="0091068C" w:rsidP="00986896">
            <w:pPr>
              <w:jc w:val="center"/>
              <w:rPr>
                <w:color w:val="000000"/>
              </w:rPr>
            </w:pPr>
            <w:r w:rsidRPr="00212088">
              <w:rPr>
                <w:color w:val="000000"/>
              </w:rPr>
              <w:t>3.2</w:t>
            </w:r>
          </w:p>
        </w:tc>
      </w:tr>
      <w:tr w:rsidR="0091068C" w:rsidRPr="00AD3ED7" w14:paraId="6B417B69" w14:textId="77777777" w:rsidTr="00986896">
        <w:trPr>
          <w:trHeight w:val="280"/>
        </w:trPr>
        <w:tc>
          <w:tcPr>
            <w:tcW w:w="1413" w:type="dxa"/>
            <w:shd w:val="clear" w:color="auto" w:fill="auto"/>
            <w:noWrap/>
            <w:hideMark/>
          </w:tcPr>
          <w:p w14:paraId="235344DA" w14:textId="77777777" w:rsidR="0091068C" w:rsidRPr="00212088" w:rsidRDefault="0091068C" w:rsidP="00986896">
            <w:pPr>
              <w:jc w:val="center"/>
              <w:rPr>
                <w:color w:val="000000"/>
              </w:rPr>
            </w:pPr>
            <w:r w:rsidRPr="00212088">
              <w:rPr>
                <w:color w:val="000000"/>
              </w:rPr>
              <w:lastRenderedPageBreak/>
              <w:t>T8.04</w:t>
            </w:r>
          </w:p>
        </w:tc>
        <w:tc>
          <w:tcPr>
            <w:tcW w:w="850" w:type="dxa"/>
            <w:shd w:val="clear" w:color="auto" w:fill="auto"/>
            <w:noWrap/>
            <w:hideMark/>
          </w:tcPr>
          <w:p w14:paraId="4C85197D" w14:textId="77777777" w:rsidR="0091068C" w:rsidRPr="00212088" w:rsidRDefault="0091068C" w:rsidP="00986896">
            <w:pPr>
              <w:jc w:val="center"/>
              <w:rPr>
                <w:color w:val="000000"/>
              </w:rPr>
            </w:pPr>
            <w:r w:rsidRPr="00212088">
              <w:rPr>
                <w:color w:val="000000"/>
              </w:rPr>
              <w:t>42</w:t>
            </w:r>
            <w:r>
              <w:rPr>
                <w:color w:val="000000"/>
              </w:rPr>
              <w:t>.0</w:t>
            </w:r>
          </w:p>
        </w:tc>
        <w:tc>
          <w:tcPr>
            <w:tcW w:w="851" w:type="dxa"/>
            <w:shd w:val="clear" w:color="auto" w:fill="auto"/>
            <w:noWrap/>
            <w:hideMark/>
          </w:tcPr>
          <w:p w14:paraId="292FB664" w14:textId="77777777" w:rsidR="0091068C" w:rsidRPr="00212088" w:rsidRDefault="0091068C" w:rsidP="00986896">
            <w:pPr>
              <w:jc w:val="center"/>
              <w:rPr>
                <w:color w:val="000000"/>
              </w:rPr>
            </w:pPr>
            <w:r w:rsidRPr="00212088">
              <w:rPr>
                <w:color w:val="000000"/>
              </w:rPr>
              <w:t>15.2</w:t>
            </w:r>
          </w:p>
        </w:tc>
        <w:tc>
          <w:tcPr>
            <w:tcW w:w="850" w:type="dxa"/>
            <w:tcBorders>
              <w:top w:val="single" w:sz="4" w:space="0" w:color="auto"/>
              <w:left w:val="nil"/>
              <w:bottom w:val="single" w:sz="4" w:space="0" w:color="auto"/>
              <w:right w:val="single" w:sz="4" w:space="0" w:color="auto"/>
            </w:tcBorders>
            <w:shd w:val="clear" w:color="auto" w:fill="auto"/>
            <w:vAlign w:val="bottom"/>
          </w:tcPr>
          <w:p w14:paraId="2674D5F9" w14:textId="77777777" w:rsidR="0091068C" w:rsidRPr="00212088" w:rsidRDefault="0091068C" w:rsidP="00986896">
            <w:pPr>
              <w:jc w:val="center"/>
              <w:rPr>
                <w:color w:val="000000"/>
              </w:rPr>
            </w:pPr>
            <w:r w:rsidRPr="00212088">
              <w:rPr>
                <w:color w:val="000000"/>
              </w:rPr>
              <w:t>3.2</w:t>
            </w:r>
          </w:p>
        </w:tc>
      </w:tr>
      <w:tr w:rsidR="0091068C" w:rsidRPr="00AD3ED7" w14:paraId="56E6F29A" w14:textId="77777777" w:rsidTr="00986896">
        <w:trPr>
          <w:trHeight w:val="280"/>
        </w:trPr>
        <w:tc>
          <w:tcPr>
            <w:tcW w:w="1413" w:type="dxa"/>
            <w:shd w:val="clear" w:color="auto" w:fill="auto"/>
            <w:noWrap/>
            <w:hideMark/>
          </w:tcPr>
          <w:p w14:paraId="4A284FB3" w14:textId="77777777" w:rsidR="0091068C" w:rsidRPr="00212088" w:rsidRDefault="0091068C" w:rsidP="00986896">
            <w:pPr>
              <w:jc w:val="center"/>
              <w:rPr>
                <w:color w:val="000000"/>
              </w:rPr>
            </w:pPr>
            <w:r w:rsidRPr="00212088">
              <w:rPr>
                <w:color w:val="000000"/>
              </w:rPr>
              <w:t>T8.05</w:t>
            </w:r>
          </w:p>
        </w:tc>
        <w:tc>
          <w:tcPr>
            <w:tcW w:w="850" w:type="dxa"/>
            <w:shd w:val="clear" w:color="auto" w:fill="auto"/>
            <w:noWrap/>
            <w:hideMark/>
          </w:tcPr>
          <w:p w14:paraId="078656E1" w14:textId="77777777" w:rsidR="0091068C" w:rsidRPr="00212088" w:rsidRDefault="0091068C" w:rsidP="00986896">
            <w:pPr>
              <w:jc w:val="center"/>
              <w:rPr>
                <w:color w:val="000000"/>
              </w:rPr>
            </w:pPr>
            <w:r w:rsidRPr="00212088">
              <w:rPr>
                <w:color w:val="000000"/>
              </w:rPr>
              <w:t>41.5</w:t>
            </w:r>
          </w:p>
        </w:tc>
        <w:tc>
          <w:tcPr>
            <w:tcW w:w="851" w:type="dxa"/>
            <w:shd w:val="clear" w:color="auto" w:fill="auto"/>
            <w:noWrap/>
            <w:hideMark/>
          </w:tcPr>
          <w:p w14:paraId="47BFA8D7" w14:textId="77777777" w:rsidR="0091068C" w:rsidRPr="00212088" w:rsidRDefault="0091068C" w:rsidP="00986896">
            <w:pPr>
              <w:jc w:val="center"/>
              <w:rPr>
                <w:color w:val="000000"/>
              </w:rPr>
            </w:pPr>
            <w:r w:rsidRPr="00212088">
              <w:rPr>
                <w:color w:val="000000"/>
              </w:rPr>
              <w:t>15</w:t>
            </w:r>
            <w:r>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1EBD154D" w14:textId="77777777" w:rsidR="0091068C" w:rsidRPr="00212088" w:rsidRDefault="0091068C" w:rsidP="00986896">
            <w:pPr>
              <w:jc w:val="center"/>
              <w:rPr>
                <w:color w:val="000000"/>
              </w:rPr>
            </w:pPr>
            <w:r w:rsidRPr="00212088">
              <w:rPr>
                <w:color w:val="000000"/>
              </w:rPr>
              <w:t>3.2</w:t>
            </w:r>
          </w:p>
        </w:tc>
      </w:tr>
      <w:tr w:rsidR="0091068C" w:rsidRPr="00AD3ED7" w14:paraId="319F7B16" w14:textId="77777777" w:rsidTr="00986896">
        <w:trPr>
          <w:trHeight w:val="280"/>
        </w:trPr>
        <w:tc>
          <w:tcPr>
            <w:tcW w:w="1413" w:type="dxa"/>
            <w:shd w:val="clear" w:color="auto" w:fill="auto"/>
            <w:noWrap/>
            <w:hideMark/>
          </w:tcPr>
          <w:p w14:paraId="74F5F0A8" w14:textId="77777777" w:rsidR="0091068C" w:rsidRPr="00212088" w:rsidRDefault="0091068C" w:rsidP="00986896">
            <w:pPr>
              <w:jc w:val="center"/>
              <w:rPr>
                <w:color w:val="000000"/>
              </w:rPr>
            </w:pPr>
            <w:r w:rsidRPr="00212088">
              <w:rPr>
                <w:color w:val="000000"/>
              </w:rPr>
              <w:t>T8.06</w:t>
            </w:r>
          </w:p>
        </w:tc>
        <w:tc>
          <w:tcPr>
            <w:tcW w:w="850" w:type="dxa"/>
            <w:shd w:val="clear" w:color="auto" w:fill="auto"/>
            <w:noWrap/>
            <w:hideMark/>
          </w:tcPr>
          <w:p w14:paraId="1A1E60C2" w14:textId="77777777" w:rsidR="0091068C" w:rsidRPr="00212088" w:rsidRDefault="0091068C" w:rsidP="00986896">
            <w:pPr>
              <w:jc w:val="center"/>
              <w:rPr>
                <w:color w:val="000000"/>
              </w:rPr>
            </w:pPr>
            <w:r w:rsidRPr="00212088">
              <w:rPr>
                <w:color w:val="000000"/>
              </w:rPr>
              <w:t>41.8</w:t>
            </w:r>
          </w:p>
        </w:tc>
        <w:tc>
          <w:tcPr>
            <w:tcW w:w="851" w:type="dxa"/>
            <w:shd w:val="clear" w:color="auto" w:fill="auto"/>
            <w:noWrap/>
            <w:hideMark/>
          </w:tcPr>
          <w:p w14:paraId="1A72B28B" w14:textId="77777777" w:rsidR="0091068C" w:rsidRPr="00212088" w:rsidRDefault="0091068C" w:rsidP="00986896">
            <w:pPr>
              <w:jc w:val="center"/>
              <w:rPr>
                <w:color w:val="000000"/>
              </w:rPr>
            </w:pPr>
            <w:r w:rsidRPr="00212088">
              <w:rPr>
                <w:color w:val="000000"/>
              </w:rPr>
              <w:t>14.</w:t>
            </w:r>
            <w:r>
              <w:rPr>
                <w:color w:val="000000"/>
              </w:rPr>
              <w:t>8</w:t>
            </w:r>
          </w:p>
        </w:tc>
        <w:tc>
          <w:tcPr>
            <w:tcW w:w="850" w:type="dxa"/>
            <w:tcBorders>
              <w:top w:val="single" w:sz="4" w:space="0" w:color="auto"/>
              <w:left w:val="nil"/>
              <w:bottom w:val="single" w:sz="4" w:space="0" w:color="auto"/>
              <w:right w:val="single" w:sz="4" w:space="0" w:color="auto"/>
            </w:tcBorders>
            <w:shd w:val="clear" w:color="auto" w:fill="auto"/>
            <w:vAlign w:val="bottom"/>
          </w:tcPr>
          <w:p w14:paraId="3D383D96" w14:textId="77777777" w:rsidR="0091068C" w:rsidRPr="00212088" w:rsidRDefault="0091068C" w:rsidP="00986896">
            <w:pPr>
              <w:jc w:val="center"/>
              <w:rPr>
                <w:color w:val="000000"/>
              </w:rPr>
            </w:pPr>
            <w:r w:rsidRPr="00212088">
              <w:rPr>
                <w:color w:val="000000"/>
              </w:rPr>
              <w:t>3.3</w:t>
            </w:r>
          </w:p>
        </w:tc>
      </w:tr>
      <w:tr w:rsidR="0091068C" w:rsidRPr="00AD3ED7" w14:paraId="36D79181" w14:textId="77777777" w:rsidTr="00986896">
        <w:trPr>
          <w:trHeight w:val="280"/>
        </w:trPr>
        <w:tc>
          <w:tcPr>
            <w:tcW w:w="1413" w:type="dxa"/>
            <w:shd w:val="clear" w:color="auto" w:fill="auto"/>
            <w:noWrap/>
            <w:hideMark/>
          </w:tcPr>
          <w:p w14:paraId="4E41BB6E" w14:textId="77777777" w:rsidR="0091068C" w:rsidRPr="00212088" w:rsidRDefault="0091068C" w:rsidP="00986896">
            <w:pPr>
              <w:jc w:val="center"/>
              <w:rPr>
                <w:color w:val="000000"/>
              </w:rPr>
            </w:pPr>
            <w:r w:rsidRPr="00212088">
              <w:rPr>
                <w:color w:val="000000"/>
              </w:rPr>
              <w:t>T9.01</w:t>
            </w:r>
          </w:p>
        </w:tc>
        <w:tc>
          <w:tcPr>
            <w:tcW w:w="850" w:type="dxa"/>
            <w:shd w:val="clear" w:color="auto" w:fill="auto"/>
            <w:noWrap/>
            <w:hideMark/>
          </w:tcPr>
          <w:p w14:paraId="4AC04CE4" w14:textId="77777777" w:rsidR="0091068C" w:rsidRPr="00212088" w:rsidRDefault="0091068C" w:rsidP="00986896">
            <w:pPr>
              <w:jc w:val="center"/>
              <w:rPr>
                <w:color w:val="000000"/>
              </w:rPr>
            </w:pPr>
            <w:r w:rsidRPr="00212088">
              <w:rPr>
                <w:color w:val="000000"/>
              </w:rPr>
              <w:t>39.8</w:t>
            </w:r>
          </w:p>
        </w:tc>
        <w:tc>
          <w:tcPr>
            <w:tcW w:w="851" w:type="dxa"/>
            <w:shd w:val="clear" w:color="auto" w:fill="auto"/>
            <w:noWrap/>
            <w:hideMark/>
          </w:tcPr>
          <w:p w14:paraId="4E52B02D" w14:textId="77777777" w:rsidR="0091068C" w:rsidRPr="00212088" w:rsidRDefault="0091068C" w:rsidP="00986896">
            <w:pPr>
              <w:jc w:val="center"/>
              <w:rPr>
                <w:color w:val="000000"/>
              </w:rPr>
            </w:pPr>
            <w:r w:rsidRPr="00212088">
              <w:rPr>
                <w:color w:val="000000"/>
              </w:rPr>
              <w:t>14.</w:t>
            </w:r>
            <w:r>
              <w:rPr>
                <w:color w:val="000000"/>
              </w:rPr>
              <w:t>7</w:t>
            </w:r>
          </w:p>
        </w:tc>
        <w:tc>
          <w:tcPr>
            <w:tcW w:w="850" w:type="dxa"/>
            <w:tcBorders>
              <w:top w:val="single" w:sz="4" w:space="0" w:color="auto"/>
              <w:left w:val="nil"/>
              <w:bottom w:val="single" w:sz="4" w:space="0" w:color="auto"/>
              <w:right w:val="single" w:sz="4" w:space="0" w:color="auto"/>
            </w:tcBorders>
            <w:shd w:val="clear" w:color="auto" w:fill="auto"/>
            <w:vAlign w:val="bottom"/>
          </w:tcPr>
          <w:p w14:paraId="553D9706"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3078F384" w14:textId="77777777" w:rsidTr="00986896">
        <w:trPr>
          <w:trHeight w:val="280"/>
        </w:trPr>
        <w:tc>
          <w:tcPr>
            <w:tcW w:w="1413" w:type="dxa"/>
            <w:shd w:val="clear" w:color="auto" w:fill="auto"/>
            <w:noWrap/>
            <w:hideMark/>
          </w:tcPr>
          <w:p w14:paraId="06F5D0EB" w14:textId="77777777" w:rsidR="0091068C" w:rsidRPr="00212088" w:rsidRDefault="0091068C" w:rsidP="00986896">
            <w:pPr>
              <w:jc w:val="center"/>
              <w:rPr>
                <w:color w:val="000000"/>
              </w:rPr>
            </w:pPr>
            <w:r w:rsidRPr="00212088">
              <w:rPr>
                <w:color w:val="000000"/>
              </w:rPr>
              <w:t>T9.02</w:t>
            </w:r>
          </w:p>
        </w:tc>
        <w:tc>
          <w:tcPr>
            <w:tcW w:w="850" w:type="dxa"/>
            <w:shd w:val="clear" w:color="auto" w:fill="auto"/>
            <w:noWrap/>
            <w:hideMark/>
          </w:tcPr>
          <w:p w14:paraId="1F5C6CB0" w14:textId="77777777" w:rsidR="0091068C" w:rsidRPr="00212088" w:rsidRDefault="0091068C" w:rsidP="00986896">
            <w:pPr>
              <w:jc w:val="center"/>
              <w:rPr>
                <w:color w:val="000000"/>
              </w:rPr>
            </w:pPr>
            <w:r w:rsidRPr="00212088">
              <w:rPr>
                <w:color w:val="000000"/>
              </w:rPr>
              <w:t>44</w:t>
            </w:r>
            <w:r>
              <w:rPr>
                <w:color w:val="000000"/>
              </w:rPr>
              <w:t>.0</w:t>
            </w:r>
          </w:p>
        </w:tc>
        <w:tc>
          <w:tcPr>
            <w:tcW w:w="851" w:type="dxa"/>
            <w:shd w:val="clear" w:color="auto" w:fill="auto"/>
            <w:noWrap/>
            <w:hideMark/>
          </w:tcPr>
          <w:p w14:paraId="37C260F3" w14:textId="77777777" w:rsidR="0091068C" w:rsidRPr="00212088" w:rsidRDefault="0091068C" w:rsidP="00986896">
            <w:pPr>
              <w:jc w:val="center"/>
              <w:rPr>
                <w:color w:val="000000"/>
              </w:rPr>
            </w:pPr>
            <w:r w:rsidRPr="00212088">
              <w:rPr>
                <w:color w:val="000000"/>
              </w:rPr>
              <w:t>16.3</w:t>
            </w:r>
          </w:p>
        </w:tc>
        <w:tc>
          <w:tcPr>
            <w:tcW w:w="850" w:type="dxa"/>
            <w:tcBorders>
              <w:top w:val="single" w:sz="4" w:space="0" w:color="auto"/>
              <w:left w:val="nil"/>
              <w:bottom w:val="single" w:sz="4" w:space="0" w:color="auto"/>
              <w:right w:val="single" w:sz="4" w:space="0" w:color="auto"/>
            </w:tcBorders>
            <w:shd w:val="clear" w:color="auto" w:fill="auto"/>
            <w:vAlign w:val="bottom"/>
          </w:tcPr>
          <w:p w14:paraId="370E08EB"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2EB6771C" w14:textId="77777777" w:rsidTr="00986896">
        <w:trPr>
          <w:trHeight w:val="280"/>
        </w:trPr>
        <w:tc>
          <w:tcPr>
            <w:tcW w:w="1413" w:type="dxa"/>
            <w:shd w:val="clear" w:color="auto" w:fill="auto"/>
            <w:noWrap/>
            <w:hideMark/>
          </w:tcPr>
          <w:p w14:paraId="2B22E81F" w14:textId="77777777" w:rsidR="0091068C" w:rsidRPr="00212088" w:rsidRDefault="0091068C" w:rsidP="00986896">
            <w:pPr>
              <w:jc w:val="center"/>
              <w:rPr>
                <w:color w:val="000000"/>
              </w:rPr>
            </w:pPr>
            <w:r w:rsidRPr="00212088">
              <w:rPr>
                <w:color w:val="000000"/>
              </w:rPr>
              <w:t>T9.03</w:t>
            </w:r>
          </w:p>
        </w:tc>
        <w:tc>
          <w:tcPr>
            <w:tcW w:w="850" w:type="dxa"/>
            <w:shd w:val="clear" w:color="auto" w:fill="auto"/>
            <w:noWrap/>
            <w:hideMark/>
          </w:tcPr>
          <w:p w14:paraId="752FA694" w14:textId="77777777" w:rsidR="0091068C" w:rsidRPr="00212088" w:rsidRDefault="0091068C" w:rsidP="00986896">
            <w:pPr>
              <w:jc w:val="center"/>
              <w:rPr>
                <w:color w:val="000000"/>
              </w:rPr>
            </w:pPr>
            <w:r w:rsidRPr="00212088">
              <w:rPr>
                <w:color w:val="000000"/>
              </w:rPr>
              <w:t>43.4</w:t>
            </w:r>
          </w:p>
        </w:tc>
        <w:tc>
          <w:tcPr>
            <w:tcW w:w="851" w:type="dxa"/>
            <w:shd w:val="clear" w:color="auto" w:fill="auto"/>
            <w:noWrap/>
            <w:hideMark/>
          </w:tcPr>
          <w:p w14:paraId="40167A3F" w14:textId="77777777" w:rsidR="0091068C" w:rsidRPr="00212088" w:rsidRDefault="0091068C" w:rsidP="00986896">
            <w:pPr>
              <w:jc w:val="center"/>
              <w:rPr>
                <w:color w:val="000000"/>
              </w:rPr>
            </w:pPr>
            <w:r w:rsidRPr="0021208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395C8DBE" w14:textId="77777777" w:rsidR="0091068C" w:rsidRPr="00212088" w:rsidRDefault="0091068C" w:rsidP="00986896">
            <w:pPr>
              <w:jc w:val="center"/>
              <w:rPr>
                <w:color w:val="000000"/>
              </w:rPr>
            </w:pPr>
            <w:r w:rsidRPr="00212088">
              <w:rPr>
                <w:color w:val="000000"/>
              </w:rPr>
              <w:t>3.</w:t>
            </w:r>
            <w:r>
              <w:rPr>
                <w:color w:val="000000"/>
              </w:rPr>
              <w:t>1</w:t>
            </w:r>
          </w:p>
        </w:tc>
      </w:tr>
      <w:tr w:rsidR="0091068C" w:rsidRPr="00AD3ED7" w14:paraId="01A157AC" w14:textId="77777777" w:rsidTr="00986896">
        <w:trPr>
          <w:trHeight w:val="280"/>
        </w:trPr>
        <w:tc>
          <w:tcPr>
            <w:tcW w:w="1413" w:type="dxa"/>
            <w:shd w:val="clear" w:color="auto" w:fill="auto"/>
            <w:noWrap/>
            <w:hideMark/>
          </w:tcPr>
          <w:p w14:paraId="290432C8" w14:textId="77777777" w:rsidR="0091068C" w:rsidRPr="00212088" w:rsidRDefault="0091068C" w:rsidP="00986896">
            <w:pPr>
              <w:jc w:val="center"/>
              <w:rPr>
                <w:color w:val="000000"/>
              </w:rPr>
            </w:pPr>
            <w:r w:rsidRPr="00212088">
              <w:rPr>
                <w:color w:val="000000"/>
              </w:rPr>
              <w:t>T9.04</w:t>
            </w:r>
          </w:p>
        </w:tc>
        <w:tc>
          <w:tcPr>
            <w:tcW w:w="850" w:type="dxa"/>
            <w:shd w:val="clear" w:color="auto" w:fill="auto"/>
            <w:noWrap/>
            <w:hideMark/>
          </w:tcPr>
          <w:p w14:paraId="211CF2AF" w14:textId="77777777" w:rsidR="0091068C" w:rsidRPr="00212088" w:rsidRDefault="0091068C" w:rsidP="00986896">
            <w:pPr>
              <w:jc w:val="center"/>
              <w:rPr>
                <w:color w:val="000000"/>
              </w:rPr>
            </w:pPr>
            <w:r w:rsidRPr="00212088">
              <w:rPr>
                <w:color w:val="000000"/>
              </w:rPr>
              <w:t>43</w:t>
            </w:r>
            <w:r>
              <w:rPr>
                <w:color w:val="000000"/>
              </w:rPr>
              <w:t>.0</w:t>
            </w:r>
          </w:p>
        </w:tc>
        <w:tc>
          <w:tcPr>
            <w:tcW w:w="851" w:type="dxa"/>
            <w:shd w:val="clear" w:color="auto" w:fill="auto"/>
            <w:noWrap/>
            <w:hideMark/>
          </w:tcPr>
          <w:p w14:paraId="6E96D6BF" w14:textId="77777777" w:rsidR="0091068C" w:rsidRPr="00212088" w:rsidRDefault="0091068C" w:rsidP="00986896">
            <w:pPr>
              <w:jc w:val="center"/>
              <w:rPr>
                <w:color w:val="000000"/>
              </w:rPr>
            </w:pPr>
            <w:r w:rsidRPr="0021208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2BB95FEA" w14:textId="77777777" w:rsidR="0091068C" w:rsidRPr="00212088" w:rsidRDefault="0091068C" w:rsidP="00986896">
            <w:pPr>
              <w:jc w:val="center"/>
              <w:rPr>
                <w:color w:val="000000"/>
              </w:rPr>
            </w:pPr>
            <w:r w:rsidRPr="00212088">
              <w:rPr>
                <w:color w:val="000000"/>
              </w:rPr>
              <w:t>3.</w:t>
            </w:r>
            <w:r>
              <w:rPr>
                <w:color w:val="000000"/>
              </w:rPr>
              <w:t>2</w:t>
            </w:r>
          </w:p>
        </w:tc>
      </w:tr>
      <w:tr w:rsidR="0091068C" w:rsidRPr="00AD3ED7" w14:paraId="17F494BF" w14:textId="77777777" w:rsidTr="00986896">
        <w:trPr>
          <w:trHeight w:val="280"/>
        </w:trPr>
        <w:tc>
          <w:tcPr>
            <w:tcW w:w="1413" w:type="dxa"/>
            <w:shd w:val="clear" w:color="auto" w:fill="auto"/>
            <w:noWrap/>
            <w:hideMark/>
          </w:tcPr>
          <w:p w14:paraId="25AD15C9" w14:textId="77777777" w:rsidR="0091068C" w:rsidRPr="00BA6CB8" w:rsidRDefault="0091068C" w:rsidP="00986896">
            <w:pPr>
              <w:jc w:val="center"/>
              <w:rPr>
                <w:color w:val="000000"/>
              </w:rPr>
            </w:pPr>
            <w:r w:rsidRPr="00BA6CB8">
              <w:rPr>
                <w:color w:val="000000"/>
              </w:rPr>
              <w:t>T9.05</w:t>
            </w:r>
          </w:p>
        </w:tc>
        <w:tc>
          <w:tcPr>
            <w:tcW w:w="850" w:type="dxa"/>
            <w:shd w:val="clear" w:color="auto" w:fill="auto"/>
            <w:noWrap/>
            <w:hideMark/>
          </w:tcPr>
          <w:p w14:paraId="7C29919D" w14:textId="77777777" w:rsidR="0091068C" w:rsidRPr="00BA6CB8" w:rsidRDefault="0091068C" w:rsidP="00986896">
            <w:pPr>
              <w:jc w:val="center"/>
              <w:rPr>
                <w:color w:val="000000"/>
              </w:rPr>
            </w:pPr>
            <w:r w:rsidRPr="00BA6CB8">
              <w:rPr>
                <w:color w:val="000000"/>
              </w:rPr>
              <w:t>40.9</w:t>
            </w:r>
          </w:p>
        </w:tc>
        <w:tc>
          <w:tcPr>
            <w:tcW w:w="851" w:type="dxa"/>
            <w:shd w:val="clear" w:color="auto" w:fill="auto"/>
            <w:noWrap/>
            <w:hideMark/>
          </w:tcPr>
          <w:p w14:paraId="61C43852" w14:textId="77777777" w:rsidR="0091068C" w:rsidRPr="00BA6CB8" w:rsidRDefault="0091068C" w:rsidP="00986896">
            <w:pPr>
              <w:jc w:val="center"/>
              <w:rPr>
                <w:color w:val="000000"/>
              </w:rPr>
            </w:pPr>
            <w:r w:rsidRPr="00BA6CB8">
              <w:rPr>
                <w:color w:val="000000"/>
              </w:rPr>
              <w:t>15</w:t>
            </w:r>
            <w:r>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3FB182D2"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470AD9AB" w14:textId="77777777" w:rsidTr="00986896">
        <w:trPr>
          <w:trHeight w:val="280"/>
        </w:trPr>
        <w:tc>
          <w:tcPr>
            <w:tcW w:w="1413" w:type="dxa"/>
            <w:shd w:val="clear" w:color="auto" w:fill="auto"/>
            <w:noWrap/>
          </w:tcPr>
          <w:p w14:paraId="1CFB30CA" w14:textId="77777777" w:rsidR="0091068C" w:rsidRPr="00BA6CB8" w:rsidRDefault="0091068C" w:rsidP="00986896">
            <w:pPr>
              <w:jc w:val="center"/>
              <w:rPr>
                <w:color w:val="000000"/>
              </w:rPr>
            </w:pPr>
            <w:r w:rsidRPr="00BA6CB8">
              <w:rPr>
                <w:color w:val="000000"/>
              </w:rPr>
              <w:t>T10.01</w:t>
            </w:r>
          </w:p>
        </w:tc>
        <w:tc>
          <w:tcPr>
            <w:tcW w:w="850" w:type="dxa"/>
            <w:shd w:val="clear" w:color="auto" w:fill="auto"/>
            <w:noWrap/>
          </w:tcPr>
          <w:p w14:paraId="6B8B8135" w14:textId="77777777" w:rsidR="0091068C" w:rsidRPr="00BA6CB8" w:rsidRDefault="0091068C" w:rsidP="00986896">
            <w:pPr>
              <w:jc w:val="center"/>
              <w:rPr>
                <w:color w:val="000000"/>
              </w:rPr>
            </w:pPr>
            <w:r w:rsidRPr="00BA6CB8">
              <w:rPr>
                <w:color w:val="000000"/>
              </w:rPr>
              <w:t>41.6</w:t>
            </w:r>
          </w:p>
        </w:tc>
        <w:tc>
          <w:tcPr>
            <w:tcW w:w="851" w:type="dxa"/>
            <w:shd w:val="clear" w:color="auto" w:fill="auto"/>
            <w:noWrap/>
          </w:tcPr>
          <w:p w14:paraId="61E8C790" w14:textId="77777777" w:rsidR="0091068C" w:rsidRPr="00BA6CB8" w:rsidRDefault="0091068C" w:rsidP="00986896">
            <w:pPr>
              <w:jc w:val="center"/>
              <w:rPr>
                <w:color w:val="000000"/>
              </w:rPr>
            </w:pPr>
            <w:r w:rsidRPr="00BA6CB8">
              <w:rPr>
                <w:color w:val="000000"/>
              </w:rPr>
              <w:t>15.3</w:t>
            </w:r>
          </w:p>
        </w:tc>
        <w:tc>
          <w:tcPr>
            <w:tcW w:w="850" w:type="dxa"/>
            <w:tcBorders>
              <w:top w:val="single" w:sz="4" w:space="0" w:color="auto"/>
              <w:left w:val="nil"/>
              <w:bottom w:val="single" w:sz="4" w:space="0" w:color="auto"/>
              <w:right w:val="single" w:sz="4" w:space="0" w:color="auto"/>
            </w:tcBorders>
            <w:shd w:val="clear" w:color="auto" w:fill="auto"/>
            <w:vAlign w:val="bottom"/>
          </w:tcPr>
          <w:p w14:paraId="3A3CBC26"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32B1D33C" w14:textId="77777777" w:rsidTr="00986896">
        <w:trPr>
          <w:trHeight w:val="280"/>
        </w:trPr>
        <w:tc>
          <w:tcPr>
            <w:tcW w:w="1413" w:type="dxa"/>
            <w:shd w:val="clear" w:color="auto" w:fill="auto"/>
            <w:noWrap/>
          </w:tcPr>
          <w:p w14:paraId="064D4320" w14:textId="77777777" w:rsidR="0091068C" w:rsidRPr="00BA6CB8" w:rsidRDefault="0091068C" w:rsidP="00986896">
            <w:pPr>
              <w:jc w:val="center"/>
              <w:rPr>
                <w:color w:val="000000"/>
              </w:rPr>
            </w:pPr>
            <w:r w:rsidRPr="00BA6CB8">
              <w:rPr>
                <w:color w:val="000000"/>
              </w:rPr>
              <w:t>T10.02</w:t>
            </w:r>
          </w:p>
        </w:tc>
        <w:tc>
          <w:tcPr>
            <w:tcW w:w="850" w:type="dxa"/>
            <w:shd w:val="clear" w:color="auto" w:fill="auto"/>
            <w:noWrap/>
          </w:tcPr>
          <w:p w14:paraId="5D14D979" w14:textId="77777777" w:rsidR="0091068C" w:rsidRPr="00BA6CB8" w:rsidRDefault="0091068C" w:rsidP="00986896">
            <w:pPr>
              <w:jc w:val="center"/>
              <w:rPr>
                <w:color w:val="000000"/>
              </w:rPr>
            </w:pPr>
            <w:r w:rsidRPr="00BA6CB8">
              <w:rPr>
                <w:color w:val="000000"/>
              </w:rPr>
              <w:t>41.1</w:t>
            </w:r>
          </w:p>
        </w:tc>
        <w:tc>
          <w:tcPr>
            <w:tcW w:w="851" w:type="dxa"/>
            <w:shd w:val="clear" w:color="auto" w:fill="auto"/>
            <w:noWrap/>
          </w:tcPr>
          <w:p w14:paraId="03E7CF4D" w14:textId="77777777" w:rsidR="0091068C" w:rsidRPr="00BA6CB8" w:rsidRDefault="0091068C" w:rsidP="00986896">
            <w:pPr>
              <w:jc w:val="center"/>
              <w:rPr>
                <w:color w:val="000000"/>
              </w:rPr>
            </w:pPr>
            <w:r w:rsidRPr="00BA6CB8">
              <w:rPr>
                <w:color w:val="000000"/>
              </w:rPr>
              <w:t>14.</w:t>
            </w:r>
            <w:r>
              <w:rPr>
                <w:color w:val="000000"/>
              </w:rPr>
              <w:t>9</w:t>
            </w:r>
          </w:p>
        </w:tc>
        <w:tc>
          <w:tcPr>
            <w:tcW w:w="850" w:type="dxa"/>
            <w:tcBorders>
              <w:top w:val="single" w:sz="4" w:space="0" w:color="auto"/>
              <w:left w:val="nil"/>
              <w:bottom w:val="single" w:sz="4" w:space="0" w:color="auto"/>
              <w:right w:val="single" w:sz="4" w:space="0" w:color="auto"/>
            </w:tcBorders>
            <w:shd w:val="clear" w:color="auto" w:fill="auto"/>
            <w:vAlign w:val="bottom"/>
          </w:tcPr>
          <w:p w14:paraId="6F08765D" w14:textId="77777777" w:rsidR="0091068C" w:rsidRPr="00BA6CB8" w:rsidRDefault="0091068C" w:rsidP="00986896">
            <w:pPr>
              <w:jc w:val="center"/>
              <w:rPr>
                <w:color w:val="000000"/>
              </w:rPr>
            </w:pPr>
            <w:r w:rsidRPr="00BA6CB8">
              <w:rPr>
                <w:color w:val="000000"/>
              </w:rPr>
              <w:t>3.2</w:t>
            </w:r>
          </w:p>
        </w:tc>
      </w:tr>
      <w:tr w:rsidR="0091068C" w:rsidRPr="00AD3ED7" w14:paraId="70CA970B" w14:textId="77777777" w:rsidTr="00986896">
        <w:trPr>
          <w:trHeight w:val="280"/>
        </w:trPr>
        <w:tc>
          <w:tcPr>
            <w:tcW w:w="1413" w:type="dxa"/>
            <w:shd w:val="clear" w:color="auto" w:fill="auto"/>
            <w:noWrap/>
          </w:tcPr>
          <w:p w14:paraId="6B016B9A" w14:textId="77777777" w:rsidR="0091068C" w:rsidRPr="00BA6CB8" w:rsidRDefault="0091068C" w:rsidP="00986896">
            <w:pPr>
              <w:jc w:val="center"/>
              <w:rPr>
                <w:color w:val="000000"/>
              </w:rPr>
            </w:pPr>
            <w:r w:rsidRPr="00BA6CB8">
              <w:rPr>
                <w:color w:val="000000"/>
              </w:rPr>
              <w:t>T10.03</w:t>
            </w:r>
          </w:p>
        </w:tc>
        <w:tc>
          <w:tcPr>
            <w:tcW w:w="850" w:type="dxa"/>
            <w:shd w:val="clear" w:color="auto" w:fill="auto"/>
            <w:noWrap/>
          </w:tcPr>
          <w:p w14:paraId="3089E5BD" w14:textId="77777777" w:rsidR="0091068C" w:rsidRPr="00BA6CB8" w:rsidRDefault="0091068C" w:rsidP="00986896">
            <w:pPr>
              <w:jc w:val="center"/>
              <w:rPr>
                <w:color w:val="000000"/>
              </w:rPr>
            </w:pPr>
            <w:r w:rsidRPr="00BA6CB8">
              <w:rPr>
                <w:color w:val="000000"/>
              </w:rPr>
              <w:t>41.6</w:t>
            </w:r>
          </w:p>
        </w:tc>
        <w:tc>
          <w:tcPr>
            <w:tcW w:w="851" w:type="dxa"/>
            <w:shd w:val="clear" w:color="auto" w:fill="auto"/>
            <w:noWrap/>
          </w:tcPr>
          <w:p w14:paraId="353F41A0" w14:textId="77777777" w:rsidR="0091068C" w:rsidRPr="00BA6CB8" w:rsidRDefault="0091068C" w:rsidP="00986896">
            <w:pPr>
              <w:jc w:val="center"/>
              <w:rPr>
                <w:color w:val="000000"/>
              </w:rPr>
            </w:pPr>
            <w:r w:rsidRPr="00BA6CB8">
              <w:rPr>
                <w:color w:val="000000"/>
              </w:rPr>
              <w:t>15.1</w:t>
            </w:r>
          </w:p>
        </w:tc>
        <w:tc>
          <w:tcPr>
            <w:tcW w:w="850" w:type="dxa"/>
            <w:tcBorders>
              <w:top w:val="single" w:sz="4" w:space="0" w:color="auto"/>
              <w:left w:val="nil"/>
              <w:bottom w:val="single" w:sz="4" w:space="0" w:color="auto"/>
              <w:right w:val="single" w:sz="4" w:space="0" w:color="auto"/>
            </w:tcBorders>
            <w:shd w:val="clear" w:color="auto" w:fill="auto"/>
            <w:vAlign w:val="bottom"/>
          </w:tcPr>
          <w:p w14:paraId="56C57948" w14:textId="77777777" w:rsidR="0091068C" w:rsidRPr="00BA6CB8" w:rsidRDefault="0091068C" w:rsidP="00986896">
            <w:pPr>
              <w:jc w:val="center"/>
              <w:rPr>
                <w:color w:val="000000"/>
              </w:rPr>
            </w:pPr>
            <w:r w:rsidRPr="00BA6CB8">
              <w:rPr>
                <w:color w:val="000000"/>
              </w:rPr>
              <w:t>3.2</w:t>
            </w:r>
          </w:p>
        </w:tc>
      </w:tr>
      <w:tr w:rsidR="0091068C" w:rsidRPr="00AD3ED7" w14:paraId="73361182" w14:textId="77777777" w:rsidTr="00986896">
        <w:trPr>
          <w:trHeight w:val="280"/>
        </w:trPr>
        <w:tc>
          <w:tcPr>
            <w:tcW w:w="1413" w:type="dxa"/>
            <w:shd w:val="clear" w:color="auto" w:fill="auto"/>
            <w:noWrap/>
          </w:tcPr>
          <w:p w14:paraId="271183AC" w14:textId="77777777" w:rsidR="0091068C" w:rsidRPr="00BA6CB8" w:rsidRDefault="0091068C" w:rsidP="00986896">
            <w:pPr>
              <w:jc w:val="center"/>
              <w:rPr>
                <w:color w:val="000000"/>
              </w:rPr>
            </w:pPr>
            <w:r w:rsidRPr="00BA6CB8">
              <w:rPr>
                <w:color w:val="000000"/>
              </w:rPr>
              <w:t>T10.04</w:t>
            </w:r>
          </w:p>
        </w:tc>
        <w:tc>
          <w:tcPr>
            <w:tcW w:w="850" w:type="dxa"/>
            <w:shd w:val="clear" w:color="auto" w:fill="auto"/>
            <w:noWrap/>
          </w:tcPr>
          <w:p w14:paraId="65F52EEE" w14:textId="77777777" w:rsidR="0091068C" w:rsidRPr="00BA6CB8" w:rsidRDefault="0091068C" w:rsidP="00986896">
            <w:pPr>
              <w:jc w:val="center"/>
              <w:rPr>
                <w:color w:val="000000"/>
              </w:rPr>
            </w:pPr>
            <w:r w:rsidRPr="00BA6CB8">
              <w:rPr>
                <w:color w:val="000000"/>
              </w:rPr>
              <w:t>40.8</w:t>
            </w:r>
          </w:p>
        </w:tc>
        <w:tc>
          <w:tcPr>
            <w:tcW w:w="851" w:type="dxa"/>
            <w:shd w:val="clear" w:color="auto" w:fill="auto"/>
            <w:noWrap/>
          </w:tcPr>
          <w:p w14:paraId="0A164B50" w14:textId="77777777" w:rsidR="0091068C" w:rsidRPr="00BA6CB8" w:rsidRDefault="0091068C" w:rsidP="00986896">
            <w:pPr>
              <w:jc w:val="center"/>
              <w:rPr>
                <w:color w:val="000000"/>
              </w:rPr>
            </w:pPr>
            <w:r w:rsidRPr="00BA6CB8">
              <w:rPr>
                <w:color w:val="000000"/>
              </w:rPr>
              <w:t>14.</w:t>
            </w:r>
            <w:r>
              <w:rPr>
                <w:color w:val="000000"/>
              </w:rPr>
              <w:t>1</w:t>
            </w:r>
          </w:p>
        </w:tc>
        <w:tc>
          <w:tcPr>
            <w:tcW w:w="850" w:type="dxa"/>
            <w:tcBorders>
              <w:top w:val="single" w:sz="4" w:space="0" w:color="auto"/>
              <w:left w:val="nil"/>
              <w:bottom w:val="single" w:sz="4" w:space="0" w:color="auto"/>
              <w:right w:val="single" w:sz="4" w:space="0" w:color="auto"/>
            </w:tcBorders>
            <w:shd w:val="clear" w:color="auto" w:fill="auto"/>
            <w:vAlign w:val="bottom"/>
          </w:tcPr>
          <w:p w14:paraId="1453F04A" w14:textId="77777777" w:rsidR="0091068C" w:rsidRPr="00BA6CB8" w:rsidRDefault="0091068C" w:rsidP="00986896">
            <w:pPr>
              <w:jc w:val="center"/>
              <w:rPr>
                <w:color w:val="000000"/>
              </w:rPr>
            </w:pPr>
            <w:r w:rsidRPr="00BA6CB8">
              <w:rPr>
                <w:color w:val="000000"/>
              </w:rPr>
              <w:t>3.</w:t>
            </w:r>
            <w:r>
              <w:rPr>
                <w:color w:val="000000"/>
              </w:rPr>
              <w:t>4</w:t>
            </w:r>
          </w:p>
        </w:tc>
      </w:tr>
      <w:tr w:rsidR="0091068C" w:rsidRPr="00AD3ED7" w14:paraId="05B9C85D" w14:textId="77777777" w:rsidTr="00986896">
        <w:trPr>
          <w:trHeight w:val="280"/>
        </w:trPr>
        <w:tc>
          <w:tcPr>
            <w:tcW w:w="1413" w:type="dxa"/>
            <w:shd w:val="clear" w:color="auto" w:fill="auto"/>
            <w:noWrap/>
          </w:tcPr>
          <w:p w14:paraId="7C4AA521" w14:textId="77777777" w:rsidR="0091068C" w:rsidRPr="00BA6CB8" w:rsidRDefault="0091068C" w:rsidP="00986896">
            <w:pPr>
              <w:jc w:val="center"/>
              <w:rPr>
                <w:color w:val="000000"/>
              </w:rPr>
            </w:pPr>
            <w:r w:rsidRPr="00BA6CB8">
              <w:rPr>
                <w:color w:val="000000"/>
              </w:rPr>
              <w:t>T11.01</w:t>
            </w:r>
          </w:p>
        </w:tc>
        <w:tc>
          <w:tcPr>
            <w:tcW w:w="850" w:type="dxa"/>
            <w:shd w:val="clear" w:color="auto" w:fill="auto"/>
            <w:noWrap/>
          </w:tcPr>
          <w:p w14:paraId="56ADDB66" w14:textId="77777777" w:rsidR="0091068C" w:rsidRPr="00BA6CB8" w:rsidRDefault="0091068C" w:rsidP="00986896">
            <w:pPr>
              <w:jc w:val="center"/>
              <w:rPr>
                <w:color w:val="000000"/>
              </w:rPr>
            </w:pPr>
            <w:r w:rsidRPr="00BA6CB8">
              <w:rPr>
                <w:color w:val="000000"/>
              </w:rPr>
              <w:t>43.1</w:t>
            </w:r>
          </w:p>
        </w:tc>
        <w:tc>
          <w:tcPr>
            <w:tcW w:w="851" w:type="dxa"/>
            <w:shd w:val="clear" w:color="auto" w:fill="auto"/>
            <w:noWrap/>
          </w:tcPr>
          <w:p w14:paraId="66C6ADFF" w14:textId="77777777" w:rsidR="0091068C" w:rsidRPr="00BA6CB8" w:rsidRDefault="0091068C" w:rsidP="00986896">
            <w:pPr>
              <w:jc w:val="center"/>
              <w:rPr>
                <w:color w:val="000000"/>
              </w:rPr>
            </w:pPr>
            <w:r w:rsidRPr="00BA6CB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6F0DF696"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00142790" w14:textId="77777777" w:rsidTr="00986896">
        <w:trPr>
          <w:trHeight w:val="280"/>
        </w:trPr>
        <w:tc>
          <w:tcPr>
            <w:tcW w:w="1413" w:type="dxa"/>
            <w:shd w:val="clear" w:color="auto" w:fill="auto"/>
            <w:noWrap/>
          </w:tcPr>
          <w:p w14:paraId="4348529B" w14:textId="77777777" w:rsidR="0091068C" w:rsidRPr="00BA6CB8" w:rsidRDefault="0091068C" w:rsidP="00986896">
            <w:pPr>
              <w:jc w:val="center"/>
              <w:rPr>
                <w:color w:val="000000"/>
              </w:rPr>
            </w:pPr>
            <w:r w:rsidRPr="00BA6CB8">
              <w:rPr>
                <w:color w:val="000000"/>
              </w:rPr>
              <w:t>T11.02</w:t>
            </w:r>
          </w:p>
        </w:tc>
        <w:tc>
          <w:tcPr>
            <w:tcW w:w="850" w:type="dxa"/>
            <w:shd w:val="clear" w:color="auto" w:fill="auto"/>
            <w:noWrap/>
          </w:tcPr>
          <w:p w14:paraId="4895CE56" w14:textId="77777777" w:rsidR="0091068C" w:rsidRPr="00BA6CB8" w:rsidRDefault="0091068C" w:rsidP="00986896">
            <w:pPr>
              <w:jc w:val="center"/>
              <w:rPr>
                <w:color w:val="000000"/>
              </w:rPr>
            </w:pPr>
            <w:r w:rsidRPr="00BA6CB8">
              <w:rPr>
                <w:color w:val="000000"/>
              </w:rPr>
              <w:t>40.8</w:t>
            </w:r>
          </w:p>
        </w:tc>
        <w:tc>
          <w:tcPr>
            <w:tcW w:w="851" w:type="dxa"/>
            <w:shd w:val="clear" w:color="auto" w:fill="auto"/>
            <w:noWrap/>
          </w:tcPr>
          <w:p w14:paraId="3619A4C4" w14:textId="77777777" w:rsidR="0091068C" w:rsidRPr="00BA6CB8" w:rsidRDefault="0091068C" w:rsidP="00986896">
            <w:pPr>
              <w:jc w:val="center"/>
              <w:rPr>
                <w:color w:val="000000"/>
              </w:rPr>
            </w:pPr>
            <w:r w:rsidRPr="00BA6CB8">
              <w:rPr>
                <w:color w:val="000000"/>
              </w:rPr>
              <w:t>15.1</w:t>
            </w:r>
          </w:p>
        </w:tc>
        <w:tc>
          <w:tcPr>
            <w:tcW w:w="850" w:type="dxa"/>
            <w:tcBorders>
              <w:top w:val="single" w:sz="4" w:space="0" w:color="auto"/>
              <w:left w:val="nil"/>
              <w:bottom w:val="single" w:sz="4" w:space="0" w:color="auto"/>
              <w:right w:val="single" w:sz="4" w:space="0" w:color="auto"/>
            </w:tcBorders>
            <w:shd w:val="clear" w:color="auto" w:fill="auto"/>
            <w:vAlign w:val="bottom"/>
          </w:tcPr>
          <w:p w14:paraId="10D2BFC8"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2E6F6B15" w14:textId="77777777" w:rsidTr="00986896">
        <w:trPr>
          <w:trHeight w:val="280"/>
        </w:trPr>
        <w:tc>
          <w:tcPr>
            <w:tcW w:w="1413" w:type="dxa"/>
            <w:shd w:val="clear" w:color="auto" w:fill="auto"/>
            <w:noWrap/>
          </w:tcPr>
          <w:p w14:paraId="203E72DE" w14:textId="77777777" w:rsidR="0091068C" w:rsidRPr="00BA6CB8" w:rsidRDefault="0091068C" w:rsidP="00986896">
            <w:pPr>
              <w:jc w:val="center"/>
              <w:rPr>
                <w:color w:val="000000"/>
              </w:rPr>
            </w:pPr>
            <w:r w:rsidRPr="00BA6CB8">
              <w:rPr>
                <w:color w:val="000000"/>
              </w:rPr>
              <w:t>T11.03</w:t>
            </w:r>
          </w:p>
        </w:tc>
        <w:tc>
          <w:tcPr>
            <w:tcW w:w="850" w:type="dxa"/>
            <w:shd w:val="clear" w:color="auto" w:fill="auto"/>
            <w:noWrap/>
          </w:tcPr>
          <w:p w14:paraId="16C960EE" w14:textId="77777777" w:rsidR="0091068C" w:rsidRPr="00BA6CB8" w:rsidRDefault="0091068C" w:rsidP="00986896">
            <w:pPr>
              <w:jc w:val="center"/>
              <w:rPr>
                <w:color w:val="000000"/>
              </w:rPr>
            </w:pPr>
            <w:r w:rsidRPr="00BA6CB8">
              <w:rPr>
                <w:color w:val="000000"/>
              </w:rPr>
              <w:t>42.7</w:t>
            </w:r>
          </w:p>
        </w:tc>
        <w:tc>
          <w:tcPr>
            <w:tcW w:w="851" w:type="dxa"/>
            <w:shd w:val="clear" w:color="auto" w:fill="auto"/>
            <w:noWrap/>
          </w:tcPr>
          <w:p w14:paraId="46984701" w14:textId="77777777" w:rsidR="0091068C" w:rsidRPr="00BA6CB8" w:rsidRDefault="0091068C" w:rsidP="00986896">
            <w:pPr>
              <w:jc w:val="center"/>
              <w:rPr>
                <w:color w:val="000000"/>
              </w:rPr>
            </w:pPr>
            <w:r w:rsidRPr="00BA6CB8">
              <w:rPr>
                <w:color w:val="000000"/>
              </w:rPr>
              <w:t>15.7</w:t>
            </w:r>
          </w:p>
        </w:tc>
        <w:tc>
          <w:tcPr>
            <w:tcW w:w="850" w:type="dxa"/>
            <w:tcBorders>
              <w:top w:val="single" w:sz="4" w:space="0" w:color="auto"/>
              <w:left w:val="nil"/>
              <w:bottom w:val="single" w:sz="4" w:space="0" w:color="auto"/>
              <w:right w:val="single" w:sz="4" w:space="0" w:color="auto"/>
            </w:tcBorders>
            <w:shd w:val="clear" w:color="auto" w:fill="auto"/>
            <w:vAlign w:val="bottom"/>
          </w:tcPr>
          <w:p w14:paraId="5AE8C236"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01F30DCB" w14:textId="77777777" w:rsidTr="00986896">
        <w:trPr>
          <w:trHeight w:val="280"/>
        </w:trPr>
        <w:tc>
          <w:tcPr>
            <w:tcW w:w="1413" w:type="dxa"/>
            <w:shd w:val="clear" w:color="auto" w:fill="auto"/>
            <w:noWrap/>
          </w:tcPr>
          <w:p w14:paraId="036BD9D4" w14:textId="77777777" w:rsidR="0091068C" w:rsidRPr="00BA6CB8" w:rsidRDefault="0091068C" w:rsidP="00986896">
            <w:pPr>
              <w:jc w:val="center"/>
              <w:rPr>
                <w:color w:val="000000"/>
              </w:rPr>
            </w:pPr>
            <w:r w:rsidRPr="00BA6CB8">
              <w:rPr>
                <w:color w:val="000000"/>
              </w:rPr>
              <w:t>T11.04</w:t>
            </w:r>
          </w:p>
        </w:tc>
        <w:tc>
          <w:tcPr>
            <w:tcW w:w="850" w:type="dxa"/>
            <w:shd w:val="clear" w:color="auto" w:fill="auto"/>
            <w:noWrap/>
          </w:tcPr>
          <w:p w14:paraId="5B903B48" w14:textId="77777777" w:rsidR="0091068C" w:rsidRPr="00BA6CB8" w:rsidRDefault="0091068C" w:rsidP="00986896">
            <w:pPr>
              <w:jc w:val="center"/>
              <w:rPr>
                <w:color w:val="000000"/>
              </w:rPr>
            </w:pPr>
            <w:r w:rsidRPr="00BA6CB8">
              <w:rPr>
                <w:color w:val="000000"/>
              </w:rPr>
              <w:t>42</w:t>
            </w:r>
            <w:r>
              <w:rPr>
                <w:color w:val="000000"/>
              </w:rPr>
              <w:t>.0</w:t>
            </w:r>
          </w:p>
        </w:tc>
        <w:tc>
          <w:tcPr>
            <w:tcW w:w="851" w:type="dxa"/>
            <w:shd w:val="clear" w:color="auto" w:fill="auto"/>
            <w:noWrap/>
          </w:tcPr>
          <w:p w14:paraId="473F2BDF" w14:textId="77777777" w:rsidR="0091068C" w:rsidRPr="00BA6CB8" w:rsidRDefault="0091068C" w:rsidP="00986896">
            <w:pPr>
              <w:jc w:val="center"/>
              <w:rPr>
                <w:color w:val="000000"/>
              </w:rPr>
            </w:pPr>
            <w:r w:rsidRPr="00BA6CB8">
              <w:rPr>
                <w:color w:val="000000"/>
              </w:rPr>
              <w:t>15.3</w:t>
            </w:r>
          </w:p>
        </w:tc>
        <w:tc>
          <w:tcPr>
            <w:tcW w:w="850" w:type="dxa"/>
            <w:tcBorders>
              <w:top w:val="single" w:sz="4" w:space="0" w:color="auto"/>
              <w:left w:val="nil"/>
              <w:bottom w:val="single" w:sz="4" w:space="0" w:color="auto"/>
              <w:right w:val="single" w:sz="4" w:space="0" w:color="auto"/>
            </w:tcBorders>
            <w:shd w:val="clear" w:color="auto" w:fill="auto"/>
            <w:vAlign w:val="bottom"/>
          </w:tcPr>
          <w:p w14:paraId="5D82E75F" w14:textId="77777777" w:rsidR="0091068C" w:rsidRPr="00BA6CB8" w:rsidRDefault="0091068C" w:rsidP="00986896">
            <w:pPr>
              <w:jc w:val="center"/>
              <w:rPr>
                <w:color w:val="000000"/>
              </w:rPr>
            </w:pPr>
            <w:r w:rsidRPr="00BA6CB8">
              <w:rPr>
                <w:color w:val="000000"/>
              </w:rPr>
              <w:t>3.2</w:t>
            </w:r>
          </w:p>
        </w:tc>
      </w:tr>
      <w:tr w:rsidR="0091068C" w:rsidRPr="00AD3ED7" w14:paraId="163EAC3B" w14:textId="77777777" w:rsidTr="00986896">
        <w:trPr>
          <w:trHeight w:val="280"/>
        </w:trPr>
        <w:tc>
          <w:tcPr>
            <w:tcW w:w="1413" w:type="dxa"/>
            <w:shd w:val="clear" w:color="auto" w:fill="auto"/>
            <w:noWrap/>
          </w:tcPr>
          <w:p w14:paraId="6464D5E6" w14:textId="77777777" w:rsidR="0091068C" w:rsidRPr="00BA6CB8" w:rsidRDefault="0091068C" w:rsidP="00986896">
            <w:pPr>
              <w:jc w:val="center"/>
              <w:rPr>
                <w:color w:val="000000"/>
              </w:rPr>
            </w:pPr>
            <w:r w:rsidRPr="00BA6CB8">
              <w:rPr>
                <w:color w:val="000000"/>
              </w:rPr>
              <w:t>T12.01</w:t>
            </w:r>
          </w:p>
        </w:tc>
        <w:tc>
          <w:tcPr>
            <w:tcW w:w="850" w:type="dxa"/>
            <w:shd w:val="clear" w:color="auto" w:fill="auto"/>
            <w:noWrap/>
          </w:tcPr>
          <w:p w14:paraId="0B6EB865" w14:textId="77777777" w:rsidR="0091068C" w:rsidRPr="00BA6CB8" w:rsidRDefault="0091068C" w:rsidP="00986896">
            <w:pPr>
              <w:jc w:val="center"/>
              <w:rPr>
                <w:color w:val="000000"/>
              </w:rPr>
            </w:pPr>
            <w:r w:rsidRPr="00BA6CB8">
              <w:rPr>
                <w:color w:val="000000"/>
              </w:rPr>
              <w:t>43.5</w:t>
            </w:r>
          </w:p>
        </w:tc>
        <w:tc>
          <w:tcPr>
            <w:tcW w:w="851" w:type="dxa"/>
            <w:shd w:val="clear" w:color="auto" w:fill="auto"/>
            <w:noWrap/>
          </w:tcPr>
          <w:p w14:paraId="31A4AB05" w14:textId="77777777" w:rsidR="0091068C" w:rsidRPr="00BA6CB8" w:rsidRDefault="0091068C" w:rsidP="00986896">
            <w:pPr>
              <w:jc w:val="center"/>
              <w:rPr>
                <w:color w:val="000000"/>
              </w:rPr>
            </w:pPr>
            <w:r w:rsidRPr="00BA6CB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1541BEBA"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5465C70D" w14:textId="77777777" w:rsidTr="00986896">
        <w:trPr>
          <w:trHeight w:val="280"/>
        </w:trPr>
        <w:tc>
          <w:tcPr>
            <w:tcW w:w="1413" w:type="dxa"/>
            <w:shd w:val="clear" w:color="auto" w:fill="auto"/>
            <w:noWrap/>
          </w:tcPr>
          <w:p w14:paraId="7D6211EC" w14:textId="77777777" w:rsidR="0091068C" w:rsidRPr="00BA6CB8" w:rsidRDefault="0091068C" w:rsidP="00986896">
            <w:pPr>
              <w:jc w:val="center"/>
              <w:rPr>
                <w:color w:val="000000"/>
              </w:rPr>
            </w:pPr>
            <w:r w:rsidRPr="00BA6CB8">
              <w:rPr>
                <w:color w:val="000000"/>
              </w:rPr>
              <w:t>T12.02</w:t>
            </w:r>
          </w:p>
        </w:tc>
        <w:tc>
          <w:tcPr>
            <w:tcW w:w="850" w:type="dxa"/>
            <w:shd w:val="clear" w:color="auto" w:fill="auto"/>
            <w:noWrap/>
          </w:tcPr>
          <w:p w14:paraId="3656774E" w14:textId="77777777" w:rsidR="0091068C" w:rsidRPr="00BA6CB8" w:rsidRDefault="0091068C" w:rsidP="00986896">
            <w:pPr>
              <w:jc w:val="center"/>
              <w:rPr>
                <w:color w:val="000000"/>
              </w:rPr>
            </w:pPr>
            <w:r w:rsidRPr="00BA6CB8">
              <w:rPr>
                <w:color w:val="000000"/>
              </w:rPr>
              <w:t>44</w:t>
            </w:r>
            <w:r>
              <w:rPr>
                <w:color w:val="000000"/>
              </w:rPr>
              <w:t>.0</w:t>
            </w:r>
          </w:p>
        </w:tc>
        <w:tc>
          <w:tcPr>
            <w:tcW w:w="851" w:type="dxa"/>
            <w:shd w:val="clear" w:color="auto" w:fill="auto"/>
            <w:noWrap/>
          </w:tcPr>
          <w:p w14:paraId="2E2BCCD2" w14:textId="77777777" w:rsidR="0091068C" w:rsidRPr="00BA6CB8" w:rsidRDefault="0091068C" w:rsidP="00986896">
            <w:pPr>
              <w:jc w:val="center"/>
              <w:rPr>
                <w:color w:val="000000"/>
              </w:rPr>
            </w:pPr>
            <w:r w:rsidRPr="00BA6CB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615D53D4"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591F2341" w14:textId="77777777" w:rsidTr="00986896">
        <w:trPr>
          <w:trHeight w:val="280"/>
        </w:trPr>
        <w:tc>
          <w:tcPr>
            <w:tcW w:w="1413" w:type="dxa"/>
            <w:shd w:val="clear" w:color="auto" w:fill="auto"/>
            <w:noWrap/>
          </w:tcPr>
          <w:p w14:paraId="5F923229" w14:textId="77777777" w:rsidR="0091068C" w:rsidRPr="00BA6CB8" w:rsidRDefault="0091068C" w:rsidP="00986896">
            <w:pPr>
              <w:jc w:val="center"/>
              <w:rPr>
                <w:color w:val="000000"/>
              </w:rPr>
            </w:pPr>
            <w:r w:rsidRPr="00BA6CB8">
              <w:rPr>
                <w:color w:val="000000"/>
              </w:rPr>
              <w:t>T12.03</w:t>
            </w:r>
          </w:p>
        </w:tc>
        <w:tc>
          <w:tcPr>
            <w:tcW w:w="850" w:type="dxa"/>
            <w:shd w:val="clear" w:color="auto" w:fill="auto"/>
            <w:noWrap/>
          </w:tcPr>
          <w:p w14:paraId="069B3314" w14:textId="77777777" w:rsidR="0091068C" w:rsidRPr="00BA6CB8" w:rsidRDefault="0091068C" w:rsidP="00986896">
            <w:pPr>
              <w:jc w:val="center"/>
              <w:rPr>
                <w:color w:val="000000"/>
              </w:rPr>
            </w:pPr>
            <w:r w:rsidRPr="00BA6CB8">
              <w:rPr>
                <w:color w:val="000000"/>
              </w:rPr>
              <w:t>44</w:t>
            </w:r>
            <w:r>
              <w:rPr>
                <w:color w:val="000000"/>
              </w:rPr>
              <w:t>.0</w:t>
            </w:r>
          </w:p>
        </w:tc>
        <w:tc>
          <w:tcPr>
            <w:tcW w:w="851" w:type="dxa"/>
            <w:shd w:val="clear" w:color="auto" w:fill="auto"/>
            <w:noWrap/>
          </w:tcPr>
          <w:p w14:paraId="0B033420" w14:textId="77777777" w:rsidR="0091068C" w:rsidRPr="00BA6CB8" w:rsidRDefault="0091068C" w:rsidP="00986896">
            <w:pPr>
              <w:jc w:val="center"/>
              <w:rPr>
                <w:color w:val="000000"/>
              </w:rPr>
            </w:pPr>
            <w:r w:rsidRPr="00BA6CB8">
              <w:rPr>
                <w:color w:val="000000"/>
              </w:rPr>
              <w:t>15.7</w:t>
            </w:r>
          </w:p>
        </w:tc>
        <w:tc>
          <w:tcPr>
            <w:tcW w:w="850" w:type="dxa"/>
            <w:tcBorders>
              <w:top w:val="single" w:sz="4" w:space="0" w:color="auto"/>
              <w:left w:val="nil"/>
              <w:bottom w:val="single" w:sz="4" w:space="0" w:color="auto"/>
              <w:right w:val="single" w:sz="4" w:space="0" w:color="auto"/>
            </w:tcBorders>
            <w:shd w:val="clear" w:color="auto" w:fill="auto"/>
            <w:vAlign w:val="bottom"/>
          </w:tcPr>
          <w:p w14:paraId="14F36966"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0F6DE2C3" w14:textId="77777777" w:rsidTr="00986896">
        <w:trPr>
          <w:trHeight w:val="280"/>
        </w:trPr>
        <w:tc>
          <w:tcPr>
            <w:tcW w:w="1413" w:type="dxa"/>
            <w:shd w:val="clear" w:color="auto" w:fill="auto"/>
            <w:noWrap/>
          </w:tcPr>
          <w:p w14:paraId="1A984D1B" w14:textId="77777777" w:rsidR="0091068C" w:rsidRPr="00BA6CB8" w:rsidRDefault="0091068C" w:rsidP="00986896">
            <w:pPr>
              <w:jc w:val="center"/>
              <w:rPr>
                <w:color w:val="000000"/>
              </w:rPr>
            </w:pPr>
            <w:r w:rsidRPr="00BA6CB8">
              <w:rPr>
                <w:color w:val="000000"/>
              </w:rPr>
              <w:t>T12.04</w:t>
            </w:r>
          </w:p>
        </w:tc>
        <w:tc>
          <w:tcPr>
            <w:tcW w:w="850" w:type="dxa"/>
            <w:shd w:val="clear" w:color="auto" w:fill="auto"/>
            <w:noWrap/>
          </w:tcPr>
          <w:p w14:paraId="5FD2CC24" w14:textId="77777777" w:rsidR="0091068C" w:rsidRPr="00BA6CB8" w:rsidRDefault="0091068C" w:rsidP="00986896">
            <w:pPr>
              <w:jc w:val="center"/>
              <w:rPr>
                <w:color w:val="000000"/>
              </w:rPr>
            </w:pPr>
            <w:r w:rsidRPr="00BA6CB8">
              <w:rPr>
                <w:color w:val="000000"/>
              </w:rPr>
              <w:t>43.6</w:t>
            </w:r>
          </w:p>
        </w:tc>
        <w:tc>
          <w:tcPr>
            <w:tcW w:w="851" w:type="dxa"/>
            <w:shd w:val="clear" w:color="auto" w:fill="auto"/>
            <w:noWrap/>
          </w:tcPr>
          <w:p w14:paraId="34EE57EC"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36AFC038"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1D9922C3" w14:textId="77777777" w:rsidTr="00986896">
        <w:trPr>
          <w:trHeight w:val="280"/>
        </w:trPr>
        <w:tc>
          <w:tcPr>
            <w:tcW w:w="1413" w:type="dxa"/>
            <w:shd w:val="clear" w:color="auto" w:fill="auto"/>
            <w:noWrap/>
          </w:tcPr>
          <w:p w14:paraId="05A11215" w14:textId="77777777" w:rsidR="0091068C" w:rsidRPr="00BA6CB8" w:rsidRDefault="0091068C" w:rsidP="00986896">
            <w:pPr>
              <w:jc w:val="center"/>
              <w:rPr>
                <w:color w:val="000000"/>
              </w:rPr>
            </w:pPr>
            <w:r w:rsidRPr="00BA6CB8">
              <w:rPr>
                <w:color w:val="000000"/>
              </w:rPr>
              <w:t>T12.05</w:t>
            </w:r>
          </w:p>
        </w:tc>
        <w:tc>
          <w:tcPr>
            <w:tcW w:w="850" w:type="dxa"/>
            <w:shd w:val="clear" w:color="auto" w:fill="auto"/>
            <w:noWrap/>
          </w:tcPr>
          <w:p w14:paraId="0F3F6ECC" w14:textId="77777777" w:rsidR="0091068C" w:rsidRPr="00BA6CB8" w:rsidRDefault="0091068C" w:rsidP="00986896">
            <w:pPr>
              <w:jc w:val="center"/>
              <w:rPr>
                <w:color w:val="000000"/>
              </w:rPr>
            </w:pPr>
            <w:r w:rsidRPr="00BA6CB8">
              <w:rPr>
                <w:color w:val="000000"/>
              </w:rPr>
              <w:t>42.6</w:t>
            </w:r>
          </w:p>
        </w:tc>
        <w:tc>
          <w:tcPr>
            <w:tcW w:w="851" w:type="dxa"/>
            <w:shd w:val="clear" w:color="auto" w:fill="auto"/>
            <w:noWrap/>
          </w:tcPr>
          <w:p w14:paraId="0F8A404F" w14:textId="77777777" w:rsidR="0091068C" w:rsidRPr="00BA6CB8" w:rsidRDefault="0091068C" w:rsidP="00986896">
            <w:pPr>
              <w:jc w:val="center"/>
              <w:rPr>
                <w:color w:val="000000"/>
              </w:rPr>
            </w:pPr>
            <w:r w:rsidRPr="00BA6CB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45D1D304"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1285E8DE" w14:textId="77777777" w:rsidTr="00986896">
        <w:trPr>
          <w:trHeight w:val="280"/>
        </w:trPr>
        <w:tc>
          <w:tcPr>
            <w:tcW w:w="1413" w:type="dxa"/>
            <w:shd w:val="clear" w:color="auto" w:fill="auto"/>
            <w:noWrap/>
          </w:tcPr>
          <w:p w14:paraId="16D7524F" w14:textId="77777777" w:rsidR="0091068C" w:rsidRPr="00BA6CB8" w:rsidRDefault="0091068C" w:rsidP="00986896">
            <w:pPr>
              <w:jc w:val="center"/>
              <w:rPr>
                <w:color w:val="000000"/>
              </w:rPr>
            </w:pPr>
            <w:r w:rsidRPr="00BA6CB8">
              <w:rPr>
                <w:color w:val="000000"/>
              </w:rPr>
              <w:t>T12.06</w:t>
            </w:r>
          </w:p>
        </w:tc>
        <w:tc>
          <w:tcPr>
            <w:tcW w:w="850" w:type="dxa"/>
            <w:shd w:val="clear" w:color="auto" w:fill="auto"/>
            <w:noWrap/>
          </w:tcPr>
          <w:p w14:paraId="5D7D4E67" w14:textId="77777777" w:rsidR="0091068C" w:rsidRPr="00BA6CB8" w:rsidRDefault="0091068C" w:rsidP="00986896">
            <w:pPr>
              <w:jc w:val="center"/>
              <w:rPr>
                <w:color w:val="000000"/>
              </w:rPr>
            </w:pPr>
            <w:r w:rsidRPr="00BA6CB8">
              <w:rPr>
                <w:color w:val="000000"/>
              </w:rPr>
              <w:t>43.5</w:t>
            </w:r>
          </w:p>
        </w:tc>
        <w:tc>
          <w:tcPr>
            <w:tcW w:w="851" w:type="dxa"/>
            <w:shd w:val="clear" w:color="auto" w:fill="auto"/>
            <w:noWrap/>
          </w:tcPr>
          <w:p w14:paraId="2B35BDFB" w14:textId="77777777" w:rsidR="0091068C" w:rsidRPr="00BA6CB8" w:rsidRDefault="0091068C" w:rsidP="00986896">
            <w:pPr>
              <w:jc w:val="center"/>
              <w:rPr>
                <w:color w:val="000000"/>
              </w:rPr>
            </w:pPr>
            <w:r w:rsidRPr="00BA6CB8">
              <w:rPr>
                <w:color w:val="000000"/>
              </w:rPr>
              <w:t>15.2</w:t>
            </w:r>
          </w:p>
        </w:tc>
        <w:tc>
          <w:tcPr>
            <w:tcW w:w="850" w:type="dxa"/>
            <w:tcBorders>
              <w:top w:val="single" w:sz="4" w:space="0" w:color="auto"/>
              <w:left w:val="nil"/>
              <w:bottom w:val="single" w:sz="4" w:space="0" w:color="auto"/>
              <w:right w:val="single" w:sz="4" w:space="0" w:color="auto"/>
            </w:tcBorders>
            <w:shd w:val="clear" w:color="auto" w:fill="auto"/>
            <w:vAlign w:val="bottom"/>
          </w:tcPr>
          <w:p w14:paraId="47C603A0" w14:textId="77777777" w:rsidR="0091068C" w:rsidRPr="00BA6CB8" w:rsidRDefault="0091068C" w:rsidP="00986896">
            <w:pPr>
              <w:jc w:val="center"/>
              <w:rPr>
                <w:color w:val="000000"/>
              </w:rPr>
            </w:pPr>
            <w:r w:rsidRPr="00BA6CB8">
              <w:rPr>
                <w:color w:val="000000"/>
              </w:rPr>
              <w:t>3.3</w:t>
            </w:r>
          </w:p>
        </w:tc>
      </w:tr>
      <w:tr w:rsidR="0091068C" w:rsidRPr="00AD3ED7" w14:paraId="5B968E4A" w14:textId="77777777" w:rsidTr="00986896">
        <w:trPr>
          <w:trHeight w:val="280"/>
        </w:trPr>
        <w:tc>
          <w:tcPr>
            <w:tcW w:w="1413" w:type="dxa"/>
            <w:shd w:val="clear" w:color="auto" w:fill="auto"/>
            <w:noWrap/>
          </w:tcPr>
          <w:p w14:paraId="36435B06" w14:textId="77777777" w:rsidR="0091068C" w:rsidRPr="00BA6CB8" w:rsidRDefault="0091068C" w:rsidP="00986896">
            <w:pPr>
              <w:jc w:val="center"/>
              <w:rPr>
                <w:color w:val="000000"/>
              </w:rPr>
            </w:pPr>
            <w:r w:rsidRPr="00BA6CB8">
              <w:rPr>
                <w:color w:val="000000"/>
              </w:rPr>
              <w:t>T12.07</w:t>
            </w:r>
          </w:p>
        </w:tc>
        <w:tc>
          <w:tcPr>
            <w:tcW w:w="850" w:type="dxa"/>
            <w:shd w:val="clear" w:color="auto" w:fill="auto"/>
            <w:noWrap/>
          </w:tcPr>
          <w:p w14:paraId="5107CEDE" w14:textId="77777777" w:rsidR="0091068C" w:rsidRPr="00BA6CB8" w:rsidRDefault="0091068C" w:rsidP="00986896">
            <w:pPr>
              <w:jc w:val="center"/>
              <w:rPr>
                <w:color w:val="000000"/>
              </w:rPr>
            </w:pPr>
            <w:r w:rsidRPr="00BA6CB8">
              <w:rPr>
                <w:color w:val="000000"/>
              </w:rPr>
              <w:t>43.1</w:t>
            </w:r>
          </w:p>
        </w:tc>
        <w:tc>
          <w:tcPr>
            <w:tcW w:w="851" w:type="dxa"/>
            <w:shd w:val="clear" w:color="auto" w:fill="auto"/>
            <w:noWrap/>
          </w:tcPr>
          <w:p w14:paraId="339804BF"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69FAF504" w14:textId="77777777" w:rsidR="0091068C" w:rsidRPr="00BA6CB8" w:rsidRDefault="0091068C" w:rsidP="00986896">
            <w:pPr>
              <w:jc w:val="center"/>
              <w:rPr>
                <w:color w:val="000000"/>
              </w:rPr>
            </w:pPr>
            <w:r w:rsidRPr="00BA6CB8">
              <w:rPr>
                <w:color w:val="000000"/>
              </w:rPr>
              <w:t>3.2</w:t>
            </w:r>
          </w:p>
        </w:tc>
      </w:tr>
      <w:tr w:rsidR="0091068C" w:rsidRPr="00AD3ED7" w14:paraId="5DA362F9" w14:textId="77777777" w:rsidTr="00986896">
        <w:trPr>
          <w:trHeight w:val="280"/>
        </w:trPr>
        <w:tc>
          <w:tcPr>
            <w:tcW w:w="1413" w:type="dxa"/>
            <w:shd w:val="clear" w:color="auto" w:fill="auto"/>
            <w:noWrap/>
          </w:tcPr>
          <w:p w14:paraId="39DDA60B" w14:textId="77777777" w:rsidR="0091068C" w:rsidRPr="00BA6CB8" w:rsidRDefault="0091068C" w:rsidP="00986896">
            <w:pPr>
              <w:jc w:val="center"/>
              <w:rPr>
                <w:color w:val="000000"/>
              </w:rPr>
            </w:pPr>
            <w:r w:rsidRPr="00BA6CB8">
              <w:rPr>
                <w:color w:val="000000"/>
              </w:rPr>
              <w:t>T13.01</w:t>
            </w:r>
          </w:p>
        </w:tc>
        <w:tc>
          <w:tcPr>
            <w:tcW w:w="850" w:type="dxa"/>
            <w:shd w:val="clear" w:color="auto" w:fill="auto"/>
            <w:noWrap/>
          </w:tcPr>
          <w:p w14:paraId="0737C2D3" w14:textId="77777777" w:rsidR="0091068C" w:rsidRPr="00BA6CB8" w:rsidRDefault="0091068C" w:rsidP="00986896">
            <w:pPr>
              <w:jc w:val="center"/>
              <w:rPr>
                <w:color w:val="000000"/>
              </w:rPr>
            </w:pPr>
            <w:r w:rsidRPr="00BA6CB8">
              <w:rPr>
                <w:color w:val="000000"/>
              </w:rPr>
              <w:t>43.5</w:t>
            </w:r>
          </w:p>
        </w:tc>
        <w:tc>
          <w:tcPr>
            <w:tcW w:w="851" w:type="dxa"/>
            <w:shd w:val="clear" w:color="auto" w:fill="auto"/>
            <w:noWrap/>
          </w:tcPr>
          <w:p w14:paraId="0139CF6E" w14:textId="77777777" w:rsidR="0091068C" w:rsidRPr="00BA6CB8" w:rsidRDefault="0091068C" w:rsidP="00986896">
            <w:pPr>
              <w:jc w:val="center"/>
              <w:rPr>
                <w:color w:val="000000"/>
              </w:rPr>
            </w:pPr>
            <w:r w:rsidRPr="00BA6CB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21D759F9" w14:textId="77777777" w:rsidR="0091068C" w:rsidRPr="00BA6CB8" w:rsidRDefault="0091068C" w:rsidP="00986896">
            <w:pPr>
              <w:jc w:val="center"/>
              <w:rPr>
                <w:color w:val="000000"/>
              </w:rPr>
            </w:pPr>
            <w:r w:rsidRPr="00BA6CB8">
              <w:rPr>
                <w:color w:val="000000"/>
              </w:rPr>
              <w:t>3.2</w:t>
            </w:r>
          </w:p>
        </w:tc>
      </w:tr>
      <w:tr w:rsidR="0091068C" w:rsidRPr="00AD3ED7" w14:paraId="41A8CEC5" w14:textId="77777777" w:rsidTr="00986896">
        <w:trPr>
          <w:trHeight w:val="280"/>
        </w:trPr>
        <w:tc>
          <w:tcPr>
            <w:tcW w:w="1413" w:type="dxa"/>
            <w:shd w:val="clear" w:color="auto" w:fill="auto"/>
            <w:noWrap/>
          </w:tcPr>
          <w:p w14:paraId="6018D4AB" w14:textId="77777777" w:rsidR="0091068C" w:rsidRPr="00BA6CB8" w:rsidRDefault="0091068C" w:rsidP="00986896">
            <w:pPr>
              <w:jc w:val="center"/>
              <w:rPr>
                <w:color w:val="000000"/>
              </w:rPr>
            </w:pPr>
            <w:r w:rsidRPr="00BA6CB8">
              <w:rPr>
                <w:color w:val="000000"/>
              </w:rPr>
              <w:t>T13.02</w:t>
            </w:r>
          </w:p>
        </w:tc>
        <w:tc>
          <w:tcPr>
            <w:tcW w:w="850" w:type="dxa"/>
            <w:shd w:val="clear" w:color="auto" w:fill="auto"/>
            <w:noWrap/>
          </w:tcPr>
          <w:p w14:paraId="33A37CFD" w14:textId="77777777" w:rsidR="0091068C" w:rsidRPr="00BA6CB8" w:rsidRDefault="0091068C" w:rsidP="00986896">
            <w:pPr>
              <w:jc w:val="center"/>
              <w:rPr>
                <w:color w:val="000000"/>
              </w:rPr>
            </w:pPr>
            <w:r w:rsidRPr="00BA6CB8">
              <w:rPr>
                <w:color w:val="000000"/>
              </w:rPr>
              <w:t>43.1</w:t>
            </w:r>
          </w:p>
        </w:tc>
        <w:tc>
          <w:tcPr>
            <w:tcW w:w="851" w:type="dxa"/>
            <w:shd w:val="clear" w:color="auto" w:fill="auto"/>
            <w:noWrap/>
          </w:tcPr>
          <w:p w14:paraId="21FEB9B9" w14:textId="77777777" w:rsidR="0091068C" w:rsidRPr="00BA6CB8" w:rsidRDefault="0091068C" w:rsidP="00986896">
            <w:pPr>
              <w:jc w:val="center"/>
              <w:rPr>
                <w:color w:val="000000"/>
              </w:rPr>
            </w:pPr>
            <w:r w:rsidRPr="00BA6CB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4427B072"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31F2E0C4" w14:textId="77777777" w:rsidTr="00986896">
        <w:trPr>
          <w:trHeight w:val="280"/>
        </w:trPr>
        <w:tc>
          <w:tcPr>
            <w:tcW w:w="1413" w:type="dxa"/>
            <w:shd w:val="clear" w:color="auto" w:fill="auto"/>
            <w:noWrap/>
          </w:tcPr>
          <w:p w14:paraId="04112EBE" w14:textId="77777777" w:rsidR="0091068C" w:rsidRPr="00BA6CB8" w:rsidRDefault="0091068C" w:rsidP="00986896">
            <w:pPr>
              <w:jc w:val="center"/>
              <w:rPr>
                <w:color w:val="000000"/>
              </w:rPr>
            </w:pPr>
            <w:r w:rsidRPr="00BA6CB8">
              <w:rPr>
                <w:color w:val="000000"/>
              </w:rPr>
              <w:t>T13.03</w:t>
            </w:r>
          </w:p>
        </w:tc>
        <w:tc>
          <w:tcPr>
            <w:tcW w:w="850" w:type="dxa"/>
            <w:shd w:val="clear" w:color="auto" w:fill="auto"/>
            <w:noWrap/>
          </w:tcPr>
          <w:p w14:paraId="223AD3F7" w14:textId="77777777" w:rsidR="0091068C" w:rsidRPr="00BA6CB8" w:rsidRDefault="0091068C" w:rsidP="00986896">
            <w:pPr>
              <w:jc w:val="center"/>
              <w:rPr>
                <w:color w:val="000000"/>
              </w:rPr>
            </w:pPr>
            <w:r w:rsidRPr="00BA6CB8">
              <w:rPr>
                <w:color w:val="000000"/>
              </w:rPr>
              <w:t>42.4</w:t>
            </w:r>
          </w:p>
        </w:tc>
        <w:tc>
          <w:tcPr>
            <w:tcW w:w="851" w:type="dxa"/>
            <w:shd w:val="clear" w:color="auto" w:fill="auto"/>
            <w:noWrap/>
          </w:tcPr>
          <w:p w14:paraId="45E27343" w14:textId="77777777" w:rsidR="0091068C" w:rsidRPr="00BA6CB8" w:rsidRDefault="0091068C" w:rsidP="00986896">
            <w:pPr>
              <w:jc w:val="center"/>
              <w:rPr>
                <w:color w:val="000000"/>
              </w:rPr>
            </w:pPr>
            <w:r w:rsidRPr="00BA6CB8">
              <w:rPr>
                <w:color w:val="000000"/>
              </w:rPr>
              <w:t>15.5</w:t>
            </w:r>
          </w:p>
        </w:tc>
        <w:tc>
          <w:tcPr>
            <w:tcW w:w="850" w:type="dxa"/>
            <w:tcBorders>
              <w:top w:val="single" w:sz="4" w:space="0" w:color="auto"/>
              <w:left w:val="nil"/>
              <w:bottom w:val="single" w:sz="4" w:space="0" w:color="auto"/>
              <w:right w:val="single" w:sz="4" w:space="0" w:color="auto"/>
            </w:tcBorders>
            <w:shd w:val="clear" w:color="auto" w:fill="auto"/>
            <w:vAlign w:val="bottom"/>
          </w:tcPr>
          <w:p w14:paraId="1B6CA496"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6C491225" w14:textId="77777777" w:rsidTr="00986896">
        <w:trPr>
          <w:trHeight w:val="280"/>
        </w:trPr>
        <w:tc>
          <w:tcPr>
            <w:tcW w:w="1413" w:type="dxa"/>
            <w:shd w:val="clear" w:color="auto" w:fill="auto"/>
            <w:noWrap/>
          </w:tcPr>
          <w:p w14:paraId="4DA5839D" w14:textId="77777777" w:rsidR="0091068C" w:rsidRPr="00BA6CB8" w:rsidRDefault="0091068C" w:rsidP="00986896">
            <w:pPr>
              <w:jc w:val="center"/>
              <w:rPr>
                <w:color w:val="000000"/>
              </w:rPr>
            </w:pPr>
            <w:r w:rsidRPr="00BA6CB8">
              <w:rPr>
                <w:color w:val="000000"/>
              </w:rPr>
              <w:t>T13.04</w:t>
            </w:r>
          </w:p>
        </w:tc>
        <w:tc>
          <w:tcPr>
            <w:tcW w:w="850" w:type="dxa"/>
            <w:shd w:val="clear" w:color="auto" w:fill="auto"/>
            <w:noWrap/>
          </w:tcPr>
          <w:p w14:paraId="61B6F1A7" w14:textId="77777777" w:rsidR="0091068C" w:rsidRPr="00BA6CB8" w:rsidRDefault="0091068C" w:rsidP="00986896">
            <w:pPr>
              <w:jc w:val="center"/>
              <w:rPr>
                <w:color w:val="000000"/>
              </w:rPr>
            </w:pPr>
            <w:r w:rsidRPr="00BA6CB8">
              <w:rPr>
                <w:color w:val="000000"/>
              </w:rPr>
              <w:t>42.1</w:t>
            </w:r>
          </w:p>
        </w:tc>
        <w:tc>
          <w:tcPr>
            <w:tcW w:w="851" w:type="dxa"/>
            <w:shd w:val="clear" w:color="auto" w:fill="auto"/>
            <w:noWrap/>
          </w:tcPr>
          <w:p w14:paraId="426188C8" w14:textId="77777777" w:rsidR="0091068C" w:rsidRPr="00BA6CB8" w:rsidRDefault="0091068C" w:rsidP="00986896">
            <w:pPr>
              <w:jc w:val="center"/>
              <w:rPr>
                <w:color w:val="000000"/>
              </w:rPr>
            </w:pPr>
            <w:r w:rsidRPr="00BA6CB8">
              <w:rPr>
                <w:color w:val="000000"/>
              </w:rPr>
              <w:t>15.4</w:t>
            </w:r>
          </w:p>
        </w:tc>
        <w:tc>
          <w:tcPr>
            <w:tcW w:w="850" w:type="dxa"/>
            <w:tcBorders>
              <w:top w:val="single" w:sz="4" w:space="0" w:color="auto"/>
              <w:left w:val="nil"/>
              <w:bottom w:val="single" w:sz="4" w:space="0" w:color="auto"/>
              <w:right w:val="single" w:sz="4" w:space="0" w:color="auto"/>
            </w:tcBorders>
            <w:shd w:val="clear" w:color="auto" w:fill="auto"/>
            <w:vAlign w:val="bottom"/>
          </w:tcPr>
          <w:p w14:paraId="32C936D3"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2A032715" w14:textId="77777777" w:rsidTr="00986896">
        <w:trPr>
          <w:trHeight w:val="280"/>
        </w:trPr>
        <w:tc>
          <w:tcPr>
            <w:tcW w:w="1413" w:type="dxa"/>
            <w:shd w:val="clear" w:color="auto" w:fill="auto"/>
            <w:noWrap/>
          </w:tcPr>
          <w:p w14:paraId="4A49F8F2" w14:textId="77777777" w:rsidR="0091068C" w:rsidRPr="00BA6CB8" w:rsidRDefault="0091068C" w:rsidP="00986896">
            <w:pPr>
              <w:jc w:val="center"/>
              <w:rPr>
                <w:color w:val="000000"/>
              </w:rPr>
            </w:pPr>
            <w:r w:rsidRPr="00BA6CB8">
              <w:rPr>
                <w:color w:val="000000"/>
              </w:rPr>
              <w:t>T13.05</w:t>
            </w:r>
          </w:p>
        </w:tc>
        <w:tc>
          <w:tcPr>
            <w:tcW w:w="850" w:type="dxa"/>
            <w:shd w:val="clear" w:color="auto" w:fill="auto"/>
            <w:noWrap/>
          </w:tcPr>
          <w:p w14:paraId="12E03E26" w14:textId="77777777" w:rsidR="0091068C" w:rsidRPr="00BA6CB8" w:rsidRDefault="0091068C" w:rsidP="00986896">
            <w:pPr>
              <w:jc w:val="center"/>
              <w:rPr>
                <w:color w:val="000000"/>
              </w:rPr>
            </w:pPr>
            <w:r w:rsidRPr="00BA6CB8">
              <w:rPr>
                <w:color w:val="000000"/>
              </w:rPr>
              <w:t>43.1</w:t>
            </w:r>
          </w:p>
        </w:tc>
        <w:tc>
          <w:tcPr>
            <w:tcW w:w="851" w:type="dxa"/>
            <w:shd w:val="clear" w:color="auto" w:fill="auto"/>
            <w:noWrap/>
          </w:tcPr>
          <w:p w14:paraId="3FBCF04D" w14:textId="77777777" w:rsidR="0091068C" w:rsidRPr="00BA6CB8" w:rsidRDefault="0091068C" w:rsidP="00986896">
            <w:pPr>
              <w:jc w:val="center"/>
              <w:rPr>
                <w:color w:val="000000"/>
              </w:rPr>
            </w:pPr>
            <w:r w:rsidRPr="00BA6CB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4E5B922A"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3224F429" w14:textId="77777777" w:rsidTr="00986896">
        <w:trPr>
          <w:trHeight w:val="280"/>
        </w:trPr>
        <w:tc>
          <w:tcPr>
            <w:tcW w:w="1413" w:type="dxa"/>
            <w:shd w:val="clear" w:color="auto" w:fill="auto"/>
            <w:noWrap/>
          </w:tcPr>
          <w:p w14:paraId="55FF1197" w14:textId="77777777" w:rsidR="0091068C" w:rsidRPr="00BA6CB8" w:rsidRDefault="0091068C" w:rsidP="00986896">
            <w:pPr>
              <w:jc w:val="center"/>
              <w:rPr>
                <w:color w:val="000000"/>
              </w:rPr>
            </w:pPr>
            <w:r w:rsidRPr="00BA6CB8">
              <w:rPr>
                <w:color w:val="000000"/>
              </w:rPr>
              <w:t>T13.06</w:t>
            </w:r>
          </w:p>
        </w:tc>
        <w:tc>
          <w:tcPr>
            <w:tcW w:w="850" w:type="dxa"/>
            <w:shd w:val="clear" w:color="auto" w:fill="auto"/>
            <w:noWrap/>
          </w:tcPr>
          <w:p w14:paraId="3552BA34" w14:textId="77777777" w:rsidR="0091068C" w:rsidRPr="00BA6CB8" w:rsidRDefault="0091068C" w:rsidP="00986896">
            <w:pPr>
              <w:jc w:val="center"/>
              <w:rPr>
                <w:color w:val="000000"/>
              </w:rPr>
            </w:pPr>
            <w:r w:rsidRPr="00BA6CB8">
              <w:rPr>
                <w:color w:val="000000"/>
              </w:rPr>
              <w:t>41.6</w:t>
            </w:r>
          </w:p>
        </w:tc>
        <w:tc>
          <w:tcPr>
            <w:tcW w:w="851" w:type="dxa"/>
            <w:shd w:val="clear" w:color="auto" w:fill="auto"/>
            <w:noWrap/>
          </w:tcPr>
          <w:p w14:paraId="41BE2965" w14:textId="77777777" w:rsidR="0091068C" w:rsidRPr="00BA6CB8" w:rsidRDefault="0091068C" w:rsidP="00986896">
            <w:pPr>
              <w:jc w:val="center"/>
              <w:rPr>
                <w:color w:val="000000"/>
              </w:rPr>
            </w:pPr>
            <w:r w:rsidRPr="00BA6CB8">
              <w:rPr>
                <w:color w:val="000000"/>
              </w:rPr>
              <w:t>15.2</w:t>
            </w:r>
          </w:p>
        </w:tc>
        <w:tc>
          <w:tcPr>
            <w:tcW w:w="850" w:type="dxa"/>
            <w:tcBorders>
              <w:top w:val="single" w:sz="4" w:space="0" w:color="auto"/>
              <w:left w:val="nil"/>
              <w:bottom w:val="single" w:sz="4" w:space="0" w:color="auto"/>
              <w:right w:val="single" w:sz="4" w:space="0" w:color="auto"/>
            </w:tcBorders>
            <w:shd w:val="clear" w:color="auto" w:fill="auto"/>
            <w:vAlign w:val="bottom"/>
          </w:tcPr>
          <w:p w14:paraId="3746CCA0"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11082370" w14:textId="77777777" w:rsidTr="00986896">
        <w:trPr>
          <w:trHeight w:val="280"/>
        </w:trPr>
        <w:tc>
          <w:tcPr>
            <w:tcW w:w="1413" w:type="dxa"/>
            <w:shd w:val="clear" w:color="auto" w:fill="auto"/>
            <w:noWrap/>
          </w:tcPr>
          <w:p w14:paraId="4EB7A129" w14:textId="77777777" w:rsidR="0091068C" w:rsidRPr="00BA6CB8" w:rsidRDefault="0091068C" w:rsidP="00986896">
            <w:pPr>
              <w:jc w:val="center"/>
              <w:rPr>
                <w:color w:val="000000"/>
              </w:rPr>
            </w:pPr>
            <w:r w:rsidRPr="00BA6CB8">
              <w:rPr>
                <w:color w:val="000000"/>
              </w:rPr>
              <w:t>T13.07</w:t>
            </w:r>
          </w:p>
        </w:tc>
        <w:tc>
          <w:tcPr>
            <w:tcW w:w="850" w:type="dxa"/>
            <w:shd w:val="clear" w:color="auto" w:fill="auto"/>
            <w:noWrap/>
          </w:tcPr>
          <w:p w14:paraId="75AE7AAE" w14:textId="77777777" w:rsidR="0091068C" w:rsidRPr="00BA6CB8" w:rsidRDefault="0091068C" w:rsidP="00986896">
            <w:pPr>
              <w:jc w:val="center"/>
              <w:rPr>
                <w:color w:val="000000"/>
              </w:rPr>
            </w:pPr>
            <w:r w:rsidRPr="00BA6CB8">
              <w:rPr>
                <w:color w:val="000000"/>
              </w:rPr>
              <w:t>41.4</w:t>
            </w:r>
          </w:p>
        </w:tc>
        <w:tc>
          <w:tcPr>
            <w:tcW w:w="851" w:type="dxa"/>
            <w:shd w:val="clear" w:color="auto" w:fill="auto"/>
            <w:noWrap/>
          </w:tcPr>
          <w:p w14:paraId="41A56EC8" w14:textId="77777777" w:rsidR="0091068C" w:rsidRPr="00BA6CB8" w:rsidRDefault="0091068C" w:rsidP="00986896">
            <w:pPr>
              <w:jc w:val="center"/>
              <w:rPr>
                <w:color w:val="000000"/>
              </w:rPr>
            </w:pPr>
            <w:r w:rsidRPr="00BA6CB8">
              <w:rPr>
                <w:color w:val="000000"/>
              </w:rPr>
              <w:t>1</w:t>
            </w:r>
            <w:r>
              <w:rPr>
                <w:color w:val="000000"/>
              </w:rPr>
              <w:t>5.0</w:t>
            </w:r>
          </w:p>
        </w:tc>
        <w:tc>
          <w:tcPr>
            <w:tcW w:w="850" w:type="dxa"/>
            <w:tcBorders>
              <w:top w:val="single" w:sz="4" w:space="0" w:color="auto"/>
              <w:left w:val="nil"/>
              <w:bottom w:val="single" w:sz="4" w:space="0" w:color="auto"/>
              <w:right w:val="single" w:sz="4" w:space="0" w:color="auto"/>
            </w:tcBorders>
            <w:shd w:val="clear" w:color="auto" w:fill="auto"/>
            <w:vAlign w:val="bottom"/>
          </w:tcPr>
          <w:p w14:paraId="0297B505" w14:textId="77777777" w:rsidR="0091068C" w:rsidRPr="00BA6CB8" w:rsidRDefault="0091068C" w:rsidP="00986896">
            <w:pPr>
              <w:jc w:val="center"/>
              <w:rPr>
                <w:color w:val="000000"/>
              </w:rPr>
            </w:pPr>
            <w:r w:rsidRPr="00BA6CB8">
              <w:rPr>
                <w:color w:val="000000"/>
              </w:rPr>
              <w:t>3.2</w:t>
            </w:r>
          </w:p>
        </w:tc>
      </w:tr>
      <w:tr w:rsidR="0091068C" w:rsidRPr="00AD3ED7" w14:paraId="1320B9E9" w14:textId="77777777" w:rsidTr="00986896">
        <w:trPr>
          <w:trHeight w:val="280"/>
        </w:trPr>
        <w:tc>
          <w:tcPr>
            <w:tcW w:w="1413" w:type="dxa"/>
            <w:shd w:val="clear" w:color="auto" w:fill="auto"/>
            <w:noWrap/>
          </w:tcPr>
          <w:p w14:paraId="00443006" w14:textId="77777777" w:rsidR="0091068C" w:rsidRPr="00BA6CB8" w:rsidRDefault="0091068C" w:rsidP="00986896">
            <w:pPr>
              <w:jc w:val="center"/>
              <w:rPr>
                <w:color w:val="000000"/>
              </w:rPr>
            </w:pPr>
            <w:r w:rsidRPr="00BA6CB8">
              <w:rPr>
                <w:color w:val="000000"/>
              </w:rPr>
              <w:t>T13.08</w:t>
            </w:r>
          </w:p>
        </w:tc>
        <w:tc>
          <w:tcPr>
            <w:tcW w:w="850" w:type="dxa"/>
            <w:shd w:val="clear" w:color="auto" w:fill="auto"/>
            <w:noWrap/>
          </w:tcPr>
          <w:p w14:paraId="52F3005D" w14:textId="77777777" w:rsidR="0091068C" w:rsidRPr="00BA6CB8" w:rsidRDefault="0091068C" w:rsidP="00986896">
            <w:pPr>
              <w:jc w:val="center"/>
              <w:rPr>
                <w:color w:val="000000"/>
              </w:rPr>
            </w:pPr>
            <w:r w:rsidRPr="00BA6CB8">
              <w:rPr>
                <w:color w:val="000000"/>
              </w:rPr>
              <w:t>42</w:t>
            </w:r>
            <w:r>
              <w:rPr>
                <w:color w:val="000000"/>
              </w:rPr>
              <w:t>.0</w:t>
            </w:r>
          </w:p>
        </w:tc>
        <w:tc>
          <w:tcPr>
            <w:tcW w:w="851" w:type="dxa"/>
            <w:shd w:val="clear" w:color="auto" w:fill="auto"/>
            <w:noWrap/>
          </w:tcPr>
          <w:p w14:paraId="4F61D3BE" w14:textId="77777777" w:rsidR="0091068C" w:rsidRPr="00BA6CB8" w:rsidRDefault="0091068C" w:rsidP="00986896">
            <w:pPr>
              <w:jc w:val="center"/>
              <w:rPr>
                <w:color w:val="000000"/>
              </w:rPr>
            </w:pPr>
            <w:r w:rsidRPr="00BA6CB8">
              <w:rPr>
                <w:color w:val="000000"/>
              </w:rPr>
              <w:t>15</w:t>
            </w:r>
            <w:r>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7704EDB9"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5F0265CE" w14:textId="77777777" w:rsidTr="00986896">
        <w:trPr>
          <w:trHeight w:val="280"/>
        </w:trPr>
        <w:tc>
          <w:tcPr>
            <w:tcW w:w="1413" w:type="dxa"/>
            <w:shd w:val="clear" w:color="auto" w:fill="auto"/>
            <w:noWrap/>
          </w:tcPr>
          <w:p w14:paraId="6988E21B" w14:textId="77777777" w:rsidR="0091068C" w:rsidRPr="00BA6CB8" w:rsidRDefault="0091068C" w:rsidP="00986896">
            <w:pPr>
              <w:jc w:val="center"/>
              <w:rPr>
                <w:color w:val="000000"/>
              </w:rPr>
            </w:pPr>
            <w:r w:rsidRPr="00BA6CB8">
              <w:rPr>
                <w:color w:val="000000"/>
              </w:rPr>
              <w:t>T15.01</w:t>
            </w:r>
          </w:p>
        </w:tc>
        <w:tc>
          <w:tcPr>
            <w:tcW w:w="850" w:type="dxa"/>
            <w:shd w:val="clear" w:color="auto" w:fill="auto"/>
            <w:noWrap/>
          </w:tcPr>
          <w:p w14:paraId="43570412" w14:textId="77777777" w:rsidR="0091068C" w:rsidRPr="00BA6CB8" w:rsidRDefault="0091068C" w:rsidP="00986896">
            <w:pPr>
              <w:jc w:val="center"/>
              <w:rPr>
                <w:color w:val="000000"/>
              </w:rPr>
            </w:pPr>
            <w:r w:rsidRPr="00BA6CB8">
              <w:rPr>
                <w:color w:val="000000"/>
              </w:rPr>
              <w:t>44.2</w:t>
            </w:r>
          </w:p>
        </w:tc>
        <w:tc>
          <w:tcPr>
            <w:tcW w:w="851" w:type="dxa"/>
            <w:shd w:val="clear" w:color="auto" w:fill="auto"/>
            <w:noWrap/>
          </w:tcPr>
          <w:p w14:paraId="7C43ED58" w14:textId="77777777" w:rsidR="0091068C" w:rsidRPr="00BA6CB8" w:rsidRDefault="0091068C" w:rsidP="00986896">
            <w:pPr>
              <w:jc w:val="center"/>
              <w:rPr>
                <w:color w:val="000000"/>
              </w:rPr>
            </w:pPr>
            <w:r w:rsidRPr="00BA6CB8">
              <w:rPr>
                <w:color w:val="000000"/>
              </w:rPr>
              <w:t>16</w:t>
            </w:r>
            <w:r>
              <w:rPr>
                <w:color w:val="000000"/>
              </w:rPr>
              <w:t>.0</w:t>
            </w:r>
          </w:p>
        </w:tc>
        <w:tc>
          <w:tcPr>
            <w:tcW w:w="850" w:type="dxa"/>
          </w:tcPr>
          <w:p w14:paraId="54F53BC2" w14:textId="77777777" w:rsidR="0091068C" w:rsidRPr="00BA6CB8" w:rsidRDefault="0091068C" w:rsidP="00986896">
            <w:pPr>
              <w:jc w:val="center"/>
              <w:rPr>
                <w:color w:val="000000"/>
              </w:rPr>
            </w:pPr>
            <w:r w:rsidRPr="00BA6CB8">
              <w:rPr>
                <w:color w:val="000000"/>
              </w:rPr>
              <w:t>3.2</w:t>
            </w:r>
          </w:p>
        </w:tc>
      </w:tr>
      <w:tr w:rsidR="0091068C" w:rsidRPr="00AD3ED7" w14:paraId="35DAFBC9" w14:textId="77777777" w:rsidTr="00986896">
        <w:trPr>
          <w:trHeight w:val="280"/>
        </w:trPr>
        <w:tc>
          <w:tcPr>
            <w:tcW w:w="1413" w:type="dxa"/>
            <w:shd w:val="clear" w:color="auto" w:fill="auto"/>
            <w:noWrap/>
          </w:tcPr>
          <w:p w14:paraId="7A0871FD" w14:textId="77777777" w:rsidR="0091068C" w:rsidRPr="00BA6CB8" w:rsidRDefault="0091068C" w:rsidP="00986896">
            <w:pPr>
              <w:jc w:val="center"/>
              <w:rPr>
                <w:color w:val="000000"/>
              </w:rPr>
            </w:pPr>
            <w:r w:rsidRPr="00BA6CB8">
              <w:rPr>
                <w:color w:val="000000"/>
              </w:rPr>
              <w:t>T15.02</w:t>
            </w:r>
          </w:p>
        </w:tc>
        <w:tc>
          <w:tcPr>
            <w:tcW w:w="850" w:type="dxa"/>
            <w:shd w:val="clear" w:color="auto" w:fill="auto"/>
            <w:noWrap/>
          </w:tcPr>
          <w:p w14:paraId="3109F52A" w14:textId="77777777" w:rsidR="0091068C" w:rsidRPr="00BA6CB8" w:rsidRDefault="0091068C" w:rsidP="00986896">
            <w:pPr>
              <w:jc w:val="center"/>
              <w:rPr>
                <w:color w:val="000000"/>
              </w:rPr>
            </w:pPr>
            <w:r w:rsidRPr="00BA6CB8">
              <w:rPr>
                <w:color w:val="000000"/>
              </w:rPr>
              <w:t>44.8</w:t>
            </w:r>
          </w:p>
        </w:tc>
        <w:tc>
          <w:tcPr>
            <w:tcW w:w="851" w:type="dxa"/>
            <w:shd w:val="clear" w:color="auto" w:fill="auto"/>
            <w:noWrap/>
          </w:tcPr>
          <w:p w14:paraId="660F28A4" w14:textId="77777777" w:rsidR="0091068C" w:rsidRPr="00BA6CB8" w:rsidRDefault="0091068C" w:rsidP="00986896">
            <w:pPr>
              <w:jc w:val="center"/>
              <w:rPr>
                <w:color w:val="000000"/>
              </w:rPr>
            </w:pPr>
            <w:r w:rsidRPr="00BA6CB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6E971A5B"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7225D335" w14:textId="77777777" w:rsidTr="00986896">
        <w:trPr>
          <w:trHeight w:val="280"/>
        </w:trPr>
        <w:tc>
          <w:tcPr>
            <w:tcW w:w="1413" w:type="dxa"/>
            <w:shd w:val="clear" w:color="auto" w:fill="auto"/>
            <w:noWrap/>
          </w:tcPr>
          <w:p w14:paraId="2CFA290F" w14:textId="77777777" w:rsidR="0091068C" w:rsidRPr="00BA6CB8" w:rsidRDefault="0091068C" w:rsidP="00986896">
            <w:pPr>
              <w:jc w:val="center"/>
              <w:rPr>
                <w:color w:val="000000"/>
              </w:rPr>
            </w:pPr>
            <w:r w:rsidRPr="00BA6CB8">
              <w:rPr>
                <w:color w:val="000000"/>
              </w:rPr>
              <w:t>T15.03</w:t>
            </w:r>
          </w:p>
        </w:tc>
        <w:tc>
          <w:tcPr>
            <w:tcW w:w="850" w:type="dxa"/>
            <w:shd w:val="clear" w:color="auto" w:fill="auto"/>
            <w:noWrap/>
          </w:tcPr>
          <w:p w14:paraId="1405F287" w14:textId="77777777" w:rsidR="0091068C" w:rsidRPr="00BA6CB8" w:rsidRDefault="0091068C" w:rsidP="00986896">
            <w:pPr>
              <w:jc w:val="center"/>
              <w:rPr>
                <w:color w:val="000000"/>
              </w:rPr>
            </w:pPr>
            <w:r w:rsidRPr="00BA6CB8">
              <w:rPr>
                <w:color w:val="000000"/>
              </w:rPr>
              <w:t>44.3</w:t>
            </w:r>
          </w:p>
        </w:tc>
        <w:tc>
          <w:tcPr>
            <w:tcW w:w="851" w:type="dxa"/>
            <w:shd w:val="clear" w:color="auto" w:fill="auto"/>
            <w:noWrap/>
          </w:tcPr>
          <w:p w14:paraId="4335E2DC" w14:textId="77777777" w:rsidR="0091068C" w:rsidRPr="00BA6CB8" w:rsidRDefault="0091068C" w:rsidP="00986896">
            <w:pPr>
              <w:jc w:val="center"/>
              <w:rPr>
                <w:color w:val="000000"/>
              </w:rPr>
            </w:pPr>
            <w:r w:rsidRPr="00BA6CB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054CE625"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07B7D31D" w14:textId="77777777" w:rsidTr="00986896">
        <w:trPr>
          <w:trHeight w:val="280"/>
        </w:trPr>
        <w:tc>
          <w:tcPr>
            <w:tcW w:w="1413" w:type="dxa"/>
            <w:shd w:val="clear" w:color="auto" w:fill="auto"/>
            <w:noWrap/>
          </w:tcPr>
          <w:p w14:paraId="30249A2E" w14:textId="77777777" w:rsidR="0091068C" w:rsidRPr="00BA6CB8" w:rsidRDefault="0091068C" w:rsidP="00986896">
            <w:pPr>
              <w:jc w:val="center"/>
              <w:rPr>
                <w:color w:val="000000"/>
              </w:rPr>
            </w:pPr>
            <w:r w:rsidRPr="00BA6CB8">
              <w:rPr>
                <w:color w:val="000000"/>
              </w:rPr>
              <w:t>T15.04</w:t>
            </w:r>
          </w:p>
        </w:tc>
        <w:tc>
          <w:tcPr>
            <w:tcW w:w="850" w:type="dxa"/>
            <w:shd w:val="clear" w:color="auto" w:fill="auto"/>
            <w:noWrap/>
          </w:tcPr>
          <w:p w14:paraId="073BAF5B" w14:textId="77777777" w:rsidR="0091068C" w:rsidRPr="00BA6CB8" w:rsidRDefault="0091068C" w:rsidP="00986896">
            <w:pPr>
              <w:jc w:val="center"/>
              <w:rPr>
                <w:color w:val="000000"/>
              </w:rPr>
            </w:pPr>
            <w:r w:rsidRPr="00BA6CB8">
              <w:rPr>
                <w:color w:val="000000"/>
              </w:rPr>
              <w:t>43</w:t>
            </w:r>
            <w:r>
              <w:rPr>
                <w:color w:val="000000"/>
              </w:rPr>
              <w:t>.0</w:t>
            </w:r>
          </w:p>
        </w:tc>
        <w:tc>
          <w:tcPr>
            <w:tcW w:w="851" w:type="dxa"/>
            <w:shd w:val="clear" w:color="auto" w:fill="auto"/>
            <w:noWrap/>
          </w:tcPr>
          <w:p w14:paraId="17C2E4F7" w14:textId="77777777" w:rsidR="0091068C" w:rsidRPr="00BA6CB8" w:rsidRDefault="0091068C" w:rsidP="00986896">
            <w:pPr>
              <w:jc w:val="center"/>
              <w:rPr>
                <w:color w:val="000000"/>
              </w:rPr>
            </w:pPr>
            <w:r w:rsidRPr="00BA6CB8">
              <w:rPr>
                <w:color w:val="000000"/>
              </w:rPr>
              <w:t>15.7</w:t>
            </w:r>
          </w:p>
        </w:tc>
        <w:tc>
          <w:tcPr>
            <w:tcW w:w="850" w:type="dxa"/>
            <w:tcBorders>
              <w:top w:val="single" w:sz="4" w:space="0" w:color="auto"/>
              <w:left w:val="nil"/>
              <w:bottom w:val="single" w:sz="4" w:space="0" w:color="auto"/>
              <w:right w:val="single" w:sz="4" w:space="0" w:color="auto"/>
            </w:tcBorders>
            <w:shd w:val="clear" w:color="auto" w:fill="auto"/>
            <w:vAlign w:val="bottom"/>
          </w:tcPr>
          <w:p w14:paraId="2AD6A655" w14:textId="77777777" w:rsidR="0091068C" w:rsidRPr="00BA6CB8" w:rsidRDefault="0091068C" w:rsidP="00986896">
            <w:pPr>
              <w:jc w:val="center"/>
              <w:rPr>
                <w:color w:val="000000"/>
              </w:rPr>
            </w:pPr>
            <w:r w:rsidRPr="00BA6CB8">
              <w:rPr>
                <w:color w:val="000000"/>
              </w:rPr>
              <w:t>3.2</w:t>
            </w:r>
          </w:p>
        </w:tc>
      </w:tr>
      <w:tr w:rsidR="0091068C" w:rsidRPr="00AD3ED7" w14:paraId="45C26856" w14:textId="77777777" w:rsidTr="00986896">
        <w:trPr>
          <w:trHeight w:val="280"/>
        </w:trPr>
        <w:tc>
          <w:tcPr>
            <w:tcW w:w="1413" w:type="dxa"/>
            <w:shd w:val="clear" w:color="auto" w:fill="auto"/>
            <w:noWrap/>
          </w:tcPr>
          <w:p w14:paraId="322AB6E9" w14:textId="77777777" w:rsidR="0091068C" w:rsidRPr="00BA6CB8" w:rsidRDefault="0091068C" w:rsidP="00986896">
            <w:pPr>
              <w:jc w:val="center"/>
              <w:rPr>
                <w:color w:val="000000"/>
              </w:rPr>
            </w:pPr>
            <w:r w:rsidRPr="00BA6CB8">
              <w:rPr>
                <w:color w:val="000000"/>
              </w:rPr>
              <w:t>T15.05</w:t>
            </w:r>
          </w:p>
        </w:tc>
        <w:tc>
          <w:tcPr>
            <w:tcW w:w="850" w:type="dxa"/>
            <w:shd w:val="clear" w:color="auto" w:fill="auto"/>
            <w:noWrap/>
          </w:tcPr>
          <w:p w14:paraId="2BB7C50A" w14:textId="77777777" w:rsidR="0091068C" w:rsidRPr="00BA6CB8" w:rsidRDefault="0091068C" w:rsidP="00986896">
            <w:pPr>
              <w:jc w:val="center"/>
              <w:rPr>
                <w:color w:val="000000"/>
              </w:rPr>
            </w:pPr>
            <w:r w:rsidRPr="00BA6CB8">
              <w:rPr>
                <w:color w:val="000000"/>
              </w:rPr>
              <w:t>44.2</w:t>
            </w:r>
          </w:p>
        </w:tc>
        <w:tc>
          <w:tcPr>
            <w:tcW w:w="851" w:type="dxa"/>
            <w:shd w:val="clear" w:color="auto" w:fill="auto"/>
            <w:noWrap/>
          </w:tcPr>
          <w:p w14:paraId="440ED38B" w14:textId="77777777" w:rsidR="0091068C" w:rsidRPr="00BA6CB8" w:rsidRDefault="0091068C" w:rsidP="00986896">
            <w:pPr>
              <w:jc w:val="center"/>
              <w:rPr>
                <w:color w:val="000000"/>
              </w:rPr>
            </w:pPr>
            <w:r w:rsidRPr="00BA6CB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07D65D35" w14:textId="77777777" w:rsidR="0091068C" w:rsidRPr="00BA6CB8" w:rsidRDefault="0091068C" w:rsidP="00986896">
            <w:pPr>
              <w:jc w:val="center"/>
              <w:rPr>
                <w:color w:val="000000"/>
              </w:rPr>
            </w:pPr>
            <w:r w:rsidRPr="00BA6CB8">
              <w:rPr>
                <w:color w:val="000000"/>
              </w:rPr>
              <w:t>3.2</w:t>
            </w:r>
          </w:p>
        </w:tc>
      </w:tr>
      <w:tr w:rsidR="0091068C" w:rsidRPr="00AD3ED7" w14:paraId="6E480DDC" w14:textId="77777777" w:rsidTr="00986896">
        <w:trPr>
          <w:trHeight w:val="280"/>
        </w:trPr>
        <w:tc>
          <w:tcPr>
            <w:tcW w:w="1413" w:type="dxa"/>
            <w:shd w:val="clear" w:color="auto" w:fill="auto"/>
            <w:noWrap/>
          </w:tcPr>
          <w:p w14:paraId="4E2979EB" w14:textId="77777777" w:rsidR="0091068C" w:rsidRPr="00BA6CB8" w:rsidRDefault="0091068C" w:rsidP="00986896">
            <w:pPr>
              <w:jc w:val="center"/>
              <w:rPr>
                <w:color w:val="000000"/>
              </w:rPr>
            </w:pPr>
            <w:r w:rsidRPr="00BA6CB8">
              <w:rPr>
                <w:color w:val="000000"/>
              </w:rPr>
              <w:t>T15.06</w:t>
            </w:r>
          </w:p>
        </w:tc>
        <w:tc>
          <w:tcPr>
            <w:tcW w:w="850" w:type="dxa"/>
            <w:shd w:val="clear" w:color="auto" w:fill="auto"/>
            <w:noWrap/>
          </w:tcPr>
          <w:p w14:paraId="2836FB92" w14:textId="77777777" w:rsidR="0091068C" w:rsidRPr="00BA6CB8" w:rsidRDefault="0091068C" w:rsidP="00986896">
            <w:pPr>
              <w:jc w:val="center"/>
              <w:rPr>
                <w:color w:val="000000"/>
              </w:rPr>
            </w:pPr>
            <w:r w:rsidRPr="00BA6CB8">
              <w:rPr>
                <w:color w:val="000000"/>
              </w:rPr>
              <w:t>44.3</w:t>
            </w:r>
          </w:p>
        </w:tc>
        <w:tc>
          <w:tcPr>
            <w:tcW w:w="851" w:type="dxa"/>
            <w:shd w:val="clear" w:color="auto" w:fill="auto"/>
            <w:noWrap/>
          </w:tcPr>
          <w:p w14:paraId="605DE9A7" w14:textId="77777777" w:rsidR="0091068C" w:rsidRPr="00BA6CB8" w:rsidRDefault="0091068C" w:rsidP="00986896">
            <w:pPr>
              <w:jc w:val="center"/>
              <w:rPr>
                <w:color w:val="000000"/>
              </w:rPr>
            </w:pPr>
            <w:r w:rsidRPr="00BA6CB8">
              <w:rPr>
                <w:color w:val="000000"/>
              </w:rPr>
              <w:t>16.2</w:t>
            </w:r>
          </w:p>
        </w:tc>
        <w:tc>
          <w:tcPr>
            <w:tcW w:w="850" w:type="dxa"/>
            <w:tcBorders>
              <w:top w:val="single" w:sz="4" w:space="0" w:color="auto"/>
              <w:left w:val="nil"/>
              <w:bottom w:val="single" w:sz="4" w:space="0" w:color="auto"/>
              <w:right w:val="single" w:sz="4" w:space="0" w:color="auto"/>
            </w:tcBorders>
            <w:shd w:val="clear" w:color="auto" w:fill="auto"/>
            <w:vAlign w:val="bottom"/>
          </w:tcPr>
          <w:p w14:paraId="0DD98ECD"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586E154C" w14:textId="77777777" w:rsidTr="00986896">
        <w:trPr>
          <w:trHeight w:val="280"/>
        </w:trPr>
        <w:tc>
          <w:tcPr>
            <w:tcW w:w="1413" w:type="dxa"/>
            <w:shd w:val="clear" w:color="auto" w:fill="auto"/>
            <w:noWrap/>
          </w:tcPr>
          <w:p w14:paraId="5D48A463" w14:textId="77777777" w:rsidR="0091068C" w:rsidRPr="00BA6CB8" w:rsidRDefault="0091068C" w:rsidP="00986896">
            <w:pPr>
              <w:jc w:val="center"/>
              <w:rPr>
                <w:color w:val="000000"/>
              </w:rPr>
            </w:pPr>
            <w:r w:rsidRPr="00BA6CB8">
              <w:rPr>
                <w:color w:val="000000"/>
              </w:rPr>
              <w:t>T15.07</w:t>
            </w:r>
          </w:p>
        </w:tc>
        <w:tc>
          <w:tcPr>
            <w:tcW w:w="850" w:type="dxa"/>
            <w:shd w:val="clear" w:color="auto" w:fill="auto"/>
            <w:noWrap/>
          </w:tcPr>
          <w:p w14:paraId="46D7405B" w14:textId="77777777" w:rsidR="0091068C" w:rsidRPr="00BA6CB8" w:rsidRDefault="0091068C" w:rsidP="00986896">
            <w:pPr>
              <w:jc w:val="center"/>
              <w:rPr>
                <w:color w:val="000000"/>
              </w:rPr>
            </w:pPr>
            <w:r w:rsidRPr="00BA6CB8">
              <w:rPr>
                <w:color w:val="000000"/>
              </w:rPr>
              <w:t>43.8</w:t>
            </w:r>
          </w:p>
        </w:tc>
        <w:tc>
          <w:tcPr>
            <w:tcW w:w="851" w:type="dxa"/>
            <w:shd w:val="clear" w:color="auto" w:fill="auto"/>
            <w:noWrap/>
          </w:tcPr>
          <w:p w14:paraId="4ACCCD75" w14:textId="77777777" w:rsidR="0091068C" w:rsidRPr="00BA6CB8" w:rsidRDefault="0091068C" w:rsidP="00986896">
            <w:pPr>
              <w:jc w:val="center"/>
              <w:rPr>
                <w:color w:val="000000"/>
              </w:rPr>
            </w:pPr>
            <w:r w:rsidRPr="00BA6CB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2DF2D8A6" w14:textId="77777777" w:rsidR="0091068C" w:rsidRPr="00BA6CB8" w:rsidRDefault="0091068C" w:rsidP="00986896">
            <w:pPr>
              <w:jc w:val="center"/>
              <w:rPr>
                <w:color w:val="000000"/>
              </w:rPr>
            </w:pPr>
            <w:r w:rsidRPr="00BA6CB8">
              <w:rPr>
                <w:color w:val="000000"/>
              </w:rPr>
              <w:t>3.2</w:t>
            </w:r>
          </w:p>
        </w:tc>
      </w:tr>
      <w:tr w:rsidR="0091068C" w:rsidRPr="00AD3ED7" w14:paraId="408EEE47" w14:textId="77777777" w:rsidTr="00986896">
        <w:trPr>
          <w:trHeight w:val="280"/>
        </w:trPr>
        <w:tc>
          <w:tcPr>
            <w:tcW w:w="1413" w:type="dxa"/>
            <w:shd w:val="clear" w:color="auto" w:fill="auto"/>
            <w:noWrap/>
          </w:tcPr>
          <w:p w14:paraId="1233D8E8" w14:textId="77777777" w:rsidR="0091068C" w:rsidRPr="00BA6CB8" w:rsidRDefault="0091068C" w:rsidP="00986896">
            <w:pPr>
              <w:jc w:val="center"/>
              <w:rPr>
                <w:color w:val="000000"/>
              </w:rPr>
            </w:pPr>
            <w:r w:rsidRPr="00BA6CB8">
              <w:rPr>
                <w:color w:val="000000"/>
              </w:rPr>
              <w:t>T15.08</w:t>
            </w:r>
          </w:p>
        </w:tc>
        <w:tc>
          <w:tcPr>
            <w:tcW w:w="850" w:type="dxa"/>
            <w:shd w:val="clear" w:color="auto" w:fill="auto"/>
            <w:noWrap/>
          </w:tcPr>
          <w:p w14:paraId="6A14FD04" w14:textId="77777777" w:rsidR="0091068C" w:rsidRPr="00BA6CB8" w:rsidRDefault="0091068C" w:rsidP="00986896">
            <w:pPr>
              <w:jc w:val="center"/>
              <w:rPr>
                <w:color w:val="000000"/>
              </w:rPr>
            </w:pPr>
            <w:r w:rsidRPr="00BA6CB8">
              <w:rPr>
                <w:color w:val="000000"/>
              </w:rPr>
              <w:t>43.9</w:t>
            </w:r>
          </w:p>
        </w:tc>
        <w:tc>
          <w:tcPr>
            <w:tcW w:w="851" w:type="dxa"/>
            <w:shd w:val="clear" w:color="auto" w:fill="auto"/>
            <w:noWrap/>
          </w:tcPr>
          <w:p w14:paraId="423B8042" w14:textId="77777777" w:rsidR="0091068C" w:rsidRPr="00BA6CB8" w:rsidRDefault="0091068C" w:rsidP="00986896">
            <w:pPr>
              <w:jc w:val="center"/>
              <w:rPr>
                <w:color w:val="000000"/>
              </w:rPr>
            </w:pPr>
            <w:r w:rsidRPr="00BA6CB8">
              <w:rPr>
                <w:color w:val="000000"/>
              </w:rPr>
              <w:t>16</w:t>
            </w:r>
            <w:r>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7FB43CD7" w14:textId="77777777" w:rsidR="0091068C" w:rsidRPr="00BA6CB8" w:rsidRDefault="0091068C" w:rsidP="00986896">
            <w:pPr>
              <w:jc w:val="center"/>
              <w:rPr>
                <w:color w:val="000000"/>
              </w:rPr>
            </w:pPr>
            <w:r w:rsidRPr="00BA6CB8">
              <w:rPr>
                <w:color w:val="000000"/>
              </w:rPr>
              <w:t>3.2</w:t>
            </w:r>
          </w:p>
        </w:tc>
      </w:tr>
      <w:tr w:rsidR="0091068C" w:rsidRPr="00AD3ED7" w14:paraId="06CEF705" w14:textId="77777777" w:rsidTr="00986896">
        <w:trPr>
          <w:trHeight w:val="280"/>
        </w:trPr>
        <w:tc>
          <w:tcPr>
            <w:tcW w:w="1413" w:type="dxa"/>
            <w:shd w:val="clear" w:color="auto" w:fill="auto"/>
            <w:noWrap/>
          </w:tcPr>
          <w:p w14:paraId="46580278" w14:textId="77777777" w:rsidR="0091068C" w:rsidRPr="00BA6CB8" w:rsidRDefault="0091068C" w:rsidP="00986896">
            <w:pPr>
              <w:jc w:val="center"/>
              <w:rPr>
                <w:color w:val="000000"/>
              </w:rPr>
            </w:pPr>
            <w:r w:rsidRPr="00BA6CB8">
              <w:rPr>
                <w:color w:val="000000"/>
              </w:rPr>
              <w:t>T15.09</w:t>
            </w:r>
          </w:p>
        </w:tc>
        <w:tc>
          <w:tcPr>
            <w:tcW w:w="850" w:type="dxa"/>
            <w:shd w:val="clear" w:color="auto" w:fill="auto"/>
            <w:noWrap/>
          </w:tcPr>
          <w:p w14:paraId="396385EB" w14:textId="77777777" w:rsidR="0091068C" w:rsidRPr="00BA6CB8" w:rsidRDefault="0091068C" w:rsidP="00986896">
            <w:pPr>
              <w:jc w:val="center"/>
              <w:rPr>
                <w:color w:val="000000"/>
              </w:rPr>
            </w:pPr>
            <w:r w:rsidRPr="00BA6CB8">
              <w:rPr>
                <w:color w:val="000000"/>
              </w:rPr>
              <w:t>44.2</w:t>
            </w:r>
          </w:p>
        </w:tc>
        <w:tc>
          <w:tcPr>
            <w:tcW w:w="851" w:type="dxa"/>
            <w:shd w:val="clear" w:color="auto" w:fill="auto"/>
            <w:noWrap/>
          </w:tcPr>
          <w:p w14:paraId="3A15576C" w14:textId="77777777" w:rsidR="0091068C" w:rsidRPr="00BA6CB8" w:rsidRDefault="0091068C" w:rsidP="00986896">
            <w:pPr>
              <w:jc w:val="center"/>
              <w:rPr>
                <w:color w:val="000000"/>
              </w:rPr>
            </w:pPr>
            <w:r w:rsidRPr="00BA6CB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5FC795E9"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3F2EA0E9" w14:textId="77777777" w:rsidTr="00986896">
        <w:trPr>
          <w:trHeight w:val="280"/>
        </w:trPr>
        <w:tc>
          <w:tcPr>
            <w:tcW w:w="1413" w:type="dxa"/>
            <w:shd w:val="clear" w:color="auto" w:fill="auto"/>
            <w:noWrap/>
          </w:tcPr>
          <w:p w14:paraId="4CE73975" w14:textId="77777777" w:rsidR="0091068C" w:rsidRPr="00BA6CB8" w:rsidRDefault="0091068C" w:rsidP="00986896">
            <w:pPr>
              <w:jc w:val="center"/>
              <w:rPr>
                <w:color w:val="000000"/>
              </w:rPr>
            </w:pPr>
            <w:r w:rsidRPr="00BA6CB8">
              <w:rPr>
                <w:color w:val="000000"/>
              </w:rPr>
              <w:t>T16.01</w:t>
            </w:r>
          </w:p>
        </w:tc>
        <w:tc>
          <w:tcPr>
            <w:tcW w:w="850" w:type="dxa"/>
            <w:shd w:val="clear" w:color="auto" w:fill="auto"/>
            <w:noWrap/>
          </w:tcPr>
          <w:p w14:paraId="5D9411A6" w14:textId="77777777" w:rsidR="0091068C" w:rsidRPr="00BA6CB8" w:rsidRDefault="0091068C" w:rsidP="00986896">
            <w:pPr>
              <w:jc w:val="center"/>
              <w:rPr>
                <w:color w:val="000000"/>
              </w:rPr>
            </w:pPr>
            <w:r w:rsidRPr="00BA6CB8">
              <w:rPr>
                <w:color w:val="000000"/>
              </w:rPr>
              <w:t>45</w:t>
            </w:r>
            <w:r>
              <w:rPr>
                <w:color w:val="000000"/>
              </w:rPr>
              <w:t>.0</w:t>
            </w:r>
          </w:p>
        </w:tc>
        <w:tc>
          <w:tcPr>
            <w:tcW w:w="851" w:type="dxa"/>
            <w:shd w:val="clear" w:color="auto" w:fill="auto"/>
            <w:noWrap/>
          </w:tcPr>
          <w:p w14:paraId="1475E679" w14:textId="77777777" w:rsidR="0091068C" w:rsidRPr="00BA6CB8" w:rsidRDefault="0091068C" w:rsidP="00986896">
            <w:pPr>
              <w:jc w:val="center"/>
              <w:rPr>
                <w:color w:val="000000"/>
              </w:rPr>
            </w:pPr>
            <w:r w:rsidRPr="00BA6CB8">
              <w:rPr>
                <w:color w:val="000000"/>
              </w:rPr>
              <w:t>16.3</w:t>
            </w:r>
          </w:p>
        </w:tc>
        <w:tc>
          <w:tcPr>
            <w:tcW w:w="850" w:type="dxa"/>
            <w:tcBorders>
              <w:top w:val="single" w:sz="4" w:space="0" w:color="auto"/>
              <w:left w:val="nil"/>
              <w:bottom w:val="single" w:sz="4" w:space="0" w:color="auto"/>
              <w:right w:val="single" w:sz="4" w:space="0" w:color="auto"/>
            </w:tcBorders>
            <w:shd w:val="clear" w:color="auto" w:fill="auto"/>
            <w:vAlign w:val="bottom"/>
          </w:tcPr>
          <w:p w14:paraId="0A176948" w14:textId="77777777" w:rsidR="0091068C" w:rsidRPr="00BA6CB8" w:rsidRDefault="0091068C" w:rsidP="00986896">
            <w:pPr>
              <w:jc w:val="center"/>
              <w:rPr>
                <w:color w:val="000000"/>
              </w:rPr>
            </w:pPr>
            <w:r w:rsidRPr="00BA6CB8">
              <w:rPr>
                <w:color w:val="000000"/>
              </w:rPr>
              <w:t>3.2</w:t>
            </w:r>
          </w:p>
        </w:tc>
      </w:tr>
      <w:tr w:rsidR="0091068C" w:rsidRPr="00AD3ED7" w14:paraId="22732DCA" w14:textId="77777777" w:rsidTr="00986896">
        <w:trPr>
          <w:trHeight w:val="280"/>
        </w:trPr>
        <w:tc>
          <w:tcPr>
            <w:tcW w:w="1413" w:type="dxa"/>
            <w:shd w:val="clear" w:color="auto" w:fill="auto"/>
            <w:noWrap/>
          </w:tcPr>
          <w:p w14:paraId="7ADFD57F" w14:textId="77777777" w:rsidR="0091068C" w:rsidRPr="00BA6CB8" w:rsidRDefault="0091068C" w:rsidP="00986896">
            <w:pPr>
              <w:jc w:val="center"/>
              <w:rPr>
                <w:color w:val="000000"/>
              </w:rPr>
            </w:pPr>
            <w:r w:rsidRPr="00BA6CB8">
              <w:rPr>
                <w:color w:val="000000"/>
              </w:rPr>
              <w:t>T16.02</w:t>
            </w:r>
          </w:p>
        </w:tc>
        <w:tc>
          <w:tcPr>
            <w:tcW w:w="850" w:type="dxa"/>
            <w:shd w:val="clear" w:color="auto" w:fill="auto"/>
            <w:noWrap/>
          </w:tcPr>
          <w:p w14:paraId="780E5495" w14:textId="77777777" w:rsidR="0091068C" w:rsidRPr="00BA6CB8" w:rsidRDefault="0091068C" w:rsidP="00986896">
            <w:pPr>
              <w:jc w:val="center"/>
              <w:rPr>
                <w:color w:val="000000"/>
              </w:rPr>
            </w:pPr>
            <w:r w:rsidRPr="00BA6CB8">
              <w:rPr>
                <w:color w:val="000000"/>
              </w:rPr>
              <w:t>35.5</w:t>
            </w:r>
          </w:p>
        </w:tc>
        <w:tc>
          <w:tcPr>
            <w:tcW w:w="851" w:type="dxa"/>
            <w:shd w:val="clear" w:color="auto" w:fill="auto"/>
            <w:noWrap/>
          </w:tcPr>
          <w:p w14:paraId="58CFC440" w14:textId="77777777" w:rsidR="0091068C" w:rsidRPr="00BA6CB8" w:rsidRDefault="0091068C" w:rsidP="00986896">
            <w:pPr>
              <w:jc w:val="center"/>
              <w:rPr>
                <w:color w:val="000000"/>
              </w:rPr>
            </w:pPr>
            <w:r w:rsidRPr="00BA6CB8">
              <w:rPr>
                <w:color w:val="000000"/>
              </w:rPr>
              <w:t>12.</w:t>
            </w:r>
            <w:r>
              <w:rPr>
                <w:color w:val="000000"/>
              </w:rPr>
              <w:t>7</w:t>
            </w:r>
          </w:p>
        </w:tc>
        <w:tc>
          <w:tcPr>
            <w:tcW w:w="850" w:type="dxa"/>
            <w:tcBorders>
              <w:top w:val="single" w:sz="4" w:space="0" w:color="auto"/>
              <w:left w:val="nil"/>
              <w:bottom w:val="single" w:sz="4" w:space="0" w:color="auto"/>
              <w:right w:val="single" w:sz="4" w:space="0" w:color="auto"/>
            </w:tcBorders>
            <w:shd w:val="clear" w:color="auto" w:fill="auto"/>
            <w:vAlign w:val="bottom"/>
          </w:tcPr>
          <w:p w14:paraId="35A8A949"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74EAF724" w14:textId="77777777" w:rsidTr="00986896">
        <w:trPr>
          <w:trHeight w:val="280"/>
        </w:trPr>
        <w:tc>
          <w:tcPr>
            <w:tcW w:w="1413" w:type="dxa"/>
            <w:shd w:val="clear" w:color="auto" w:fill="auto"/>
            <w:noWrap/>
          </w:tcPr>
          <w:p w14:paraId="37B050CF" w14:textId="77777777" w:rsidR="0091068C" w:rsidRPr="00BA6CB8" w:rsidRDefault="0091068C" w:rsidP="00986896">
            <w:pPr>
              <w:jc w:val="center"/>
              <w:rPr>
                <w:color w:val="000000"/>
              </w:rPr>
            </w:pPr>
            <w:r w:rsidRPr="00BA6CB8">
              <w:rPr>
                <w:color w:val="000000"/>
              </w:rPr>
              <w:lastRenderedPageBreak/>
              <w:t>T16.03</w:t>
            </w:r>
          </w:p>
        </w:tc>
        <w:tc>
          <w:tcPr>
            <w:tcW w:w="850" w:type="dxa"/>
            <w:shd w:val="clear" w:color="auto" w:fill="auto"/>
            <w:noWrap/>
          </w:tcPr>
          <w:p w14:paraId="0218F869" w14:textId="77777777" w:rsidR="0091068C" w:rsidRPr="00BA6CB8" w:rsidRDefault="0091068C" w:rsidP="00986896">
            <w:pPr>
              <w:jc w:val="center"/>
              <w:rPr>
                <w:color w:val="000000"/>
              </w:rPr>
            </w:pPr>
            <w:r w:rsidRPr="00BA6CB8">
              <w:rPr>
                <w:color w:val="000000"/>
              </w:rPr>
              <w:t>34.5</w:t>
            </w:r>
          </w:p>
        </w:tc>
        <w:tc>
          <w:tcPr>
            <w:tcW w:w="851" w:type="dxa"/>
            <w:shd w:val="clear" w:color="auto" w:fill="auto"/>
            <w:noWrap/>
          </w:tcPr>
          <w:p w14:paraId="12FE7424" w14:textId="77777777" w:rsidR="0091068C" w:rsidRPr="00BA6CB8" w:rsidRDefault="0091068C" w:rsidP="00986896">
            <w:pPr>
              <w:jc w:val="center"/>
              <w:rPr>
                <w:color w:val="000000"/>
              </w:rPr>
            </w:pPr>
            <w:r w:rsidRPr="00BA6CB8">
              <w:rPr>
                <w:color w:val="000000"/>
              </w:rPr>
              <w:t>12.</w:t>
            </w:r>
            <w:r>
              <w:rPr>
                <w:color w:val="000000"/>
              </w:rPr>
              <w:t>4</w:t>
            </w:r>
          </w:p>
        </w:tc>
        <w:tc>
          <w:tcPr>
            <w:tcW w:w="850" w:type="dxa"/>
            <w:tcBorders>
              <w:top w:val="single" w:sz="4" w:space="0" w:color="auto"/>
              <w:left w:val="nil"/>
              <w:bottom w:val="single" w:sz="4" w:space="0" w:color="auto"/>
              <w:right w:val="single" w:sz="4" w:space="0" w:color="auto"/>
            </w:tcBorders>
            <w:shd w:val="clear" w:color="auto" w:fill="auto"/>
            <w:vAlign w:val="bottom"/>
          </w:tcPr>
          <w:p w14:paraId="46BA520F"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4374B4D0" w14:textId="77777777" w:rsidTr="00986896">
        <w:trPr>
          <w:trHeight w:val="280"/>
        </w:trPr>
        <w:tc>
          <w:tcPr>
            <w:tcW w:w="1413" w:type="dxa"/>
            <w:shd w:val="clear" w:color="auto" w:fill="auto"/>
            <w:noWrap/>
          </w:tcPr>
          <w:p w14:paraId="75181D48" w14:textId="77777777" w:rsidR="0091068C" w:rsidRPr="00BA6CB8" w:rsidRDefault="0091068C" w:rsidP="00986896">
            <w:pPr>
              <w:jc w:val="center"/>
              <w:rPr>
                <w:color w:val="000000"/>
              </w:rPr>
            </w:pPr>
            <w:r w:rsidRPr="00BA6CB8">
              <w:rPr>
                <w:color w:val="000000"/>
              </w:rPr>
              <w:t>T16.04</w:t>
            </w:r>
          </w:p>
        </w:tc>
        <w:tc>
          <w:tcPr>
            <w:tcW w:w="850" w:type="dxa"/>
            <w:shd w:val="clear" w:color="auto" w:fill="auto"/>
            <w:noWrap/>
          </w:tcPr>
          <w:p w14:paraId="39284114" w14:textId="77777777" w:rsidR="0091068C" w:rsidRPr="00BA6CB8" w:rsidRDefault="0091068C" w:rsidP="00986896">
            <w:pPr>
              <w:jc w:val="center"/>
              <w:rPr>
                <w:color w:val="000000"/>
              </w:rPr>
            </w:pPr>
            <w:r w:rsidRPr="00BA6CB8">
              <w:rPr>
                <w:color w:val="000000"/>
              </w:rPr>
              <w:t>42.2</w:t>
            </w:r>
          </w:p>
        </w:tc>
        <w:tc>
          <w:tcPr>
            <w:tcW w:w="851" w:type="dxa"/>
            <w:shd w:val="clear" w:color="auto" w:fill="auto"/>
            <w:noWrap/>
          </w:tcPr>
          <w:p w14:paraId="585561B9" w14:textId="77777777" w:rsidR="0091068C" w:rsidRPr="00BA6CB8" w:rsidRDefault="0091068C" w:rsidP="00986896">
            <w:pPr>
              <w:jc w:val="center"/>
              <w:rPr>
                <w:color w:val="000000"/>
              </w:rPr>
            </w:pPr>
            <w:r w:rsidRPr="00BA6CB8">
              <w:rPr>
                <w:color w:val="000000"/>
              </w:rPr>
              <w:t>15.2</w:t>
            </w:r>
          </w:p>
        </w:tc>
        <w:tc>
          <w:tcPr>
            <w:tcW w:w="850" w:type="dxa"/>
            <w:tcBorders>
              <w:top w:val="single" w:sz="4" w:space="0" w:color="auto"/>
              <w:left w:val="nil"/>
              <w:bottom w:val="single" w:sz="4" w:space="0" w:color="auto"/>
              <w:right w:val="single" w:sz="4" w:space="0" w:color="auto"/>
            </w:tcBorders>
            <w:shd w:val="clear" w:color="auto" w:fill="auto"/>
            <w:vAlign w:val="bottom"/>
          </w:tcPr>
          <w:p w14:paraId="5E92DEA8" w14:textId="77777777" w:rsidR="0091068C" w:rsidRPr="00BA6CB8" w:rsidRDefault="0091068C" w:rsidP="00986896">
            <w:pPr>
              <w:jc w:val="center"/>
              <w:rPr>
                <w:color w:val="000000"/>
              </w:rPr>
            </w:pPr>
            <w:r w:rsidRPr="00BA6CB8">
              <w:rPr>
                <w:color w:val="000000"/>
              </w:rPr>
              <w:t>3.2</w:t>
            </w:r>
          </w:p>
        </w:tc>
      </w:tr>
      <w:tr w:rsidR="0091068C" w:rsidRPr="00AD3ED7" w14:paraId="0686C14D" w14:textId="77777777" w:rsidTr="00986896">
        <w:trPr>
          <w:trHeight w:val="280"/>
        </w:trPr>
        <w:tc>
          <w:tcPr>
            <w:tcW w:w="1413" w:type="dxa"/>
            <w:shd w:val="clear" w:color="auto" w:fill="auto"/>
            <w:noWrap/>
          </w:tcPr>
          <w:p w14:paraId="6F496AF9" w14:textId="77777777" w:rsidR="0091068C" w:rsidRPr="00BA6CB8" w:rsidRDefault="0091068C" w:rsidP="00986896">
            <w:pPr>
              <w:jc w:val="center"/>
              <w:rPr>
                <w:color w:val="000000"/>
              </w:rPr>
            </w:pPr>
            <w:r w:rsidRPr="00BA6CB8">
              <w:rPr>
                <w:color w:val="000000"/>
              </w:rPr>
              <w:t>T16.05</w:t>
            </w:r>
          </w:p>
        </w:tc>
        <w:tc>
          <w:tcPr>
            <w:tcW w:w="850" w:type="dxa"/>
            <w:shd w:val="clear" w:color="auto" w:fill="auto"/>
            <w:noWrap/>
          </w:tcPr>
          <w:p w14:paraId="6E99C35F" w14:textId="77777777" w:rsidR="0091068C" w:rsidRPr="00BA6CB8" w:rsidRDefault="0091068C" w:rsidP="00986896">
            <w:pPr>
              <w:jc w:val="center"/>
              <w:rPr>
                <w:color w:val="000000"/>
              </w:rPr>
            </w:pPr>
            <w:r w:rsidRPr="00BA6CB8">
              <w:rPr>
                <w:color w:val="000000"/>
              </w:rPr>
              <w:t>43.4</w:t>
            </w:r>
          </w:p>
        </w:tc>
        <w:tc>
          <w:tcPr>
            <w:tcW w:w="851" w:type="dxa"/>
            <w:shd w:val="clear" w:color="auto" w:fill="auto"/>
            <w:noWrap/>
          </w:tcPr>
          <w:p w14:paraId="1BE90987"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561F36D1"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56652707" w14:textId="77777777" w:rsidTr="00986896">
        <w:trPr>
          <w:trHeight w:val="280"/>
        </w:trPr>
        <w:tc>
          <w:tcPr>
            <w:tcW w:w="1413" w:type="dxa"/>
            <w:shd w:val="clear" w:color="auto" w:fill="auto"/>
            <w:noWrap/>
          </w:tcPr>
          <w:p w14:paraId="7AB2647C" w14:textId="77777777" w:rsidR="0091068C" w:rsidRPr="00BA6CB8" w:rsidRDefault="0091068C" w:rsidP="00986896">
            <w:pPr>
              <w:jc w:val="center"/>
              <w:rPr>
                <w:color w:val="000000"/>
              </w:rPr>
            </w:pPr>
            <w:r w:rsidRPr="00BA6CB8">
              <w:rPr>
                <w:color w:val="000000"/>
              </w:rPr>
              <w:t>T16.06</w:t>
            </w:r>
          </w:p>
        </w:tc>
        <w:tc>
          <w:tcPr>
            <w:tcW w:w="850" w:type="dxa"/>
            <w:shd w:val="clear" w:color="auto" w:fill="auto"/>
            <w:noWrap/>
          </w:tcPr>
          <w:p w14:paraId="28C5EE1F" w14:textId="77777777" w:rsidR="0091068C" w:rsidRPr="00BA6CB8" w:rsidRDefault="0091068C" w:rsidP="00986896">
            <w:pPr>
              <w:jc w:val="center"/>
              <w:rPr>
                <w:color w:val="000000"/>
              </w:rPr>
            </w:pPr>
            <w:r w:rsidRPr="00BA6CB8">
              <w:rPr>
                <w:color w:val="000000"/>
              </w:rPr>
              <w:t>43.2</w:t>
            </w:r>
          </w:p>
        </w:tc>
        <w:tc>
          <w:tcPr>
            <w:tcW w:w="851" w:type="dxa"/>
            <w:shd w:val="clear" w:color="auto" w:fill="auto"/>
            <w:noWrap/>
          </w:tcPr>
          <w:p w14:paraId="4C4CE584"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3D0DD304" w14:textId="77777777" w:rsidR="0091068C" w:rsidRPr="00BA6CB8" w:rsidRDefault="0091068C" w:rsidP="00986896">
            <w:pPr>
              <w:jc w:val="center"/>
              <w:rPr>
                <w:color w:val="000000"/>
              </w:rPr>
            </w:pPr>
            <w:r w:rsidRPr="00BA6CB8">
              <w:rPr>
                <w:color w:val="000000"/>
              </w:rPr>
              <w:t>3.2</w:t>
            </w:r>
          </w:p>
        </w:tc>
      </w:tr>
      <w:tr w:rsidR="0091068C" w:rsidRPr="00AD3ED7" w14:paraId="17E00AB9" w14:textId="77777777" w:rsidTr="00986896">
        <w:trPr>
          <w:trHeight w:val="280"/>
        </w:trPr>
        <w:tc>
          <w:tcPr>
            <w:tcW w:w="1413" w:type="dxa"/>
            <w:shd w:val="clear" w:color="auto" w:fill="auto"/>
            <w:noWrap/>
          </w:tcPr>
          <w:p w14:paraId="01972AF0" w14:textId="77777777" w:rsidR="0091068C" w:rsidRPr="00BA6CB8" w:rsidRDefault="0091068C" w:rsidP="00986896">
            <w:pPr>
              <w:jc w:val="center"/>
              <w:rPr>
                <w:color w:val="000000"/>
              </w:rPr>
            </w:pPr>
            <w:r w:rsidRPr="00BA6CB8">
              <w:rPr>
                <w:color w:val="000000"/>
              </w:rPr>
              <w:t>T16.07</w:t>
            </w:r>
          </w:p>
        </w:tc>
        <w:tc>
          <w:tcPr>
            <w:tcW w:w="850" w:type="dxa"/>
            <w:shd w:val="clear" w:color="auto" w:fill="auto"/>
            <w:noWrap/>
          </w:tcPr>
          <w:p w14:paraId="1F56E22D" w14:textId="77777777" w:rsidR="0091068C" w:rsidRPr="00BA6CB8" w:rsidRDefault="0091068C" w:rsidP="00986896">
            <w:pPr>
              <w:jc w:val="center"/>
              <w:rPr>
                <w:color w:val="000000"/>
              </w:rPr>
            </w:pPr>
            <w:r w:rsidRPr="00BA6CB8">
              <w:rPr>
                <w:color w:val="000000"/>
              </w:rPr>
              <w:t>44.3</w:t>
            </w:r>
          </w:p>
        </w:tc>
        <w:tc>
          <w:tcPr>
            <w:tcW w:w="851" w:type="dxa"/>
            <w:shd w:val="clear" w:color="auto" w:fill="auto"/>
            <w:noWrap/>
          </w:tcPr>
          <w:p w14:paraId="632F9989" w14:textId="77777777" w:rsidR="0091068C" w:rsidRPr="00BA6CB8" w:rsidRDefault="0091068C" w:rsidP="00986896">
            <w:pPr>
              <w:jc w:val="center"/>
              <w:rPr>
                <w:color w:val="000000"/>
              </w:rPr>
            </w:pPr>
            <w:r w:rsidRPr="00BA6CB8">
              <w:rPr>
                <w:color w:val="000000"/>
              </w:rPr>
              <w:t>16</w:t>
            </w:r>
            <w:r>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34220329" w14:textId="77777777" w:rsidR="0091068C" w:rsidRPr="00BA6CB8" w:rsidRDefault="0091068C" w:rsidP="00986896">
            <w:pPr>
              <w:jc w:val="center"/>
              <w:rPr>
                <w:color w:val="000000"/>
              </w:rPr>
            </w:pPr>
            <w:r w:rsidRPr="00BA6CB8">
              <w:rPr>
                <w:color w:val="000000"/>
              </w:rPr>
              <w:t>3.2</w:t>
            </w:r>
          </w:p>
        </w:tc>
      </w:tr>
      <w:tr w:rsidR="0091068C" w:rsidRPr="00AD3ED7" w14:paraId="76D5B8CD" w14:textId="77777777" w:rsidTr="00986896">
        <w:trPr>
          <w:trHeight w:val="280"/>
        </w:trPr>
        <w:tc>
          <w:tcPr>
            <w:tcW w:w="1413" w:type="dxa"/>
            <w:shd w:val="clear" w:color="auto" w:fill="auto"/>
            <w:noWrap/>
          </w:tcPr>
          <w:p w14:paraId="090811FC" w14:textId="77777777" w:rsidR="0091068C" w:rsidRPr="00BA6CB8" w:rsidRDefault="0091068C" w:rsidP="00986896">
            <w:pPr>
              <w:jc w:val="center"/>
              <w:rPr>
                <w:color w:val="000000"/>
              </w:rPr>
            </w:pPr>
            <w:r w:rsidRPr="00BA6CB8">
              <w:rPr>
                <w:color w:val="000000"/>
              </w:rPr>
              <w:t>T16.08</w:t>
            </w:r>
          </w:p>
        </w:tc>
        <w:tc>
          <w:tcPr>
            <w:tcW w:w="850" w:type="dxa"/>
            <w:shd w:val="clear" w:color="auto" w:fill="auto"/>
            <w:noWrap/>
          </w:tcPr>
          <w:p w14:paraId="15A69B8F" w14:textId="77777777" w:rsidR="0091068C" w:rsidRPr="00BA6CB8" w:rsidRDefault="0091068C" w:rsidP="00986896">
            <w:pPr>
              <w:jc w:val="center"/>
              <w:rPr>
                <w:color w:val="000000"/>
              </w:rPr>
            </w:pPr>
            <w:r w:rsidRPr="00BA6CB8">
              <w:rPr>
                <w:color w:val="000000"/>
              </w:rPr>
              <w:t>41.6</w:t>
            </w:r>
          </w:p>
        </w:tc>
        <w:tc>
          <w:tcPr>
            <w:tcW w:w="851" w:type="dxa"/>
            <w:shd w:val="clear" w:color="auto" w:fill="auto"/>
            <w:noWrap/>
          </w:tcPr>
          <w:p w14:paraId="33AA7A77" w14:textId="77777777" w:rsidR="0091068C" w:rsidRPr="00BA6CB8" w:rsidRDefault="0091068C" w:rsidP="00986896">
            <w:pPr>
              <w:jc w:val="center"/>
              <w:rPr>
                <w:color w:val="000000"/>
              </w:rPr>
            </w:pPr>
            <w:r w:rsidRPr="00BA6CB8">
              <w:rPr>
                <w:color w:val="000000"/>
              </w:rPr>
              <w:t>14.</w:t>
            </w:r>
            <w:r>
              <w:rPr>
                <w:color w:val="000000"/>
              </w:rPr>
              <w:t>9</w:t>
            </w:r>
          </w:p>
        </w:tc>
        <w:tc>
          <w:tcPr>
            <w:tcW w:w="850" w:type="dxa"/>
            <w:tcBorders>
              <w:top w:val="single" w:sz="4" w:space="0" w:color="auto"/>
              <w:left w:val="nil"/>
              <w:bottom w:val="single" w:sz="4" w:space="0" w:color="auto"/>
              <w:right w:val="single" w:sz="4" w:space="0" w:color="auto"/>
            </w:tcBorders>
            <w:shd w:val="clear" w:color="auto" w:fill="auto"/>
            <w:vAlign w:val="bottom"/>
          </w:tcPr>
          <w:p w14:paraId="2E2905F1"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2E12149F" w14:textId="77777777" w:rsidTr="00986896">
        <w:trPr>
          <w:trHeight w:val="280"/>
        </w:trPr>
        <w:tc>
          <w:tcPr>
            <w:tcW w:w="1413" w:type="dxa"/>
            <w:shd w:val="clear" w:color="auto" w:fill="auto"/>
            <w:noWrap/>
          </w:tcPr>
          <w:p w14:paraId="001F90E7" w14:textId="77777777" w:rsidR="0091068C" w:rsidRPr="0049408A" w:rsidRDefault="0091068C" w:rsidP="00986896">
            <w:pPr>
              <w:jc w:val="center"/>
              <w:rPr>
                <w:color w:val="000000"/>
              </w:rPr>
            </w:pPr>
            <w:r w:rsidRPr="0049408A">
              <w:rPr>
                <w:color w:val="000000"/>
              </w:rPr>
              <w:t>T17.01</w:t>
            </w:r>
          </w:p>
        </w:tc>
        <w:tc>
          <w:tcPr>
            <w:tcW w:w="850" w:type="dxa"/>
            <w:shd w:val="clear" w:color="auto" w:fill="auto"/>
            <w:noWrap/>
          </w:tcPr>
          <w:p w14:paraId="5606AE48" w14:textId="77777777" w:rsidR="0091068C" w:rsidRPr="0049408A" w:rsidRDefault="0091068C" w:rsidP="00986896">
            <w:pPr>
              <w:jc w:val="center"/>
              <w:rPr>
                <w:color w:val="000000"/>
              </w:rPr>
            </w:pPr>
            <w:r w:rsidRPr="0049408A">
              <w:rPr>
                <w:color w:val="000000"/>
              </w:rPr>
              <w:t>47.5</w:t>
            </w:r>
          </w:p>
        </w:tc>
        <w:tc>
          <w:tcPr>
            <w:tcW w:w="851" w:type="dxa"/>
            <w:shd w:val="clear" w:color="auto" w:fill="auto"/>
            <w:noWrap/>
          </w:tcPr>
          <w:p w14:paraId="5958DB1F" w14:textId="77777777" w:rsidR="0091068C" w:rsidRPr="0049408A" w:rsidRDefault="0091068C" w:rsidP="00986896">
            <w:pPr>
              <w:jc w:val="center"/>
              <w:rPr>
                <w:color w:val="000000"/>
              </w:rPr>
            </w:pPr>
            <w:r w:rsidRPr="0049408A">
              <w:rPr>
                <w:color w:val="000000"/>
              </w:rPr>
              <w:t>14.</w:t>
            </w:r>
            <w:r>
              <w:rPr>
                <w:color w:val="000000"/>
              </w:rPr>
              <w:t>5</w:t>
            </w:r>
          </w:p>
        </w:tc>
        <w:tc>
          <w:tcPr>
            <w:tcW w:w="850" w:type="dxa"/>
            <w:tcBorders>
              <w:top w:val="single" w:sz="4" w:space="0" w:color="auto"/>
              <w:left w:val="nil"/>
              <w:bottom w:val="single" w:sz="4" w:space="0" w:color="auto"/>
              <w:right w:val="single" w:sz="4" w:space="0" w:color="auto"/>
            </w:tcBorders>
            <w:shd w:val="clear" w:color="auto" w:fill="auto"/>
            <w:vAlign w:val="bottom"/>
          </w:tcPr>
          <w:p w14:paraId="40DB09C1" w14:textId="77777777" w:rsidR="0091068C" w:rsidRPr="0049408A" w:rsidRDefault="0091068C" w:rsidP="00986896">
            <w:pPr>
              <w:jc w:val="center"/>
              <w:rPr>
                <w:color w:val="000000"/>
              </w:rPr>
            </w:pPr>
            <w:r w:rsidRPr="0049408A">
              <w:rPr>
                <w:color w:val="000000"/>
              </w:rPr>
              <w:t>3.8</w:t>
            </w:r>
          </w:p>
        </w:tc>
      </w:tr>
      <w:tr w:rsidR="0091068C" w:rsidRPr="00AD3ED7" w14:paraId="257AFFD4" w14:textId="77777777" w:rsidTr="00986896">
        <w:trPr>
          <w:trHeight w:val="280"/>
        </w:trPr>
        <w:tc>
          <w:tcPr>
            <w:tcW w:w="1413" w:type="dxa"/>
            <w:shd w:val="clear" w:color="auto" w:fill="auto"/>
            <w:noWrap/>
          </w:tcPr>
          <w:p w14:paraId="06ADD3A2" w14:textId="77777777" w:rsidR="0091068C" w:rsidRPr="00BA6CB8" w:rsidRDefault="0091068C" w:rsidP="00986896">
            <w:pPr>
              <w:jc w:val="center"/>
              <w:rPr>
                <w:color w:val="000000"/>
              </w:rPr>
            </w:pPr>
            <w:r w:rsidRPr="00BA6CB8">
              <w:rPr>
                <w:color w:val="000000"/>
              </w:rPr>
              <w:t>T17.02</w:t>
            </w:r>
          </w:p>
        </w:tc>
        <w:tc>
          <w:tcPr>
            <w:tcW w:w="850" w:type="dxa"/>
            <w:shd w:val="clear" w:color="auto" w:fill="auto"/>
            <w:noWrap/>
          </w:tcPr>
          <w:p w14:paraId="559CA659" w14:textId="77777777" w:rsidR="0091068C" w:rsidRPr="00BA6CB8" w:rsidRDefault="0091068C" w:rsidP="00986896">
            <w:pPr>
              <w:jc w:val="center"/>
              <w:rPr>
                <w:color w:val="000000"/>
              </w:rPr>
            </w:pPr>
            <w:r w:rsidRPr="00BA6CB8">
              <w:rPr>
                <w:color w:val="000000"/>
              </w:rPr>
              <w:t>44.7</w:t>
            </w:r>
          </w:p>
        </w:tc>
        <w:tc>
          <w:tcPr>
            <w:tcW w:w="851" w:type="dxa"/>
            <w:shd w:val="clear" w:color="auto" w:fill="auto"/>
            <w:noWrap/>
          </w:tcPr>
          <w:p w14:paraId="75A67C85"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0F03F281" w14:textId="77777777" w:rsidR="0091068C" w:rsidRPr="00BA6CB8" w:rsidRDefault="0091068C" w:rsidP="00986896">
            <w:pPr>
              <w:jc w:val="center"/>
              <w:rPr>
                <w:color w:val="000000"/>
              </w:rPr>
            </w:pPr>
            <w:r w:rsidRPr="00BA6CB8">
              <w:rPr>
                <w:color w:val="000000"/>
              </w:rPr>
              <w:t>3.3</w:t>
            </w:r>
          </w:p>
        </w:tc>
      </w:tr>
      <w:tr w:rsidR="0091068C" w:rsidRPr="00AD3ED7" w14:paraId="7E75A898" w14:textId="77777777" w:rsidTr="00986896">
        <w:trPr>
          <w:trHeight w:val="280"/>
        </w:trPr>
        <w:tc>
          <w:tcPr>
            <w:tcW w:w="1413" w:type="dxa"/>
            <w:shd w:val="clear" w:color="auto" w:fill="auto"/>
            <w:noWrap/>
          </w:tcPr>
          <w:p w14:paraId="7AB52DFF" w14:textId="77777777" w:rsidR="0091068C" w:rsidRPr="00BA6CB8" w:rsidRDefault="0091068C" w:rsidP="00986896">
            <w:pPr>
              <w:jc w:val="center"/>
              <w:rPr>
                <w:color w:val="000000"/>
              </w:rPr>
            </w:pPr>
            <w:r w:rsidRPr="00BA6CB8">
              <w:rPr>
                <w:color w:val="000000"/>
              </w:rPr>
              <w:t>T17.03</w:t>
            </w:r>
          </w:p>
        </w:tc>
        <w:tc>
          <w:tcPr>
            <w:tcW w:w="850" w:type="dxa"/>
            <w:shd w:val="clear" w:color="auto" w:fill="auto"/>
            <w:noWrap/>
          </w:tcPr>
          <w:p w14:paraId="13B28281" w14:textId="77777777" w:rsidR="0091068C" w:rsidRPr="00BA6CB8" w:rsidRDefault="0091068C" w:rsidP="00986896">
            <w:pPr>
              <w:jc w:val="center"/>
              <w:rPr>
                <w:color w:val="000000"/>
              </w:rPr>
            </w:pPr>
            <w:r w:rsidRPr="00BA6CB8">
              <w:rPr>
                <w:color w:val="000000"/>
              </w:rPr>
              <w:t>42.9</w:t>
            </w:r>
          </w:p>
        </w:tc>
        <w:tc>
          <w:tcPr>
            <w:tcW w:w="851" w:type="dxa"/>
            <w:shd w:val="clear" w:color="auto" w:fill="auto"/>
            <w:noWrap/>
          </w:tcPr>
          <w:p w14:paraId="424553DF" w14:textId="77777777" w:rsidR="0091068C" w:rsidRPr="00BA6CB8" w:rsidRDefault="0091068C" w:rsidP="00986896">
            <w:pPr>
              <w:jc w:val="center"/>
              <w:rPr>
                <w:color w:val="000000"/>
              </w:rPr>
            </w:pPr>
            <w:r w:rsidRPr="00BA6CB8">
              <w:rPr>
                <w:color w:val="000000"/>
              </w:rPr>
              <w:t>15.4</w:t>
            </w:r>
          </w:p>
        </w:tc>
        <w:tc>
          <w:tcPr>
            <w:tcW w:w="850" w:type="dxa"/>
            <w:tcBorders>
              <w:top w:val="single" w:sz="4" w:space="0" w:color="auto"/>
              <w:left w:val="nil"/>
              <w:bottom w:val="single" w:sz="4" w:space="0" w:color="auto"/>
              <w:right w:val="single" w:sz="4" w:space="0" w:color="auto"/>
            </w:tcBorders>
            <w:shd w:val="clear" w:color="auto" w:fill="auto"/>
            <w:vAlign w:val="bottom"/>
          </w:tcPr>
          <w:p w14:paraId="78AF7703"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6D4B276A" w14:textId="77777777" w:rsidTr="00986896">
        <w:trPr>
          <w:trHeight w:val="280"/>
        </w:trPr>
        <w:tc>
          <w:tcPr>
            <w:tcW w:w="1413" w:type="dxa"/>
            <w:shd w:val="clear" w:color="auto" w:fill="auto"/>
            <w:noWrap/>
          </w:tcPr>
          <w:p w14:paraId="02D1CED3" w14:textId="77777777" w:rsidR="0091068C" w:rsidRPr="00BA6CB8" w:rsidRDefault="0091068C" w:rsidP="00986896">
            <w:pPr>
              <w:jc w:val="center"/>
              <w:rPr>
                <w:color w:val="000000"/>
              </w:rPr>
            </w:pPr>
            <w:r w:rsidRPr="00BA6CB8">
              <w:rPr>
                <w:color w:val="000000"/>
              </w:rPr>
              <w:t>T17.04</w:t>
            </w:r>
          </w:p>
        </w:tc>
        <w:tc>
          <w:tcPr>
            <w:tcW w:w="850" w:type="dxa"/>
            <w:shd w:val="clear" w:color="auto" w:fill="auto"/>
            <w:noWrap/>
          </w:tcPr>
          <w:p w14:paraId="45F83504" w14:textId="77777777" w:rsidR="0091068C" w:rsidRPr="00BA6CB8" w:rsidRDefault="0091068C" w:rsidP="00986896">
            <w:pPr>
              <w:jc w:val="center"/>
              <w:rPr>
                <w:color w:val="000000"/>
              </w:rPr>
            </w:pPr>
            <w:r w:rsidRPr="00BA6CB8">
              <w:rPr>
                <w:color w:val="000000"/>
              </w:rPr>
              <w:t>43.5</w:t>
            </w:r>
          </w:p>
        </w:tc>
        <w:tc>
          <w:tcPr>
            <w:tcW w:w="851" w:type="dxa"/>
            <w:shd w:val="clear" w:color="auto" w:fill="auto"/>
            <w:noWrap/>
          </w:tcPr>
          <w:p w14:paraId="5E16B56B" w14:textId="77777777" w:rsidR="0091068C" w:rsidRPr="00BA6CB8" w:rsidRDefault="0091068C" w:rsidP="00986896">
            <w:pPr>
              <w:jc w:val="center"/>
              <w:rPr>
                <w:color w:val="000000"/>
              </w:rPr>
            </w:pPr>
            <w:r w:rsidRPr="00BA6CB8">
              <w:rPr>
                <w:color w:val="000000"/>
              </w:rPr>
              <w:t>14.9</w:t>
            </w:r>
          </w:p>
        </w:tc>
        <w:tc>
          <w:tcPr>
            <w:tcW w:w="850" w:type="dxa"/>
            <w:tcBorders>
              <w:top w:val="single" w:sz="4" w:space="0" w:color="auto"/>
              <w:left w:val="nil"/>
              <w:bottom w:val="single" w:sz="4" w:space="0" w:color="auto"/>
              <w:right w:val="single" w:sz="4" w:space="0" w:color="auto"/>
            </w:tcBorders>
            <w:shd w:val="clear" w:color="auto" w:fill="auto"/>
            <w:vAlign w:val="bottom"/>
          </w:tcPr>
          <w:p w14:paraId="283AA7FC" w14:textId="77777777" w:rsidR="0091068C" w:rsidRPr="00BA6CB8" w:rsidRDefault="0091068C" w:rsidP="00986896">
            <w:pPr>
              <w:jc w:val="center"/>
              <w:rPr>
                <w:color w:val="000000"/>
              </w:rPr>
            </w:pPr>
            <w:r w:rsidRPr="00BA6CB8">
              <w:rPr>
                <w:color w:val="000000"/>
              </w:rPr>
              <w:t>3.4</w:t>
            </w:r>
          </w:p>
        </w:tc>
      </w:tr>
      <w:tr w:rsidR="0091068C" w:rsidRPr="00AD3ED7" w14:paraId="309CB845" w14:textId="77777777" w:rsidTr="00986896">
        <w:trPr>
          <w:trHeight w:val="280"/>
        </w:trPr>
        <w:tc>
          <w:tcPr>
            <w:tcW w:w="1413" w:type="dxa"/>
            <w:shd w:val="clear" w:color="auto" w:fill="auto"/>
            <w:noWrap/>
          </w:tcPr>
          <w:p w14:paraId="77340889" w14:textId="77777777" w:rsidR="0091068C" w:rsidRPr="00BA6CB8" w:rsidRDefault="0091068C" w:rsidP="00986896">
            <w:pPr>
              <w:jc w:val="center"/>
              <w:rPr>
                <w:color w:val="000000"/>
              </w:rPr>
            </w:pPr>
            <w:r w:rsidRPr="00BA6CB8">
              <w:rPr>
                <w:color w:val="000000"/>
              </w:rPr>
              <w:t>T17.05</w:t>
            </w:r>
          </w:p>
        </w:tc>
        <w:tc>
          <w:tcPr>
            <w:tcW w:w="850" w:type="dxa"/>
            <w:shd w:val="clear" w:color="auto" w:fill="auto"/>
            <w:noWrap/>
          </w:tcPr>
          <w:p w14:paraId="223879DD" w14:textId="77777777" w:rsidR="0091068C" w:rsidRPr="00BA6CB8" w:rsidRDefault="0091068C" w:rsidP="00986896">
            <w:pPr>
              <w:jc w:val="center"/>
              <w:rPr>
                <w:color w:val="000000"/>
              </w:rPr>
            </w:pPr>
            <w:r w:rsidRPr="00BA6CB8">
              <w:rPr>
                <w:color w:val="000000"/>
              </w:rPr>
              <w:t>40.7</w:t>
            </w:r>
          </w:p>
        </w:tc>
        <w:tc>
          <w:tcPr>
            <w:tcW w:w="851" w:type="dxa"/>
            <w:shd w:val="clear" w:color="auto" w:fill="auto"/>
            <w:noWrap/>
          </w:tcPr>
          <w:p w14:paraId="6BA7E421" w14:textId="77777777" w:rsidR="0091068C" w:rsidRPr="00BA6CB8" w:rsidRDefault="0091068C" w:rsidP="00986896">
            <w:pPr>
              <w:jc w:val="center"/>
              <w:rPr>
                <w:color w:val="000000"/>
              </w:rPr>
            </w:pPr>
            <w:r w:rsidRPr="00BA6CB8">
              <w:rPr>
                <w:color w:val="000000"/>
              </w:rPr>
              <w:t>14.</w:t>
            </w:r>
            <w:r>
              <w:rPr>
                <w:color w:val="000000"/>
              </w:rPr>
              <w:t>8</w:t>
            </w:r>
          </w:p>
        </w:tc>
        <w:tc>
          <w:tcPr>
            <w:tcW w:w="850" w:type="dxa"/>
            <w:tcBorders>
              <w:top w:val="single" w:sz="4" w:space="0" w:color="auto"/>
              <w:left w:val="nil"/>
              <w:bottom w:val="single" w:sz="4" w:space="0" w:color="auto"/>
              <w:right w:val="single" w:sz="4" w:space="0" w:color="auto"/>
            </w:tcBorders>
            <w:shd w:val="clear" w:color="auto" w:fill="auto"/>
            <w:vAlign w:val="bottom"/>
          </w:tcPr>
          <w:p w14:paraId="22E7C5D1" w14:textId="77777777" w:rsidR="0091068C" w:rsidRPr="00BA6CB8" w:rsidRDefault="0091068C" w:rsidP="00986896">
            <w:pPr>
              <w:jc w:val="center"/>
              <w:rPr>
                <w:color w:val="000000"/>
              </w:rPr>
            </w:pPr>
            <w:r w:rsidRPr="00BA6CB8">
              <w:rPr>
                <w:color w:val="000000"/>
              </w:rPr>
              <w:t>3.2</w:t>
            </w:r>
          </w:p>
        </w:tc>
      </w:tr>
      <w:tr w:rsidR="0091068C" w:rsidRPr="00AD3ED7" w14:paraId="1256F813" w14:textId="77777777" w:rsidTr="00986896">
        <w:trPr>
          <w:trHeight w:val="280"/>
        </w:trPr>
        <w:tc>
          <w:tcPr>
            <w:tcW w:w="1413" w:type="dxa"/>
            <w:shd w:val="clear" w:color="auto" w:fill="auto"/>
            <w:noWrap/>
          </w:tcPr>
          <w:p w14:paraId="075604A3" w14:textId="77777777" w:rsidR="0091068C" w:rsidRPr="00BA6CB8" w:rsidRDefault="0091068C" w:rsidP="00986896">
            <w:pPr>
              <w:jc w:val="center"/>
              <w:rPr>
                <w:color w:val="000000"/>
              </w:rPr>
            </w:pPr>
            <w:r w:rsidRPr="00BA6CB8">
              <w:rPr>
                <w:color w:val="000000"/>
              </w:rPr>
              <w:t>T18.01</w:t>
            </w:r>
          </w:p>
        </w:tc>
        <w:tc>
          <w:tcPr>
            <w:tcW w:w="850" w:type="dxa"/>
            <w:shd w:val="clear" w:color="auto" w:fill="auto"/>
            <w:noWrap/>
          </w:tcPr>
          <w:p w14:paraId="09FCA554" w14:textId="77777777" w:rsidR="0091068C" w:rsidRPr="00BA6CB8" w:rsidRDefault="0091068C" w:rsidP="00986896">
            <w:pPr>
              <w:jc w:val="center"/>
              <w:rPr>
                <w:color w:val="000000"/>
              </w:rPr>
            </w:pPr>
            <w:r w:rsidRPr="00BA6CB8">
              <w:rPr>
                <w:color w:val="000000"/>
              </w:rPr>
              <w:t>43.3</w:t>
            </w:r>
          </w:p>
        </w:tc>
        <w:tc>
          <w:tcPr>
            <w:tcW w:w="851" w:type="dxa"/>
            <w:shd w:val="clear" w:color="auto" w:fill="auto"/>
            <w:noWrap/>
          </w:tcPr>
          <w:p w14:paraId="3C5F3F43"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2D0ACC93" w14:textId="77777777" w:rsidR="0091068C" w:rsidRPr="00BA6CB8" w:rsidRDefault="0091068C" w:rsidP="00986896">
            <w:pPr>
              <w:jc w:val="center"/>
              <w:rPr>
                <w:color w:val="000000"/>
              </w:rPr>
            </w:pPr>
            <w:r w:rsidRPr="00BA6CB8">
              <w:rPr>
                <w:color w:val="000000"/>
              </w:rPr>
              <w:t>3.2</w:t>
            </w:r>
          </w:p>
        </w:tc>
      </w:tr>
      <w:tr w:rsidR="0091068C" w:rsidRPr="00AD3ED7" w14:paraId="1471E6DD" w14:textId="77777777" w:rsidTr="00986896">
        <w:trPr>
          <w:trHeight w:val="280"/>
        </w:trPr>
        <w:tc>
          <w:tcPr>
            <w:tcW w:w="1413" w:type="dxa"/>
            <w:shd w:val="clear" w:color="auto" w:fill="auto"/>
            <w:noWrap/>
          </w:tcPr>
          <w:p w14:paraId="2D77AE1F" w14:textId="77777777" w:rsidR="0091068C" w:rsidRPr="00BA6CB8" w:rsidRDefault="0091068C" w:rsidP="00986896">
            <w:pPr>
              <w:jc w:val="center"/>
              <w:rPr>
                <w:color w:val="000000"/>
              </w:rPr>
            </w:pPr>
            <w:r w:rsidRPr="00BA6CB8">
              <w:rPr>
                <w:color w:val="000000"/>
              </w:rPr>
              <w:t>T18.02</w:t>
            </w:r>
          </w:p>
        </w:tc>
        <w:tc>
          <w:tcPr>
            <w:tcW w:w="850" w:type="dxa"/>
            <w:shd w:val="clear" w:color="auto" w:fill="auto"/>
            <w:noWrap/>
          </w:tcPr>
          <w:p w14:paraId="635F9E19" w14:textId="77777777" w:rsidR="0091068C" w:rsidRPr="00BA6CB8" w:rsidRDefault="0091068C" w:rsidP="00986896">
            <w:pPr>
              <w:jc w:val="center"/>
              <w:rPr>
                <w:color w:val="000000"/>
              </w:rPr>
            </w:pPr>
            <w:r w:rsidRPr="00BA6CB8">
              <w:rPr>
                <w:color w:val="000000"/>
              </w:rPr>
              <w:t>43.8</w:t>
            </w:r>
          </w:p>
        </w:tc>
        <w:tc>
          <w:tcPr>
            <w:tcW w:w="851" w:type="dxa"/>
            <w:shd w:val="clear" w:color="auto" w:fill="auto"/>
            <w:noWrap/>
          </w:tcPr>
          <w:p w14:paraId="6640FFD1" w14:textId="77777777" w:rsidR="0091068C" w:rsidRPr="00BA6CB8" w:rsidRDefault="0091068C" w:rsidP="00986896">
            <w:pPr>
              <w:jc w:val="center"/>
              <w:rPr>
                <w:color w:val="000000"/>
              </w:rPr>
            </w:pPr>
            <w:r w:rsidRPr="00BA6CB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66A2F3DA" w14:textId="77777777" w:rsidR="0091068C" w:rsidRPr="00BA6CB8" w:rsidRDefault="0091068C" w:rsidP="00986896">
            <w:pPr>
              <w:jc w:val="center"/>
              <w:rPr>
                <w:color w:val="000000"/>
              </w:rPr>
            </w:pPr>
            <w:r w:rsidRPr="00BA6CB8">
              <w:rPr>
                <w:color w:val="000000"/>
              </w:rPr>
              <w:t>3.2</w:t>
            </w:r>
          </w:p>
        </w:tc>
      </w:tr>
      <w:tr w:rsidR="0091068C" w:rsidRPr="00AD3ED7" w14:paraId="00F26FBD" w14:textId="77777777" w:rsidTr="00986896">
        <w:trPr>
          <w:trHeight w:val="280"/>
        </w:trPr>
        <w:tc>
          <w:tcPr>
            <w:tcW w:w="1413" w:type="dxa"/>
            <w:shd w:val="clear" w:color="auto" w:fill="auto"/>
            <w:noWrap/>
          </w:tcPr>
          <w:p w14:paraId="70B258A4" w14:textId="77777777" w:rsidR="0091068C" w:rsidRPr="00BA6CB8" w:rsidRDefault="0091068C" w:rsidP="00986896">
            <w:pPr>
              <w:jc w:val="center"/>
              <w:rPr>
                <w:color w:val="000000"/>
              </w:rPr>
            </w:pPr>
            <w:r w:rsidRPr="00BA6CB8">
              <w:rPr>
                <w:color w:val="000000"/>
              </w:rPr>
              <w:t>T18.03</w:t>
            </w:r>
          </w:p>
        </w:tc>
        <w:tc>
          <w:tcPr>
            <w:tcW w:w="850" w:type="dxa"/>
            <w:shd w:val="clear" w:color="auto" w:fill="auto"/>
            <w:noWrap/>
          </w:tcPr>
          <w:p w14:paraId="04FF79CD" w14:textId="77777777" w:rsidR="0091068C" w:rsidRPr="00BA6CB8" w:rsidRDefault="0091068C" w:rsidP="00986896">
            <w:pPr>
              <w:jc w:val="center"/>
              <w:rPr>
                <w:color w:val="000000"/>
              </w:rPr>
            </w:pPr>
            <w:r w:rsidRPr="00BA6CB8">
              <w:rPr>
                <w:color w:val="000000"/>
              </w:rPr>
              <w:t>42.8</w:t>
            </w:r>
          </w:p>
        </w:tc>
        <w:tc>
          <w:tcPr>
            <w:tcW w:w="851" w:type="dxa"/>
            <w:shd w:val="clear" w:color="auto" w:fill="auto"/>
            <w:noWrap/>
          </w:tcPr>
          <w:p w14:paraId="57F06871"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3CE38F04" w14:textId="77777777" w:rsidR="0091068C" w:rsidRPr="00BA6CB8" w:rsidRDefault="0091068C" w:rsidP="00986896">
            <w:pPr>
              <w:jc w:val="center"/>
              <w:rPr>
                <w:color w:val="000000"/>
              </w:rPr>
            </w:pPr>
            <w:r w:rsidRPr="00BA6CB8">
              <w:rPr>
                <w:color w:val="000000"/>
              </w:rPr>
              <w:t>3.2</w:t>
            </w:r>
          </w:p>
        </w:tc>
      </w:tr>
      <w:tr w:rsidR="0091068C" w:rsidRPr="00AD3ED7" w14:paraId="39D4C7B4" w14:textId="77777777" w:rsidTr="00986896">
        <w:trPr>
          <w:trHeight w:val="280"/>
        </w:trPr>
        <w:tc>
          <w:tcPr>
            <w:tcW w:w="1413" w:type="dxa"/>
            <w:shd w:val="clear" w:color="auto" w:fill="auto"/>
            <w:noWrap/>
          </w:tcPr>
          <w:p w14:paraId="6FB54C9F" w14:textId="77777777" w:rsidR="0091068C" w:rsidRPr="00BA6CB8" w:rsidRDefault="0091068C" w:rsidP="00986896">
            <w:pPr>
              <w:jc w:val="center"/>
              <w:rPr>
                <w:color w:val="000000"/>
              </w:rPr>
            </w:pPr>
            <w:r w:rsidRPr="00BA6CB8">
              <w:rPr>
                <w:color w:val="000000"/>
              </w:rPr>
              <w:t>T18.04</w:t>
            </w:r>
          </w:p>
        </w:tc>
        <w:tc>
          <w:tcPr>
            <w:tcW w:w="850" w:type="dxa"/>
            <w:shd w:val="clear" w:color="auto" w:fill="auto"/>
            <w:noWrap/>
          </w:tcPr>
          <w:p w14:paraId="19495AFD" w14:textId="77777777" w:rsidR="0091068C" w:rsidRPr="00BA6CB8" w:rsidRDefault="0091068C" w:rsidP="00986896">
            <w:pPr>
              <w:jc w:val="center"/>
              <w:rPr>
                <w:color w:val="000000"/>
              </w:rPr>
            </w:pPr>
            <w:r w:rsidRPr="00BA6CB8">
              <w:rPr>
                <w:color w:val="000000"/>
              </w:rPr>
              <w:t>43</w:t>
            </w:r>
            <w:r>
              <w:rPr>
                <w:color w:val="000000"/>
              </w:rPr>
              <w:t>.0</w:t>
            </w:r>
          </w:p>
        </w:tc>
        <w:tc>
          <w:tcPr>
            <w:tcW w:w="851" w:type="dxa"/>
            <w:shd w:val="clear" w:color="auto" w:fill="auto"/>
            <w:noWrap/>
          </w:tcPr>
          <w:p w14:paraId="2E34583B"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29298B61" w14:textId="77777777" w:rsidR="0091068C" w:rsidRPr="00BA6CB8" w:rsidRDefault="0091068C" w:rsidP="00986896">
            <w:pPr>
              <w:jc w:val="center"/>
              <w:rPr>
                <w:color w:val="000000"/>
              </w:rPr>
            </w:pPr>
            <w:r w:rsidRPr="00BA6CB8">
              <w:rPr>
                <w:color w:val="000000"/>
              </w:rPr>
              <w:t>3.2</w:t>
            </w:r>
          </w:p>
        </w:tc>
      </w:tr>
      <w:tr w:rsidR="0091068C" w:rsidRPr="00AD3ED7" w14:paraId="6E73F273" w14:textId="77777777" w:rsidTr="00986896">
        <w:trPr>
          <w:trHeight w:val="280"/>
        </w:trPr>
        <w:tc>
          <w:tcPr>
            <w:tcW w:w="1413" w:type="dxa"/>
            <w:shd w:val="clear" w:color="auto" w:fill="auto"/>
            <w:noWrap/>
          </w:tcPr>
          <w:p w14:paraId="32FE1876" w14:textId="77777777" w:rsidR="0091068C" w:rsidRPr="00BA6CB8" w:rsidRDefault="0091068C" w:rsidP="00986896">
            <w:pPr>
              <w:jc w:val="center"/>
              <w:rPr>
                <w:color w:val="000000"/>
              </w:rPr>
            </w:pPr>
            <w:r w:rsidRPr="00BA6CB8">
              <w:rPr>
                <w:color w:val="000000"/>
              </w:rPr>
              <w:t>T18.05</w:t>
            </w:r>
          </w:p>
        </w:tc>
        <w:tc>
          <w:tcPr>
            <w:tcW w:w="850" w:type="dxa"/>
            <w:shd w:val="clear" w:color="auto" w:fill="auto"/>
            <w:noWrap/>
          </w:tcPr>
          <w:p w14:paraId="58FD3910" w14:textId="77777777" w:rsidR="0091068C" w:rsidRPr="00BA6CB8" w:rsidRDefault="0091068C" w:rsidP="00986896">
            <w:pPr>
              <w:jc w:val="center"/>
              <w:rPr>
                <w:color w:val="000000"/>
              </w:rPr>
            </w:pPr>
            <w:r w:rsidRPr="00BA6CB8">
              <w:rPr>
                <w:color w:val="000000"/>
              </w:rPr>
              <w:t>42.1</w:t>
            </w:r>
          </w:p>
        </w:tc>
        <w:tc>
          <w:tcPr>
            <w:tcW w:w="851" w:type="dxa"/>
            <w:shd w:val="clear" w:color="auto" w:fill="auto"/>
            <w:noWrap/>
          </w:tcPr>
          <w:p w14:paraId="0582FE9F" w14:textId="77777777" w:rsidR="0091068C" w:rsidRPr="00BA6CB8" w:rsidRDefault="0091068C" w:rsidP="00986896">
            <w:pPr>
              <w:jc w:val="center"/>
              <w:rPr>
                <w:color w:val="000000"/>
              </w:rPr>
            </w:pPr>
            <w:r w:rsidRPr="00BA6CB8">
              <w:rPr>
                <w:color w:val="000000"/>
              </w:rPr>
              <w:t>15.3</w:t>
            </w:r>
          </w:p>
        </w:tc>
        <w:tc>
          <w:tcPr>
            <w:tcW w:w="850" w:type="dxa"/>
            <w:tcBorders>
              <w:top w:val="single" w:sz="4" w:space="0" w:color="auto"/>
              <w:left w:val="nil"/>
              <w:bottom w:val="single" w:sz="4" w:space="0" w:color="auto"/>
              <w:right w:val="single" w:sz="4" w:space="0" w:color="auto"/>
            </w:tcBorders>
            <w:shd w:val="clear" w:color="auto" w:fill="auto"/>
            <w:vAlign w:val="bottom"/>
          </w:tcPr>
          <w:p w14:paraId="0D6ECB25" w14:textId="77777777" w:rsidR="0091068C" w:rsidRPr="00BA6CB8" w:rsidRDefault="0091068C" w:rsidP="00986896">
            <w:pPr>
              <w:jc w:val="center"/>
              <w:rPr>
                <w:color w:val="000000"/>
              </w:rPr>
            </w:pPr>
            <w:r w:rsidRPr="00BA6CB8">
              <w:rPr>
                <w:color w:val="000000"/>
              </w:rPr>
              <w:t>3.2</w:t>
            </w:r>
          </w:p>
        </w:tc>
      </w:tr>
      <w:tr w:rsidR="0091068C" w:rsidRPr="00AD3ED7" w14:paraId="3A6558F9" w14:textId="77777777" w:rsidTr="00986896">
        <w:trPr>
          <w:trHeight w:val="280"/>
        </w:trPr>
        <w:tc>
          <w:tcPr>
            <w:tcW w:w="1413" w:type="dxa"/>
            <w:shd w:val="clear" w:color="auto" w:fill="auto"/>
            <w:noWrap/>
          </w:tcPr>
          <w:p w14:paraId="712925D4" w14:textId="77777777" w:rsidR="0091068C" w:rsidRPr="00BA6CB8" w:rsidRDefault="0091068C" w:rsidP="00986896">
            <w:pPr>
              <w:jc w:val="center"/>
              <w:rPr>
                <w:color w:val="000000"/>
              </w:rPr>
            </w:pPr>
            <w:r w:rsidRPr="00BA6CB8">
              <w:rPr>
                <w:color w:val="000000"/>
              </w:rPr>
              <w:t>T18.06</w:t>
            </w:r>
          </w:p>
        </w:tc>
        <w:tc>
          <w:tcPr>
            <w:tcW w:w="850" w:type="dxa"/>
            <w:shd w:val="clear" w:color="auto" w:fill="auto"/>
            <w:noWrap/>
          </w:tcPr>
          <w:p w14:paraId="529D2030" w14:textId="77777777" w:rsidR="0091068C" w:rsidRPr="00BA6CB8" w:rsidRDefault="0091068C" w:rsidP="00986896">
            <w:pPr>
              <w:jc w:val="center"/>
              <w:rPr>
                <w:color w:val="000000"/>
              </w:rPr>
            </w:pPr>
            <w:r w:rsidRPr="00BA6CB8">
              <w:rPr>
                <w:color w:val="000000"/>
              </w:rPr>
              <w:t>42</w:t>
            </w:r>
            <w:r>
              <w:rPr>
                <w:color w:val="000000"/>
              </w:rPr>
              <w:t>.0</w:t>
            </w:r>
          </w:p>
        </w:tc>
        <w:tc>
          <w:tcPr>
            <w:tcW w:w="851" w:type="dxa"/>
            <w:shd w:val="clear" w:color="auto" w:fill="auto"/>
            <w:noWrap/>
          </w:tcPr>
          <w:p w14:paraId="70E8BA1C" w14:textId="77777777" w:rsidR="0091068C" w:rsidRPr="00BA6CB8" w:rsidRDefault="0091068C" w:rsidP="00986896">
            <w:pPr>
              <w:jc w:val="center"/>
              <w:rPr>
                <w:color w:val="000000"/>
              </w:rPr>
            </w:pPr>
            <w:r w:rsidRPr="00BA6CB8">
              <w:rPr>
                <w:color w:val="000000"/>
              </w:rPr>
              <w:t>15.2</w:t>
            </w:r>
          </w:p>
        </w:tc>
        <w:tc>
          <w:tcPr>
            <w:tcW w:w="850" w:type="dxa"/>
            <w:tcBorders>
              <w:top w:val="single" w:sz="4" w:space="0" w:color="auto"/>
              <w:left w:val="nil"/>
              <w:bottom w:val="single" w:sz="4" w:space="0" w:color="auto"/>
              <w:right w:val="single" w:sz="4" w:space="0" w:color="auto"/>
            </w:tcBorders>
            <w:shd w:val="clear" w:color="auto" w:fill="auto"/>
            <w:vAlign w:val="bottom"/>
          </w:tcPr>
          <w:p w14:paraId="2B38BADC" w14:textId="77777777" w:rsidR="0091068C" w:rsidRPr="00BA6CB8" w:rsidRDefault="0091068C" w:rsidP="00986896">
            <w:pPr>
              <w:jc w:val="center"/>
              <w:rPr>
                <w:color w:val="000000"/>
              </w:rPr>
            </w:pPr>
            <w:r w:rsidRPr="00BA6CB8">
              <w:rPr>
                <w:color w:val="000000"/>
              </w:rPr>
              <w:t>3.2</w:t>
            </w:r>
          </w:p>
        </w:tc>
      </w:tr>
      <w:tr w:rsidR="0091068C" w:rsidRPr="00AD3ED7" w14:paraId="7A80E200" w14:textId="77777777" w:rsidTr="00986896">
        <w:trPr>
          <w:trHeight w:val="280"/>
        </w:trPr>
        <w:tc>
          <w:tcPr>
            <w:tcW w:w="1413" w:type="dxa"/>
            <w:shd w:val="clear" w:color="auto" w:fill="auto"/>
            <w:noWrap/>
          </w:tcPr>
          <w:p w14:paraId="5D131422" w14:textId="77777777" w:rsidR="0091068C" w:rsidRPr="00BA6CB8" w:rsidRDefault="0091068C" w:rsidP="00986896">
            <w:pPr>
              <w:jc w:val="center"/>
              <w:rPr>
                <w:color w:val="000000"/>
              </w:rPr>
            </w:pPr>
            <w:r w:rsidRPr="00BA6CB8">
              <w:rPr>
                <w:color w:val="000000"/>
              </w:rPr>
              <w:t>T18.07</w:t>
            </w:r>
          </w:p>
        </w:tc>
        <w:tc>
          <w:tcPr>
            <w:tcW w:w="850" w:type="dxa"/>
            <w:shd w:val="clear" w:color="auto" w:fill="auto"/>
            <w:noWrap/>
          </w:tcPr>
          <w:p w14:paraId="3FF847B9" w14:textId="77777777" w:rsidR="0091068C" w:rsidRPr="00BA6CB8" w:rsidRDefault="0091068C" w:rsidP="00986896">
            <w:pPr>
              <w:jc w:val="center"/>
              <w:rPr>
                <w:color w:val="000000"/>
              </w:rPr>
            </w:pPr>
            <w:r w:rsidRPr="00BA6CB8">
              <w:rPr>
                <w:color w:val="000000"/>
              </w:rPr>
              <w:t>42.1</w:t>
            </w:r>
          </w:p>
        </w:tc>
        <w:tc>
          <w:tcPr>
            <w:tcW w:w="851" w:type="dxa"/>
            <w:shd w:val="clear" w:color="auto" w:fill="auto"/>
            <w:noWrap/>
          </w:tcPr>
          <w:p w14:paraId="32E46936" w14:textId="77777777" w:rsidR="0091068C" w:rsidRPr="00BA6CB8" w:rsidRDefault="0091068C" w:rsidP="00986896">
            <w:pPr>
              <w:jc w:val="center"/>
              <w:rPr>
                <w:color w:val="000000"/>
              </w:rPr>
            </w:pPr>
            <w:r w:rsidRPr="00BA6CB8">
              <w:rPr>
                <w:color w:val="000000"/>
              </w:rPr>
              <w:t>15.3</w:t>
            </w:r>
          </w:p>
        </w:tc>
        <w:tc>
          <w:tcPr>
            <w:tcW w:w="850" w:type="dxa"/>
            <w:tcBorders>
              <w:top w:val="single" w:sz="4" w:space="0" w:color="auto"/>
              <w:left w:val="nil"/>
              <w:bottom w:val="single" w:sz="4" w:space="0" w:color="auto"/>
              <w:right w:val="single" w:sz="4" w:space="0" w:color="auto"/>
            </w:tcBorders>
            <w:shd w:val="clear" w:color="auto" w:fill="auto"/>
            <w:vAlign w:val="bottom"/>
          </w:tcPr>
          <w:p w14:paraId="7FA510C2" w14:textId="77777777" w:rsidR="0091068C" w:rsidRPr="00BA6CB8" w:rsidRDefault="0091068C" w:rsidP="00986896">
            <w:pPr>
              <w:jc w:val="center"/>
              <w:rPr>
                <w:color w:val="000000"/>
              </w:rPr>
            </w:pPr>
            <w:r w:rsidRPr="00BA6CB8">
              <w:rPr>
                <w:color w:val="000000"/>
              </w:rPr>
              <w:t>3.2</w:t>
            </w:r>
          </w:p>
        </w:tc>
      </w:tr>
      <w:tr w:rsidR="0091068C" w:rsidRPr="00AD3ED7" w14:paraId="325F3CE0" w14:textId="77777777" w:rsidTr="00986896">
        <w:trPr>
          <w:trHeight w:val="280"/>
        </w:trPr>
        <w:tc>
          <w:tcPr>
            <w:tcW w:w="1413" w:type="dxa"/>
            <w:shd w:val="clear" w:color="auto" w:fill="auto"/>
            <w:noWrap/>
          </w:tcPr>
          <w:p w14:paraId="3D6B2032" w14:textId="77777777" w:rsidR="0091068C" w:rsidRPr="00BA6CB8" w:rsidRDefault="0091068C" w:rsidP="00986896">
            <w:pPr>
              <w:jc w:val="center"/>
              <w:rPr>
                <w:color w:val="000000"/>
              </w:rPr>
            </w:pPr>
            <w:r w:rsidRPr="00BA6CB8">
              <w:rPr>
                <w:color w:val="000000"/>
              </w:rPr>
              <w:t>T18.08</w:t>
            </w:r>
          </w:p>
        </w:tc>
        <w:tc>
          <w:tcPr>
            <w:tcW w:w="850" w:type="dxa"/>
            <w:shd w:val="clear" w:color="auto" w:fill="auto"/>
            <w:noWrap/>
          </w:tcPr>
          <w:p w14:paraId="51BF044A" w14:textId="77777777" w:rsidR="0091068C" w:rsidRPr="00BA6CB8" w:rsidRDefault="0091068C" w:rsidP="00986896">
            <w:pPr>
              <w:jc w:val="center"/>
              <w:rPr>
                <w:color w:val="000000"/>
              </w:rPr>
            </w:pPr>
            <w:r w:rsidRPr="00BA6CB8">
              <w:rPr>
                <w:color w:val="000000"/>
              </w:rPr>
              <w:t>42.4</w:t>
            </w:r>
          </w:p>
        </w:tc>
        <w:tc>
          <w:tcPr>
            <w:tcW w:w="851" w:type="dxa"/>
            <w:shd w:val="clear" w:color="auto" w:fill="auto"/>
            <w:noWrap/>
          </w:tcPr>
          <w:p w14:paraId="28147AD4" w14:textId="77777777" w:rsidR="0091068C" w:rsidRPr="00BA6CB8" w:rsidRDefault="0091068C" w:rsidP="00986896">
            <w:pPr>
              <w:jc w:val="center"/>
              <w:rPr>
                <w:color w:val="000000"/>
              </w:rPr>
            </w:pPr>
            <w:r w:rsidRPr="00BA6CB8">
              <w:rPr>
                <w:color w:val="000000"/>
              </w:rPr>
              <w:t>15.4</w:t>
            </w:r>
          </w:p>
        </w:tc>
        <w:tc>
          <w:tcPr>
            <w:tcW w:w="850" w:type="dxa"/>
            <w:tcBorders>
              <w:top w:val="single" w:sz="4" w:space="0" w:color="auto"/>
              <w:left w:val="nil"/>
              <w:bottom w:val="single" w:sz="4" w:space="0" w:color="auto"/>
              <w:right w:val="single" w:sz="4" w:space="0" w:color="auto"/>
            </w:tcBorders>
            <w:shd w:val="clear" w:color="auto" w:fill="auto"/>
            <w:vAlign w:val="bottom"/>
          </w:tcPr>
          <w:p w14:paraId="34B8D8BB" w14:textId="77777777" w:rsidR="0091068C" w:rsidRPr="00BA6CB8" w:rsidRDefault="0091068C" w:rsidP="00986896">
            <w:pPr>
              <w:jc w:val="center"/>
              <w:rPr>
                <w:color w:val="000000"/>
              </w:rPr>
            </w:pPr>
            <w:r w:rsidRPr="00BA6CB8">
              <w:rPr>
                <w:color w:val="000000"/>
              </w:rPr>
              <w:t>3.2</w:t>
            </w:r>
          </w:p>
        </w:tc>
      </w:tr>
      <w:tr w:rsidR="0091068C" w:rsidRPr="00AD3ED7" w14:paraId="6B44ABC4" w14:textId="77777777" w:rsidTr="00986896">
        <w:trPr>
          <w:trHeight w:val="280"/>
        </w:trPr>
        <w:tc>
          <w:tcPr>
            <w:tcW w:w="1413" w:type="dxa"/>
            <w:shd w:val="clear" w:color="auto" w:fill="auto"/>
            <w:noWrap/>
          </w:tcPr>
          <w:p w14:paraId="0AAF2708" w14:textId="77777777" w:rsidR="0091068C" w:rsidRPr="00BA6CB8" w:rsidRDefault="0091068C" w:rsidP="00986896">
            <w:pPr>
              <w:jc w:val="center"/>
              <w:rPr>
                <w:color w:val="000000"/>
              </w:rPr>
            </w:pPr>
            <w:r w:rsidRPr="00BA6CB8">
              <w:rPr>
                <w:color w:val="000000"/>
              </w:rPr>
              <w:t>T19.01</w:t>
            </w:r>
          </w:p>
        </w:tc>
        <w:tc>
          <w:tcPr>
            <w:tcW w:w="850" w:type="dxa"/>
            <w:shd w:val="clear" w:color="auto" w:fill="auto"/>
            <w:noWrap/>
          </w:tcPr>
          <w:p w14:paraId="7C792695" w14:textId="77777777" w:rsidR="0091068C" w:rsidRPr="00BA6CB8" w:rsidRDefault="0091068C" w:rsidP="00986896">
            <w:pPr>
              <w:jc w:val="center"/>
              <w:rPr>
                <w:color w:val="000000"/>
              </w:rPr>
            </w:pPr>
            <w:r w:rsidRPr="00BA6CB8">
              <w:rPr>
                <w:color w:val="000000"/>
              </w:rPr>
              <w:t>44.5</w:t>
            </w:r>
          </w:p>
        </w:tc>
        <w:tc>
          <w:tcPr>
            <w:tcW w:w="851" w:type="dxa"/>
            <w:shd w:val="clear" w:color="auto" w:fill="auto"/>
            <w:noWrap/>
          </w:tcPr>
          <w:p w14:paraId="4ECA29AC" w14:textId="77777777" w:rsidR="0091068C" w:rsidRPr="00BA6CB8" w:rsidRDefault="0091068C" w:rsidP="00986896">
            <w:pPr>
              <w:jc w:val="center"/>
              <w:rPr>
                <w:color w:val="000000"/>
              </w:rPr>
            </w:pPr>
            <w:r w:rsidRPr="00BA6CB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3CAD9BF4" w14:textId="77777777" w:rsidR="0091068C" w:rsidRPr="00BA6CB8" w:rsidRDefault="0091068C" w:rsidP="00986896">
            <w:pPr>
              <w:jc w:val="center"/>
              <w:rPr>
                <w:color w:val="000000"/>
              </w:rPr>
            </w:pPr>
            <w:r w:rsidRPr="00BA6CB8">
              <w:rPr>
                <w:color w:val="000000"/>
              </w:rPr>
              <w:t>3.2</w:t>
            </w:r>
          </w:p>
        </w:tc>
      </w:tr>
      <w:tr w:rsidR="0091068C" w:rsidRPr="00AD3ED7" w14:paraId="32FE7C33" w14:textId="77777777" w:rsidTr="00986896">
        <w:trPr>
          <w:trHeight w:val="280"/>
        </w:trPr>
        <w:tc>
          <w:tcPr>
            <w:tcW w:w="1413" w:type="dxa"/>
            <w:shd w:val="clear" w:color="auto" w:fill="auto"/>
            <w:noWrap/>
          </w:tcPr>
          <w:p w14:paraId="447E6D06" w14:textId="77777777" w:rsidR="0091068C" w:rsidRPr="00BA6CB8" w:rsidRDefault="0091068C" w:rsidP="00986896">
            <w:pPr>
              <w:jc w:val="center"/>
              <w:rPr>
                <w:color w:val="000000"/>
              </w:rPr>
            </w:pPr>
            <w:r w:rsidRPr="00BA6CB8">
              <w:rPr>
                <w:color w:val="000000"/>
              </w:rPr>
              <w:t>T19.02</w:t>
            </w:r>
          </w:p>
        </w:tc>
        <w:tc>
          <w:tcPr>
            <w:tcW w:w="850" w:type="dxa"/>
            <w:shd w:val="clear" w:color="auto" w:fill="auto"/>
            <w:noWrap/>
          </w:tcPr>
          <w:p w14:paraId="41294B88" w14:textId="77777777" w:rsidR="0091068C" w:rsidRPr="00BA6CB8" w:rsidRDefault="0091068C" w:rsidP="00986896">
            <w:pPr>
              <w:jc w:val="center"/>
              <w:rPr>
                <w:color w:val="000000"/>
              </w:rPr>
            </w:pPr>
            <w:r w:rsidRPr="00BA6CB8">
              <w:rPr>
                <w:color w:val="000000"/>
              </w:rPr>
              <w:t>44.3</w:t>
            </w:r>
          </w:p>
        </w:tc>
        <w:tc>
          <w:tcPr>
            <w:tcW w:w="851" w:type="dxa"/>
            <w:shd w:val="clear" w:color="auto" w:fill="auto"/>
            <w:noWrap/>
          </w:tcPr>
          <w:p w14:paraId="68437DC4" w14:textId="77777777" w:rsidR="0091068C" w:rsidRPr="00BA6CB8" w:rsidRDefault="0091068C" w:rsidP="00986896">
            <w:pPr>
              <w:jc w:val="center"/>
              <w:rPr>
                <w:color w:val="000000"/>
              </w:rPr>
            </w:pPr>
            <w:r w:rsidRPr="00BA6CB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003CAE7C" w14:textId="77777777" w:rsidR="0091068C" w:rsidRPr="00BA6CB8" w:rsidRDefault="0091068C" w:rsidP="00986896">
            <w:pPr>
              <w:jc w:val="center"/>
              <w:rPr>
                <w:color w:val="000000"/>
              </w:rPr>
            </w:pPr>
            <w:r w:rsidRPr="00BA6CB8">
              <w:rPr>
                <w:color w:val="000000"/>
              </w:rPr>
              <w:t>3.2</w:t>
            </w:r>
          </w:p>
        </w:tc>
      </w:tr>
      <w:tr w:rsidR="0091068C" w:rsidRPr="00AD3ED7" w14:paraId="31D26BC3" w14:textId="77777777" w:rsidTr="00986896">
        <w:trPr>
          <w:trHeight w:val="280"/>
        </w:trPr>
        <w:tc>
          <w:tcPr>
            <w:tcW w:w="1413" w:type="dxa"/>
            <w:shd w:val="clear" w:color="auto" w:fill="auto"/>
            <w:noWrap/>
          </w:tcPr>
          <w:p w14:paraId="67EF905C" w14:textId="77777777" w:rsidR="0091068C" w:rsidRPr="00BA6CB8" w:rsidRDefault="0091068C" w:rsidP="00986896">
            <w:pPr>
              <w:jc w:val="center"/>
              <w:rPr>
                <w:color w:val="000000"/>
              </w:rPr>
            </w:pPr>
            <w:r w:rsidRPr="00BA6CB8">
              <w:rPr>
                <w:color w:val="000000"/>
              </w:rPr>
              <w:t>T19.03</w:t>
            </w:r>
          </w:p>
        </w:tc>
        <w:tc>
          <w:tcPr>
            <w:tcW w:w="850" w:type="dxa"/>
            <w:shd w:val="clear" w:color="auto" w:fill="auto"/>
            <w:noWrap/>
          </w:tcPr>
          <w:p w14:paraId="6C820DDC" w14:textId="77777777" w:rsidR="0091068C" w:rsidRPr="00BA6CB8" w:rsidRDefault="0091068C" w:rsidP="00986896">
            <w:pPr>
              <w:jc w:val="center"/>
              <w:rPr>
                <w:color w:val="000000"/>
              </w:rPr>
            </w:pPr>
            <w:r w:rsidRPr="00BA6CB8">
              <w:rPr>
                <w:color w:val="000000"/>
              </w:rPr>
              <w:t>43.6</w:t>
            </w:r>
          </w:p>
        </w:tc>
        <w:tc>
          <w:tcPr>
            <w:tcW w:w="851" w:type="dxa"/>
            <w:shd w:val="clear" w:color="auto" w:fill="auto"/>
            <w:noWrap/>
          </w:tcPr>
          <w:p w14:paraId="545A951A" w14:textId="77777777" w:rsidR="0091068C" w:rsidRPr="00BA6CB8" w:rsidRDefault="0091068C" w:rsidP="00986896">
            <w:pPr>
              <w:jc w:val="center"/>
              <w:rPr>
                <w:color w:val="000000"/>
              </w:rPr>
            </w:pPr>
            <w:r w:rsidRPr="00BA6CB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3216DABE" w14:textId="77777777" w:rsidR="0091068C" w:rsidRPr="00BA6CB8" w:rsidRDefault="0091068C" w:rsidP="00986896">
            <w:pPr>
              <w:jc w:val="center"/>
              <w:rPr>
                <w:color w:val="000000"/>
              </w:rPr>
            </w:pPr>
            <w:r w:rsidRPr="00BA6CB8">
              <w:rPr>
                <w:color w:val="000000"/>
              </w:rPr>
              <w:t>3.2</w:t>
            </w:r>
          </w:p>
        </w:tc>
      </w:tr>
      <w:tr w:rsidR="0091068C" w:rsidRPr="00AD3ED7" w14:paraId="20C487BA" w14:textId="77777777" w:rsidTr="00986896">
        <w:trPr>
          <w:trHeight w:val="280"/>
        </w:trPr>
        <w:tc>
          <w:tcPr>
            <w:tcW w:w="1413" w:type="dxa"/>
            <w:shd w:val="clear" w:color="auto" w:fill="auto"/>
            <w:noWrap/>
          </w:tcPr>
          <w:p w14:paraId="707CEF47" w14:textId="77777777" w:rsidR="0091068C" w:rsidRPr="00BA6CB8" w:rsidRDefault="0091068C" w:rsidP="00986896">
            <w:pPr>
              <w:jc w:val="center"/>
              <w:rPr>
                <w:color w:val="000000"/>
              </w:rPr>
            </w:pPr>
            <w:r w:rsidRPr="00BA6CB8">
              <w:rPr>
                <w:color w:val="000000"/>
              </w:rPr>
              <w:t>T19.04</w:t>
            </w:r>
          </w:p>
        </w:tc>
        <w:tc>
          <w:tcPr>
            <w:tcW w:w="850" w:type="dxa"/>
            <w:shd w:val="clear" w:color="auto" w:fill="auto"/>
            <w:noWrap/>
          </w:tcPr>
          <w:p w14:paraId="03F47606" w14:textId="77777777" w:rsidR="0091068C" w:rsidRPr="00BA6CB8" w:rsidRDefault="0091068C" w:rsidP="00986896">
            <w:pPr>
              <w:jc w:val="center"/>
              <w:rPr>
                <w:color w:val="000000"/>
              </w:rPr>
            </w:pPr>
            <w:r w:rsidRPr="00BA6CB8">
              <w:rPr>
                <w:color w:val="000000"/>
              </w:rPr>
              <w:t>43.9</w:t>
            </w:r>
          </w:p>
        </w:tc>
        <w:tc>
          <w:tcPr>
            <w:tcW w:w="851" w:type="dxa"/>
            <w:shd w:val="clear" w:color="auto" w:fill="auto"/>
            <w:noWrap/>
          </w:tcPr>
          <w:p w14:paraId="54608824" w14:textId="77777777" w:rsidR="0091068C" w:rsidRPr="00BA6CB8" w:rsidRDefault="0091068C" w:rsidP="00986896">
            <w:pPr>
              <w:jc w:val="center"/>
              <w:rPr>
                <w:color w:val="000000"/>
              </w:rPr>
            </w:pPr>
            <w:r w:rsidRPr="00BA6CB8">
              <w:rPr>
                <w:color w:val="000000"/>
              </w:rPr>
              <w:t>16</w:t>
            </w:r>
            <w:r>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16539D41" w14:textId="77777777" w:rsidR="0091068C" w:rsidRPr="00BA6CB8" w:rsidRDefault="0091068C" w:rsidP="00986896">
            <w:pPr>
              <w:jc w:val="center"/>
              <w:rPr>
                <w:color w:val="000000"/>
              </w:rPr>
            </w:pPr>
            <w:r w:rsidRPr="00BA6CB8">
              <w:rPr>
                <w:color w:val="000000"/>
              </w:rPr>
              <w:t>3.2</w:t>
            </w:r>
          </w:p>
        </w:tc>
      </w:tr>
      <w:tr w:rsidR="0091068C" w:rsidRPr="00AD3ED7" w14:paraId="483F7145" w14:textId="77777777" w:rsidTr="00986896">
        <w:trPr>
          <w:trHeight w:val="280"/>
        </w:trPr>
        <w:tc>
          <w:tcPr>
            <w:tcW w:w="1413" w:type="dxa"/>
            <w:shd w:val="clear" w:color="auto" w:fill="auto"/>
            <w:noWrap/>
          </w:tcPr>
          <w:p w14:paraId="2E97BE7E" w14:textId="77777777" w:rsidR="0091068C" w:rsidRPr="00BA6CB8" w:rsidRDefault="0091068C" w:rsidP="00986896">
            <w:pPr>
              <w:jc w:val="center"/>
              <w:rPr>
                <w:color w:val="000000"/>
              </w:rPr>
            </w:pPr>
            <w:r w:rsidRPr="00BA6CB8">
              <w:rPr>
                <w:color w:val="000000"/>
              </w:rPr>
              <w:t>T19.05</w:t>
            </w:r>
          </w:p>
        </w:tc>
        <w:tc>
          <w:tcPr>
            <w:tcW w:w="850" w:type="dxa"/>
            <w:shd w:val="clear" w:color="auto" w:fill="auto"/>
            <w:noWrap/>
          </w:tcPr>
          <w:p w14:paraId="0E73AC09" w14:textId="77777777" w:rsidR="0091068C" w:rsidRPr="00BA6CB8" w:rsidRDefault="0091068C" w:rsidP="00986896">
            <w:pPr>
              <w:jc w:val="center"/>
              <w:rPr>
                <w:color w:val="000000"/>
              </w:rPr>
            </w:pPr>
            <w:r w:rsidRPr="00BA6CB8">
              <w:rPr>
                <w:color w:val="000000"/>
              </w:rPr>
              <w:t>43.6</w:t>
            </w:r>
          </w:p>
        </w:tc>
        <w:tc>
          <w:tcPr>
            <w:tcW w:w="851" w:type="dxa"/>
            <w:shd w:val="clear" w:color="auto" w:fill="auto"/>
            <w:noWrap/>
          </w:tcPr>
          <w:p w14:paraId="069B9AF5" w14:textId="77777777" w:rsidR="0091068C" w:rsidRPr="00BA6CB8" w:rsidRDefault="0091068C" w:rsidP="00986896">
            <w:pPr>
              <w:jc w:val="center"/>
              <w:rPr>
                <w:color w:val="000000"/>
              </w:rPr>
            </w:pPr>
            <w:r w:rsidRPr="00BA6CB8">
              <w:rPr>
                <w:color w:val="000000"/>
              </w:rPr>
              <w:t>16</w:t>
            </w:r>
            <w:r>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1A9459A3" w14:textId="77777777" w:rsidR="0091068C" w:rsidRPr="00BA6CB8" w:rsidRDefault="0091068C" w:rsidP="00986896">
            <w:pPr>
              <w:jc w:val="center"/>
              <w:rPr>
                <w:color w:val="000000"/>
              </w:rPr>
            </w:pPr>
            <w:r w:rsidRPr="00BA6CB8">
              <w:rPr>
                <w:color w:val="000000"/>
              </w:rPr>
              <w:t>3.</w:t>
            </w:r>
            <w:r>
              <w:rPr>
                <w:color w:val="000000"/>
              </w:rPr>
              <w:t>2</w:t>
            </w:r>
          </w:p>
        </w:tc>
      </w:tr>
      <w:tr w:rsidR="0091068C" w:rsidRPr="00AD3ED7" w14:paraId="1A467A64" w14:textId="77777777" w:rsidTr="00986896">
        <w:trPr>
          <w:trHeight w:val="280"/>
        </w:trPr>
        <w:tc>
          <w:tcPr>
            <w:tcW w:w="1413" w:type="dxa"/>
            <w:shd w:val="clear" w:color="auto" w:fill="auto"/>
            <w:noWrap/>
          </w:tcPr>
          <w:p w14:paraId="44E9409A" w14:textId="77777777" w:rsidR="0091068C" w:rsidRPr="00BA6CB8" w:rsidRDefault="0091068C" w:rsidP="00986896">
            <w:pPr>
              <w:jc w:val="center"/>
              <w:rPr>
                <w:color w:val="000000"/>
              </w:rPr>
            </w:pPr>
            <w:r w:rsidRPr="00BA6CB8">
              <w:rPr>
                <w:color w:val="000000"/>
              </w:rPr>
              <w:t>T19.06</w:t>
            </w:r>
          </w:p>
        </w:tc>
        <w:tc>
          <w:tcPr>
            <w:tcW w:w="850" w:type="dxa"/>
            <w:shd w:val="clear" w:color="auto" w:fill="auto"/>
            <w:noWrap/>
          </w:tcPr>
          <w:p w14:paraId="43603A4C" w14:textId="77777777" w:rsidR="0091068C" w:rsidRPr="00BA6CB8" w:rsidRDefault="0091068C" w:rsidP="00986896">
            <w:pPr>
              <w:jc w:val="center"/>
              <w:rPr>
                <w:color w:val="000000"/>
              </w:rPr>
            </w:pPr>
            <w:r w:rsidRPr="00BA6CB8">
              <w:rPr>
                <w:color w:val="000000"/>
              </w:rPr>
              <w:t>43.3</w:t>
            </w:r>
          </w:p>
        </w:tc>
        <w:tc>
          <w:tcPr>
            <w:tcW w:w="851" w:type="dxa"/>
            <w:shd w:val="clear" w:color="auto" w:fill="auto"/>
            <w:noWrap/>
          </w:tcPr>
          <w:p w14:paraId="5DA95418" w14:textId="77777777" w:rsidR="0091068C" w:rsidRPr="00BA6CB8" w:rsidRDefault="0091068C" w:rsidP="00986896">
            <w:pPr>
              <w:jc w:val="center"/>
              <w:rPr>
                <w:color w:val="000000"/>
              </w:rPr>
            </w:pPr>
            <w:r w:rsidRPr="00BA6CB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440BF86E" w14:textId="77777777" w:rsidR="0091068C" w:rsidRPr="00BA6CB8" w:rsidRDefault="0091068C" w:rsidP="00986896">
            <w:pPr>
              <w:jc w:val="center"/>
              <w:rPr>
                <w:color w:val="000000"/>
              </w:rPr>
            </w:pPr>
            <w:r w:rsidRPr="00BA6CB8">
              <w:rPr>
                <w:color w:val="000000"/>
              </w:rPr>
              <w:t>3.2</w:t>
            </w:r>
          </w:p>
        </w:tc>
      </w:tr>
      <w:tr w:rsidR="0091068C" w:rsidRPr="00AD3ED7" w14:paraId="1AA41013" w14:textId="77777777" w:rsidTr="00986896">
        <w:trPr>
          <w:trHeight w:val="280"/>
        </w:trPr>
        <w:tc>
          <w:tcPr>
            <w:tcW w:w="1413" w:type="dxa"/>
            <w:shd w:val="clear" w:color="auto" w:fill="auto"/>
            <w:noWrap/>
          </w:tcPr>
          <w:p w14:paraId="1CD20D6C" w14:textId="77777777" w:rsidR="0091068C" w:rsidRPr="00BA6CB8" w:rsidRDefault="0091068C" w:rsidP="00986896">
            <w:pPr>
              <w:jc w:val="center"/>
              <w:rPr>
                <w:color w:val="000000"/>
              </w:rPr>
            </w:pPr>
            <w:r w:rsidRPr="00BA6CB8">
              <w:rPr>
                <w:color w:val="000000"/>
              </w:rPr>
              <w:t>T19.07</w:t>
            </w:r>
          </w:p>
        </w:tc>
        <w:tc>
          <w:tcPr>
            <w:tcW w:w="850" w:type="dxa"/>
            <w:shd w:val="clear" w:color="auto" w:fill="auto"/>
            <w:noWrap/>
          </w:tcPr>
          <w:p w14:paraId="41599976" w14:textId="77777777" w:rsidR="0091068C" w:rsidRPr="00BA6CB8" w:rsidRDefault="0091068C" w:rsidP="00986896">
            <w:pPr>
              <w:jc w:val="center"/>
              <w:rPr>
                <w:color w:val="000000"/>
              </w:rPr>
            </w:pPr>
            <w:r w:rsidRPr="00BA6CB8">
              <w:rPr>
                <w:color w:val="000000"/>
              </w:rPr>
              <w:t>43.6</w:t>
            </w:r>
          </w:p>
        </w:tc>
        <w:tc>
          <w:tcPr>
            <w:tcW w:w="851" w:type="dxa"/>
            <w:shd w:val="clear" w:color="auto" w:fill="auto"/>
            <w:noWrap/>
          </w:tcPr>
          <w:p w14:paraId="25612AAC" w14:textId="77777777" w:rsidR="0091068C" w:rsidRPr="00BA6CB8" w:rsidRDefault="0091068C" w:rsidP="00986896">
            <w:pPr>
              <w:jc w:val="center"/>
              <w:rPr>
                <w:color w:val="000000"/>
              </w:rPr>
            </w:pPr>
            <w:r w:rsidRPr="00BA6CB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1BAEC40E" w14:textId="77777777" w:rsidR="0091068C" w:rsidRPr="00BA6CB8" w:rsidRDefault="0091068C" w:rsidP="00986896">
            <w:pPr>
              <w:jc w:val="center"/>
              <w:rPr>
                <w:color w:val="000000"/>
              </w:rPr>
            </w:pPr>
            <w:r w:rsidRPr="00BA6CB8">
              <w:rPr>
                <w:color w:val="000000"/>
              </w:rPr>
              <w:t>3.2</w:t>
            </w:r>
          </w:p>
        </w:tc>
      </w:tr>
      <w:tr w:rsidR="0091068C" w:rsidRPr="00AD3ED7" w14:paraId="742A53F3" w14:textId="77777777" w:rsidTr="00986896">
        <w:trPr>
          <w:trHeight w:val="280"/>
        </w:trPr>
        <w:tc>
          <w:tcPr>
            <w:tcW w:w="1413" w:type="dxa"/>
            <w:shd w:val="clear" w:color="auto" w:fill="auto"/>
            <w:noWrap/>
          </w:tcPr>
          <w:p w14:paraId="23096B37" w14:textId="77777777" w:rsidR="0091068C" w:rsidRPr="00BA6CB8" w:rsidRDefault="0091068C" w:rsidP="00986896">
            <w:pPr>
              <w:jc w:val="center"/>
              <w:rPr>
                <w:color w:val="000000"/>
              </w:rPr>
            </w:pPr>
            <w:r w:rsidRPr="00BA6CB8">
              <w:rPr>
                <w:color w:val="000000"/>
              </w:rPr>
              <w:t>T19.08</w:t>
            </w:r>
          </w:p>
        </w:tc>
        <w:tc>
          <w:tcPr>
            <w:tcW w:w="850" w:type="dxa"/>
            <w:shd w:val="clear" w:color="auto" w:fill="auto"/>
            <w:noWrap/>
          </w:tcPr>
          <w:p w14:paraId="3B62ED4E" w14:textId="77777777" w:rsidR="0091068C" w:rsidRPr="00BA6CB8" w:rsidRDefault="0091068C" w:rsidP="00986896">
            <w:pPr>
              <w:jc w:val="center"/>
              <w:rPr>
                <w:color w:val="000000"/>
              </w:rPr>
            </w:pPr>
            <w:r w:rsidRPr="00BA6CB8">
              <w:rPr>
                <w:color w:val="000000"/>
              </w:rPr>
              <w:t>41.7</w:t>
            </w:r>
          </w:p>
        </w:tc>
        <w:tc>
          <w:tcPr>
            <w:tcW w:w="851" w:type="dxa"/>
            <w:shd w:val="clear" w:color="auto" w:fill="auto"/>
            <w:noWrap/>
          </w:tcPr>
          <w:p w14:paraId="5D369862" w14:textId="77777777" w:rsidR="0091068C" w:rsidRPr="00BA6CB8" w:rsidRDefault="0091068C" w:rsidP="00986896">
            <w:pPr>
              <w:jc w:val="center"/>
              <w:rPr>
                <w:color w:val="000000"/>
              </w:rPr>
            </w:pPr>
            <w:r w:rsidRPr="00BA6CB8">
              <w:rPr>
                <w:color w:val="000000"/>
              </w:rPr>
              <w:t>15.1</w:t>
            </w:r>
          </w:p>
        </w:tc>
        <w:tc>
          <w:tcPr>
            <w:tcW w:w="850" w:type="dxa"/>
            <w:tcBorders>
              <w:top w:val="single" w:sz="4" w:space="0" w:color="auto"/>
              <w:left w:val="nil"/>
              <w:bottom w:val="single" w:sz="4" w:space="0" w:color="auto"/>
              <w:right w:val="single" w:sz="4" w:space="0" w:color="auto"/>
            </w:tcBorders>
            <w:shd w:val="clear" w:color="auto" w:fill="auto"/>
            <w:vAlign w:val="bottom"/>
          </w:tcPr>
          <w:p w14:paraId="1280D9A5" w14:textId="77777777" w:rsidR="0091068C" w:rsidRPr="00BA6CB8" w:rsidRDefault="0091068C" w:rsidP="00986896">
            <w:pPr>
              <w:jc w:val="center"/>
              <w:rPr>
                <w:color w:val="000000"/>
              </w:rPr>
            </w:pPr>
            <w:r w:rsidRPr="00BA6CB8">
              <w:rPr>
                <w:color w:val="000000"/>
              </w:rPr>
              <w:t>3.2</w:t>
            </w:r>
          </w:p>
        </w:tc>
      </w:tr>
      <w:tr w:rsidR="0091068C" w:rsidRPr="00AD3ED7" w14:paraId="6E752E2B" w14:textId="77777777" w:rsidTr="00986896">
        <w:trPr>
          <w:trHeight w:val="280"/>
        </w:trPr>
        <w:tc>
          <w:tcPr>
            <w:tcW w:w="1413" w:type="dxa"/>
            <w:shd w:val="clear" w:color="auto" w:fill="auto"/>
            <w:noWrap/>
          </w:tcPr>
          <w:p w14:paraId="16E37649" w14:textId="77777777" w:rsidR="0091068C" w:rsidRPr="00BA6CB8" w:rsidRDefault="0091068C" w:rsidP="00986896">
            <w:pPr>
              <w:jc w:val="center"/>
              <w:rPr>
                <w:color w:val="000000"/>
              </w:rPr>
            </w:pPr>
            <w:r w:rsidRPr="00BA6CB8">
              <w:rPr>
                <w:color w:val="000000"/>
              </w:rPr>
              <w:t>T19.09</w:t>
            </w:r>
          </w:p>
        </w:tc>
        <w:tc>
          <w:tcPr>
            <w:tcW w:w="850" w:type="dxa"/>
            <w:shd w:val="clear" w:color="auto" w:fill="auto"/>
            <w:noWrap/>
          </w:tcPr>
          <w:p w14:paraId="2F3D7C4D" w14:textId="77777777" w:rsidR="0091068C" w:rsidRPr="00BA6CB8" w:rsidRDefault="0091068C" w:rsidP="00986896">
            <w:pPr>
              <w:jc w:val="center"/>
              <w:rPr>
                <w:color w:val="000000"/>
              </w:rPr>
            </w:pPr>
            <w:r w:rsidRPr="00BA6CB8">
              <w:rPr>
                <w:color w:val="000000"/>
              </w:rPr>
              <w:t>41.4</w:t>
            </w:r>
          </w:p>
        </w:tc>
        <w:tc>
          <w:tcPr>
            <w:tcW w:w="851" w:type="dxa"/>
            <w:shd w:val="clear" w:color="auto" w:fill="auto"/>
            <w:noWrap/>
          </w:tcPr>
          <w:p w14:paraId="64D66F23" w14:textId="77777777" w:rsidR="0091068C" w:rsidRPr="00BA6CB8" w:rsidRDefault="0091068C" w:rsidP="00986896">
            <w:pPr>
              <w:jc w:val="center"/>
              <w:rPr>
                <w:color w:val="000000"/>
              </w:rPr>
            </w:pPr>
            <w:r w:rsidRPr="00BA6CB8">
              <w:rPr>
                <w:color w:val="000000"/>
              </w:rPr>
              <w:t>15</w:t>
            </w:r>
            <w:r>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11727167" w14:textId="77777777" w:rsidR="0091068C" w:rsidRPr="00BA6CB8" w:rsidRDefault="0091068C" w:rsidP="00986896">
            <w:pPr>
              <w:jc w:val="center"/>
              <w:rPr>
                <w:color w:val="000000"/>
              </w:rPr>
            </w:pPr>
            <w:r w:rsidRPr="00BA6CB8">
              <w:rPr>
                <w:color w:val="000000"/>
              </w:rPr>
              <w:t>3.2</w:t>
            </w:r>
          </w:p>
        </w:tc>
      </w:tr>
      <w:tr w:rsidR="0091068C" w:rsidRPr="00AD3ED7" w14:paraId="63C7C570" w14:textId="77777777" w:rsidTr="00986896">
        <w:trPr>
          <w:trHeight w:val="280"/>
        </w:trPr>
        <w:tc>
          <w:tcPr>
            <w:tcW w:w="1413" w:type="dxa"/>
            <w:shd w:val="clear" w:color="auto" w:fill="auto"/>
            <w:noWrap/>
          </w:tcPr>
          <w:p w14:paraId="207918D7" w14:textId="77777777" w:rsidR="0091068C" w:rsidRPr="00BA6CB8" w:rsidRDefault="0091068C" w:rsidP="00986896">
            <w:pPr>
              <w:jc w:val="center"/>
              <w:rPr>
                <w:color w:val="000000"/>
              </w:rPr>
            </w:pPr>
            <w:r w:rsidRPr="00BA6CB8">
              <w:rPr>
                <w:color w:val="000000"/>
              </w:rPr>
              <w:t>T20.01</w:t>
            </w:r>
          </w:p>
        </w:tc>
        <w:tc>
          <w:tcPr>
            <w:tcW w:w="850" w:type="dxa"/>
            <w:shd w:val="clear" w:color="auto" w:fill="auto"/>
            <w:noWrap/>
          </w:tcPr>
          <w:p w14:paraId="60BAB543" w14:textId="77777777" w:rsidR="0091068C" w:rsidRPr="00BA6CB8" w:rsidRDefault="0091068C" w:rsidP="00986896">
            <w:pPr>
              <w:jc w:val="center"/>
              <w:rPr>
                <w:color w:val="000000"/>
              </w:rPr>
            </w:pPr>
            <w:r w:rsidRPr="00BA6CB8">
              <w:rPr>
                <w:color w:val="000000"/>
              </w:rPr>
              <w:t>44.2</w:t>
            </w:r>
          </w:p>
        </w:tc>
        <w:tc>
          <w:tcPr>
            <w:tcW w:w="851" w:type="dxa"/>
            <w:shd w:val="clear" w:color="auto" w:fill="auto"/>
            <w:noWrap/>
          </w:tcPr>
          <w:p w14:paraId="75C8BE47" w14:textId="77777777" w:rsidR="0091068C" w:rsidRPr="00BA6CB8" w:rsidRDefault="0091068C" w:rsidP="00986896">
            <w:pPr>
              <w:jc w:val="center"/>
              <w:rPr>
                <w:color w:val="000000"/>
              </w:rPr>
            </w:pPr>
            <w:r w:rsidRPr="00BA6CB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31389C0F" w14:textId="77777777" w:rsidR="0091068C" w:rsidRPr="00BA6CB8" w:rsidRDefault="0091068C" w:rsidP="00986896">
            <w:pPr>
              <w:jc w:val="center"/>
              <w:rPr>
                <w:color w:val="000000"/>
              </w:rPr>
            </w:pPr>
            <w:r w:rsidRPr="00BA6CB8">
              <w:rPr>
                <w:color w:val="000000"/>
              </w:rPr>
              <w:t>3.2</w:t>
            </w:r>
          </w:p>
        </w:tc>
      </w:tr>
      <w:tr w:rsidR="0091068C" w:rsidRPr="00AD3ED7" w14:paraId="68BAF09F" w14:textId="77777777" w:rsidTr="00986896">
        <w:trPr>
          <w:trHeight w:val="280"/>
        </w:trPr>
        <w:tc>
          <w:tcPr>
            <w:tcW w:w="1413" w:type="dxa"/>
            <w:shd w:val="clear" w:color="auto" w:fill="auto"/>
            <w:noWrap/>
          </w:tcPr>
          <w:p w14:paraId="01EE394D" w14:textId="77777777" w:rsidR="0091068C" w:rsidRPr="00BA6CB8" w:rsidRDefault="0091068C" w:rsidP="00986896">
            <w:pPr>
              <w:jc w:val="center"/>
              <w:rPr>
                <w:color w:val="000000"/>
              </w:rPr>
            </w:pPr>
            <w:r w:rsidRPr="00BA6CB8">
              <w:rPr>
                <w:color w:val="000000"/>
              </w:rPr>
              <w:t>T20.02</w:t>
            </w:r>
          </w:p>
        </w:tc>
        <w:tc>
          <w:tcPr>
            <w:tcW w:w="850" w:type="dxa"/>
            <w:shd w:val="clear" w:color="auto" w:fill="auto"/>
            <w:noWrap/>
          </w:tcPr>
          <w:p w14:paraId="2B18E9C2" w14:textId="77777777" w:rsidR="0091068C" w:rsidRPr="00BA6CB8" w:rsidRDefault="0091068C" w:rsidP="00986896">
            <w:pPr>
              <w:jc w:val="center"/>
              <w:rPr>
                <w:color w:val="000000"/>
              </w:rPr>
            </w:pPr>
            <w:r w:rsidRPr="00BA6CB8">
              <w:rPr>
                <w:color w:val="000000"/>
              </w:rPr>
              <w:t>44.4</w:t>
            </w:r>
          </w:p>
        </w:tc>
        <w:tc>
          <w:tcPr>
            <w:tcW w:w="851" w:type="dxa"/>
            <w:shd w:val="clear" w:color="auto" w:fill="auto"/>
            <w:noWrap/>
          </w:tcPr>
          <w:p w14:paraId="75CC8673" w14:textId="77777777" w:rsidR="0091068C" w:rsidRPr="00BA6CB8" w:rsidRDefault="0091068C" w:rsidP="00986896">
            <w:pPr>
              <w:jc w:val="center"/>
              <w:rPr>
                <w:color w:val="000000"/>
              </w:rPr>
            </w:pPr>
            <w:r w:rsidRPr="00BA6CB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424EEBDA" w14:textId="77777777" w:rsidR="0091068C" w:rsidRPr="00BA6CB8" w:rsidRDefault="0091068C" w:rsidP="00986896">
            <w:pPr>
              <w:jc w:val="center"/>
              <w:rPr>
                <w:color w:val="000000"/>
              </w:rPr>
            </w:pPr>
            <w:r w:rsidRPr="00BA6CB8">
              <w:rPr>
                <w:color w:val="000000"/>
              </w:rPr>
              <w:t>3.2</w:t>
            </w:r>
          </w:p>
        </w:tc>
      </w:tr>
      <w:tr w:rsidR="0091068C" w:rsidRPr="00AD3ED7" w14:paraId="5C1195B1" w14:textId="77777777" w:rsidTr="00986896">
        <w:trPr>
          <w:trHeight w:val="280"/>
        </w:trPr>
        <w:tc>
          <w:tcPr>
            <w:tcW w:w="1413" w:type="dxa"/>
            <w:shd w:val="clear" w:color="auto" w:fill="auto"/>
            <w:noWrap/>
          </w:tcPr>
          <w:p w14:paraId="66ADE936" w14:textId="77777777" w:rsidR="0091068C" w:rsidRPr="00BA6CB8" w:rsidRDefault="0091068C" w:rsidP="00986896">
            <w:pPr>
              <w:jc w:val="center"/>
              <w:rPr>
                <w:color w:val="000000"/>
              </w:rPr>
            </w:pPr>
            <w:r w:rsidRPr="00BA6CB8">
              <w:rPr>
                <w:color w:val="000000"/>
              </w:rPr>
              <w:t>T20.03</w:t>
            </w:r>
          </w:p>
        </w:tc>
        <w:tc>
          <w:tcPr>
            <w:tcW w:w="850" w:type="dxa"/>
            <w:shd w:val="clear" w:color="auto" w:fill="auto"/>
            <w:noWrap/>
          </w:tcPr>
          <w:p w14:paraId="38D8BA93" w14:textId="77777777" w:rsidR="0091068C" w:rsidRPr="00BA6CB8" w:rsidRDefault="0091068C" w:rsidP="00986896">
            <w:pPr>
              <w:jc w:val="center"/>
              <w:rPr>
                <w:color w:val="000000"/>
              </w:rPr>
            </w:pPr>
            <w:r w:rsidRPr="00BA6CB8">
              <w:rPr>
                <w:color w:val="000000"/>
              </w:rPr>
              <w:t>44.2</w:t>
            </w:r>
          </w:p>
        </w:tc>
        <w:tc>
          <w:tcPr>
            <w:tcW w:w="851" w:type="dxa"/>
            <w:shd w:val="clear" w:color="auto" w:fill="auto"/>
            <w:noWrap/>
          </w:tcPr>
          <w:p w14:paraId="6D7A59D7" w14:textId="77777777" w:rsidR="0091068C" w:rsidRPr="00BA6CB8" w:rsidRDefault="0091068C" w:rsidP="00986896">
            <w:pPr>
              <w:jc w:val="center"/>
              <w:rPr>
                <w:color w:val="000000"/>
              </w:rPr>
            </w:pPr>
            <w:r w:rsidRPr="00BA6CB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09D56F0A" w14:textId="77777777" w:rsidR="0091068C" w:rsidRPr="00BA6CB8" w:rsidRDefault="0091068C" w:rsidP="00986896">
            <w:pPr>
              <w:jc w:val="center"/>
              <w:rPr>
                <w:color w:val="000000"/>
              </w:rPr>
            </w:pPr>
            <w:r w:rsidRPr="00BA6CB8">
              <w:rPr>
                <w:color w:val="000000"/>
              </w:rPr>
              <w:t>3.2</w:t>
            </w:r>
          </w:p>
        </w:tc>
      </w:tr>
      <w:tr w:rsidR="0091068C" w:rsidRPr="00AD3ED7" w14:paraId="0E300978" w14:textId="77777777" w:rsidTr="00986896">
        <w:trPr>
          <w:trHeight w:val="280"/>
        </w:trPr>
        <w:tc>
          <w:tcPr>
            <w:tcW w:w="1413" w:type="dxa"/>
            <w:shd w:val="clear" w:color="auto" w:fill="auto"/>
            <w:noWrap/>
          </w:tcPr>
          <w:p w14:paraId="29A896F2" w14:textId="77777777" w:rsidR="0091068C" w:rsidRPr="00BA6CB8" w:rsidRDefault="0091068C" w:rsidP="00986896">
            <w:pPr>
              <w:jc w:val="center"/>
              <w:rPr>
                <w:color w:val="000000"/>
              </w:rPr>
            </w:pPr>
            <w:r w:rsidRPr="00BA6CB8">
              <w:rPr>
                <w:color w:val="000000"/>
              </w:rPr>
              <w:t>T20.04</w:t>
            </w:r>
          </w:p>
        </w:tc>
        <w:tc>
          <w:tcPr>
            <w:tcW w:w="850" w:type="dxa"/>
            <w:shd w:val="clear" w:color="auto" w:fill="auto"/>
            <w:noWrap/>
          </w:tcPr>
          <w:p w14:paraId="43B38E1E" w14:textId="77777777" w:rsidR="0091068C" w:rsidRPr="00BA6CB8" w:rsidRDefault="0091068C" w:rsidP="00986896">
            <w:pPr>
              <w:jc w:val="center"/>
              <w:rPr>
                <w:color w:val="000000"/>
              </w:rPr>
            </w:pPr>
            <w:r w:rsidRPr="00BA6CB8">
              <w:rPr>
                <w:color w:val="000000"/>
              </w:rPr>
              <w:t>43.6</w:t>
            </w:r>
          </w:p>
        </w:tc>
        <w:tc>
          <w:tcPr>
            <w:tcW w:w="851" w:type="dxa"/>
            <w:shd w:val="clear" w:color="auto" w:fill="auto"/>
            <w:noWrap/>
          </w:tcPr>
          <w:p w14:paraId="5A5FE452" w14:textId="77777777" w:rsidR="0091068C" w:rsidRPr="00BA6CB8" w:rsidRDefault="0091068C" w:rsidP="00986896">
            <w:pPr>
              <w:jc w:val="center"/>
              <w:rPr>
                <w:color w:val="000000"/>
              </w:rPr>
            </w:pPr>
            <w:r w:rsidRPr="00BA6CB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2BC70C4F" w14:textId="77777777" w:rsidR="0091068C" w:rsidRPr="00BA6CB8" w:rsidRDefault="0091068C" w:rsidP="00986896">
            <w:pPr>
              <w:jc w:val="center"/>
              <w:rPr>
                <w:color w:val="000000"/>
              </w:rPr>
            </w:pPr>
            <w:r w:rsidRPr="00BA6CB8">
              <w:rPr>
                <w:color w:val="000000"/>
              </w:rPr>
              <w:t>3.2</w:t>
            </w:r>
          </w:p>
        </w:tc>
      </w:tr>
      <w:tr w:rsidR="0091068C" w:rsidRPr="00AD3ED7" w14:paraId="407831C0" w14:textId="77777777" w:rsidTr="00986896">
        <w:trPr>
          <w:trHeight w:val="280"/>
        </w:trPr>
        <w:tc>
          <w:tcPr>
            <w:tcW w:w="1413" w:type="dxa"/>
            <w:shd w:val="clear" w:color="auto" w:fill="auto"/>
            <w:noWrap/>
          </w:tcPr>
          <w:p w14:paraId="63E8011B" w14:textId="77777777" w:rsidR="0091068C" w:rsidRPr="00BA6CB8" w:rsidRDefault="0091068C" w:rsidP="00986896">
            <w:pPr>
              <w:jc w:val="center"/>
              <w:rPr>
                <w:color w:val="000000"/>
              </w:rPr>
            </w:pPr>
            <w:r w:rsidRPr="00BA6CB8">
              <w:rPr>
                <w:color w:val="000000"/>
              </w:rPr>
              <w:t>T20.05</w:t>
            </w:r>
          </w:p>
        </w:tc>
        <w:tc>
          <w:tcPr>
            <w:tcW w:w="850" w:type="dxa"/>
            <w:shd w:val="clear" w:color="auto" w:fill="auto"/>
            <w:noWrap/>
          </w:tcPr>
          <w:p w14:paraId="567F51B5" w14:textId="77777777" w:rsidR="0091068C" w:rsidRPr="00BA6CB8" w:rsidRDefault="0091068C" w:rsidP="00986896">
            <w:pPr>
              <w:jc w:val="center"/>
              <w:rPr>
                <w:color w:val="000000"/>
              </w:rPr>
            </w:pPr>
            <w:r w:rsidRPr="00BA6CB8">
              <w:rPr>
                <w:color w:val="000000"/>
              </w:rPr>
              <w:t>43.6</w:t>
            </w:r>
          </w:p>
        </w:tc>
        <w:tc>
          <w:tcPr>
            <w:tcW w:w="851" w:type="dxa"/>
            <w:shd w:val="clear" w:color="auto" w:fill="auto"/>
            <w:noWrap/>
          </w:tcPr>
          <w:p w14:paraId="6D6E71FB" w14:textId="77777777" w:rsidR="0091068C" w:rsidRPr="00BA6CB8" w:rsidRDefault="0091068C" w:rsidP="00986896">
            <w:pPr>
              <w:jc w:val="center"/>
              <w:rPr>
                <w:color w:val="000000"/>
              </w:rPr>
            </w:pPr>
            <w:r w:rsidRPr="00BA6CB8">
              <w:rPr>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4117933C" w14:textId="77777777" w:rsidR="0091068C" w:rsidRPr="00BA6CB8" w:rsidRDefault="0091068C" w:rsidP="00986896">
            <w:pPr>
              <w:jc w:val="center"/>
              <w:rPr>
                <w:color w:val="000000"/>
              </w:rPr>
            </w:pPr>
            <w:r w:rsidRPr="00BA6CB8">
              <w:rPr>
                <w:color w:val="000000"/>
              </w:rPr>
              <w:t>3.2</w:t>
            </w:r>
          </w:p>
        </w:tc>
      </w:tr>
      <w:tr w:rsidR="0091068C" w:rsidRPr="00AD3ED7" w14:paraId="2BC2B200" w14:textId="77777777" w:rsidTr="00986896">
        <w:trPr>
          <w:trHeight w:val="280"/>
        </w:trPr>
        <w:tc>
          <w:tcPr>
            <w:tcW w:w="1413" w:type="dxa"/>
            <w:shd w:val="clear" w:color="auto" w:fill="auto"/>
            <w:noWrap/>
          </w:tcPr>
          <w:p w14:paraId="5E195B21" w14:textId="77777777" w:rsidR="0091068C" w:rsidRPr="00BA6CB8" w:rsidRDefault="0091068C" w:rsidP="00986896">
            <w:pPr>
              <w:jc w:val="center"/>
              <w:rPr>
                <w:color w:val="000000"/>
              </w:rPr>
            </w:pPr>
            <w:r w:rsidRPr="00BA6CB8">
              <w:rPr>
                <w:color w:val="000000"/>
              </w:rPr>
              <w:t>T20.06</w:t>
            </w:r>
          </w:p>
        </w:tc>
        <w:tc>
          <w:tcPr>
            <w:tcW w:w="850" w:type="dxa"/>
            <w:shd w:val="clear" w:color="auto" w:fill="auto"/>
            <w:noWrap/>
          </w:tcPr>
          <w:p w14:paraId="0DC9ECAA" w14:textId="77777777" w:rsidR="0091068C" w:rsidRPr="00BA6CB8" w:rsidRDefault="0091068C" w:rsidP="00986896">
            <w:pPr>
              <w:jc w:val="center"/>
              <w:rPr>
                <w:color w:val="000000"/>
              </w:rPr>
            </w:pPr>
            <w:r w:rsidRPr="00BA6CB8">
              <w:rPr>
                <w:color w:val="000000"/>
              </w:rPr>
              <w:t>43.3</w:t>
            </w:r>
          </w:p>
        </w:tc>
        <w:tc>
          <w:tcPr>
            <w:tcW w:w="851" w:type="dxa"/>
            <w:shd w:val="clear" w:color="auto" w:fill="auto"/>
            <w:noWrap/>
          </w:tcPr>
          <w:p w14:paraId="1688E9E9" w14:textId="77777777" w:rsidR="0091068C" w:rsidRPr="00BA6CB8" w:rsidRDefault="0091068C" w:rsidP="00986896">
            <w:pPr>
              <w:jc w:val="center"/>
              <w:rPr>
                <w:color w:val="000000"/>
              </w:rPr>
            </w:pPr>
            <w:r w:rsidRPr="00BA6CB8">
              <w:rPr>
                <w:color w:val="000000"/>
              </w:rPr>
              <w:t>15.7</w:t>
            </w:r>
          </w:p>
        </w:tc>
        <w:tc>
          <w:tcPr>
            <w:tcW w:w="850" w:type="dxa"/>
            <w:tcBorders>
              <w:top w:val="single" w:sz="4" w:space="0" w:color="auto"/>
              <w:left w:val="nil"/>
              <w:bottom w:val="single" w:sz="4" w:space="0" w:color="auto"/>
              <w:right w:val="single" w:sz="4" w:space="0" w:color="auto"/>
            </w:tcBorders>
            <w:shd w:val="clear" w:color="auto" w:fill="auto"/>
            <w:vAlign w:val="bottom"/>
          </w:tcPr>
          <w:p w14:paraId="1D82534F" w14:textId="77777777" w:rsidR="0091068C" w:rsidRPr="00BA6CB8" w:rsidRDefault="0091068C" w:rsidP="00986896">
            <w:pPr>
              <w:jc w:val="center"/>
              <w:rPr>
                <w:color w:val="000000"/>
              </w:rPr>
            </w:pPr>
            <w:r w:rsidRPr="00BA6CB8">
              <w:rPr>
                <w:color w:val="000000"/>
              </w:rPr>
              <w:t>3.2</w:t>
            </w:r>
          </w:p>
        </w:tc>
      </w:tr>
      <w:tr w:rsidR="0091068C" w:rsidRPr="00AD3ED7" w14:paraId="50B1E7A3" w14:textId="77777777" w:rsidTr="00986896">
        <w:trPr>
          <w:trHeight w:val="280"/>
        </w:trPr>
        <w:tc>
          <w:tcPr>
            <w:tcW w:w="1413" w:type="dxa"/>
            <w:shd w:val="clear" w:color="auto" w:fill="auto"/>
            <w:noWrap/>
          </w:tcPr>
          <w:p w14:paraId="67337B98" w14:textId="77777777" w:rsidR="0091068C" w:rsidRPr="00BA6CB8" w:rsidRDefault="0091068C" w:rsidP="00986896">
            <w:pPr>
              <w:jc w:val="center"/>
              <w:rPr>
                <w:color w:val="000000"/>
              </w:rPr>
            </w:pPr>
            <w:r w:rsidRPr="00BA6CB8">
              <w:rPr>
                <w:color w:val="000000"/>
              </w:rPr>
              <w:t>T20.07</w:t>
            </w:r>
          </w:p>
        </w:tc>
        <w:tc>
          <w:tcPr>
            <w:tcW w:w="850" w:type="dxa"/>
            <w:shd w:val="clear" w:color="auto" w:fill="auto"/>
            <w:noWrap/>
          </w:tcPr>
          <w:p w14:paraId="3D196F01" w14:textId="77777777" w:rsidR="0091068C" w:rsidRPr="00BA6CB8" w:rsidRDefault="0091068C" w:rsidP="00986896">
            <w:pPr>
              <w:jc w:val="center"/>
              <w:rPr>
                <w:color w:val="000000"/>
              </w:rPr>
            </w:pPr>
            <w:r w:rsidRPr="00BA6CB8">
              <w:rPr>
                <w:color w:val="000000"/>
              </w:rPr>
              <w:t>42.2</w:t>
            </w:r>
          </w:p>
        </w:tc>
        <w:tc>
          <w:tcPr>
            <w:tcW w:w="851" w:type="dxa"/>
            <w:shd w:val="clear" w:color="auto" w:fill="auto"/>
            <w:noWrap/>
          </w:tcPr>
          <w:p w14:paraId="13C44BB6" w14:textId="77777777" w:rsidR="0091068C" w:rsidRPr="00BA6CB8" w:rsidRDefault="0091068C" w:rsidP="00986896">
            <w:pPr>
              <w:jc w:val="center"/>
              <w:rPr>
                <w:color w:val="000000"/>
              </w:rPr>
            </w:pPr>
            <w:r w:rsidRPr="00BA6CB8">
              <w:rPr>
                <w:color w:val="000000"/>
              </w:rPr>
              <w:t>15.3</w:t>
            </w:r>
          </w:p>
        </w:tc>
        <w:tc>
          <w:tcPr>
            <w:tcW w:w="850" w:type="dxa"/>
            <w:tcBorders>
              <w:top w:val="single" w:sz="4" w:space="0" w:color="auto"/>
              <w:left w:val="nil"/>
              <w:bottom w:val="single" w:sz="4" w:space="0" w:color="auto"/>
              <w:right w:val="single" w:sz="4" w:space="0" w:color="auto"/>
            </w:tcBorders>
            <w:shd w:val="clear" w:color="auto" w:fill="auto"/>
            <w:vAlign w:val="bottom"/>
          </w:tcPr>
          <w:p w14:paraId="6C99507E" w14:textId="77777777" w:rsidR="0091068C" w:rsidRPr="00BA6CB8" w:rsidRDefault="0091068C" w:rsidP="00986896">
            <w:pPr>
              <w:jc w:val="center"/>
              <w:rPr>
                <w:color w:val="000000"/>
              </w:rPr>
            </w:pPr>
            <w:r w:rsidRPr="00BA6CB8">
              <w:rPr>
                <w:color w:val="000000"/>
              </w:rPr>
              <w:t>3.2</w:t>
            </w:r>
          </w:p>
        </w:tc>
      </w:tr>
      <w:tr w:rsidR="0091068C" w:rsidRPr="00AD3ED7" w14:paraId="313957BB" w14:textId="77777777" w:rsidTr="00986896">
        <w:trPr>
          <w:trHeight w:val="280"/>
        </w:trPr>
        <w:tc>
          <w:tcPr>
            <w:tcW w:w="1413" w:type="dxa"/>
            <w:shd w:val="clear" w:color="auto" w:fill="auto"/>
            <w:noWrap/>
          </w:tcPr>
          <w:p w14:paraId="5410276A" w14:textId="77777777" w:rsidR="0091068C" w:rsidRPr="00BA6CB8" w:rsidRDefault="0091068C" w:rsidP="00986896">
            <w:pPr>
              <w:jc w:val="center"/>
              <w:rPr>
                <w:color w:val="000000"/>
              </w:rPr>
            </w:pPr>
            <w:r w:rsidRPr="00BA6CB8">
              <w:rPr>
                <w:color w:val="000000"/>
              </w:rPr>
              <w:t>T21.01</w:t>
            </w:r>
          </w:p>
        </w:tc>
        <w:tc>
          <w:tcPr>
            <w:tcW w:w="850" w:type="dxa"/>
            <w:shd w:val="clear" w:color="auto" w:fill="auto"/>
            <w:noWrap/>
          </w:tcPr>
          <w:p w14:paraId="0AC4E720" w14:textId="77777777" w:rsidR="0091068C" w:rsidRPr="00BA6CB8" w:rsidRDefault="0091068C" w:rsidP="00986896">
            <w:pPr>
              <w:jc w:val="center"/>
              <w:rPr>
                <w:color w:val="000000"/>
              </w:rPr>
            </w:pPr>
            <w:r w:rsidRPr="00BA6CB8">
              <w:rPr>
                <w:color w:val="000000"/>
              </w:rPr>
              <w:t>44.6</w:t>
            </w:r>
          </w:p>
        </w:tc>
        <w:tc>
          <w:tcPr>
            <w:tcW w:w="851" w:type="dxa"/>
            <w:shd w:val="clear" w:color="auto" w:fill="auto"/>
            <w:noWrap/>
          </w:tcPr>
          <w:p w14:paraId="3EE37364" w14:textId="77777777" w:rsidR="0091068C" w:rsidRPr="00BA6CB8" w:rsidRDefault="0091068C" w:rsidP="00986896">
            <w:pPr>
              <w:jc w:val="center"/>
              <w:rPr>
                <w:color w:val="000000"/>
              </w:rPr>
            </w:pPr>
            <w:r w:rsidRPr="00BA6CB8">
              <w:rPr>
                <w:color w:val="000000"/>
              </w:rPr>
              <w:t>16.1</w:t>
            </w:r>
          </w:p>
        </w:tc>
        <w:tc>
          <w:tcPr>
            <w:tcW w:w="850" w:type="dxa"/>
            <w:tcBorders>
              <w:top w:val="single" w:sz="4" w:space="0" w:color="auto"/>
              <w:left w:val="nil"/>
              <w:bottom w:val="single" w:sz="4" w:space="0" w:color="auto"/>
              <w:right w:val="single" w:sz="4" w:space="0" w:color="auto"/>
            </w:tcBorders>
            <w:shd w:val="clear" w:color="auto" w:fill="auto"/>
            <w:vAlign w:val="bottom"/>
          </w:tcPr>
          <w:p w14:paraId="36CEA915" w14:textId="77777777" w:rsidR="0091068C" w:rsidRPr="00BA6CB8" w:rsidRDefault="0091068C" w:rsidP="00986896">
            <w:pPr>
              <w:jc w:val="center"/>
              <w:rPr>
                <w:color w:val="000000"/>
              </w:rPr>
            </w:pPr>
            <w:r w:rsidRPr="00BA6CB8">
              <w:rPr>
                <w:color w:val="000000"/>
              </w:rPr>
              <w:t>3.2</w:t>
            </w:r>
          </w:p>
        </w:tc>
      </w:tr>
      <w:tr w:rsidR="0091068C" w:rsidRPr="00AD3ED7" w14:paraId="3136F3C4" w14:textId="77777777" w:rsidTr="00986896">
        <w:trPr>
          <w:trHeight w:val="280"/>
        </w:trPr>
        <w:tc>
          <w:tcPr>
            <w:tcW w:w="1413" w:type="dxa"/>
            <w:shd w:val="clear" w:color="auto" w:fill="auto"/>
            <w:noWrap/>
          </w:tcPr>
          <w:p w14:paraId="7FE7773F" w14:textId="77777777" w:rsidR="0091068C" w:rsidRPr="00BA6CB8" w:rsidRDefault="0091068C" w:rsidP="00986896">
            <w:pPr>
              <w:jc w:val="center"/>
              <w:rPr>
                <w:color w:val="000000"/>
              </w:rPr>
            </w:pPr>
            <w:r w:rsidRPr="00BA6CB8">
              <w:rPr>
                <w:color w:val="000000"/>
              </w:rPr>
              <w:t>T21.02</w:t>
            </w:r>
          </w:p>
        </w:tc>
        <w:tc>
          <w:tcPr>
            <w:tcW w:w="850" w:type="dxa"/>
            <w:shd w:val="clear" w:color="auto" w:fill="auto"/>
            <w:noWrap/>
          </w:tcPr>
          <w:p w14:paraId="6DD6B5AD" w14:textId="77777777" w:rsidR="0091068C" w:rsidRPr="00BA6CB8" w:rsidRDefault="0091068C" w:rsidP="00986896">
            <w:pPr>
              <w:jc w:val="center"/>
              <w:rPr>
                <w:color w:val="000000"/>
              </w:rPr>
            </w:pPr>
            <w:r w:rsidRPr="00BA6CB8">
              <w:rPr>
                <w:color w:val="000000"/>
              </w:rPr>
              <w:t>43.8</w:t>
            </w:r>
          </w:p>
        </w:tc>
        <w:tc>
          <w:tcPr>
            <w:tcW w:w="851" w:type="dxa"/>
            <w:shd w:val="clear" w:color="auto" w:fill="auto"/>
            <w:noWrap/>
          </w:tcPr>
          <w:p w14:paraId="6104AF8C"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0BCF77E3"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34D6BA17" w14:textId="77777777" w:rsidTr="00986896">
        <w:trPr>
          <w:trHeight w:val="280"/>
        </w:trPr>
        <w:tc>
          <w:tcPr>
            <w:tcW w:w="1413" w:type="dxa"/>
            <w:shd w:val="clear" w:color="auto" w:fill="auto"/>
            <w:noWrap/>
          </w:tcPr>
          <w:p w14:paraId="243277CD" w14:textId="77777777" w:rsidR="0091068C" w:rsidRPr="00BA6CB8" w:rsidRDefault="0091068C" w:rsidP="00986896">
            <w:pPr>
              <w:jc w:val="center"/>
              <w:rPr>
                <w:color w:val="000000"/>
              </w:rPr>
            </w:pPr>
            <w:r w:rsidRPr="00BA6CB8">
              <w:rPr>
                <w:color w:val="000000"/>
              </w:rPr>
              <w:t>T21.03</w:t>
            </w:r>
          </w:p>
        </w:tc>
        <w:tc>
          <w:tcPr>
            <w:tcW w:w="850" w:type="dxa"/>
            <w:shd w:val="clear" w:color="auto" w:fill="auto"/>
            <w:noWrap/>
          </w:tcPr>
          <w:p w14:paraId="3F2AC5E5" w14:textId="77777777" w:rsidR="0091068C" w:rsidRPr="00BA6CB8" w:rsidRDefault="0091068C" w:rsidP="00986896">
            <w:pPr>
              <w:jc w:val="center"/>
              <w:rPr>
                <w:color w:val="000000"/>
              </w:rPr>
            </w:pPr>
            <w:r w:rsidRPr="00BA6CB8">
              <w:rPr>
                <w:color w:val="000000"/>
              </w:rPr>
              <w:t>43.5</w:t>
            </w:r>
          </w:p>
        </w:tc>
        <w:tc>
          <w:tcPr>
            <w:tcW w:w="851" w:type="dxa"/>
            <w:shd w:val="clear" w:color="auto" w:fill="auto"/>
            <w:noWrap/>
          </w:tcPr>
          <w:p w14:paraId="66F6B489" w14:textId="77777777" w:rsidR="0091068C" w:rsidRPr="00BA6CB8" w:rsidRDefault="0091068C" w:rsidP="00986896">
            <w:pPr>
              <w:jc w:val="center"/>
              <w:rPr>
                <w:color w:val="000000"/>
              </w:rPr>
            </w:pPr>
            <w:r w:rsidRPr="00BA6CB8">
              <w:rPr>
                <w:color w:val="000000"/>
              </w:rPr>
              <w:t>15.7</w:t>
            </w:r>
          </w:p>
        </w:tc>
        <w:tc>
          <w:tcPr>
            <w:tcW w:w="850" w:type="dxa"/>
            <w:tcBorders>
              <w:top w:val="single" w:sz="4" w:space="0" w:color="auto"/>
              <w:left w:val="nil"/>
              <w:bottom w:val="single" w:sz="4" w:space="0" w:color="auto"/>
              <w:right w:val="single" w:sz="4" w:space="0" w:color="auto"/>
            </w:tcBorders>
            <w:shd w:val="clear" w:color="auto" w:fill="auto"/>
            <w:vAlign w:val="bottom"/>
          </w:tcPr>
          <w:p w14:paraId="2178DD83" w14:textId="77777777" w:rsidR="0091068C" w:rsidRPr="00BA6CB8" w:rsidRDefault="0091068C" w:rsidP="00986896">
            <w:pPr>
              <w:jc w:val="center"/>
              <w:rPr>
                <w:color w:val="000000"/>
              </w:rPr>
            </w:pPr>
            <w:r w:rsidRPr="00BA6CB8">
              <w:rPr>
                <w:color w:val="000000"/>
              </w:rPr>
              <w:t>3.2</w:t>
            </w:r>
          </w:p>
        </w:tc>
      </w:tr>
      <w:tr w:rsidR="0091068C" w:rsidRPr="00AD3ED7" w14:paraId="6A1485D3" w14:textId="77777777" w:rsidTr="00986896">
        <w:trPr>
          <w:trHeight w:val="280"/>
        </w:trPr>
        <w:tc>
          <w:tcPr>
            <w:tcW w:w="1413" w:type="dxa"/>
            <w:shd w:val="clear" w:color="auto" w:fill="auto"/>
            <w:noWrap/>
          </w:tcPr>
          <w:p w14:paraId="2CADD37B" w14:textId="77777777" w:rsidR="0091068C" w:rsidRPr="00BA6CB8" w:rsidRDefault="0091068C" w:rsidP="00986896">
            <w:pPr>
              <w:jc w:val="center"/>
              <w:rPr>
                <w:color w:val="000000"/>
              </w:rPr>
            </w:pPr>
            <w:r w:rsidRPr="00BA6CB8">
              <w:rPr>
                <w:color w:val="000000"/>
              </w:rPr>
              <w:t>T21.04</w:t>
            </w:r>
          </w:p>
        </w:tc>
        <w:tc>
          <w:tcPr>
            <w:tcW w:w="850" w:type="dxa"/>
            <w:shd w:val="clear" w:color="auto" w:fill="auto"/>
            <w:noWrap/>
          </w:tcPr>
          <w:p w14:paraId="2396E855" w14:textId="77777777" w:rsidR="0091068C" w:rsidRPr="00BA6CB8" w:rsidRDefault="0091068C" w:rsidP="00986896">
            <w:pPr>
              <w:jc w:val="center"/>
              <w:rPr>
                <w:color w:val="000000"/>
              </w:rPr>
            </w:pPr>
            <w:r w:rsidRPr="00BA6CB8">
              <w:rPr>
                <w:color w:val="000000"/>
              </w:rPr>
              <w:t>39.6</w:t>
            </w:r>
          </w:p>
        </w:tc>
        <w:tc>
          <w:tcPr>
            <w:tcW w:w="851" w:type="dxa"/>
            <w:shd w:val="clear" w:color="auto" w:fill="auto"/>
            <w:noWrap/>
          </w:tcPr>
          <w:p w14:paraId="6F5BC5C4" w14:textId="77777777" w:rsidR="0091068C" w:rsidRPr="00BA6CB8" w:rsidRDefault="0091068C" w:rsidP="00986896">
            <w:pPr>
              <w:jc w:val="center"/>
              <w:rPr>
                <w:color w:val="000000"/>
              </w:rPr>
            </w:pPr>
            <w:r w:rsidRPr="00BA6CB8">
              <w:rPr>
                <w:color w:val="000000"/>
              </w:rPr>
              <w:t>14.3</w:t>
            </w:r>
          </w:p>
        </w:tc>
        <w:tc>
          <w:tcPr>
            <w:tcW w:w="850" w:type="dxa"/>
            <w:tcBorders>
              <w:top w:val="single" w:sz="4" w:space="0" w:color="auto"/>
              <w:left w:val="nil"/>
              <w:bottom w:val="single" w:sz="4" w:space="0" w:color="auto"/>
              <w:right w:val="single" w:sz="4" w:space="0" w:color="auto"/>
            </w:tcBorders>
            <w:shd w:val="clear" w:color="auto" w:fill="auto"/>
            <w:vAlign w:val="bottom"/>
          </w:tcPr>
          <w:p w14:paraId="2EBED595" w14:textId="77777777" w:rsidR="0091068C" w:rsidRPr="00BA6CB8" w:rsidRDefault="0091068C" w:rsidP="00986896">
            <w:pPr>
              <w:jc w:val="center"/>
              <w:rPr>
                <w:color w:val="000000"/>
              </w:rPr>
            </w:pPr>
            <w:r w:rsidRPr="00BA6CB8">
              <w:rPr>
                <w:color w:val="000000"/>
              </w:rPr>
              <w:t>3.2</w:t>
            </w:r>
          </w:p>
        </w:tc>
      </w:tr>
      <w:tr w:rsidR="0091068C" w:rsidRPr="00AD3ED7" w14:paraId="4F368E03" w14:textId="77777777" w:rsidTr="00986896">
        <w:trPr>
          <w:trHeight w:val="280"/>
        </w:trPr>
        <w:tc>
          <w:tcPr>
            <w:tcW w:w="1413" w:type="dxa"/>
            <w:shd w:val="clear" w:color="auto" w:fill="auto"/>
            <w:noWrap/>
          </w:tcPr>
          <w:p w14:paraId="305EE18B" w14:textId="77777777" w:rsidR="0091068C" w:rsidRPr="00BA6CB8" w:rsidRDefault="0091068C" w:rsidP="00986896">
            <w:pPr>
              <w:jc w:val="center"/>
              <w:rPr>
                <w:color w:val="000000"/>
              </w:rPr>
            </w:pPr>
            <w:r w:rsidRPr="00BA6CB8">
              <w:rPr>
                <w:color w:val="000000"/>
              </w:rPr>
              <w:t>T21.05</w:t>
            </w:r>
          </w:p>
        </w:tc>
        <w:tc>
          <w:tcPr>
            <w:tcW w:w="850" w:type="dxa"/>
            <w:shd w:val="clear" w:color="auto" w:fill="auto"/>
            <w:noWrap/>
          </w:tcPr>
          <w:p w14:paraId="42FF6EEF" w14:textId="77777777" w:rsidR="0091068C" w:rsidRPr="00BA6CB8" w:rsidRDefault="0091068C" w:rsidP="00986896">
            <w:pPr>
              <w:jc w:val="center"/>
              <w:rPr>
                <w:color w:val="000000"/>
              </w:rPr>
            </w:pPr>
            <w:r w:rsidRPr="00BA6CB8">
              <w:rPr>
                <w:color w:val="000000"/>
              </w:rPr>
              <w:t>43.4</w:t>
            </w:r>
          </w:p>
        </w:tc>
        <w:tc>
          <w:tcPr>
            <w:tcW w:w="851" w:type="dxa"/>
            <w:shd w:val="clear" w:color="auto" w:fill="auto"/>
            <w:noWrap/>
          </w:tcPr>
          <w:p w14:paraId="5C4F8DB4" w14:textId="77777777" w:rsidR="0091068C" w:rsidRPr="00BA6CB8" w:rsidRDefault="0091068C" w:rsidP="00986896">
            <w:pPr>
              <w:jc w:val="center"/>
              <w:rPr>
                <w:color w:val="000000"/>
              </w:rPr>
            </w:pPr>
            <w:r w:rsidRPr="00BA6CB8">
              <w:rPr>
                <w:color w:val="000000"/>
              </w:rPr>
              <w:t>15.8</w:t>
            </w:r>
          </w:p>
        </w:tc>
        <w:tc>
          <w:tcPr>
            <w:tcW w:w="850" w:type="dxa"/>
            <w:tcBorders>
              <w:top w:val="single" w:sz="4" w:space="0" w:color="auto"/>
              <w:left w:val="nil"/>
              <w:bottom w:val="single" w:sz="4" w:space="0" w:color="auto"/>
              <w:right w:val="single" w:sz="4" w:space="0" w:color="auto"/>
            </w:tcBorders>
            <w:shd w:val="clear" w:color="auto" w:fill="auto"/>
            <w:vAlign w:val="bottom"/>
          </w:tcPr>
          <w:p w14:paraId="72FC2C25" w14:textId="77777777" w:rsidR="0091068C" w:rsidRPr="00BA6CB8" w:rsidRDefault="0091068C" w:rsidP="00986896">
            <w:pPr>
              <w:jc w:val="center"/>
              <w:rPr>
                <w:color w:val="000000"/>
              </w:rPr>
            </w:pPr>
            <w:r w:rsidRPr="00BA6CB8">
              <w:rPr>
                <w:color w:val="000000"/>
              </w:rPr>
              <w:t>3.2</w:t>
            </w:r>
          </w:p>
        </w:tc>
      </w:tr>
      <w:tr w:rsidR="0091068C" w:rsidRPr="00AD3ED7" w14:paraId="3C1BBF97" w14:textId="77777777" w:rsidTr="00986896">
        <w:trPr>
          <w:trHeight w:val="280"/>
        </w:trPr>
        <w:tc>
          <w:tcPr>
            <w:tcW w:w="1413" w:type="dxa"/>
            <w:shd w:val="clear" w:color="auto" w:fill="auto"/>
            <w:noWrap/>
          </w:tcPr>
          <w:p w14:paraId="7AF2EB9E" w14:textId="77777777" w:rsidR="0091068C" w:rsidRPr="00BA6CB8" w:rsidRDefault="0091068C" w:rsidP="00986896">
            <w:pPr>
              <w:jc w:val="center"/>
              <w:rPr>
                <w:color w:val="000000"/>
              </w:rPr>
            </w:pPr>
            <w:r w:rsidRPr="00BA6CB8">
              <w:rPr>
                <w:color w:val="000000"/>
              </w:rPr>
              <w:t>T21.06</w:t>
            </w:r>
          </w:p>
        </w:tc>
        <w:tc>
          <w:tcPr>
            <w:tcW w:w="850" w:type="dxa"/>
            <w:shd w:val="clear" w:color="auto" w:fill="auto"/>
            <w:noWrap/>
          </w:tcPr>
          <w:p w14:paraId="54460721" w14:textId="77777777" w:rsidR="0091068C" w:rsidRPr="00BA6CB8" w:rsidRDefault="0091068C" w:rsidP="00986896">
            <w:pPr>
              <w:jc w:val="center"/>
              <w:rPr>
                <w:color w:val="000000"/>
              </w:rPr>
            </w:pPr>
            <w:r w:rsidRPr="00BA6CB8">
              <w:rPr>
                <w:color w:val="000000"/>
              </w:rPr>
              <w:t>44.7</w:t>
            </w:r>
          </w:p>
        </w:tc>
        <w:tc>
          <w:tcPr>
            <w:tcW w:w="851" w:type="dxa"/>
            <w:shd w:val="clear" w:color="auto" w:fill="auto"/>
            <w:noWrap/>
          </w:tcPr>
          <w:p w14:paraId="1D8C6B36" w14:textId="77777777" w:rsidR="0091068C" w:rsidRPr="00BA6CB8" w:rsidRDefault="0091068C" w:rsidP="00986896">
            <w:pPr>
              <w:jc w:val="center"/>
              <w:rPr>
                <w:color w:val="000000"/>
              </w:rPr>
            </w:pPr>
            <w:r w:rsidRPr="00BA6CB8">
              <w:rPr>
                <w:color w:val="000000"/>
              </w:rPr>
              <w:t>15.4</w:t>
            </w:r>
          </w:p>
        </w:tc>
        <w:tc>
          <w:tcPr>
            <w:tcW w:w="850" w:type="dxa"/>
            <w:tcBorders>
              <w:top w:val="single" w:sz="4" w:space="0" w:color="auto"/>
              <w:left w:val="nil"/>
              <w:bottom w:val="single" w:sz="4" w:space="0" w:color="auto"/>
              <w:right w:val="single" w:sz="4" w:space="0" w:color="auto"/>
            </w:tcBorders>
            <w:shd w:val="clear" w:color="auto" w:fill="auto"/>
            <w:vAlign w:val="bottom"/>
          </w:tcPr>
          <w:p w14:paraId="2EF9B183" w14:textId="77777777" w:rsidR="0091068C" w:rsidRPr="00BA6CB8" w:rsidRDefault="0091068C" w:rsidP="00986896">
            <w:pPr>
              <w:jc w:val="center"/>
              <w:rPr>
                <w:color w:val="000000"/>
              </w:rPr>
            </w:pPr>
            <w:r w:rsidRPr="00BA6CB8">
              <w:rPr>
                <w:color w:val="000000"/>
              </w:rPr>
              <w:t>3.</w:t>
            </w:r>
            <w:r>
              <w:rPr>
                <w:color w:val="000000"/>
              </w:rPr>
              <w:t>4</w:t>
            </w:r>
          </w:p>
        </w:tc>
      </w:tr>
      <w:tr w:rsidR="0091068C" w:rsidRPr="00AD3ED7" w14:paraId="33E673E2" w14:textId="77777777" w:rsidTr="00986896">
        <w:trPr>
          <w:trHeight w:val="280"/>
        </w:trPr>
        <w:tc>
          <w:tcPr>
            <w:tcW w:w="1413" w:type="dxa"/>
            <w:shd w:val="clear" w:color="auto" w:fill="auto"/>
            <w:noWrap/>
          </w:tcPr>
          <w:p w14:paraId="0F91C4E6" w14:textId="77777777" w:rsidR="0091068C" w:rsidRPr="00BA6CB8" w:rsidRDefault="0091068C" w:rsidP="00986896">
            <w:pPr>
              <w:jc w:val="center"/>
              <w:rPr>
                <w:color w:val="000000"/>
              </w:rPr>
            </w:pPr>
            <w:r w:rsidRPr="00BA6CB8">
              <w:rPr>
                <w:color w:val="000000"/>
              </w:rPr>
              <w:t>T21.07</w:t>
            </w:r>
          </w:p>
        </w:tc>
        <w:tc>
          <w:tcPr>
            <w:tcW w:w="850" w:type="dxa"/>
            <w:shd w:val="clear" w:color="auto" w:fill="auto"/>
            <w:noWrap/>
          </w:tcPr>
          <w:p w14:paraId="663B5224" w14:textId="77777777" w:rsidR="0091068C" w:rsidRPr="00BA6CB8" w:rsidRDefault="0091068C" w:rsidP="00986896">
            <w:pPr>
              <w:jc w:val="center"/>
              <w:rPr>
                <w:color w:val="000000"/>
              </w:rPr>
            </w:pPr>
            <w:r w:rsidRPr="00BA6CB8">
              <w:rPr>
                <w:color w:val="000000"/>
              </w:rPr>
              <w:t>43.5</w:t>
            </w:r>
          </w:p>
        </w:tc>
        <w:tc>
          <w:tcPr>
            <w:tcW w:w="851" w:type="dxa"/>
            <w:shd w:val="clear" w:color="auto" w:fill="auto"/>
            <w:noWrap/>
          </w:tcPr>
          <w:p w14:paraId="0CCB1DD3" w14:textId="77777777" w:rsidR="0091068C" w:rsidRPr="00BA6CB8" w:rsidRDefault="0091068C" w:rsidP="00986896">
            <w:pPr>
              <w:jc w:val="center"/>
              <w:rPr>
                <w:color w:val="000000"/>
              </w:rPr>
            </w:pPr>
            <w:r w:rsidRPr="00BA6CB8">
              <w:rPr>
                <w:color w:val="000000"/>
              </w:rPr>
              <w:t>15.4</w:t>
            </w:r>
          </w:p>
        </w:tc>
        <w:tc>
          <w:tcPr>
            <w:tcW w:w="850" w:type="dxa"/>
            <w:tcBorders>
              <w:top w:val="single" w:sz="4" w:space="0" w:color="auto"/>
              <w:left w:val="nil"/>
              <w:bottom w:val="single" w:sz="4" w:space="0" w:color="auto"/>
              <w:right w:val="single" w:sz="4" w:space="0" w:color="auto"/>
            </w:tcBorders>
            <w:shd w:val="clear" w:color="auto" w:fill="auto"/>
            <w:vAlign w:val="bottom"/>
          </w:tcPr>
          <w:p w14:paraId="6743ECF5" w14:textId="77777777" w:rsidR="0091068C" w:rsidRPr="00BA6CB8" w:rsidRDefault="0091068C" w:rsidP="00986896">
            <w:pPr>
              <w:jc w:val="center"/>
              <w:rPr>
                <w:color w:val="000000"/>
              </w:rPr>
            </w:pPr>
            <w:r w:rsidRPr="00BA6CB8">
              <w:rPr>
                <w:color w:val="000000"/>
              </w:rPr>
              <w:t>3.3</w:t>
            </w:r>
          </w:p>
        </w:tc>
      </w:tr>
      <w:tr w:rsidR="0091068C" w:rsidRPr="00AD3ED7" w14:paraId="74EDE33A" w14:textId="77777777" w:rsidTr="00986896">
        <w:trPr>
          <w:trHeight w:val="280"/>
        </w:trPr>
        <w:tc>
          <w:tcPr>
            <w:tcW w:w="1413" w:type="dxa"/>
            <w:shd w:val="clear" w:color="auto" w:fill="auto"/>
            <w:noWrap/>
          </w:tcPr>
          <w:p w14:paraId="2AF868C3" w14:textId="77777777" w:rsidR="0091068C" w:rsidRPr="00BA6CB8" w:rsidRDefault="0091068C" w:rsidP="00986896">
            <w:pPr>
              <w:jc w:val="center"/>
              <w:rPr>
                <w:color w:val="000000"/>
              </w:rPr>
            </w:pPr>
            <w:r w:rsidRPr="00BA6CB8">
              <w:rPr>
                <w:color w:val="000000"/>
              </w:rPr>
              <w:lastRenderedPageBreak/>
              <w:t>T21.08</w:t>
            </w:r>
          </w:p>
        </w:tc>
        <w:tc>
          <w:tcPr>
            <w:tcW w:w="850" w:type="dxa"/>
            <w:shd w:val="clear" w:color="auto" w:fill="auto"/>
            <w:noWrap/>
          </w:tcPr>
          <w:p w14:paraId="16D7DB82" w14:textId="77777777" w:rsidR="0091068C" w:rsidRPr="00BA6CB8" w:rsidRDefault="0091068C" w:rsidP="00986896">
            <w:pPr>
              <w:jc w:val="center"/>
              <w:rPr>
                <w:color w:val="000000"/>
              </w:rPr>
            </w:pPr>
            <w:r w:rsidRPr="00BA6CB8">
              <w:rPr>
                <w:color w:val="000000"/>
              </w:rPr>
              <w:t>43.2</w:t>
            </w:r>
          </w:p>
        </w:tc>
        <w:tc>
          <w:tcPr>
            <w:tcW w:w="851" w:type="dxa"/>
            <w:shd w:val="clear" w:color="auto" w:fill="auto"/>
            <w:noWrap/>
          </w:tcPr>
          <w:p w14:paraId="720CB575" w14:textId="77777777" w:rsidR="0091068C" w:rsidRPr="00BA6CB8" w:rsidRDefault="0091068C" w:rsidP="00986896">
            <w:pPr>
              <w:jc w:val="center"/>
              <w:rPr>
                <w:color w:val="000000"/>
              </w:rPr>
            </w:pPr>
            <w:r w:rsidRPr="00BA6CB8">
              <w:rPr>
                <w:color w:val="000000"/>
              </w:rPr>
              <w:t>15.6</w:t>
            </w:r>
          </w:p>
        </w:tc>
        <w:tc>
          <w:tcPr>
            <w:tcW w:w="850" w:type="dxa"/>
            <w:tcBorders>
              <w:top w:val="single" w:sz="4" w:space="0" w:color="auto"/>
              <w:left w:val="nil"/>
              <w:bottom w:val="single" w:sz="4" w:space="0" w:color="auto"/>
              <w:right w:val="single" w:sz="4" w:space="0" w:color="auto"/>
            </w:tcBorders>
            <w:shd w:val="clear" w:color="auto" w:fill="auto"/>
            <w:vAlign w:val="bottom"/>
          </w:tcPr>
          <w:p w14:paraId="6C9A4249" w14:textId="77777777" w:rsidR="0091068C" w:rsidRPr="00BA6CB8" w:rsidRDefault="0091068C" w:rsidP="00986896">
            <w:pPr>
              <w:jc w:val="center"/>
              <w:rPr>
                <w:color w:val="000000"/>
              </w:rPr>
            </w:pPr>
            <w:r w:rsidRPr="00BA6CB8">
              <w:rPr>
                <w:color w:val="000000"/>
              </w:rPr>
              <w:t>3.2</w:t>
            </w:r>
          </w:p>
        </w:tc>
      </w:tr>
      <w:tr w:rsidR="0091068C" w:rsidRPr="00AD3ED7" w14:paraId="1ABCE2F2" w14:textId="77777777" w:rsidTr="00986896">
        <w:trPr>
          <w:trHeight w:val="280"/>
        </w:trPr>
        <w:tc>
          <w:tcPr>
            <w:tcW w:w="1413" w:type="dxa"/>
            <w:shd w:val="clear" w:color="auto" w:fill="auto"/>
            <w:noWrap/>
          </w:tcPr>
          <w:p w14:paraId="653319E2" w14:textId="77777777" w:rsidR="0091068C" w:rsidRPr="00BA6CB8" w:rsidRDefault="0091068C" w:rsidP="00986896">
            <w:pPr>
              <w:jc w:val="center"/>
              <w:rPr>
                <w:color w:val="000000"/>
              </w:rPr>
            </w:pPr>
            <w:r w:rsidRPr="00BA6CB8">
              <w:rPr>
                <w:color w:val="000000"/>
              </w:rPr>
              <w:t>T22.01</w:t>
            </w:r>
          </w:p>
        </w:tc>
        <w:tc>
          <w:tcPr>
            <w:tcW w:w="850" w:type="dxa"/>
            <w:shd w:val="clear" w:color="auto" w:fill="auto"/>
            <w:noWrap/>
          </w:tcPr>
          <w:p w14:paraId="7474F001" w14:textId="77777777" w:rsidR="0091068C" w:rsidRPr="00BA6CB8" w:rsidRDefault="0091068C" w:rsidP="00986896">
            <w:pPr>
              <w:jc w:val="center"/>
              <w:rPr>
                <w:color w:val="000000"/>
              </w:rPr>
            </w:pPr>
            <w:r w:rsidRPr="00BA6CB8">
              <w:rPr>
                <w:color w:val="000000"/>
              </w:rPr>
              <w:t>42.2</w:t>
            </w:r>
          </w:p>
        </w:tc>
        <w:tc>
          <w:tcPr>
            <w:tcW w:w="851" w:type="dxa"/>
            <w:shd w:val="clear" w:color="auto" w:fill="auto"/>
            <w:noWrap/>
          </w:tcPr>
          <w:p w14:paraId="45284EB3" w14:textId="77777777" w:rsidR="0091068C" w:rsidRPr="00BA6CB8" w:rsidRDefault="0091068C" w:rsidP="00986896">
            <w:pPr>
              <w:jc w:val="center"/>
              <w:rPr>
                <w:color w:val="000000"/>
              </w:rPr>
            </w:pPr>
            <w:r w:rsidRPr="00BA6CB8">
              <w:rPr>
                <w:color w:val="000000"/>
              </w:rPr>
              <w:t>15.3</w:t>
            </w:r>
          </w:p>
        </w:tc>
        <w:tc>
          <w:tcPr>
            <w:tcW w:w="850" w:type="dxa"/>
            <w:tcBorders>
              <w:top w:val="single" w:sz="4" w:space="0" w:color="auto"/>
              <w:left w:val="nil"/>
              <w:bottom w:val="single" w:sz="4" w:space="0" w:color="auto"/>
              <w:right w:val="single" w:sz="4" w:space="0" w:color="auto"/>
            </w:tcBorders>
            <w:shd w:val="clear" w:color="auto" w:fill="auto"/>
            <w:vAlign w:val="bottom"/>
          </w:tcPr>
          <w:p w14:paraId="365FF814" w14:textId="77777777" w:rsidR="0091068C" w:rsidRPr="00BA6CB8" w:rsidRDefault="0091068C" w:rsidP="00986896">
            <w:pPr>
              <w:jc w:val="center"/>
              <w:rPr>
                <w:color w:val="000000"/>
              </w:rPr>
            </w:pPr>
            <w:r w:rsidRPr="00BA6CB8">
              <w:rPr>
                <w:color w:val="000000"/>
              </w:rPr>
              <w:t>3.2</w:t>
            </w:r>
          </w:p>
        </w:tc>
      </w:tr>
      <w:tr w:rsidR="0091068C" w:rsidRPr="00AD3ED7" w14:paraId="273199AF" w14:textId="77777777" w:rsidTr="00986896">
        <w:trPr>
          <w:trHeight w:val="280"/>
        </w:trPr>
        <w:tc>
          <w:tcPr>
            <w:tcW w:w="1413" w:type="dxa"/>
            <w:shd w:val="clear" w:color="auto" w:fill="auto"/>
            <w:noWrap/>
          </w:tcPr>
          <w:p w14:paraId="5B5B22EC" w14:textId="77777777" w:rsidR="0091068C" w:rsidRPr="00BA6CB8" w:rsidRDefault="0091068C" w:rsidP="00986896">
            <w:pPr>
              <w:jc w:val="center"/>
              <w:rPr>
                <w:color w:val="000000"/>
              </w:rPr>
            </w:pPr>
            <w:r w:rsidRPr="00BA6CB8">
              <w:rPr>
                <w:color w:val="000000"/>
              </w:rPr>
              <w:t>T22.02</w:t>
            </w:r>
          </w:p>
        </w:tc>
        <w:tc>
          <w:tcPr>
            <w:tcW w:w="850" w:type="dxa"/>
            <w:shd w:val="clear" w:color="auto" w:fill="auto"/>
            <w:noWrap/>
          </w:tcPr>
          <w:p w14:paraId="52579CBD" w14:textId="77777777" w:rsidR="0091068C" w:rsidRPr="00BA6CB8" w:rsidRDefault="0091068C" w:rsidP="00986896">
            <w:pPr>
              <w:jc w:val="center"/>
              <w:rPr>
                <w:color w:val="000000"/>
              </w:rPr>
            </w:pPr>
            <w:r w:rsidRPr="00BA6CB8">
              <w:rPr>
                <w:color w:val="000000"/>
              </w:rPr>
              <w:t>41.1</w:t>
            </w:r>
          </w:p>
        </w:tc>
        <w:tc>
          <w:tcPr>
            <w:tcW w:w="851" w:type="dxa"/>
            <w:shd w:val="clear" w:color="auto" w:fill="auto"/>
            <w:noWrap/>
          </w:tcPr>
          <w:p w14:paraId="0624D2CF" w14:textId="77777777" w:rsidR="0091068C" w:rsidRPr="00BA6CB8" w:rsidRDefault="0091068C" w:rsidP="00986896">
            <w:pPr>
              <w:jc w:val="center"/>
              <w:rPr>
                <w:color w:val="000000"/>
              </w:rPr>
            </w:pPr>
            <w:r w:rsidRPr="00BA6CB8">
              <w:rPr>
                <w:color w:val="000000"/>
              </w:rPr>
              <w:t>14.6</w:t>
            </w:r>
          </w:p>
        </w:tc>
        <w:tc>
          <w:tcPr>
            <w:tcW w:w="850" w:type="dxa"/>
            <w:tcBorders>
              <w:top w:val="single" w:sz="4" w:space="0" w:color="auto"/>
              <w:left w:val="nil"/>
              <w:bottom w:val="single" w:sz="4" w:space="0" w:color="auto"/>
              <w:right w:val="single" w:sz="4" w:space="0" w:color="auto"/>
            </w:tcBorders>
            <w:shd w:val="clear" w:color="auto" w:fill="auto"/>
            <w:vAlign w:val="bottom"/>
          </w:tcPr>
          <w:p w14:paraId="4DB80200"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311E19C0" w14:textId="77777777" w:rsidTr="00986896">
        <w:trPr>
          <w:trHeight w:val="280"/>
        </w:trPr>
        <w:tc>
          <w:tcPr>
            <w:tcW w:w="1413" w:type="dxa"/>
            <w:shd w:val="clear" w:color="auto" w:fill="auto"/>
            <w:noWrap/>
          </w:tcPr>
          <w:p w14:paraId="34E1A6B1" w14:textId="77777777" w:rsidR="0091068C" w:rsidRPr="00BA6CB8" w:rsidRDefault="0091068C" w:rsidP="00986896">
            <w:pPr>
              <w:jc w:val="center"/>
              <w:rPr>
                <w:color w:val="000000"/>
              </w:rPr>
            </w:pPr>
            <w:r w:rsidRPr="00BA6CB8">
              <w:rPr>
                <w:color w:val="000000"/>
              </w:rPr>
              <w:t>T22.03</w:t>
            </w:r>
          </w:p>
        </w:tc>
        <w:tc>
          <w:tcPr>
            <w:tcW w:w="850" w:type="dxa"/>
            <w:shd w:val="clear" w:color="auto" w:fill="auto"/>
            <w:noWrap/>
          </w:tcPr>
          <w:p w14:paraId="4FC49F27" w14:textId="77777777" w:rsidR="0091068C" w:rsidRPr="00BA6CB8" w:rsidRDefault="0091068C" w:rsidP="00986896">
            <w:pPr>
              <w:jc w:val="center"/>
              <w:rPr>
                <w:color w:val="000000"/>
              </w:rPr>
            </w:pPr>
            <w:r w:rsidRPr="00BA6CB8">
              <w:rPr>
                <w:color w:val="000000"/>
              </w:rPr>
              <w:t>42.8</w:t>
            </w:r>
          </w:p>
        </w:tc>
        <w:tc>
          <w:tcPr>
            <w:tcW w:w="851" w:type="dxa"/>
            <w:shd w:val="clear" w:color="auto" w:fill="auto"/>
            <w:noWrap/>
          </w:tcPr>
          <w:p w14:paraId="451A869D" w14:textId="77777777" w:rsidR="0091068C" w:rsidRPr="00BA6CB8" w:rsidRDefault="0091068C" w:rsidP="00986896">
            <w:pPr>
              <w:jc w:val="center"/>
              <w:rPr>
                <w:color w:val="000000"/>
              </w:rPr>
            </w:pPr>
            <w:r w:rsidRPr="00BA6CB8">
              <w:rPr>
                <w:color w:val="000000"/>
              </w:rPr>
              <w:t>15.4</w:t>
            </w:r>
          </w:p>
        </w:tc>
        <w:tc>
          <w:tcPr>
            <w:tcW w:w="850" w:type="dxa"/>
            <w:tcBorders>
              <w:top w:val="single" w:sz="4" w:space="0" w:color="auto"/>
              <w:left w:val="nil"/>
              <w:bottom w:val="single" w:sz="4" w:space="0" w:color="auto"/>
              <w:right w:val="single" w:sz="4" w:space="0" w:color="auto"/>
            </w:tcBorders>
            <w:shd w:val="clear" w:color="auto" w:fill="auto"/>
            <w:vAlign w:val="bottom"/>
          </w:tcPr>
          <w:p w14:paraId="25AB2102" w14:textId="77777777" w:rsidR="0091068C" w:rsidRPr="00BA6CB8" w:rsidRDefault="0091068C" w:rsidP="00986896">
            <w:pPr>
              <w:jc w:val="center"/>
              <w:rPr>
                <w:color w:val="000000"/>
              </w:rPr>
            </w:pPr>
            <w:r w:rsidRPr="00BA6CB8">
              <w:rPr>
                <w:color w:val="000000"/>
              </w:rPr>
              <w:t>3.2</w:t>
            </w:r>
          </w:p>
        </w:tc>
      </w:tr>
      <w:tr w:rsidR="0091068C" w:rsidRPr="00AD3ED7" w14:paraId="4627F548" w14:textId="77777777" w:rsidTr="00986896">
        <w:trPr>
          <w:trHeight w:val="280"/>
        </w:trPr>
        <w:tc>
          <w:tcPr>
            <w:tcW w:w="1413" w:type="dxa"/>
            <w:shd w:val="clear" w:color="auto" w:fill="auto"/>
            <w:noWrap/>
          </w:tcPr>
          <w:p w14:paraId="6ACEB449" w14:textId="77777777" w:rsidR="0091068C" w:rsidRPr="00BA6CB8" w:rsidRDefault="0091068C" w:rsidP="00986896">
            <w:pPr>
              <w:jc w:val="center"/>
              <w:rPr>
                <w:color w:val="000000"/>
              </w:rPr>
            </w:pPr>
            <w:r w:rsidRPr="00BA6CB8">
              <w:rPr>
                <w:color w:val="000000"/>
              </w:rPr>
              <w:t>T22.04</w:t>
            </w:r>
          </w:p>
        </w:tc>
        <w:tc>
          <w:tcPr>
            <w:tcW w:w="850" w:type="dxa"/>
            <w:shd w:val="clear" w:color="auto" w:fill="auto"/>
            <w:noWrap/>
          </w:tcPr>
          <w:p w14:paraId="16E7570C" w14:textId="77777777" w:rsidR="0091068C" w:rsidRPr="00BA6CB8" w:rsidRDefault="0091068C" w:rsidP="00986896">
            <w:pPr>
              <w:jc w:val="center"/>
              <w:rPr>
                <w:color w:val="000000"/>
              </w:rPr>
            </w:pPr>
            <w:r w:rsidRPr="00BA6CB8">
              <w:rPr>
                <w:color w:val="000000"/>
              </w:rPr>
              <w:t>39.4</w:t>
            </w:r>
          </w:p>
        </w:tc>
        <w:tc>
          <w:tcPr>
            <w:tcW w:w="851" w:type="dxa"/>
            <w:shd w:val="clear" w:color="auto" w:fill="auto"/>
            <w:noWrap/>
          </w:tcPr>
          <w:p w14:paraId="44032B05" w14:textId="77777777" w:rsidR="0091068C" w:rsidRPr="00BA6CB8" w:rsidRDefault="0091068C" w:rsidP="00986896">
            <w:pPr>
              <w:jc w:val="center"/>
              <w:rPr>
                <w:color w:val="000000"/>
              </w:rPr>
            </w:pPr>
            <w:r w:rsidRPr="00BA6CB8">
              <w:rPr>
                <w:color w:val="000000"/>
              </w:rPr>
              <w:t>14.1</w:t>
            </w:r>
          </w:p>
        </w:tc>
        <w:tc>
          <w:tcPr>
            <w:tcW w:w="850" w:type="dxa"/>
            <w:tcBorders>
              <w:top w:val="single" w:sz="4" w:space="0" w:color="auto"/>
              <w:left w:val="nil"/>
              <w:bottom w:val="single" w:sz="4" w:space="0" w:color="auto"/>
              <w:right w:val="single" w:sz="4" w:space="0" w:color="auto"/>
            </w:tcBorders>
            <w:shd w:val="clear" w:color="auto" w:fill="auto"/>
            <w:vAlign w:val="bottom"/>
          </w:tcPr>
          <w:p w14:paraId="4896397B"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69B35259" w14:textId="77777777" w:rsidTr="00986896">
        <w:trPr>
          <w:trHeight w:val="280"/>
        </w:trPr>
        <w:tc>
          <w:tcPr>
            <w:tcW w:w="1413" w:type="dxa"/>
            <w:shd w:val="clear" w:color="auto" w:fill="auto"/>
            <w:noWrap/>
          </w:tcPr>
          <w:p w14:paraId="05F99D95" w14:textId="77777777" w:rsidR="0091068C" w:rsidRPr="00BA6CB8" w:rsidRDefault="0091068C" w:rsidP="00986896">
            <w:pPr>
              <w:jc w:val="center"/>
              <w:rPr>
                <w:color w:val="000000"/>
              </w:rPr>
            </w:pPr>
            <w:r w:rsidRPr="00BA6CB8">
              <w:rPr>
                <w:color w:val="000000"/>
              </w:rPr>
              <w:t>T22.05</w:t>
            </w:r>
          </w:p>
        </w:tc>
        <w:tc>
          <w:tcPr>
            <w:tcW w:w="850" w:type="dxa"/>
            <w:shd w:val="clear" w:color="auto" w:fill="auto"/>
            <w:noWrap/>
          </w:tcPr>
          <w:p w14:paraId="541F091C" w14:textId="77777777" w:rsidR="0091068C" w:rsidRPr="00BA6CB8" w:rsidRDefault="0091068C" w:rsidP="00986896">
            <w:pPr>
              <w:jc w:val="center"/>
              <w:rPr>
                <w:color w:val="000000"/>
              </w:rPr>
            </w:pPr>
            <w:r w:rsidRPr="00BA6CB8">
              <w:rPr>
                <w:color w:val="000000"/>
              </w:rPr>
              <w:t>40.4</w:t>
            </w:r>
          </w:p>
        </w:tc>
        <w:tc>
          <w:tcPr>
            <w:tcW w:w="851" w:type="dxa"/>
            <w:shd w:val="clear" w:color="auto" w:fill="auto"/>
            <w:noWrap/>
          </w:tcPr>
          <w:p w14:paraId="45AD68EA" w14:textId="77777777" w:rsidR="0091068C" w:rsidRPr="00BA6CB8" w:rsidRDefault="0091068C" w:rsidP="00986896">
            <w:pPr>
              <w:jc w:val="center"/>
              <w:rPr>
                <w:color w:val="000000"/>
              </w:rPr>
            </w:pPr>
            <w:r w:rsidRPr="00BA6CB8">
              <w:rPr>
                <w:color w:val="000000"/>
              </w:rPr>
              <w:t>14.3</w:t>
            </w:r>
          </w:p>
        </w:tc>
        <w:tc>
          <w:tcPr>
            <w:tcW w:w="850" w:type="dxa"/>
            <w:tcBorders>
              <w:top w:val="single" w:sz="4" w:space="0" w:color="auto"/>
              <w:left w:val="nil"/>
              <w:bottom w:val="single" w:sz="4" w:space="0" w:color="auto"/>
              <w:right w:val="single" w:sz="4" w:space="0" w:color="auto"/>
            </w:tcBorders>
            <w:shd w:val="clear" w:color="auto" w:fill="auto"/>
            <w:vAlign w:val="bottom"/>
          </w:tcPr>
          <w:p w14:paraId="289EA882"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12303A20" w14:textId="77777777" w:rsidTr="00986896">
        <w:trPr>
          <w:trHeight w:val="280"/>
        </w:trPr>
        <w:tc>
          <w:tcPr>
            <w:tcW w:w="1413" w:type="dxa"/>
            <w:shd w:val="clear" w:color="auto" w:fill="auto"/>
            <w:noWrap/>
          </w:tcPr>
          <w:p w14:paraId="1F6B1958" w14:textId="77777777" w:rsidR="0091068C" w:rsidRPr="00BA6CB8" w:rsidRDefault="0091068C" w:rsidP="00986896">
            <w:pPr>
              <w:jc w:val="center"/>
              <w:rPr>
                <w:color w:val="000000"/>
              </w:rPr>
            </w:pPr>
            <w:r w:rsidRPr="00BA6CB8">
              <w:rPr>
                <w:color w:val="000000"/>
              </w:rPr>
              <w:t>T22.06</w:t>
            </w:r>
          </w:p>
        </w:tc>
        <w:tc>
          <w:tcPr>
            <w:tcW w:w="850" w:type="dxa"/>
            <w:shd w:val="clear" w:color="auto" w:fill="auto"/>
            <w:noWrap/>
          </w:tcPr>
          <w:p w14:paraId="6AB805DB" w14:textId="77777777" w:rsidR="0091068C" w:rsidRPr="00BA6CB8" w:rsidRDefault="0091068C" w:rsidP="00986896">
            <w:pPr>
              <w:jc w:val="center"/>
              <w:rPr>
                <w:color w:val="000000"/>
              </w:rPr>
            </w:pPr>
            <w:r w:rsidRPr="00BA6CB8">
              <w:rPr>
                <w:color w:val="000000"/>
              </w:rPr>
              <w:t>42.6</w:t>
            </w:r>
          </w:p>
        </w:tc>
        <w:tc>
          <w:tcPr>
            <w:tcW w:w="851" w:type="dxa"/>
            <w:shd w:val="clear" w:color="auto" w:fill="auto"/>
            <w:noWrap/>
          </w:tcPr>
          <w:p w14:paraId="30C587F0" w14:textId="77777777" w:rsidR="0091068C" w:rsidRPr="00BA6CB8" w:rsidRDefault="0091068C" w:rsidP="00986896">
            <w:pPr>
              <w:jc w:val="center"/>
              <w:rPr>
                <w:color w:val="000000"/>
              </w:rPr>
            </w:pPr>
            <w:r w:rsidRPr="00BA6CB8">
              <w:rPr>
                <w:color w:val="000000"/>
              </w:rPr>
              <w:t>15.1</w:t>
            </w:r>
          </w:p>
        </w:tc>
        <w:tc>
          <w:tcPr>
            <w:tcW w:w="850" w:type="dxa"/>
            <w:tcBorders>
              <w:top w:val="single" w:sz="4" w:space="0" w:color="auto"/>
              <w:left w:val="nil"/>
              <w:bottom w:val="single" w:sz="4" w:space="0" w:color="auto"/>
              <w:right w:val="single" w:sz="4" w:space="0" w:color="auto"/>
            </w:tcBorders>
            <w:shd w:val="clear" w:color="auto" w:fill="auto"/>
            <w:vAlign w:val="bottom"/>
          </w:tcPr>
          <w:p w14:paraId="24FCD2D0" w14:textId="77777777" w:rsidR="0091068C" w:rsidRPr="00BA6CB8" w:rsidRDefault="0091068C" w:rsidP="00986896">
            <w:pPr>
              <w:jc w:val="center"/>
              <w:rPr>
                <w:color w:val="000000"/>
              </w:rPr>
            </w:pPr>
            <w:r w:rsidRPr="00BA6CB8">
              <w:rPr>
                <w:color w:val="000000"/>
              </w:rPr>
              <w:t>3.</w:t>
            </w:r>
            <w:r>
              <w:rPr>
                <w:color w:val="000000"/>
              </w:rPr>
              <w:t>3</w:t>
            </w:r>
          </w:p>
        </w:tc>
      </w:tr>
      <w:tr w:rsidR="0091068C" w:rsidRPr="00AD3ED7" w14:paraId="7BF4E1ED" w14:textId="77777777" w:rsidTr="00986896">
        <w:trPr>
          <w:trHeight w:val="280"/>
        </w:trPr>
        <w:tc>
          <w:tcPr>
            <w:tcW w:w="1413" w:type="dxa"/>
            <w:shd w:val="clear" w:color="auto" w:fill="auto"/>
            <w:noWrap/>
          </w:tcPr>
          <w:p w14:paraId="5F3298D1" w14:textId="77777777" w:rsidR="0091068C" w:rsidRPr="00BA6CB8" w:rsidRDefault="0091068C" w:rsidP="00986896">
            <w:pPr>
              <w:jc w:val="center"/>
              <w:rPr>
                <w:color w:val="000000"/>
              </w:rPr>
            </w:pPr>
            <w:r w:rsidRPr="00BA6CB8">
              <w:rPr>
                <w:color w:val="000000"/>
              </w:rPr>
              <w:t>T22.07</w:t>
            </w:r>
          </w:p>
        </w:tc>
        <w:tc>
          <w:tcPr>
            <w:tcW w:w="850" w:type="dxa"/>
            <w:shd w:val="clear" w:color="auto" w:fill="auto"/>
            <w:noWrap/>
          </w:tcPr>
          <w:p w14:paraId="331D76CC" w14:textId="77777777" w:rsidR="0091068C" w:rsidRPr="00BA6CB8" w:rsidRDefault="0091068C" w:rsidP="00986896">
            <w:pPr>
              <w:jc w:val="center"/>
              <w:rPr>
                <w:color w:val="000000"/>
              </w:rPr>
            </w:pPr>
            <w:r w:rsidRPr="00BA6CB8">
              <w:rPr>
                <w:color w:val="000000"/>
              </w:rPr>
              <w:t>41.6</w:t>
            </w:r>
          </w:p>
        </w:tc>
        <w:tc>
          <w:tcPr>
            <w:tcW w:w="851" w:type="dxa"/>
            <w:shd w:val="clear" w:color="auto" w:fill="auto"/>
            <w:noWrap/>
          </w:tcPr>
          <w:p w14:paraId="0C634708" w14:textId="77777777" w:rsidR="0091068C" w:rsidRPr="00BA6CB8" w:rsidRDefault="0091068C" w:rsidP="00986896">
            <w:pPr>
              <w:jc w:val="center"/>
              <w:rPr>
                <w:color w:val="000000"/>
              </w:rPr>
            </w:pPr>
            <w:r w:rsidRPr="00BA6CB8">
              <w:rPr>
                <w:color w:val="000000"/>
              </w:rPr>
              <w:t>14.</w:t>
            </w:r>
            <w:r>
              <w:rPr>
                <w:color w:val="000000"/>
              </w:rPr>
              <w:t>6</w:t>
            </w:r>
          </w:p>
        </w:tc>
        <w:tc>
          <w:tcPr>
            <w:tcW w:w="850" w:type="dxa"/>
            <w:tcBorders>
              <w:top w:val="single" w:sz="4" w:space="0" w:color="auto"/>
              <w:left w:val="nil"/>
              <w:bottom w:val="single" w:sz="4" w:space="0" w:color="auto"/>
              <w:right w:val="single" w:sz="4" w:space="0" w:color="auto"/>
            </w:tcBorders>
            <w:shd w:val="clear" w:color="auto" w:fill="auto"/>
            <w:vAlign w:val="bottom"/>
          </w:tcPr>
          <w:p w14:paraId="57A8A5FE" w14:textId="77777777" w:rsidR="0091068C" w:rsidRPr="00BA6CB8" w:rsidRDefault="0091068C" w:rsidP="00986896">
            <w:pPr>
              <w:jc w:val="center"/>
              <w:rPr>
                <w:color w:val="000000"/>
              </w:rPr>
            </w:pPr>
            <w:r w:rsidRPr="00BA6CB8">
              <w:rPr>
                <w:color w:val="000000"/>
              </w:rPr>
              <w:t>3.3</w:t>
            </w:r>
          </w:p>
        </w:tc>
      </w:tr>
      <w:tr w:rsidR="0091068C" w:rsidRPr="00AD3ED7" w14:paraId="68969D6E" w14:textId="77777777" w:rsidTr="00986896">
        <w:trPr>
          <w:trHeight w:val="280"/>
        </w:trPr>
        <w:tc>
          <w:tcPr>
            <w:tcW w:w="1413" w:type="dxa"/>
            <w:shd w:val="clear" w:color="auto" w:fill="auto"/>
            <w:noWrap/>
          </w:tcPr>
          <w:p w14:paraId="7C8C4D6F" w14:textId="77777777" w:rsidR="0091068C" w:rsidRPr="00BA6CB8" w:rsidRDefault="0091068C" w:rsidP="00986896">
            <w:pPr>
              <w:jc w:val="center"/>
              <w:rPr>
                <w:color w:val="000000"/>
              </w:rPr>
            </w:pPr>
            <w:r w:rsidRPr="00BA6CB8">
              <w:rPr>
                <w:color w:val="000000"/>
              </w:rPr>
              <w:t>Mean (n=130)</w:t>
            </w:r>
          </w:p>
        </w:tc>
        <w:tc>
          <w:tcPr>
            <w:tcW w:w="850" w:type="dxa"/>
            <w:shd w:val="clear" w:color="auto" w:fill="auto"/>
            <w:noWrap/>
          </w:tcPr>
          <w:p w14:paraId="2D83A3C5" w14:textId="77777777" w:rsidR="0091068C" w:rsidRPr="00BA6CB8" w:rsidRDefault="0091068C" w:rsidP="00986896">
            <w:pPr>
              <w:jc w:val="center"/>
              <w:rPr>
                <w:color w:val="000000"/>
              </w:rPr>
            </w:pPr>
          </w:p>
        </w:tc>
        <w:tc>
          <w:tcPr>
            <w:tcW w:w="851" w:type="dxa"/>
            <w:shd w:val="clear" w:color="auto" w:fill="auto"/>
            <w:noWrap/>
          </w:tcPr>
          <w:p w14:paraId="2E2E8D91" w14:textId="77777777" w:rsidR="0091068C" w:rsidRPr="00BA6CB8" w:rsidRDefault="0091068C" w:rsidP="00986896">
            <w:pPr>
              <w:jc w:val="center"/>
              <w:rPr>
                <w:color w:val="000000"/>
              </w:rPr>
            </w:pPr>
          </w:p>
        </w:tc>
        <w:tc>
          <w:tcPr>
            <w:tcW w:w="850" w:type="dxa"/>
            <w:tcBorders>
              <w:top w:val="single" w:sz="4" w:space="0" w:color="auto"/>
              <w:left w:val="nil"/>
              <w:bottom w:val="single" w:sz="4" w:space="0" w:color="auto"/>
              <w:right w:val="single" w:sz="4" w:space="0" w:color="auto"/>
            </w:tcBorders>
            <w:shd w:val="clear" w:color="auto" w:fill="auto"/>
            <w:vAlign w:val="bottom"/>
          </w:tcPr>
          <w:p w14:paraId="4AF9B4B7" w14:textId="77777777" w:rsidR="0091068C" w:rsidRPr="00BA6CB8" w:rsidRDefault="0091068C" w:rsidP="00986896">
            <w:pPr>
              <w:jc w:val="center"/>
              <w:rPr>
                <w:color w:val="000000"/>
              </w:rPr>
            </w:pPr>
          </w:p>
        </w:tc>
      </w:tr>
    </w:tbl>
    <w:p w14:paraId="752273B4" w14:textId="77777777" w:rsidR="0091068C" w:rsidRDefault="0091068C" w:rsidP="0091068C"/>
    <w:p w14:paraId="45BDAC10" w14:textId="77777777" w:rsidR="0091068C" w:rsidRPr="00183ECA" w:rsidRDefault="0091068C" w:rsidP="0091068C">
      <w:pPr>
        <w:jc w:val="center"/>
      </w:pPr>
    </w:p>
    <w:p w14:paraId="187EBC67" w14:textId="77777777" w:rsidR="0091068C" w:rsidRDefault="0091068C" w:rsidP="0091068C"/>
    <w:p w14:paraId="510E860C" w14:textId="77777777" w:rsidR="0091068C" w:rsidRDefault="0091068C" w:rsidP="0091068C"/>
    <w:p w14:paraId="353950E7" w14:textId="77777777" w:rsidR="0091068C" w:rsidRDefault="0091068C" w:rsidP="0091068C"/>
    <w:p w14:paraId="72E17FE3" w14:textId="77777777" w:rsidR="0091068C" w:rsidRDefault="0091068C" w:rsidP="0091068C"/>
    <w:p w14:paraId="4FF41CBA" w14:textId="77777777" w:rsidR="0091068C" w:rsidRDefault="0091068C" w:rsidP="0091068C"/>
    <w:p w14:paraId="62FEEFBF" w14:textId="77777777" w:rsidR="0091068C" w:rsidRDefault="0091068C" w:rsidP="0091068C"/>
    <w:p w14:paraId="69406CF8" w14:textId="77777777" w:rsidR="0091068C" w:rsidRDefault="0091068C" w:rsidP="0091068C"/>
    <w:p w14:paraId="67A1463A" w14:textId="77777777" w:rsidR="0091068C" w:rsidRDefault="0091068C" w:rsidP="0091068C"/>
    <w:p w14:paraId="64408564" w14:textId="77777777" w:rsidR="000D5AA5" w:rsidRDefault="000D5AA5" w:rsidP="000D5AA5">
      <w:pPr>
        <w:rPr>
          <w:b/>
        </w:rPr>
      </w:pPr>
    </w:p>
    <w:p w14:paraId="2A93C55F" w14:textId="77777777" w:rsidR="000D5AA5" w:rsidRDefault="000D5AA5" w:rsidP="0091068C">
      <w:pPr>
        <w:jc w:val="center"/>
        <w:rPr>
          <w:b/>
        </w:rPr>
      </w:pPr>
    </w:p>
    <w:p w14:paraId="2073F877" w14:textId="1A4A2C57" w:rsidR="0091068C" w:rsidRPr="00BA6CB8" w:rsidRDefault="0091068C" w:rsidP="0091068C">
      <w:pPr>
        <w:jc w:val="center"/>
      </w:pPr>
      <w:r w:rsidRPr="00BA6CB8">
        <w:rPr>
          <w:b/>
        </w:rPr>
        <w:t>Table A</w:t>
      </w:r>
      <w:r>
        <w:rPr>
          <w:b/>
        </w:rPr>
        <w:t>2</w:t>
      </w:r>
      <w:r w:rsidRPr="00BA6CB8">
        <w:rPr>
          <w:b/>
        </w:rPr>
        <w:t>:</w:t>
      </w:r>
      <w:r w:rsidRPr="00BA6CB8">
        <w:t xml:space="preserve"> Carbon and nitrogen percentages, along with C:N ratios for each </w:t>
      </w:r>
      <w:r>
        <w:t xml:space="preserve">subadult bone sample. </w:t>
      </w:r>
    </w:p>
    <w:p w14:paraId="1C0FBF94" w14:textId="77777777" w:rsidR="0091068C" w:rsidRDefault="0091068C" w:rsidP="0091068C"/>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50"/>
        <w:gridCol w:w="851"/>
        <w:gridCol w:w="850"/>
      </w:tblGrid>
      <w:tr w:rsidR="0091068C" w:rsidRPr="00BA6CB8" w14:paraId="06725607" w14:textId="77777777" w:rsidTr="00986896">
        <w:trPr>
          <w:trHeight w:val="280"/>
        </w:trPr>
        <w:tc>
          <w:tcPr>
            <w:tcW w:w="1413" w:type="dxa"/>
            <w:shd w:val="clear" w:color="auto" w:fill="auto"/>
            <w:noWrap/>
          </w:tcPr>
          <w:p w14:paraId="23355C25" w14:textId="77777777" w:rsidR="0091068C" w:rsidRPr="00BA6CB8" w:rsidRDefault="0091068C" w:rsidP="00986896">
            <w:pPr>
              <w:jc w:val="center"/>
              <w:rPr>
                <w:b/>
                <w:i/>
                <w:color w:val="000000"/>
              </w:rPr>
            </w:pPr>
            <w:r w:rsidRPr="00BA6CB8">
              <w:rPr>
                <w:b/>
                <w:bCs/>
                <w:color w:val="000000"/>
              </w:rPr>
              <w:t>Sample ID</w:t>
            </w:r>
          </w:p>
        </w:tc>
        <w:tc>
          <w:tcPr>
            <w:tcW w:w="850" w:type="dxa"/>
          </w:tcPr>
          <w:p w14:paraId="511CC6F1" w14:textId="77777777" w:rsidR="0091068C" w:rsidRPr="00BA6CB8" w:rsidRDefault="0091068C" w:rsidP="00986896">
            <w:r w:rsidRPr="00BA6CB8">
              <w:rPr>
                <w:b/>
                <w:bCs/>
                <w:color w:val="000000"/>
              </w:rPr>
              <w:t>C (%)</w:t>
            </w:r>
          </w:p>
        </w:tc>
        <w:tc>
          <w:tcPr>
            <w:tcW w:w="851" w:type="dxa"/>
          </w:tcPr>
          <w:p w14:paraId="5808DAAD" w14:textId="77777777" w:rsidR="0091068C" w:rsidRPr="00BA6CB8" w:rsidRDefault="0091068C" w:rsidP="00986896">
            <w:r w:rsidRPr="00BA6CB8">
              <w:rPr>
                <w:b/>
                <w:bCs/>
                <w:color w:val="000000"/>
              </w:rPr>
              <w:t>N (%)</w:t>
            </w:r>
          </w:p>
        </w:tc>
        <w:tc>
          <w:tcPr>
            <w:tcW w:w="850" w:type="dxa"/>
          </w:tcPr>
          <w:p w14:paraId="66B9F17E" w14:textId="77777777" w:rsidR="0091068C" w:rsidRPr="00BA6CB8" w:rsidRDefault="0091068C" w:rsidP="00986896">
            <w:r w:rsidRPr="00BA6CB8">
              <w:rPr>
                <w:b/>
                <w:bCs/>
                <w:color w:val="000000"/>
              </w:rPr>
              <w:t>C:N</w:t>
            </w:r>
          </w:p>
        </w:tc>
      </w:tr>
      <w:tr w:rsidR="0091068C" w:rsidRPr="00BA6CB8" w14:paraId="19B3429C" w14:textId="77777777" w:rsidTr="00986896">
        <w:trPr>
          <w:trHeight w:val="280"/>
        </w:trPr>
        <w:tc>
          <w:tcPr>
            <w:tcW w:w="1413" w:type="dxa"/>
            <w:shd w:val="clear" w:color="auto" w:fill="auto"/>
            <w:noWrap/>
          </w:tcPr>
          <w:p w14:paraId="6B5B098E" w14:textId="77777777" w:rsidR="0091068C" w:rsidRPr="00BA6CB8" w:rsidRDefault="0091068C" w:rsidP="00986896">
            <w:pPr>
              <w:jc w:val="center"/>
              <w:rPr>
                <w:color w:val="000000"/>
              </w:rPr>
            </w:pPr>
            <w:r w:rsidRPr="00BA6CB8">
              <w:rPr>
                <w:color w:val="000000"/>
              </w:rPr>
              <w:t>F1</w:t>
            </w:r>
          </w:p>
        </w:tc>
        <w:tc>
          <w:tcPr>
            <w:tcW w:w="850" w:type="dxa"/>
            <w:shd w:val="clear" w:color="auto" w:fill="auto"/>
            <w:noWrap/>
          </w:tcPr>
          <w:p w14:paraId="1E8A8393" w14:textId="77777777" w:rsidR="0091068C" w:rsidRPr="00BA6CB8" w:rsidRDefault="0091068C" w:rsidP="00986896">
            <w:pPr>
              <w:jc w:val="center"/>
              <w:rPr>
                <w:color w:val="000000"/>
              </w:rPr>
            </w:pPr>
            <w:r w:rsidRPr="00BA6CB8">
              <w:rPr>
                <w:color w:val="000000"/>
              </w:rPr>
              <w:t>38.5</w:t>
            </w:r>
          </w:p>
        </w:tc>
        <w:tc>
          <w:tcPr>
            <w:tcW w:w="851" w:type="dxa"/>
            <w:shd w:val="clear" w:color="auto" w:fill="auto"/>
            <w:noWrap/>
          </w:tcPr>
          <w:p w14:paraId="42E662F6" w14:textId="77777777" w:rsidR="0091068C" w:rsidRPr="00BA6CB8" w:rsidRDefault="0091068C" w:rsidP="00986896">
            <w:pPr>
              <w:jc w:val="center"/>
              <w:rPr>
                <w:color w:val="000000"/>
              </w:rPr>
            </w:pPr>
            <w:r w:rsidRPr="00BA6CB8">
              <w:rPr>
                <w:color w:val="000000"/>
              </w:rPr>
              <w:t>13.4</w:t>
            </w:r>
          </w:p>
        </w:tc>
        <w:tc>
          <w:tcPr>
            <w:tcW w:w="850" w:type="dxa"/>
          </w:tcPr>
          <w:p w14:paraId="1B6F58ED" w14:textId="77777777" w:rsidR="0091068C" w:rsidRPr="00BA6CB8" w:rsidRDefault="0091068C" w:rsidP="00986896">
            <w:pPr>
              <w:jc w:val="center"/>
              <w:rPr>
                <w:color w:val="000000"/>
              </w:rPr>
            </w:pPr>
            <w:r w:rsidRPr="00BA6CB8">
              <w:rPr>
                <w:color w:val="000000"/>
              </w:rPr>
              <w:t>3.3</w:t>
            </w:r>
          </w:p>
        </w:tc>
      </w:tr>
      <w:tr w:rsidR="0091068C" w:rsidRPr="00BA6CB8" w14:paraId="3D8F5655" w14:textId="77777777" w:rsidTr="00986896">
        <w:trPr>
          <w:trHeight w:val="280"/>
        </w:trPr>
        <w:tc>
          <w:tcPr>
            <w:tcW w:w="1413" w:type="dxa"/>
            <w:shd w:val="clear" w:color="auto" w:fill="auto"/>
            <w:noWrap/>
          </w:tcPr>
          <w:p w14:paraId="0D0F0B3B" w14:textId="77777777" w:rsidR="0091068C" w:rsidRPr="0049408A" w:rsidRDefault="0091068C" w:rsidP="00986896">
            <w:pPr>
              <w:jc w:val="center"/>
              <w:rPr>
                <w:color w:val="000000"/>
              </w:rPr>
            </w:pPr>
            <w:r w:rsidRPr="0049408A">
              <w:rPr>
                <w:color w:val="000000"/>
              </w:rPr>
              <w:t>F2</w:t>
            </w:r>
          </w:p>
        </w:tc>
        <w:tc>
          <w:tcPr>
            <w:tcW w:w="850" w:type="dxa"/>
            <w:shd w:val="clear" w:color="auto" w:fill="auto"/>
            <w:noWrap/>
          </w:tcPr>
          <w:p w14:paraId="152E7E86" w14:textId="77777777" w:rsidR="0091068C" w:rsidRPr="0049408A" w:rsidRDefault="0091068C" w:rsidP="00986896">
            <w:pPr>
              <w:jc w:val="center"/>
              <w:rPr>
                <w:color w:val="000000"/>
              </w:rPr>
            </w:pPr>
            <w:r w:rsidRPr="0049408A">
              <w:rPr>
                <w:color w:val="000000"/>
              </w:rPr>
              <w:t>32.1</w:t>
            </w:r>
          </w:p>
        </w:tc>
        <w:tc>
          <w:tcPr>
            <w:tcW w:w="851" w:type="dxa"/>
            <w:shd w:val="clear" w:color="auto" w:fill="auto"/>
            <w:noWrap/>
          </w:tcPr>
          <w:p w14:paraId="33B894FA" w14:textId="77777777" w:rsidR="0091068C" w:rsidRPr="0049408A" w:rsidRDefault="0091068C" w:rsidP="00986896">
            <w:pPr>
              <w:jc w:val="center"/>
              <w:rPr>
                <w:color w:val="000000"/>
              </w:rPr>
            </w:pPr>
            <w:r w:rsidRPr="0049408A">
              <w:rPr>
                <w:color w:val="000000"/>
              </w:rPr>
              <w:t>10.</w:t>
            </w:r>
            <w:r>
              <w:rPr>
                <w:color w:val="000000"/>
              </w:rPr>
              <w:t>4</w:t>
            </w:r>
          </w:p>
        </w:tc>
        <w:tc>
          <w:tcPr>
            <w:tcW w:w="850" w:type="dxa"/>
          </w:tcPr>
          <w:p w14:paraId="4B37FA6F" w14:textId="77777777" w:rsidR="0091068C" w:rsidRPr="0049408A" w:rsidRDefault="0091068C" w:rsidP="00986896">
            <w:pPr>
              <w:jc w:val="center"/>
              <w:rPr>
                <w:color w:val="000000"/>
              </w:rPr>
            </w:pPr>
            <w:r w:rsidRPr="0049408A">
              <w:rPr>
                <w:color w:val="000000"/>
              </w:rPr>
              <w:t>3.6</w:t>
            </w:r>
          </w:p>
        </w:tc>
      </w:tr>
      <w:tr w:rsidR="0091068C" w:rsidRPr="00BA6CB8" w14:paraId="3684A6B1" w14:textId="77777777" w:rsidTr="00986896">
        <w:trPr>
          <w:trHeight w:val="280"/>
        </w:trPr>
        <w:tc>
          <w:tcPr>
            <w:tcW w:w="1413" w:type="dxa"/>
            <w:shd w:val="clear" w:color="auto" w:fill="auto"/>
            <w:noWrap/>
          </w:tcPr>
          <w:p w14:paraId="3EEFC4D5" w14:textId="77777777" w:rsidR="0091068C" w:rsidRPr="00BA6CB8" w:rsidRDefault="0091068C" w:rsidP="00986896">
            <w:pPr>
              <w:jc w:val="center"/>
              <w:rPr>
                <w:color w:val="000000"/>
              </w:rPr>
            </w:pPr>
            <w:r w:rsidRPr="00BA6CB8">
              <w:rPr>
                <w:color w:val="000000"/>
              </w:rPr>
              <w:t>F3</w:t>
            </w:r>
          </w:p>
        </w:tc>
        <w:tc>
          <w:tcPr>
            <w:tcW w:w="850" w:type="dxa"/>
            <w:shd w:val="clear" w:color="auto" w:fill="auto"/>
            <w:noWrap/>
          </w:tcPr>
          <w:p w14:paraId="0F5F03F0" w14:textId="77777777" w:rsidR="0091068C" w:rsidRPr="00BA6CB8" w:rsidRDefault="0091068C" w:rsidP="00986896">
            <w:pPr>
              <w:jc w:val="center"/>
              <w:rPr>
                <w:color w:val="000000"/>
              </w:rPr>
            </w:pPr>
            <w:r w:rsidRPr="00BA6CB8">
              <w:rPr>
                <w:color w:val="000000"/>
              </w:rPr>
              <w:t>41.5</w:t>
            </w:r>
          </w:p>
        </w:tc>
        <w:tc>
          <w:tcPr>
            <w:tcW w:w="851" w:type="dxa"/>
            <w:shd w:val="clear" w:color="auto" w:fill="auto"/>
            <w:noWrap/>
          </w:tcPr>
          <w:p w14:paraId="4B26B886" w14:textId="77777777" w:rsidR="0091068C" w:rsidRPr="00BA6CB8" w:rsidRDefault="0091068C" w:rsidP="00986896">
            <w:pPr>
              <w:jc w:val="center"/>
              <w:rPr>
                <w:color w:val="000000"/>
              </w:rPr>
            </w:pPr>
            <w:r w:rsidRPr="00BA6CB8">
              <w:rPr>
                <w:color w:val="000000"/>
              </w:rPr>
              <w:t>14.</w:t>
            </w:r>
            <w:r>
              <w:rPr>
                <w:color w:val="000000"/>
              </w:rPr>
              <w:t>9</w:t>
            </w:r>
          </w:p>
        </w:tc>
        <w:tc>
          <w:tcPr>
            <w:tcW w:w="850" w:type="dxa"/>
          </w:tcPr>
          <w:p w14:paraId="2781B836" w14:textId="77777777" w:rsidR="0091068C" w:rsidRPr="00BA6CB8" w:rsidRDefault="0091068C" w:rsidP="00986896">
            <w:pPr>
              <w:jc w:val="center"/>
              <w:rPr>
                <w:color w:val="000000"/>
              </w:rPr>
            </w:pPr>
            <w:r w:rsidRPr="00BA6CB8">
              <w:rPr>
                <w:color w:val="000000"/>
              </w:rPr>
              <w:t>3.</w:t>
            </w:r>
            <w:r>
              <w:rPr>
                <w:color w:val="000000"/>
              </w:rPr>
              <w:t>3</w:t>
            </w:r>
          </w:p>
        </w:tc>
      </w:tr>
      <w:tr w:rsidR="0091068C" w:rsidRPr="00BA6CB8" w14:paraId="43691DBC" w14:textId="77777777" w:rsidTr="00986896">
        <w:trPr>
          <w:trHeight w:val="280"/>
        </w:trPr>
        <w:tc>
          <w:tcPr>
            <w:tcW w:w="1413" w:type="dxa"/>
            <w:shd w:val="clear" w:color="auto" w:fill="auto"/>
            <w:noWrap/>
          </w:tcPr>
          <w:p w14:paraId="19FB9B30" w14:textId="77777777" w:rsidR="0091068C" w:rsidRPr="0049408A" w:rsidRDefault="0091068C" w:rsidP="00986896">
            <w:pPr>
              <w:jc w:val="center"/>
              <w:rPr>
                <w:color w:val="000000" w:themeColor="text1"/>
              </w:rPr>
            </w:pPr>
            <w:r w:rsidRPr="0049408A">
              <w:rPr>
                <w:color w:val="000000" w:themeColor="text1"/>
              </w:rPr>
              <w:t>F4</w:t>
            </w:r>
          </w:p>
        </w:tc>
        <w:tc>
          <w:tcPr>
            <w:tcW w:w="850" w:type="dxa"/>
            <w:shd w:val="clear" w:color="auto" w:fill="auto"/>
            <w:noWrap/>
          </w:tcPr>
          <w:p w14:paraId="647D2D78" w14:textId="77777777" w:rsidR="0091068C" w:rsidRPr="0049408A" w:rsidRDefault="0091068C" w:rsidP="00986896">
            <w:pPr>
              <w:jc w:val="center"/>
              <w:rPr>
                <w:color w:val="000000" w:themeColor="text1"/>
              </w:rPr>
            </w:pPr>
            <w:r w:rsidRPr="0049408A">
              <w:rPr>
                <w:color w:val="000000" w:themeColor="text1"/>
              </w:rPr>
              <w:t>31</w:t>
            </w:r>
            <w:r>
              <w:rPr>
                <w:color w:val="000000" w:themeColor="text1"/>
              </w:rPr>
              <w:t>.0</w:t>
            </w:r>
          </w:p>
        </w:tc>
        <w:tc>
          <w:tcPr>
            <w:tcW w:w="851" w:type="dxa"/>
            <w:shd w:val="clear" w:color="auto" w:fill="auto"/>
            <w:noWrap/>
          </w:tcPr>
          <w:p w14:paraId="314634CE" w14:textId="77777777" w:rsidR="0091068C" w:rsidRPr="0049408A" w:rsidRDefault="0091068C" w:rsidP="00986896">
            <w:pPr>
              <w:jc w:val="center"/>
              <w:rPr>
                <w:color w:val="000000"/>
              </w:rPr>
            </w:pPr>
            <w:r w:rsidRPr="0049408A">
              <w:rPr>
                <w:color w:val="000000"/>
              </w:rPr>
              <w:t>9.9</w:t>
            </w:r>
          </w:p>
        </w:tc>
        <w:tc>
          <w:tcPr>
            <w:tcW w:w="850" w:type="dxa"/>
          </w:tcPr>
          <w:p w14:paraId="6D647F00" w14:textId="77777777" w:rsidR="0091068C" w:rsidRPr="0049408A" w:rsidRDefault="0091068C" w:rsidP="00986896">
            <w:pPr>
              <w:jc w:val="center"/>
              <w:rPr>
                <w:color w:val="000000"/>
              </w:rPr>
            </w:pPr>
            <w:r w:rsidRPr="0049408A">
              <w:rPr>
                <w:color w:val="000000"/>
              </w:rPr>
              <w:t>3.</w:t>
            </w:r>
            <w:r>
              <w:rPr>
                <w:color w:val="000000"/>
              </w:rPr>
              <w:t>7</w:t>
            </w:r>
          </w:p>
        </w:tc>
      </w:tr>
      <w:tr w:rsidR="0091068C" w:rsidRPr="00BA6CB8" w14:paraId="04FC56B8" w14:textId="77777777" w:rsidTr="00986896">
        <w:trPr>
          <w:trHeight w:val="280"/>
        </w:trPr>
        <w:tc>
          <w:tcPr>
            <w:tcW w:w="1413" w:type="dxa"/>
            <w:shd w:val="clear" w:color="auto" w:fill="auto"/>
            <w:noWrap/>
          </w:tcPr>
          <w:p w14:paraId="32A67D27" w14:textId="77777777" w:rsidR="0091068C" w:rsidRPr="00BA6CB8" w:rsidRDefault="0091068C" w:rsidP="00986896">
            <w:pPr>
              <w:jc w:val="center"/>
              <w:rPr>
                <w:color w:val="000000"/>
              </w:rPr>
            </w:pPr>
            <w:r w:rsidRPr="00BA6CB8">
              <w:rPr>
                <w:color w:val="000000"/>
              </w:rPr>
              <w:t>F5</w:t>
            </w:r>
          </w:p>
        </w:tc>
        <w:tc>
          <w:tcPr>
            <w:tcW w:w="850" w:type="dxa"/>
            <w:shd w:val="clear" w:color="auto" w:fill="auto"/>
            <w:noWrap/>
          </w:tcPr>
          <w:p w14:paraId="381C226D" w14:textId="77777777" w:rsidR="0091068C" w:rsidRPr="00BA6CB8" w:rsidRDefault="0091068C" w:rsidP="00986896">
            <w:pPr>
              <w:jc w:val="center"/>
              <w:rPr>
                <w:color w:val="000000"/>
              </w:rPr>
            </w:pPr>
            <w:r w:rsidRPr="00BA6CB8">
              <w:rPr>
                <w:color w:val="000000"/>
              </w:rPr>
              <w:t>38.9</w:t>
            </w:r>
          </w:p>
        </w:tc>
        <w:tc>
          <w:tcPr>
            <w:tcW w:w="851" w:type="dxa"/>
            <w:shd w:val="clear" w:color="auto" w:fill="auto"/>
            <w:noWrap/>
          </w:tcPr>
          <w:p w14:paraId="2A618099" w14:textId="77777777" w:rsidR="0091068C" w:rsidRPr="00BA6CB8" w:rsidRDefault="0091068C" w:rsidP="00986896">
            <w:pPr>
              <w:jc w:val="center"/>
              <w:rPr>
                <w:color w:val="000000"/>
              </w:rPr>
            </w:pPr>
            <w:r w:rsidRPr="00BA6CB8">
              <w:rPr>
                <w:color w:val="000000"/>
              </w:rPr>
              <w:t>13.7</w:t>
            </w:r>
          </w:p>
        </w:tc>
        <w:tc>
          <w:tcPr>
            <w:tcW w:w="850" w:type="dxa"/>
          </w:tcPr>
          <w:p w14:paraId="798F2E9E" w14:textId="77777777" w:rsidR="0091068C" w:rsidRPr="00BA6CB8" w:rsidRDefault="0091068C" w:rsidP="00986896">
            <w:pPr>
              <w:jc w:val="center"/>
              <w:rPr>
                <w:color w:val="000000"/>
              </w:rPr>
            </w:pPr>
            <w:r w:rsidRPr="00BA6CB8">
              <w:rPr>
                <w:color w:val="000000"/>
              </w:rPr>
              <w:t>3.3</w:t>
            </w:r>
          </w:p>
        </w:tc>
      </w:tr>
      <w:tr w:rsidR="0091068C" w:rsidRPr="00BA6CB8" w14:paraId="02C1260A" w14:textId="77777777" w:rsidTr="00986896">
        <w:trPr>
          <w:trHeight w:val="280"/>
        </w:trPr>
        <w:tc>
          <w:tcPr>
            <w:tcW w:w="1413" w:type="dxa"/>
            <w:shd w:val="clear" w:color="auto" w:fill="auto"/>
            <w:noWrap/>
          </w:tcPr>
          <w:p w14:paraId="5F9772EF" w14:textId="77777777" w:rsidR="0091068C" w:rsidRPr="0049408A" w:rsidRDefault="0091068C" w:rsidP="00986896">
            <w:pPr>
              <w:jc w:val="center"/>
              <w:rPr>
                <w:color w:val="000000"/>
              </w:rPr>
            </w:pPr>
            <w:r w:rsidRPr="0049408A">
              <w:rPr>
                <w:color w:val="000000"/>
              </w:rPr>
              <w:t>F6</w:t>
            </w:r>
          </w:p>
        </w:tc>
        <w:tc>
          <w:tcPr>
            <w:tcW w:w="850" w:type="dxa"/>
            <w:shd w:val="clear" w:color="auto" w:fill="auto"/>
            <w:noWrap/>
          </w:tcPr>
          <w:p w14:paraId="50212D77" w14:textId="77777777" w:rsidR="0091068C" w:rsidRPr="0049408A" w:rsidRDefault="0091068C" w:rsidP="00986896">
            <w:pPr>
              <w:jc w:val="center"/>
              <w:rPr>
                <w:color w:val="000000"/>
              </w:rPr>
            </w:pPr>
            <w:r w:rsidRPr="0049408A">
              <w:rPr>
                <w:color w:val="000000"/>
              </w:rPr>
              <w:t>35.4</w:t>
            </w:r>
          </w:p>
        </w:tc>
        <w:tc>
          <w:tcPr>
            <w:tcW w:w="851" w:type="dxa"/>
            <w:shd w:val="clear" w:color="auto" w:fill="auto"/>
            <w:noWrap/>
          </w:tcPr>
          <w:p w14:paraId="23DA04A0" w14:textId="77777777" w:rsidR="0091068C" w:rsidRPr="0049408A" w:rsidRDefault="0091068C" w:rsidP="00986896">
            <w:pPr>
              <w:jc w:val="center"/>
              <w:rPr>
                <w:color w:val="000000"/>
              </w:rPr>
            </w:pPr>
            <w:r w:rsidRPr="0049408A">
              <w:rPr>
                <w:color w:val="000000"/>
              </w:rPr>
              <w:t>12.0</w:t>
            </w:r>
          </w:p>
        </w:tc>
        <w:tc>
          <w:tcPr>
            <w:tcW w:w="850" w:type="dxa"/>
          </w:tcPr>
          <w:p w14:paraId="7DF03228" w14:textId="77777777" w:rsidR="0091068C" w:rsidRPr="0049408A" w:rsidRDefault="0091068C" w:rsidP="00986896">
            <w:pPr>
              <w:jc w:val="center"/>
              <w:rPr>
                <w:color w:val="000000"/>
              </w:rPr>
            </w:pPr>
            <w:r w:rsidRPr="0049408A">
              <w:rPr>
                <w:color w:val="000000"/>
              </w:rPr>
              <w:t>3.4</w:t>
            </w:r>
          </w:p>
        </w:tc>
      </w:tr>
      <w:tr w:rsidR="0091068C" w:rsidRPr="00BA6CB8" w14:paraId="46912639" w14:textId="77777777" w:rsidTr="00986896">
        <w:trPr>
          <w:trHeight w:val="280"/>
        </w:trPr>
        <w:tc>
          <w:tcPr>
            <w:tcW w:w="1413" w:type="dxa"/>
            <w:shd w:val="clear" w:color="auto" w:fill="auto"/>
            <w:noWrap/>
          </w:tcPr>
          <w:p w14:paraId="46DD0AB3" w14:textId="77777777" w:rsidR="0091068C" w:rsidRPr="00BA6CB8" w:rsidRDefault="0091068C" w:rsidP="00986896">
            <w:pPr>
              <w:jc w:val="center"/>
              <w:rPr>
                <w:color w:val="000000"/>
              </w:rPr>
            </w:pPr>
            <w:r w:rsidRPr="00BA6CB8">
              <w:rPr>
                <w:color w:val="000000"/>
              </w:rPr>
              <w:t>F7</w:t>
            </w:r>
          </w:p>
        </w:tc>
        <w:tc>
          <w:tcPr>
            <w:tcW w:w="850" w:type="dxa"/>
            <w:shd w:val="clear" w:color="auto" w:fill="auto"/>
            <w:noWrap/>
          </w:tcPr>
          <w:p w14:paraId="28F0504B" w14:textId="77777777" w:rsidR="0091068C" w:rsidRPr="00BA6CB8" w:rsidRDefault="0091068C" w:rsidP="00986896">
            <w:pPr>
              <w:jc w:val="center"/>
              <w:rPr>
                <w:color w:val="000000"/>
              </w:rPr>
            </w:pPr>
            <w:r w:rsidRPr="00BA6CB8">
              <w:rPr>
                <w:color w:val="000000"/>
              </w:rPr>
              <w:t>37.2</w:t>
            </w:r>
          </w:p>
        </w:tc>
        <w:tc>
          <w:tcPr>
            <w:tcW w:w="851" w:type="dxa"/>
            <w:shd w:val="clear" w:color="auto" w:fill="auto"/>
            <w:noWrap/>
          </w:tcPr>
          <w:p w14:paraId="264520DE" w14:textId="77777777" w:rsidR="0091068C" w:rsidRPr="00BA6CB8" w:rsidRDefault="0091068C" w:rsidP="00986896">
            <w:pPr>
              <w:jc w:val="center"/>
              <w:rPr>
                <w:color w:val="000000"/>
              </w:rPr>
            </w:pPr>
            <w:r w:rsidRPr="00BA6CB8">
              <w:rPr>
                <w:color w:val="000000"/>
              </w:rPr>
              <w:t>13.0</w:t>
            </w:r>
          </w:p>
        </w:tc>
        <w:tc>
          <w:tcPr>
            <w:tcW w:w="850" w:type="dxa"/>
          </w:tcPr>
          <w:p w14:paraId="450AB366" w14:textId="77777777" w:rsidR="0091068C" w:rsidRPr="00BA6CB8" w:rsidRDefault="0091068C" w:rsidP="00986896">
            <w:pPr>
              <w:jc w:val="center"/>
              <w:rPr>
                <w:color w:val="000000"/>
              </w:rPr>
            </w:pPr>
            <w:r w:rsidRPr="00BA6CB8">
              <w:rPr>
                <w:color w:val="000000"/>
              </w:rPr>
              <w:t>3.3</w:t>
            </w:r>
          </w:p>
        </w:tc>
      </w:tr>
      <w:tr w:rsidR="0091068C" w:rsidRPr="00BA6CB8" w14:paraId="0F971B99" w14:textId="77777777" w:rsidTr="00986896">
        <w:trPr>
          <w:trHeight w:val="280"/>
        </w:trPr>
        <w:tc>
          <w:tcPr>
            <w:tcW w:w="1413" w:type="dxa"/>
            <w:shd w:val="clear" w:color="auto" w:fill="auto"/>
            <w:noWrap/>
          </w:tcPr>
          <w:p w14:paraId="49742E33" w14:textId="77777777" w:rsidR="0091068C" w:rsidRPr="00BA6CB8" w:rsidRDefault="0091068C" w:rsidP="00986896">
            <w:pPr>
              <w:jc w:val="center"/>
              <w:rPr>
                <w:color w:val="000000"/>
              </w:rPr>
            </w:pPr>
            <w:r w:rsidRPr="00BA6CB8">
              <w:rPr>
                <w:color w:val="000000"/>
              </w:rPr>
              <w:t>F8</w:t>
            </w:r>
          </w:p>
        </w:tc>
        <w:tc>
          <w:tcPr>
            <w:tcW w:w="850" w:type="dxa"/>
            <w:shd w:val="clear" w:color="auto" w:fill="auto"/>
            <w:noWrap/>
          </w:tcPr>
          <w:p w14:paraId="091D3E09" w14:textId="77777777" w:rsidR="0091068C" w:rsidRPr="00BA6CB8" w:rsidRDefault="0091068C" w:rsidP="00986896">
            <w:pPr>
              <w:jc w:val="center"/>
              <w:rPr>
                <w:color w:val="000000"/>
              </w:rPr>
            </w:pPr>
            <w:r w:rsidRPr="00BA6CB8">
              <w:rPr>
                <w:color w:val="000000"/>
              </w:rPr>
              <w:t>32.1</w:t>
            </w:r>
          </w:p>
        </w:tc>
        <w:tc>
          <w:tcPr>
            <w:tcW w:w="851" w:type="dxa"/>
            <w:shd w:val="clear" w:color="auto" w:fill="auto"/>
            <w:noWrap/>
          </w:tcPr>
          <w:p w14:paraId="41E19B23" w14:textId="77777777" w:rsidR="0091068C" w:rsidRPr="00BA6CB8" w:rsidRDefault="0091068C" w:rsidP="00986896">
            <w:pPr>
              <w:jc w:val="center"/>
              <w:rPr>
                <w:color w:val="000000"/>
              </w:rPr>
            </w:pPr>
            <w:r w:rsidRPr="00BA6CB8">
              <w:rPr>
                <w:color w:val="000000"/>
              </w:rPr>
              <w:t>11.1</w:t>
            </w:r>
          </w:p>
        </w:tc>
        <w:tc>
          <w:tcPr>
            <w:tcW w:w="850" w:type="dxa"/>
          </w:tcPr>
          <w:p w14:paraId="07096C94" w14:textId="77777777" w:rsidR="0091068C" w:rsidRPr="00BA6CB8" w:rsidRDefault="0091068C" w:rsidP="00986896">
            <w:pPr>
              <w:jc w:val="center"/>
              <w:rPr>
                <w:color w:val="000000"/>
              </w:rPr>
            </w:pPr>
            <w:r w:rsidRPr="00BA6CB8">
              <w:rPr>
                <w:color w:val="000000"/>
              </w:rPr>
              <w:t>3.</w:t>
            </w:r>
            <w:r>
              <w:rPr>
                <w:color w:val="000000"/>
              </w:rPr>
              <w:t>4</w:t>
            </w:r>
          </w:p>
        </w:tc>
      </w:tr>
      <w:tr w:rsidR="0091068C" w:rsidRPr="00BA6CB8" w14:paraId="2B15CF8A" w14:textId="77777777" w:rsidTr="00986896">
        <w:trPr>
          <w:trHeight w:val="280"/>
        </w:trPr>
        <w:tc>
          <w:tcPr>
            <w:tcW w:w="1413" w:type="dxa"/>
            <w:shd w:val="clear" w:color="auto" w:fill="auto"/>
            <w:noWrap/>
          </w:tcPr>
          <w:p w14:paraId="330A680B" w14:textId="77777777" w:rsidR="0091068C" w:rsidRPr="00BA6CB8" w:rsidRDefault="0091068C" w:rsidP="00986896">
            <w:pPr>
              <w:jc w:val="center"/>
              <w:rPr>
                <w:color w:val="000000"/>
              </w:rPr>
            </w:pPr>
            <w:r w:rsidRPr="00BA6CB8">
              <w:rPr>
                <w:color w:val="000000"/>
              </w:rPr>
              <w:t>F9</w:t>
            </w:r>
          </w:p>
        </w:tc>
        <w:tc>
          <w:tcPr>
            <w:tcW w:w="850" w:type="dxa"/>
            <w:shd w:val="clear" w:color="auto" w:fill="auto"/>
            <w:noWrap/>
          </w:tcPr>
          <w:p w14:paraId="31462EF6" w14:textId="77777777" w:rsidR="0091068C" w:rsidRPr="00BA6CB8" w:rsidRDefault="0091068C" w:rsidP="00986896">
            <w:pPr>
              <w:jc w:val="center"/>
              <w:rPr>
                <w:color w:val="000000"/>
              </w:rPr>
            </w:pPr>
            <w:r w:rsidRPr="00BA6CB8">
              <w:rPr>
                <w:color w:val="000000"/>
              </w:rPr>
              <w:t>37.5</w:t>
            </w:r>
          </w:p>
        </w:tc>
        <w:tc>
          <w:tcPr>
            <w:tcW w:w="851" w:type="dxa"/>
            <w:shd w:val="clear" w:color="auto" w:fill="auto"/>
            <w:noWrap/>
          </w:tcPr>
          <w:p w14:paraId="6C845959" w14:textId="77777777" w:rsidR="0091068C" w:rsidRPr="00BA6CB8" w:rsidRDefault="0091068C" w:rsidP="00986896">
            <w:pPr>
              <w:jc w:val="center"/>
              <w:rPr>
                <w:color w:val="000000"/>
              </w:rPr>
            </w:pPr>
            <w:r w:rsidRPr="00BA6CB8">
              <w:rPr>
                <w:color w:val="000000"/>
              </w:rPr>
              <w:t>13.6</w:t>
            </w:r>
          </w:p>
        </w:tc>
        <w:tc>
          <w:tcPr>
            <w:tcW w:w="850" w:type="dxa"/>
          </w:tcPr>
          <w:p w14:paraId="2C649E33" w14:textId="77777777" w:rsidR="0091068C" w:rsidRPr="00BA6CB8" w:rsidRDefault="0091068C" w:rsidP="00986896">
            <w:pPr>
              <w:jc w:val="center"/>
              <w:rPr>
                <w:color w:val="000000"/>
              </w:rPr>
            </w:pPr>
            <w:r w:rsidRPr="00BA6CB8">
              <w:rPr>
                <w:color w:val="000000"/>
              </w:rPr>
              <w:t>3.2</w:t>
            </w:r>
          </w:p>
        </w:tc>
      </w:tr>
      <w:tr w:rsidR="0091068C" w:rsidRPr="00BA6CB8" w14:paraId="397329EE" w14:textId="77777777" w:rsidTr="00986896">
        <w:trPr>
          <w:trHeight w:val="280"/>
        </w:trPr>
        <w:tc>
          <w:tcPr>
            <w:tcW w:w="1413" w:type="dxa"/>
            <w:shd w:val="clear" w:color="auto" w:fill="auto"/>
            <w:noWrap/>
          </w:tcPr>
          <w:p w14:paraId="7EC79FC5" w14:textId="77777777" w:rsidR="0091068C" w:rsidRPr="00BA6CB8" w:rsidRDefault="0091068C" w:rsidP="00986896">
            <w:pPr>
              <w:jc w:val="center"/>
              <w:rPr>
                <w:color w:val="000000"/>
              </w:rPr>
            </w:pPr>
            <w:r w:rsidRPr="00BA6CB8">
              <w:rPr>
                <w:color w:val="000000"/>
              </w:rPr>
              <w:t>F10</w:t>
            </w:r>
          </w:p>
        </w:tc>
        <w:tc>
          <w:tcPr>
            <w:tcW w:w="850" w:type="dxa"/>
            <w:shd w:val="clear" w:color="auto" w:fill="auto"/>
            <w:noWrap/>
          </w:tcPr>
          <w:p w14:paraId="4B494313" w14:textId="77777777" w:rsidR="0091068C" w:rsidRPr="00BA6CB8" w:rsidRDefault="0091068C" w:rsidP="00986896">
            <w:pPr>
              <w:jc w:val="center"/>
              <w:rPr>
                <w:color w:val="000000"/>
              </w:rPr>
            </w:pPr>
            <w:r w:rsidRPr="00BA6CB8">
              <w:rPr>
                <w:color w:val="000000"/>
              </w:rPr>
              <w:t>41.7</w:t>
            </w:r>
          </w:p>
        </w:tc>
        <w:tc>
          <w:tcPr>
            <w:tcW w:w="851" w:type="dxa"/>
            <w:shd w:val="clear" w:color="auto" w:fill="auto"/>
            <w:noWrap/>
          </w:tcPr>
          <w:p w14:paraId="549F0924" w14:textId="77777777" w:rsidR="0091068C" w:rsidRPr="00BA6CB8" w:rsidRDefault="0091068C" w:rsidP="00986896">
            <w:pPr>
              <w:jc w:val="center"/>
              <w:rPr>
                <w:color w:val="000000"/>
              </w:rPr>
            </w:pPr>
            <w:r w:rsidRPr="00BA6CB8">
              <w:rPr>
                <w:color w:val="000000"/>
              </w:rPr>
              <w:t>14.</w:t>
            </w:r>
            <w:r>
              <w:rPr>
                <w:color w:val="000000"/>
              </w:rPr>
              <w:t>8</w:t>
            </w:r>
          </w:p>
        </w:tc>
        <w:tc>
          <w:tcPr>
            <w:tcW w:w="850" w:type="dxa"/>
          </w:tcPr>
          <w:p w14:paraId="742E90BA" w14:textId="77777777" w:rsidR="0091068C" w:rsidRPr="00BA6CB8" w:rsidRDefault="0091068C" w:rsidP="00986896">
            <w:pPr>
              <w:jc w:val="center"/>
              <w:rPr>
                <w:color w:val="000000"/>
              </w:rPr>
            </w:pPr>
            <w:r w:rsidRPr="00BA6CB8">
              <w:rPr>
                <w:color w:val="000000"/>
              </w:rPr>
              <w:t>3.3</w:t>
            </w:r>
          </w:p>
        </w:tc>
      </w:tr>
      <w:tr w:rsidR="0091068C" w:rsidRPr="00BA6CB8" w14:paraId="5A210BFA" w14:textId="77777777" w:rsidTr="00986896">
        <w:trPr>
          <w:trHeight w:val="280"/>
        </w:trPr>
        <w:tc>
          <w:tcPr>
            <w:tcW w:w="1413" w:type="dxa"/>
            <w:shd w:val="clear" w:color="auto" w:fill="auto"/>
            <w:noWrap/>
          </w:tcPr>
          <w:p w14:paraId="121C5AC4" w14:textId="77777777" w:rsidR="0091068C" w:rsidRPr="00BA6CB8" w:rsidRDefault="0091068C" w:rsidP="00986896">
            <w:pPr>
              <w:jc w:val="center"/>
              <w:rPr>
                <w:color w:val="000000"/>
              </w:rPr>
            </w:pPr>
            <w:r w:rsidRPr="00BA6CB8">
              <w:rPr>
                <w:color w:val="000000"/>
              </w:rPr>
              <w:t>R1</w:t>
            </w:r>
          </w:p>
        </w:tc>
        <w:tc>
          <w:tcPr>
            <w:tcW w:w="850" w:type="dxa"/>
            <w:shd w:val="clear" w:color="auto" w:fill="auto"/>
            <w:noWrap/>
          </w:tcPr>
          <w:p w14:paraId="64D2D9BB" w14:textId="77777777" w:rsidR="0091068C" w:rsidRPr="00BA6CB8" w:rsidRDefault="0091068C" w:rsidP="00986896">
            <w:pPr>
              <w:jc w:val="center"/>
              <w:rPr>
                <w:color w:val="000000"/>
              </w:rPr>
            </w:pPr>
            <w:r w:rsidRPr="00BA6CB8">
              <w:rPr>
                <w:color w:val="000000"/>
              </w:rPr>
              <w:t>37.2</w:t>
            </w:r>
          </w:p>
        </w:tc>
        <w:tc>
          <w:tcPr>
            <w:tcW w:w="851" w:type="dxa"/>
            <w:shd w:val="clear" w:color="auto" w:fill="auto"/>
            <w:noWrap/>
          </w:tcPr>
          <w:p w14:paraId="07F7D48C" w14:textId="77777777" w:rsidR="0091068C" w:rsidRPr="00BA6CB8" w:rsidRDefault="0091068C" w:rsidP="00986896">
            <w:pPr>
              <w:jc w:val="center"/>
              <w:rPr>
                <w:color w:val="000000"/>
              </w:rPr>
            </w:pPr>
            <w:r w:rsidRPr="00BA6CB8">
              <w:rPr>
                <w:color w:val="000000"/>
              </w:rPr>
              <w:t>13.</w:t>
            </w:r>
            <w:r>
              <w:rPr>
                <w:color w:val="000000"/>
              </w:rPr>
              <w:t>3</w:t>
            </w:r>
          </w:p>
        </w:tc>
        <w:tc>
          <w:tcPr>
            <w:tcW w:w="850" w:type="dxa"/>
          </w:tcPr>
          <w:p w14:paraId="49A1AAC4" w14:textId="77777777" w:rsidR="0091068C" w:rsidRPr="00BA6CB8" w:rsidRDefault="0091068C" w:rsidP="00986896">
            <w:pPr>
              <w:jc w:val="center"/>
              <w:rPr>
                <w:color w:val="000000"/>
              </w:rPr>
            </w:pPr>
            <w:r w:rsidRPr="00BA6CB8">
              <w:rPr>
                <w:color w:val="000000"/>
              </w:rPr>
              <w:t>3.</w:t>
            </w:r>
            <w:r>
              <w:rPr>
                <w:color w:val="000000"/>
              </w:rPr>
              <w:t>3</w:t>
            </w:r>
          </w:p>
        </w:tc>
      </w:tr>
      <w:tr w:rsidR="0091068C" w:rsidRPr="00BA6CB8" w14:paraId="5D01830B" w14:textId="77777777" w:rsidTr="00986896">
        <w:trPr>
          <w:trHeight w:val="280"/>
        </w:trPr>
        <w:tc>
          <w:tcPr>
            <w:tcW w:w="1413" w:type="dxa"/>
            <w:shd w:val="clear" w:color="auto" w:fill="auto"/>
            <w:noWrap/>
          </w:tcPr>
          <w:p w14:paraId="40D54971" w14:textId="77777777" w:rsidR="0091068C" w:rsidRPr="00BA6CB8" w:rsidRDefault="0091068C" w:rsidP="00986896">
            <w:pPr>
              <w:jc w:val="center"/>
              <w:rPr>
                <w:color w:val="000000"/>
              </w:rPr>
            </w:pPr>
            <w:r w:rsidRPr="00BA6CB8">
              <w:rPr>
                <w:color w:val="000000"/>
              </w:rPr>
              <w:t>R2</w:t>
            </w:r>
          </w:p>
        </w:tc>
        <w:tc>
          <w:tcPr>
            <w:tcW w:w="850" w:type="dxa"/>
            <w:shd w:val="clear" w:color="auto" w:fill="auto"/>
            <w:noWrap/>
          </w:tcPr>
          <w:p w14:paraId="516F42CD" w14:textId="77777777" w:rsidR="0091068C" w:rsidRPr="00BA6CB8" w:rsidRDefault="0091068C" w:rsidP="00986896">
            <w:pPr>
              <w:jc w:val="center"/>
              <w:rPr>
                <w:color w:val="000000"/>
              </w:rPr>
            </w:pPr>
            <w:r w:rsidRPr="00BA6CB8">
              <w:rPr>
                <w:color w:val="000000"/>
              </w:rPr>
              <w:t>39.7</w:t>
            </w:r>
          </w:p>
        </w:tc>
        <w:tc>
          <w:tcPr>
            <w:tcW w:w="851" w:type="dxa"/>
            <w:shd w:val="clear" w:color="auto" w:fill="auto"/>
            <w:noWrap/>
          </w:tcPr>
          <w:p w14:paraId="346288A4" w14:textId="77777777" w:rsidR="0091068C" w:rsidRPr="00BA6CB8" w:rsidRDefault="0091068C" w:rsidP="00986896">
            <w:pPr>
              <w:jc w:val="center"/>
              <w:rPr>
                <w:color w:val="000000"/>
              </w:rPr>
            </w:pPr>
            <w:r w:rsidRPr="00BA6CB8">
              <w:rPr>
                <w:color w:val="000000"/>
              </w:rPr>
              <w:t>14.4</w:t>
            </w:r>
          </w:p>
        </w:tc>
        <w:tc>
          <w:tcPr>
            <w:tcW w:w="850" w:type="dxa"/>
          </w:tcPr>
          <w:p w14:paraId="4320D112" w14:textId="77777777" w:rsidR="0091068C" w:rsidRPr="00BA6CB8" w:rsidRDefault="0091068C" w:rsidP="00986896">
            <w:pPr>
              <w:jc w:val="center"/>
              <w:rPr>
                <w:color w:val="000000"/>
              </w:rPr>
            </w:pPr>
            <w:r w:rsidRPr="00BA6CB8">
              <w:rPr>
                <w:color w:val="000000"/>
              </w:rPr>
              <w:t>3.2</w:t>
            </w:r>
          </w:p>
        </w:tc>
      </w:tr>
      <w:tr w:rsidR="0091068C" w:rsidRPr="00BA6CB8" w14:paraId="2955269C" w14:textId="77777777" w:rsidTr="00986896">
        <w:trPr>
          <w:trHeight w:val="280"/>
        </w:trPr>
        <w:tc>
          <w:tcPr>
            <w:tcW w:w="1413" w:type="dxa"/>
            <w:shd w:val="clear" w:color="auto" w:fill="auto"/>
            <w:noWrap/>
          </w:tcPr>
          <w:p w14:paraId="1E0D1F3B" w14:textId="77777777" w:rsidR="0091068C" w:rsidRPr="00BA6CB8" w:rsidRDefault="0091068C" w:rsidP="00986896">
            <w:pPr>
              <w:jc w:val="center"/>
              <w:rPr>
                <w:color w:val="000000"/>
              </w:rPr>
            </w:pPr>
            <w:r w:rsidRPr="00BA6CB8">
              <w:rPr>
                <w:color w:val="000000"/>
              </w:rPr>
              <w:t>R3</w:t>
            </w:r>
          </w:p>
        </w:tc>
        <w:tc>
          <w:tcPr>
            <w:tcW w:w="850" w:type="dxa"/>
            <w:shd w:val="clear" w:color="auto" w:fill="auto"/>
            <w:noWrap/>
          </w:tcPr>
          <w:p w14:paraId="7873D2ED" w14:textId="77777777" w:rsidR="0091068C" w:rsidRPr="00BA6CB8" w:rsidRDefault="0091068C" w:rsidP="00986896">
            <w:pPr>
              <w:jc w:val="center"/>
              <w:rPr>
                <w:color w:val="000000"/>
              </w:rPr>
            </w:pPr>
            <w:r w:rsidRPr="00BA6CB8">
              <w:rPr>
                <w:color w:val="000000"/>
              </w:rPr>
              <w:t>37.8</w:t>
            </w:r>
          </w:p>
        </w:tc>
        <w:tc>
          <w:tcPr>
            <w:tcW w:w="851" w:type="dxa"/>
            <w:shd w:val="clear" w:color="auto" w:fill="auto"/>
            <w:noWrap/>
          </w:tcPr>
          <w:p w14:paraId="0E6FCCA8" w14:textId="77777777" w:rsidR="0091068C" w:rsidRPr="00BA6CB8" w:rsidRDefault="0091068C" w:rsidP="00986896">
            <w:pPr>
              <w:jc w:val="center"/>
              <w:rPr>
                <w:color w:val="000000"/>
              </w:rPr>
            </w:pPr>
            <w:r w:rsidRPr="00BA6CB8">
              <w:rPr>
                <w:color w:val="000000"/>
              </w:rPr>
              <w:t>13.</w:t>
            </w:r>
            <w:r>
              <w:rPr>
                <w:color w:val="000000"/>
              </w:rPr>
              <w:t>8</w:t>
            </w:r>
          </w:p>
        </w:tc>
        <w:tc>
          <w:tcPr>
            <w:tcW w:w="850" w:type="dxa"/>
          </w:tcPr>
          <w:p w14:paraId="720AF490" w14:textId="77777777" w:rsidR="0091068C" w:rsidRPr="00BA6CB8" w:rsidRDefault="0091068C" w:rsidP="00986896">
            <w:pPr>
              <w:jc w:val="center"/>
              <w:rPr>
                <w:color w:val="000000"/>
              </w:rPr>
            </w:pPr>
            <w:r w:rsidRPr="00BA6CB8">
              <w:rPr>
                <w:color w:val="000000"/>
              </w:rPr>
              <w:t>3.2</w:t>
            </w:r>
          </w:p>
        </w:tc>
      </w:tr>
      <w:tr w:rsidR="0091068C" w:rsidRPr="00BA6CB8" w14:paraId="0D04A071" w14:textId="77777777" w:rsidTr="00986896">
        <w:trPr>
          <w:trHeight w:val="280"/>
        </w:trPr>
        <w:tc>
          <w:tcPr>
            <w:tcW w:w="1413" w:type="dxa"/>
            <w:shd w:val="clear" w:color="auto" w:fill="auto"/>
            <w:noWrap/>
          </w:tcPr>
          <w:p w14:paraId="42B6F089" w14:textId="77777777" w:rsidR="0091068C" w:rsidRPr="00BA6CB8" w:rsidRDefault="0091068C" w:rsidP="00986896">
            <w:pPr>
              <w:jc w:val="center"/>
              <w:rPr>
                <w:color w:val="000000"/>
              </w:rPr>
            </w:pPr>
            <w:r w:rsidRPr="00BA6CB8">
              <w:rPr>
                <w:color w:val="000000"/>
              </w:rPr>
              <w:t>R4</w:t>
            </w:r>
          </w:p>
        </w:tc>
        <w:tc>
          <w:tcPr>
            <w:tcW w:w="850" w:type="dxa"/>
            <w:shd w:val="clear" w:color="auto" w:fill="auto"/>
            <w:noWrap/>
          </w:tcPr>
          <w:p w14:paraId="7F3684A4" w14:textId="77777777" w:rsidR="0091068C" w:rsidRPr="00BA6CB8" w:rsidRDefault="0091068C" w:rsidP="00986896">
            <w:pPr>
              <w:jc w:val="center"/>
              <w:rPr>
                <w:color w:val="000000"/>
              </w:rPr>
            </w:pPr>
            <w:r w:rsidRPr="00BA6CB8">
              <w:rPr>
                <w:color w:val="000000"/>
              </w:rPr>
              <w:t>41.1</w:t>
            </w:r>
          </w:p>
        </w:tc>
        <w:tc>
          <w:tcPr>
            <w:tcW w:w="851" w:type="dxa"/>
            <w:shd w:val="clear" w:color="auto" w:fill="auto"/>
            <w:noWrap/>
          </w:tcPr>
          <w:p w14:paraId="698B95B7" w14:textId="77777777" w:rsidR="0091068C" w:rsidRPr="00BA6CB8" w:rsidRDefault="0091068C" w:rsidP="00986896">
            <w:pPr>
              <w:jc w:val="center"/>
              <w:rPr>
                <w:color w:val="000000"/>
              </w:rPr>
            </w:pPr>
            <w:r w:rsidRPr="00BA6CB8">
              <w:rPr>
                <w:color w:val="000000"/>
              </w:rPr>
              <w:t>14.8</w:t>
            </w:r>
          </w:p>
        </w:tc>
        <w:tc>
          <w:tcPr>
            <w:tcW w:w="850" w:type="dxa"/>
          </w:tcPr>
          <w:p w14:paraId="2AFB7D5A" w14:textId="77777777" w:rsidR="0091068C" w:rsidRPr="00BA6CB8" w:rsidRDefault="0091068C" w:rsidP="00986896">
            <w:pPr>
              <w:jc w:val="center"/>
              <w:rPr>
                <w:color w:val="000000"/>
              </w:rPr>
            </w:pPr>
            <w:r w:rsidRPr="00BA6CB8">
              <w:rPr>
                <w:color w:val="000000"/>
              </w:rPr>
              <w:t>3.2</w:t>
            </w:r>
          </w:p>
        </w:tc>
      </w:tr>
      <w:tr w:rsidR="0091068C" w:rsidRPr="00BA6CB8" w14:paraId="01C16CAB" w14:textId="77777777" w:rsidTr="00986896">
        <w:trPr>
          <w:trHeight w:val="280"/>
        </w:trPr>
        <w:tc>
          <w:tcPr>
            <w:tcW w:w="1413" w:type="dxa"/>
            <w:shd w:val="clear" w:color="auto" w:fill="auto"/>
            <w:noWrap/>
          </w:tcPr>
          <w:p w14:paraId="058BD21E" w14:textId="77777777" w:rsidR="0091068C" w:rsidRPr="00BA6CB8" w:rsidRDefault="0091068C" w:rsidP="00986896">
            <w:pPr>
              <w:jc w:val="center"/>
              <w:rPr>
                <w:color w:val="000000"/>
              </w:rPr>
            </w:pPr>
            <w:r w:rsidRPr="00BA6CB8">
              <w:rPr>
                <w:color w:val="000000"/>
              </w:rPr>
              <w:t>R5</w:t>
            </w:r>
          </w:p>
        </w:tc>
        <w:tc>
          <w:tcPr>
            <w:tcW w:w="850" w:type="dxa"/>
            <w:shd w:val="clear" w:color="auto" w:fill="auto"/>
            <w:noWrap/>
          </w:tcPr>
          <w:p w14:paraId="60086BD0" w14:textId="77777777" w:rsidR="0091068C" w:rsidRPr="00BA6CB8" w:rsidRDefault="0091068C" w:rsidP="00986896">
            <w:pPr>
              <w:jc w:val="center"/>
              <w:rPr>
                <w:color w:val="000000"/>
              </w:rPr>
            </w:pPr>
            <w:r w:rsidRPr="00BA6CB8">
              <w:rPr>
                <w:color w:val="000000"/>
              </w:rPr>
              <w:t>41.3</w:t>
            </w:r>
          </w:p>
        </w:tc>
        <w:tc>
          <w:tcPr>
            <w:tcW w:w="851" w:type="dxa"/>
            <w:shd w:val="clear" w:color="auto" w:fill="auto"/>
            <w:noWrap/>
          </w:tcPr>
          <w:p w14:paraId="3E1CFD21" w14:textId="77777777" w:rsidR="0091068C" w:rsidRPr="00BA6CB8" w:rsidRDefault="0091068C" w:rsidP="00986896">
            <w:pPr>
              <w:jc w:val="center"/>
              <w:rPr>
                <w:color w:val="000000"/>
              </w:rPr>
            </w:pPr>
            <w:r w:rsidRPr="00BA6CB8">
              <w:rPr>
                <w:color w:val="000000"/>
              </w:rPr>
              <w:t>14.8</w:t>
            </w:r>
          </w:p>
        </w:tc>
        <w:tc>
          <w:tcPr>
            <w:tcW w:w="850" w:type="dxa"/>
          </w:tcPr>
          <w:p w14:paraId="7927AA69" w14:textId="77777777" w:rsidR="0091068C" w:rsidRPr="00BA6CB8" w:rsidRDefault="0091068C" w:rsidP="00986896">
            <w:pPr>
              <w:jc w:val="center"/>
              <w:rPr>
                <w:color w:val="000000"/>
              </w:rPr>
            </w:pPr>
            <w:r w:rsidRPr="00BA6CB8">
              <w:rPr>
                <w:color w:val="000000"/>
              </w:rPr>
              <w:t>3.</w:t>
            </w:r>
            <w:r>
              <w:rPr>
                <w:color w:val="000000"/>
              </w:rPr>
              <w:t>3</w:t>
            </w:r>
          </w:p>
        </w:tc>
      </w:tr>
      <w:tr w:rsidR="0091068C" w:rsidRPr="00BA6CB8" w14:paraId="04D7D92D" w14:textId="77777777" w:rsidTr="00986896">
        <w:trPr>
          <w:trHeight w:val="280"/>
        </w:trPr>
        <w:tc>
          <w:tcPr>
            <w:tcW w:w="1413" w:type="dxa"/>
            <w:shd w:val="clear" w:color="auto" w:fill="auto"/>
            <w:noWrap/>
          </w:tcPr>
          <w:p w14:paraId="74728C99" w14:textId="77777777" w:rsidR="0091068C" w:rsidRPr="0049408A" w:rsidRDefault="0091068C" w:rsidP="00986896">
            <w:pPr>
              <w:jc w:val="center"/>
              <w:rPr>
                <w:color w:val="000000" w:themeColor="text1"/>
              </w:rPr>
            </w:pPr>
            <w:r w:rsidRPr="0049408A">
              <w:rPr>
                <w:color w:val="000000" w:themeColor="text1"/>
              </w:rPr>
              <w:t>R6</w:t>
            </w:r>
          </w:p>
        </w:tc>
        <w:tc>
          <w:tcPr>
            <w:tcW w:w="850" w:type="dxa"/>
            <w:shd w:val="clear" w:color="auto" w:fill="auto"/>
            <w:noWrap/>
          </w:tcPr>
          <w:p w14:paraId="6988B76D" w14:textId="77777777" w:rsidR="0091068C" w:rsidRPr="0049408A" w:rsidRDefault="0091068C" w:rsidP="00986896">
            <w:pPr>
              <w:jc w:val="center"/>
              <w:rPr>
                <w:color w:val="000000" w:themeColor="text1"/>
              </w:rPr>
            </w:pPr>
            <w:r w:rsidRPr="0049408A">
              <w:rPr>
                <w:color w:val="000000" w:themeColor="text1"/>
              </w:rPr>
              <w:t>41.8</w:t>
            </w:r>
          </w:p>
        </w:tc>
        <w:tc>
          <w:tcPr>
            <w:tcW w:w="851" w:type="dxa"/>
            <w:shd w:val="clear" w:color="auto" w:fill="auto"/>
            <w:noWrap/>
          </w:tcPr>
          <w:p w14:paraId="3CF1CC74" w14:textId="77777777" w:rsidR="0091068C" w:rsidRPr="00BA6CB8" w:rsidRDefault="0091068C" w:rsidP="00986896">
            <w:pPr>
              <w:jc w:val="center"/>
              <w:rPr>
                <w:color w:val="000000"/>
              </w:rPr>
            </w:pPr>
            <w:r w:rsidRPr="00BA6CB8">
              <w:rPr>
                <w:color w:val="000000"/>
              </w:rPr>
              <w:t>15</w:t>
            </w:r>
            <w:r>
              <w:rPr>
                <w:color w:val="000000"/>
              </w:rPr>
              <w:t>.0</w:t>
            </w:r>
          </w:p>
        </w:tc>
        <w:tc>
          <w:tcPr>
            <w:tcW w:w="850" w:type="dxa"/>
          </w:tcPr>
          <w:p w14:paraId="233D61A6" w14:textId="77777777" w:rsidR="0091068C" w:rsidRPr="00BA6CB8" w:rsidRDefault="0091068C" w:rsidP="00986896">
            <w:pPr>
              <w:jc w:val="center"/>
              <w:rPr>
                <w:color w:val="000000"/>
              </w:rPr>
            </w:pPr>
            <w:r w:rsidRPr="00BA6CB8">
              <w:rPr>
                <w:color w:val="000000"/>
              </w:rPr>
              <w:t>3.</w:t>
            </w:r>
            <w:r>
              <w:rPr>
                <w:color w:val="000000"/>
              </w:rPr>
              <w:t>3</w:t>
            </w:r>
          </w:p>
        </w:tc>
      </w:tr>
      <w:tr w:rsidR="0091068C" w:rsidRPr="00BA6CB8" w14:paraId="0A341718" w14:textId="77777777" w:rsidTr="00986896">
        <w:trPr>
          <w:trHeight w:val="280"/>
        </w:trPr>
        <w:tc>
          <w:tcPr>
            <w:tcW w:w="1413" w:type="dxa"/>
            <w:shd w:val="clear" w:color="auto" w:fill="auto"/>
            <w:noWrap/>
          </w:tcPr>
          <w:p w14:paraId="67B34BD7" w14:textId="77777777" w:rsidR="0091068C" w:rsidRPr="00BA6CB8" w:rsidRDefault="0091068C" w:rsidP="00986896">
            <w:pPr>
              <w:jc w:val="center"/>
              <w:rPr>
                <w:color w:val="000000"/>
              </w:rPr>
            </w:pPr>
            <w:r w:rsidRPr="00BA6CB8">
              <w:rPr>
                <w:color w:val="000000"/>
              </w:rPr>
              <w:t>R7</w:t>
            </w:r>
          </w:p>
        </w:tc>
        <w:tc>
          <w:tcPr>
            <w:tcW w:w="850" w:type="dxa"/>
            <w:shd w:val="clear" w:color="auto" w:fill="auto"/>
            <w:noWrap/>
          </w:tcPr>
          <w:p w14:paraId="647175A8" w14:textId="77777777" w:rsidR="0091068C" w:rsidRPr="00BA6CB8" w:rsidRDefault="0091068C" w:rsidP="00986896">
            <w:pPr>
              <w:jc w:val="center"/>
            </w:pPr>
            <w:r w:rsidRPr="00BA6CB8">
              <w:t>43.8</w:t>
            </w:r>
          </w:p>
          <w:p w14:paraId="6FBBA637" w14:textId="77777777" w:rsidR="0091068C" w:rsidRPr="00BA6CB8" w:rsidRDefault="0091068C" w:rsidP="00986896">
            <w:pPr>
              <w:jc w:val="center"/>
              <w:rPr>
                <w:color w:val="000000"/>
              </w:rPr>
            </w:pPr>
          </w:p>
        </w:tc>
        <w:tc>
          <w:tcPr>
            <w:tcW w:w="851" w:type="dxa"/>
            <w:shd w:val="clear" w:color="auto" w:fill="auto"/>
            <w:noWrap/>
          </w:tcPr>
          <w:p w14:paraId="0CE4734F" w14:textId="77777777" w:rsidR="0091068C" w:rsidRPr="00BA6CB8" w:rsidRDefault="0091068C" w:rsidP="00986896">
            <w:pPr>
              <w:jc w:val="center"/>
            </w:pPr>
            <w:r w:rsidRPr="00BA6CB8">
              <w:t>15.</w:t>
            </w:r>
            <w:r>
              <w:t>9</w:t>
            </w:r>
          </w:p>
          <w:p w14:paraId="332863C2" w14:textId="77777777" w:rsidR="0091068C" w:rsidRPr="00BA6CB8" w:rsidRDefault="0091068C" w:rsidP="00986896">
            <w:pPr>
              <w:jc w:val="center"/>
              <w:rPr>
                <w:color w:val="000000"/>
              </w:rPr>
            </w:pPr>
          </w:p>
        </w:tc>
        <w:tc>
          <w:tcPr>
            <w:tcW w:w="850" w:type="dxa"/>
          </w:tcPr>
          <w:p w14:paraId="2F87DCF3" w14:textId="77777777" w:rsidR="0091068C" w:rsidRPr="00BA6CB8" w:rsidRDefault="0091068C" w:rsidP="00986896">
            <w:pPr>
              <w:jc w:val="center"/>
              <w:rPr>
                <w:color w:val="000000"/>
              </w:rPr>
            </w:pPr>
            <w:r w:rsidRPr="00BA6CB8">
              <w:rPr>
                <w:color w:val="000000"/>
              </w:rPr>
              <w:t>3.2</w:t>
            </w:r>
          </w:p>
        </w:tc>
      </w:tr>
      <w:tr w:rsidR="0091068C" w:rsidRPr="00BA6CB8" w14:paraId="0000FDC6" w14:textId="77777777" w:rsidTr="00986896">
        <w:trPr>
          <w:trHeight w:val="280"/>
        </w:trPr>
        <w:tc>
          <w:tcPr>
            <w:tcW w:w="1413" w:type="dxa"/>
            <w:shd w:val="clear" w:color="auto" w:fill="auto"/>
            <w:noWrap/>
          </w:tcPr>
          <w:p w14:paraId="0B66ABC5" w14:textId="77777777" w:rsidR="0091068C" w:rsidRPr="00BA6CB8" w:rsidRDefault="0091068C" w:rsidP="00986896">
            <w:pPr>
              <w:jc w:val="center"/>
              <w:rPr>
                <w:color w:val="000000"/>
              </w:rPr>
            </w:pPr>
            <w:r w:rsidRPr="00BA6CB8">
              <w:rPr>
                <w:color w:val="000000"/>
              </w:rPr>
              <w:t>R8</w:t>
            </w:r>
          </w:p>
        </w:tc>
        <w:tc>
          <w:tcPr>
            <w:tcW w:w="850" w:type="dxa"/>
            <w:shd w:val="clear" w:color="auto" w:fill="auto"/>
            <w:noWrap/>
          </w:tcPr>
          <w:p w14:paraId="7CD852F2" w14:textId="77777777" w:rsidR="0091068C" w:rsidRPr="00BA6CB8" w:rsidRDefault="0091068C" w:rsidP="00986896">
            <w:pPr>
              <w:jc w:val="center"/>
              <w:rPr>
                <w:color w:val="000000"/>
              </w:rPr>
            </w:pPr>
            <w:r w:rsidRPr="00BA6CB8">
              <w:rPr>
                <w:color w:val="000000"/>
              </w:rPr>
              <w:t>33.</w:t>
            </w:r>
            <w:r>
              <w:rPr>
                <w:color w:val="000000"/>
              </w:rPr>
              <w:t>9</w:t>
            </w:r>
          </w:p>
        </w:tc>
        <w:tc>
          <w:tcPr>
            <w:tcW w:w="851" w:type="dxa"/>
            <w:shd w:val="clear" w:color="auto" w:fill="auto"/>
            <w:noWrap/>
          </w:tcPr>
          <w:p w14:paraId="11F2F877" w14:textId="77777777" w:rsidR="0091068C" w:rsidRPr="00BA6CB8" w:rsidRDefault="0091068C" w:rsidP="00986896">
            <w:pPr>
              <w:jc w:val="center"/>
              <w:rPr>
                <w:color w:val="000000"/>
              </w:rPr>
            </w:pPr>
            <w:r w:rsidRPr="00BA6CB8">
              <w:rPr>
                <w:color w:val="000000"/>
              </w:rPr>
              <w:t>11.6</w:t>
            </w:r>
          </w:p>
        </w:tc>
        <w:tc>
          <w:tcPr>
            <w:tcW w:w="850" w:type="dxa"/>
          </w:tcPr>
          <w:p w14:paraId="3132AC19" w14:textId="77777777" w:rsidR="0091068C" w:rsidRPr="00BA6CB8" w:rsidRDefault="0091068C" w:rsidP="00986896">
            <w:pPr>
              <w:jc w:val="center"/>
              <w:rPr>
                <w:color w:val="000000"/>
              </w:rPr>
            </w:pPr>
            <w:r w:rsidRPr="00BA6CB8">
              <w:rPr>
                <w:color w:val="000000"/>
              </w:rPr>
              <w:t>3.</w:t>
            </w:r>
            <w:r>
              <w:rPr>
                <w:color w:val="000000"/>
              </w:rPr>
              <w:t>4</w:t>
            </w:r>
          </w:p>
        </w:tc>
      </w:tr>
      <w:tr w:rsidR="0091068C" w:rsidRPr="00BA6CB8" w14:paraId="1B95672D" w14:textId="77777777" w:rsidTr="00986896">
        <w:trPr>
          <w:trHeight w:val="280"/>
        </w:trPr>
        <w:tc>
          <w:tcPr>
            <w:tcW w:w="1413" w:type="dxa"/>
            <w:shd w:val="clear" w:color="auto" w:fill="auto"/>
            <w:noWrap/>
          </w:tcPr>
          <w:p w14:paraId="41143B5E" w14:textId="77777777" w:rsidR="0091068C" w:rsidRPr="00BA6CB8" w:rsidRDefault="0091068C" w:rsidP="00986896">
            <w:pPr>
              <w:jc w:val="center"/>
              <w:rPr>
                <w:color w:val="000000"/>
              </w:rPr>
            </w:pPr>
            <w:r w:rsidRPr="00BA6CB8">
              <w:rPr>
                <w:color w:val="000000"/>
              </w:rPr>
              <w:t>R9</w:t>
            </w:r>
          </w:p>
        </w:tc>
        <w:tc>
          <w:tcPr>
            <w:tcW w:w="850" w:type="dxa"/>
            <w:shd w:val="clear" w:color="auto" w:fill="auto"/>
            <w:noWrap/>
          </w:tcPr>
          <w:p w14:paraId="403665F5" w14:textId="77777777" w:rsidR="0091068C" w:rsidRPr="00BA6CB8" w:rsidRDefault="0091068C" w:rsidP="00986896">
            <w:pPr>
              <w:jc w:val="center"/>
              <w:rPr>
                <w:color w:val="000000"/>
              </w:rPr>
            </w:pPr>
            <w:r w:rsidRPr="00BA6CB8">
              <w:rPr>
                <w:color w:val="000000"/>
              </w:rPr>
              <w:t>43.</w:t>
            </w:r>
            <w:r>
              <w:rPr>
                <w:color w:val="000000"/>
              </w:rPr>
              <w:t>4</w:t>
            </w:r>
          </w:p>
        </w:tc>
        <w:tc>
          <w:tcPr>
            <w:tcW w:w="851" w:type="dxa"/>
            <w:shd w:val="clear" w:color="auto" w:fill="auto"/>
            <w:noWrap/>
          </w:tcPr>
          <w:p w14:paraId="01F2436C" w14:textId="77777777" w:rsidR="0091068C" w:rsidRPr="00BA6CB8" w:rsidRDefault="0091068C" w:rsidP="00986896">
            <w:pPr>
              <w:jc w:val="center"/>
              <w:rPr>
                <w:color w:val="000000"/>
              </w:rPr>
            </w:pPr>
            <w:r w:rsidRPr="00BA6CB8">
              <w:rPr>
                <w:color w:val="000000"/>
              </w:rPr>
              <w:t>15.</w:t>
            </w:r>
            <w:r>
              <w:rPr>
                <w:color w:val="000000"/>
              </w:rPr>
              <w:t>7</w:t>
            </w:r>
          </w:p>
        </w:tc>
        <w:tc>
          <w:tcPr>
            <w:tcW w:w="850" w:type="dxa"/>
          </w:tcPr>
          <w:p w14:paraId="46112A6D" w14:textId="77777777" w:rsidR="0091068C" w:rsidRPr="00BA6CB8" w:rsidRDefault="0091068C" w:rsidP="00986896">
            <w:pPr>
              <w:jc w:val="center"/>
              <w:rPr>
                <w:color w:val="000000"/>
              </w:rPr>
            </w:pPr>
            <w:r w:rsidRPr="00BA6CB8">
              <w:rPr>
                <w:color w:val="000000"/>
              </w:rPr>
              <w:t>3.2</w:t>
            </w:r>
          </w:p>
        </w:tc>
      </w:tr>
      <w:tr w:rsidR="0091068C" w:rsidRPr="00BA6CB8" w14:paraId="644CB1CA" w14:textId="77777777" w:rsidTr="00986896">
        <w:trPr>
          <w:trHeight w:val="280"/>
        </w:trPr>
        <w:tc>
          <w:tcPr>
            <w:tcW w:w="1413" w:type="dxa"/>
            <w:shd w:val="clear" w:color="auto" w:fill="auto"/>
            <w:noWrap/>
          </w:tcPr>
          <w:p w14:paraId="4DA3F014" w14:textId="77777777" w:rsidR="0091068C" w:rsidRPr="00BA6CB8" w:rsidRDefault="0091068C" w:rsidP="00986896">
            <w:pPr>
              <w:jc w:val="center"/>
              <w:rPr>
                <w:color w:val="000000"/>
              </w:rPr>
            </w:pPr>
            <w:r w:rsidRPr="00BA6CB8">
              <w:rPr>
                <w:color w:val="000000"/>
              </w:rPr>
              <w:t>R10</w:t>
            </w:r>
          </w:p>
        </w:tc>
        <w:tc>
          <w:tcPr>
            <w:tcW w:w="850" w:type="dxa"/>
            <w:shd w:val="clear" w:color="auto" w:fill="auto"/>
            <w:noWrap/>
          </w:tcPr>
          <w:p w14:paraId="253E1B17" w14:textId="77777777" w:rsidR="0091068C" w:rsidRPr="00BA6CB8" w:rsidRDefault="0091068C" w:rsidP="00986896">
            <w:pPr>
              <w:jc w:val="center"/>
              <w:rPr>
                <w:color w:val="000000"/>
              </w:rPr>
            </w:pPr>
            <w:r w:rsidRPr="00BA6CB8">
              <w:rPr>
                <w:color w:val="000000"/>
              </w:rPr>
              <w:t>43.3</w:t>
            </w:r>
          </w:p>
        </w:tc>
        <w:tc>
          <w:tcPr>
            <w:tcW w:w="851" w:type="dxa"/>
            <w:shd w:val="clear" w:color="auto" w:fill="auto"/>
            <w:noWrap/>
          </w:tcPr>
          <w:p w14:paraId="5AA20371" w14:textId="77777777" w:rsidR="0091068C" w:rsidRPr="00BA6CB8" w:rsidRDefault="0091068C" w:rsidP="00986896">
            <w:pPr>
              <w:jc w:val="center"/>
              <w:rPr>
                <w:color w:val="000000"/>
              </w:rPr>
            </w:pPr>
            <w:r w:rsidRPr="00BA6CB8">
              <w:rPr>
                <w:color w:val="000000"/>
              </w:rPr>
              <w:t>15.</w:t>
            </w:r>
            <w:r>
              <w:rPr>
                <w:color w:val="000000"/>
              </w:rPr>
              <w:t>7</w:t>
            </w:r>
          </w:p>
        </w:tc>
        <w:tc>
          <w:tcPr>
            <w:tcW w:w="850" w:type="dxa"/>
          </w:tcPr>
          <w:p w14:paraId="146AE7D6" w14:textId="77777777" w:rsidR="0091068C" w:rsidRPr="00BA6CB8" w:rsidRDefault="0091068C" w:rsidP="00986896">
            <w:pPr>
              <w:jc w:val="center"/>
              <w:rPr>
                <w:color w:val="000000"/>
              </w:rPr>
            </w:pPr>
            <w:r w:rsidRPr="00BA6CB8">
              <w:rPr>
                <w:color w:val="000000"/>
              </w:rPr>
              <w:t>3.</w:t>
            </w:r>
            <w:r>
              <w:rPr>
                <w:color w:val="000000"/>
              </w:rPr>
              <w:t>2</w:t>
            </w:r>
          </w:p>
        </w:tc>
      </w:tr>
      <w:tr w:rsidR="0091068C" w:rsidRPr="00BA6CB8" w14:paraId="54C489AA" w14:textId="77777777" w:rsidTr="00986896">
        <w:trPr>
          <w:trHeight w:val="280"/>
        </w:trPr>
        <w:tc>
          <w:tcPr>
            <w:tcW w:w="1413" w:type="dxa"/>
            <w:shd w:val="clear" w:color="auto" w:fill="auto"/>
            <w:noWrap/>
          </w:tcPr>
          <w:p w14:paraId="6D4D834C" w14:textId="77777777" w:rsidR="0091068C" w:rsidRPr="00BA6CB8" w:rsidRDefault="0091068C" w:rsidP="00986896">
            <w:pPr>
              <w:jc w:val="center"/>
              <w:rPr>
                <w:color w:val="000000"/>
              </w:rPr>
            </w:pPr>
            <w:r w:rsidRPr="00BA6CB8">
              <w:rPr>
                <w:color w:val="000000"/>
              </w:rPr>
              <w:t>R11</w:t>
            </w:r>
          </w:p>
        </w:tc>
        <w:tc>
          <w:tcPr>
            <w:tcW w:w="850" w:type="dxa"/>
            <w:shd w:val="clear" w:color="auto" w:fill="auto"/>
            <w:noWrap/>
          </w:tcPr>
          <w:p w14:paraId="51B2F08C" w14:textId="77777777" w:rsidR="0091068C" w:rsidRPr="00BA6CB8" w:rsidRDefault="0091068C" w:rsidP="00986896">
            <w:pPr>
              <w:jc w:val="center"/>
              <w:rPr>
                <w:color w:val="000000"/>
              </w:rPr>
            </w:pPr>
            <w:r w:rsidRPr="00BA6CB8">
              <w:rPr>
                <w:color w:val="000000"/>
              </w:rPr>
              <w:t>44.4</w:t>
            </w:r>
          </w:p>
        </w:tc>
        <w:tc>
          <w:tcPr>
            <w:tcW w:w="851" w:type="dxa"/>
            <w:shd w:val="clear" w:color="auto" w:fill="auto"/>
            <w:noWrap/>
          </w:tcPr>
          <w:p w14:paraId="58C3011A" w14:textId="77777777" w:rsidR="0091068C" w:rsidRPr="00BA6CB8" w:rsidRDefault="0091068C" w:rsidP="00986896">
            <w:pPr>
              <w:jc w:val="center"/>
              <w:rPr>
                <w:color w:val="000000"/>
              </w:rPr>
            </w:pPr>
            <w:r w:rsidRPr="00BA6CB8">
              <w:rPr>
                <w:color w:val="000000"/>
              </w:rPr>
              <w:t>16</w:t>
            </w:r>
            <w:r>
              <w:rPr>
                <w:color w:val="000000"/>
              </w:rPr>
              <w:t>.0</w:t>
            </w:r>
          </w:p>
        </w:tc>
        <w:tc>
          <w:tcPr>
            <w:tcW w:w="850" w:type="dxa"/>
          </w:tcPr>
          <w:p w14:paraId="4C0E1EE8" w14:textId="77777777" w:rsidR="0091068C" w:rsidRPr="00BA6CB8" w:rsidRDefault="0091068C" w:rsidP="00986896">
            <w:pPr>
              <w:jc w:val="center"/>
              <w:rPr>
                <w:color w:val="000000"/>
              </w:rPr>
            </w:pPr>
            <w:r w:rsidRPr="00BA6CB8">
              <w:rPr>
                <w:color w:val="000000"/>
              </w:rPr>
              <w:t>3.2</w:t>
            </w:r>
          </w:p>
        </w:tc>
      </w:tr>
      <w:tr w:rsidR="0091068C" w:rsidRPr="00BA6CB8" w14:paraId="41F260C8" w14:textId="77777777" w:rsidTr="00986896">
        <w:trPr>
          <w:trHeight w:val="280"/>
        </w:trPr>
        <w:tc>
          <w:tcPr>
            <w:tcW w:w="1413" w:type="dxa"/>
            <w:shd w:val="clear" w:color="auto" w:fill="auto"/>
            <w:noWrap/>
          </w:tcPr>
          <w:p w14:paraId="12E2215E" w14:textId="77777777" w:rsidR="0091068C" w:rsidRPr="00BA6CB8" w:rsidRDefault="0091068C" w:rsidP="00986896">
            <w:pPr>
              <w:jc w:val="center"/>
              <w:rPr>
                <w:color w:val="000000"/>
              </w:rPr>
            </w:pPr>
            <w:r w:rsidRPr="00BA6CB8">
              <w:rPr>
                <w:color w:val="000000"/>
              </w:rPr>
              <w:t>Mean (n=21)</w:t>
            </w:r>
          </w:p>
        </w:tc>
        <w:tc>
          <w:tcPr>
            <w:tcW w:w="850" w:type="dxa"/>
            <w:shd w:val="clear" w:color="auto" w:fill="auto"/>
            <w:noWrap/>
          </w:tcPr>
          <w:p w14:paraId="0826C820" w14:textId="77777777" w:rsidR="0091068C" w:rsidRPr="00BA6CB8" w:rsidRDefault="0091068C" w:rsidP="00986896">
            <w:pPr>
              <w:jc w:val="center"/>
              <w:rPr>
                <w:color w:val="000000"/>
              </w:rPr>
            </w:pPr>
          </w:p>
        </w:tc>
        <w:tc>
          <w:tcPr>
            <w:tcW w:w="851" w:type="dxa"/>
            <w:shd w:val="clear" w:color="auto" w:fill="auto"/>
            <w:noWrap/>
          </w:tcPr>
          <w:p w14:paraId="52D83736" w14:textId="77777777" w:rsidR="0091068C" w:rsidRPr="00BA6CB8" w:rsidRDefault="0091068C" w:rsidP="00986896">
            <w:pPr>
              <w:jc w:val="center"/>
              <w:rPr>
                <w:color w:val="000000"/>
              </w:rPr>
            </w:pPr>
          </w:p>
        </w:tc>
        <w:tc>
          <w:tcPr>
            <w:tcW w:w="850" w:type="dxa"/>
          </w:tcPr>
          <w:p w14:paraId="4BCAE650" w14:textId="77777777" w:rsidR="0091068C" w:rsidRPr="00BA6CB8" w:rsidRDefault="0091068C" w:rsidP="00986896">
            <w:pPr>
              <w:jc w:val="center"/>
              <w:rPr>
                <w:color w:val="000000"/>
              </w:rPr>
            </w:pPr>
          </w:p>
        </w:tc>
      </w:tr>
    </w:tbl>
    <w:p w14:paraId="1B911B41" w14:textId="77777777" w:rsidR="003D00CA" w:rsidRDefault="003D00CA" w:rsidP="003D00CA">
      <w:pPr>
        <w:jc w:val="center"/>
      </w:pPr>
    </w:p>
    <w:p w14:paraId="31F182FE" w14:textId="77777777" w:rsidR="003D00CA" w:rsidRDefault="003D00CA" w:rsidP="003D00CA">
      <w:pPr>
        <w:jc w:val="center"/>
      </w:pPr>
    </w:p>
    <w:p w14:paraId="0DA2F5AD" w14:textId="77777777" w:rsidR="003D00CA" w:rsidRDefault="003D00CA" w:rsidP="003D00CA">
      <w:pPr>
        <w:jc w:val="center"/>
      </w:pPr>
    </w:p>
    <w:p w14:paraId="021F458E" w14:textId="77777777" w:rsidR="003D00CA" w:rsidRDefault="003D00CA" w:rsidP="003D00CA">
      <w:pPr>
        <w:jc w:val="center"/>
      </w:pPr>
    </w:p>
    <w:p w14:paraId="3AB4EFAE" w14:textId="77777777" w:rsidR="003D00CA" w:rsidRDefault="003D00CA" w:rsidP="003D00CA">
      <w:pPr>
        <w:jc w:val="center"/>
      </w:pPr>
    </w:p>
    <w:p w14:paraId="3CEBC7FF" w14:textId="77777777" w:rsidR="003D00CA" w:rsidRDefault="003D00CA" w:rsidP="003D00CA">
      <w:pPr>
        <w:jc w:val="center"/>
      </w:pPr>
    </w:p>
    <w:p w14:paraId="6EDA22BA" w14:textId="77777777" w:rsidR="003D00CA" w:rsidRDefault="003D00CA" w:rsidP="003D00CA">
      <w:pPr>
        <w:jc w:val="center"/>
      </w:pPr>
    </w:p>
    <w:p w14:paraId="78D5FCC7" w14:textId="77777777" w:rsidR="003D00CA" w:rsidRDefault="003D00CA" w:rsidP="003D00CA">
      <w:pPr>
        <w:jc w:val="center"/>
      </w:pPr>
    </w:p>
    <w:p w14:paraId="356D0E80" w14:textId="77777777" w:rsidR="003D00CA" w:rsidRDefault="003D00CA" w:rsidP="003D00CA">
      <w:pPr>
        <w:jc w:val="center"/>
      </w:pPr>
    </w:p>
    <w:p w14:paraId="1E056B3D" w14:textId="77777777" w:rsidR="003D00CA" w:rsidRDefault="003D00CA" w:rsidP="003D00CA">
      <w:pPr>
        <w:jc w:val="center"/>
      </w:pPr>
    </w:p>
    <w:p w14:paraId="18BCABB0" w14:textId="77777777" w:rsidR="003D00CA" w:rsidRDefault="003D00CA" w:rsidP="003D00CA">
      <w:pPr>
        <w:jc w:val="center"/>
      </w:pPr>
    </w:p>
    <w:p w14:paraId="1489CFC1" w14:textId="77777777" w:rsidR="003D00CA" w:rsidRDefault="003D00CA" w:rsidP="003D00CA">
      <w:pPr>
        <w:jc w:val="center"/>
      </w:pPr>
    </w:p>
    <w:p w14:paraId="78528076" w14:textId="77777777" w:rsidR="003D00CA" w:rsidRDefault="003D00CA" w:rsidP="003D00CA">
      <w:pPr>
        <w:jc w:val="center"/>
      </w:pPr>
    </w:p>
    <w:p w14:paraId="629B4CB3" w14:textId="77777777" w:rsidR="003D00CA" w:rsidRDefault="003D00CA" w:rsidP="003D00CA">
      <w:pPr>
        <w:jc w:val="center"/>
      </w:pPr>
    </w:p>
    <w:p w14:paraId="239A5947" w14:textId="77777777" w:rsidR="003D00CA" w:rsidRDefault="003D00CA" w:rsidP="003D00CA">
      <w:pPr>
        <w:jc w:val="center"/>
      </w:pPr>
    </w:p>
    <w:p w14:paraId="3CFB2FB7" w14:textId="77777777" w:rsidR="003D00CA" w:rsidRDefault="003D00CA" w:rsidP="003D00CA">
      <w:pPr>
        <w:jc w:val="center"/>
      </w:pPr>
    </w:p>
    <w:p w14:paraId="56B8F415" w14:textId="77777777" w:rsidR="003D00CA" w:rsidRDefault="003D00CA" w:rsidP="003D00CA">
      <w:pPr>
        <w:jc w:val="center"/>
      </w:pPr>
    </w:p>
    <w:p w14:paraId="7F1E4485" w14:textId="77777777" w:rsidR="003D00CA" w:rsidRDefault="003D00CA" w:rsidP="003D00CA">
      <w:pPr>
        <w:jc w:val="center"/>
      </w:pPr>
    </w:p>
    <w:p w14:paraId="3D8D8C9D" w14:textId="77777777" w:rsidR="003D00CA" w:rsidRDefault="003D00CA" w:rsidP="003D00CA">
      <w:pPr>
        <w:jc w:val="center"/>
      </w:pPr>
    </w:p>
    <w:p w14:paraId="26214F2E" w14:textId="77777777" w:rsidR="003D00CA" w:rsidRDefault="003D00CA" w:rsidP="003D00CA">
      <w:pPr>
        <w:jc w:val="center"/>
      </w:pPr>
    </w:p>
    <w:p w14:paraId="52CBFBA4" w14:textId="77777777" w:rsidR="003D00CA" w:rsidRDefault="003D00CA" w:rsidP="003D00CA">
      <w:pPr>
        <w:jc w:val="center"/>
      </w:pPr>
    </w:p>
    <w:p w14:paraId="68E6DDAC" w14:textId="77777777" w:rsidR="003D00CA" w:rsidRDefault="003D00CA" w:rsidP="003D00CA">
      <w:pPr>
        <w:jc w:val="center"/>
      </w:pPr>
    </w:p>
    <w:p w14:paraId="6B52A181" w14:textId="77777777" w:rsidR="003D00CA" w:rsidRDefault="003D00CA" w:rsidP="003D00CA">
      <w:pPr>
        <w:jc w:val="center"/>
      </w:pPr>
    </w:p>
    <w:p w14:paraId="22CB4EB9" w14:textId="77777777" w:rsidR="003D00CA" w:rsidRDefault="003D00CA" w:rsidP="003D00CA">
      <w:pPr>
        <w:jc w:val="center"/>
      </w:pPr>
    </w:p>
    <w:p w14:paraId="0729133B" w14:textId="77777777" w:rsidR="003D00CA" w:rsidRDefault="003D00CA" w:rsidP="003D00CA"/>
    <w:p w14:paraId="43CB890F" w14:textId="02079718" w:rsidR="003D00CA" w:rsidRDefault="0091068C" w:rsidP="003D00CA">
      <w:pPr>
        <w:rPr>
          <w:b/>
          <w:lang w:val="en-US"/>
        </w:rPr>
      </w:pPr>
      <w:r w:rsidRPr="00BA6CB8">
        <w:br w:type="textWrapping" w:clear="all"/>
      </w:r>
    </w:p>
    <w:p w14:paraId="783C356E" w14:textId="77777777" w:rsidR="000D5AA5" w:rsidRDefault="000D5AA5" w:rsidP="003D00CA">
      <w:pPr>
        <w:rPr>
          <w:b/>
          <w:lang w:val="en-US"/>
        </w:rPr>
      </w:pPr>
    </w:p>
    <w:p w14:paraId="02E963A4" w14:textId="4DD3720F" w:rsidR="00D300CD" w:rsidRPr="0091068C" w:rsidRDefault="00D300CD" w:rsidP="00A77F0E">
      <w:pPr>
        <w:jc w:val="center"/>
      </w:pPr>
      <w:r w:rsidRPr="00212088">
        <w:rPr>
          <w:b/>
          <w:lang w:val="en-US"/>
        </w:rPr>
        <w:lastRenderedPageBreak/>
        <w:t>Table A</w:t>
      </w:r>
      <w:r w:rsidR="0091068C">
        <w:rPr>
          <w:b/>
          <w:lang w:val="en-US"/>
        </w:rPr>
        <w:t>3</w:t>
      </w:r>
      <w:r w:rsidRPr="00212088">
        <w:rPr>
          <w:b/>
          <w:lang w:val="en-US"/>
        </w:rPr>
        <w:t>:</w:t>
      </w:r>
      <w:r>
        <w:rPr>
          <w:lang w:val="en-US"/>
        </w:rPr>
        <w:t xml:space="preserve"> Collagen yields for each tooth collected from each subadult and adult individual.</w:t>
      </w:r>
    </w:p>
    <w:p w14:paraId="404F9335" w14:textId="77777777" w:rsidR="004B290E" w:rsidRPr="00212088" w:rsidRDefault="004B290E" w:rsidP="004B290E">
      <w:pPr>
        <w:spacing w:line="480" w:lineRule="auto"/>
        <w:jc w:val="center"/>
        <w:rPr>
          <w:lang w:val="en-US"/>
        </w:rPr>
      </w:pPr>
    </w:p>
    <w:tbl>
      <w:tblPr>
        <w:tblStyle w:val="TableGrid1"/>
        <w:tblW w:w="0" w:type="auto"/>
        <w:jc w:val="center"/>
        <w:tblLook w:val="04A0" w:firstRow="1" w:lastRow="0" w:firstColumn="1" w:lastColumn="0" w:noHBand="0" w:noVBand="1"/>
      </w:tblPr>
      <w:tblGrid>
        <w:gridCol w:w="1416"/>
        <w:gridCol w:w="3375"/>
        <w:gridCol w:w="1016"/>
        <w:gridCol w:w="1591"/>
        <w:gridCol w:w="1259"/>
      </w:tblGrid>
      <w:tr w:rsidR="00D300CD" w:rsidRPr="008C4A6A" w14:paraId="21AFEE91" w14:textId="77777777" w:rsidTr="003D00CA">
        <w:trPr>
          <w:jc w:val="center"/>
        </w:trPr>
        <w:tc>
          <w:tcPr>
            <w:tcW w:w="1416" w:type="dxa"/>
          </w:tcPr>
          <w:p w14:paraId="4EA03031" w14:textId="77777777" w:rsidR="00D300CD" w:rsidRPr="00212088" w:rsidRDefault="00D300CD" w:rsidP="0018752B">
            <w:pPr>
              <w:jc w:val="center"/>
              <w:rPr>
                <w:b/>
                <w:lang w:val="en-US"/>
              </w:rPr>
            </w:pPr>
            <w:r w:rsidRPr="00212088">
              <w:rPr>
                <w:b/>
                <w:lang w:val="en-US"/>
              </w:rPr>
              <w:t>Site</w:t>
            </w:r>
          </w:p>
        </w:tc>
        <w:tc>
          <w:tcPr>
            <w:tcW w:w="3375" w:type="dxa"/>
          </w:tcPr>
          <w:p w14:paraId="7265A8AF" w14:textId="77777777" w:rsidR="00D300CD" w:rsidRPr="00212088" w:rsidRDefault="00D300CD" w:rsidP="0018752B">
            <w:pPr>
              <w:jc w:val="center"/>
              <w:rPr>
                <w:b/>
                <w:lang w:val="en-US"/>
              </w:rPr>
            </w:pPr>
            <w:r w:rsidRPr="00212088">
              <w:rPr>
                <w:b/>
                <w:lang w:val="en-US"/>
              </w:rPr>
              <w:t>Skeletal ID</w:t>
            </w:r>
          </w:p>
        </w:tc>
        <w:tc>
          <w:tcPr>
            <w:tcW w:w="1016" w:type="dxa"/>
          </w:tcPr>
          <w:p w14:paraId="41052D19" w14:textId="77777777" w:rsidR="00D300CD" w:rsidRPr="00212088" w:rsidRDefault="00D300CD" w:rsidP="0018752B">
            <w:pPr>
              <w:jc w:val="center"/>
              <w:rPr>
                <w:b/>
                <w:lang w:val="en-US"/>
              </w:rPr>
            </w:pPr>
            <w:r w:rsidRPr="00212088">
              <w:rPr>
                <w:b/>
                <w:lang w:val="en-US"/>
              </w:rPr>
              <w:t>Sample ID</w:t>
            </w:r>
          </w:p>
        </w:tc>
        <w:tc>
          <w:tcPr>
            <w:tcW w:w="1591" w:type="dxa"/>
          </w:tcPr>
          <w:p w14:paraId="7E9FE4BB" w14:textId="77777777" w:rsidR="00D300CD" w:rsidRPr="00212088" w:rsidRDefault="00D300CD" w:rsidP="0018752B">
            <w:pPr>
              <w:jc w:val="center"/>
              <w:rPr>
                <w:b/>
                <w:lang w:val="en-US"/>
              </w:rPr>
            </w:pPr>
            <w:r w:rsidRPr="00212088">
              <w:rPr>
                <w:b/>
                <w:lang w:val="en-US"/>
              </w:rPr>
              <w:t>Tooth Type</w:t>
            </w:r>
          </w:p>
        </w:tc>
        <w:tc>
          <w:tcPr>
            <w:tcW w:w="1259" w:type="dxa"/>
          </w:tcPr>
          <w:p w14:paraId="5716D32B" w14:textId="77777777" w:rsidR="00D300CD" w:rsidRPr="00212088" w:rsidRDefault="00D300CD" w:rsidP="0018752B">
            <w:pPr>
              <w:ind w:right="-113"/>
              <w:jc w:val="center"/>
              <w:rPr>
                <w:b/>
                <w:lang w:val="en-US"/>
              </w:rPr>
            </w:pPr>
            <w:r w:rsidRPr="00212088">
              <w:rPr>
                <w:b/>
                <w:lang w:val="en-US"/>
              </w:rPr>
              <w:t>Collagen Yield (%)</w:t>
            </w:r>
          </w:p>
        </w:tc>
      </w:tr>
      <w:tr w:rsidR="00D300CD" w:rsidRPr="008C4A6A" w14:paraId="5BAB47D4" w14:textId="77777777" w:rsidTr="003D00CA">
        <w:trPr>
          <w:jc w:val="center"/>
        </w:trPr>
        <w:tc>
          <w:tcPr>
            <w:tcW w:w="1416" w:type="dxa"/>
          </w:tcPr>
          <w:p w14:paraId="755FF143" w14:textId="77777777" w:rsidR="00D300CD" w:rsidRPr="00212088" w:rsidRDefault="00D300CD" w:rsidP="0018752B">
            <w:pPr>
              <w:jc w:val="center"/>
              <w:rPr>
                <w:lang w:val="en-US"/>
              </w:rPr>
            </w:pPr>
            <w:r w:rsidRPr="00212088">
              <w:rPr>
                <w:lang w:val="en-US"/>
              </w:rPr>
              <w:t>Botromagno</w:t>
            </w:r>
          </w:p>
        </w:tc>
        <w:tc>
          <w:tcPr>
            <w:tcW w:w="3375" w:type="dxa"/>
          </w:tcPr>
          <w:p w14:paraId="7CB78734" w14:textId="77777777" w:rsidR="00D300CD" w:rsidRPr="00212088" w:rsidRDefault="00D300CD" w:rsidP="0018752B">
            <w:pPr>
              <w:jc w:val="center"/>
              <w:rPr>
                <w:lang w:val="en-US"/>
              </w:rPr>
            </w:pPr>
            <w:r w:rsidRPr="00212088">
              <w:rPr>
                <w:lang w:val="en-US"/>
              </w:rPr>
              <w:t>G67/I p3 e2 S4 = Tomb 4</w:t>
            </w:r>
          </w:p>
        </w:tc>
        <w:tc>
          <w:tcPr>
            <w:tcW w:w="1016" w:type="dxa"/>
          </w:tcPr>
          <w:p w14:paraId="27CADD70" w14:textId="77777777" w:rsidR="00D300CD" w:rsidRPr="00212088" w:rsidRDefault="00D300CD" w:rsidP="0018752B">
            <w:pPr>
              <w:jc w:val="center"/>
              <w:rPr>
                <w:lang w:val="en-US"/>
              </w:rPr>
            </w:pPr>
            <w:r w:rsidRPr="00212088">
              <w:rPr>
                <w:lang w:val="en-US"/>
              </w:rPr>
              <w:t>T1</w:t>
            </w:r>
          </w:p>
        </w:tc>
        <w:tc>
          <w:tcPr>
            <w:tcW w:w="1591" w:type="dxa"/>
          </w:tcPr>
          <w:p w14:paraId="2C9DDBCB" w14:textId="77777777" w:rsidR="00D300CD" w:rsidRPr="00212088" w:rsidRDefault="00D300CD" w:rsidP="0018752B">
            <w:pPr>
              <w:jc w:val="center"/>
              <w:rPr>
                <w:lang w:val="en-US"/>
              </w:rPr>
            </w:pPr>
            <w:r w:rsidRPr="00212088">
              <w:rPr>
                <w:lang w:val="en-US"/>
              </w:rPr>
              <w:t>Decid. molar</w:t>
            </w:r>
          </w:p>
        </w:tc>
        <w:tc>
          <w:tcPr>
            <w:tcW w:w="1259" w:type="dxa"/>
          </w:tcPr>
          <w:p w14:paraId="3F05C6E0" w14:textId="77777777" w:rsidR="00D300CD" w:rsidRPr="00212088" w:rsidRDefault="00D300CD" w:rsidP="0018752B">
            <w:pPr>
              <w:ind w:right="-113"/>
              <w:jc w:val="center"/>
              <w:rPr>
                <w:lang w:val="en-US"/>
              </w:rPr>
            </w:pPr>
            <w:r w:rsidRPr="00212088">
              <w:rPr>
                <w:lang w:val="en-US"/>
              </w:rPr>
              <w:t>11.5</w:t>
            </w:r>
          </w:p>
        </w:tc>
      </w:tr>
      <w:tr w:rsidR="00D300CD" w:rsidRPr="008C4A6A" w14:paraId="7AD04AC8" w14:textId="77777777" w:rsidTr="003D00CA">
        <w:trPr>
          <w:jc w:val="center"/>
        </w:trPr>
        <w:tc>
          <w:tcPr>
            <w:tcW w:w="1416" w:type="dxa"/>
          </w:tcPr>
          <w:p w14:paraId="54EF82A8" w14:textId="77777777" w:rsidR="00D300CD" w:rsidRPr="00212088" w:rsidRDefault="00D300CD" w:rsidP="0018752B">
            <w:pPr>
              <w:jc w:val="center"/>
              <w:rPr>
                <w:lang w:val="en-US"/>
              </w:rPr>
            </w:pPr>
            <w:r w:rsidRPr="00212088">
              <w:rPr>
                <w:color w:val="000000" w:themeColor="text1"/>
                <w:lang w:val="en-US"/>
              </w:rPr>
              <w:t>Parco San Stefano</w:t>
            </w:r>
          </w:p>
        </w:tc>
        <w:tc>
          <w:tcPr>
            <w:tcW w:w="3375" w:type="dxa"/>
          </w:tcPr>
          <w:p w14:paraId="03743D6D" w14:textId="77777777" w:rsidR="00D300CD" w:rsidRPr="00212088" w:rsidRDefault="00D300CD" w:rsidP="0018752B">
            <w:pPr>
              <w:jc w:val="center"/>
              <w:rPr>
                <w:lang w:val="en-US"/>
              </w:rPr>
            </w:pPr>
            <w:r w:rsidRPr="00212088">
              <w:rPr>
                <w:lang w:val="en-US"/>
              </w:rPr>
              <w:t>22/5/67 Tomba 30</w:t>
            </w:r>
          </w:p>
        </w:tc>
        <w:tc>
          <w:tcPr>
            <w:tcW w:w="1016" w:type="dxa"/>
          </w:tcPr>
          <w:p w14:paraId="1D6542A3" w14:textId="77777777" w:rsidR="00D300CD" w:rsidRPr="00212088" w:rsidRDefault="00D300CD" w:rsidP="0018752B">
            <w:pPr>
              <w:jc w:val="center"/>
              <w:rPr>
                <w:lang w:val="en-US"/>
              </w:rPr>
            </w:pPr>
            <w:r w:rsidRPr="00212088">
              <w:rPr>
                <w:lang w:val="en-US"/>
              </w:rPr>
              <w:t>T2</w:t>
            </w:r>
          </w:p>
        </w:tc>
        <w:tc>
          <w:tcPr>
            <w:tcW w:w="1591" w:type="dxa"/>
          </w:tcPr>
          <w:p w14:paraId="50BA17FE" w14:textId="77777777" w:rsidR="00D300CD" w:rsidRPr="00212088" w:rsidRDefault="00D300CD" w:rsidP="0018752B">
            <w:pPr>
              <w:jc w:val="center"/>
              <w:rPr>
                <w:lang w:val="en-US"/>
              </w:rPr>
            </w:pPr>
            <w:r w:rsidRPr="00212088">
              <w:rPr>
                <w:lang w:val="en-US"/>
              </w:rPr>
              <w:t>Perm. molar</w:t>
            </w:r>
          </w:p>
        </w:tc>
        <w:tc>
          <w:tcPr>
            <w:tcW w:w="1259" w:type="dxa"/>
          </w:tcPr>
          <w:p w14:paraId="0E374EA2" w14:textId="77777777" w:rsidR="00D300CD" w:rsidRPr="00212088" w:rsidRDefault="00D300CD" w:rsidP="0018752B">
            <w:pPr>
              <w:ind w:right="-113"/>
              <w:jc w:val="center"/>
              <w:rPr>
                <w:lang w:val="en-US"/>
              </w:rPr>
            </w:pPr>
            <w:r w:rsidRPr="00212088">
              <w:rPr>
                <w:lang w:val="en-US"/>
              </w:rPr>
              <w:t>5.9</w:t>
            </w:r>
          </w:p>
        </w:tc>
      </w:tr>
      <w:tr w:rsidR="00D300CD" w:rsidRPr="008C4A6A" w14:paraId="03139506" w14:textId="77777777" w:rsidTr="003D00CA">
        <w:trPr>
          <w:jc w:val="center"/>
        </w:trPr>
        <w:tc>
          <w:tcPr>
            <w:tcW w:w="1416" w:type="dxa"/>
          </w:tcPr>
          <w:p w14:paraId="23D1C1C2" w14:textId="77777777" w:rsidR="00D300CD" w:rsidRPr="00212088" w:rsidRDefault="00D300CD" w:rsidP="0018752B">
            <w:pPr>
              <w:jc w:val="center"/>
              <w:rPr>
                <w:lang w:val="en-US"/>
              </w:rPr>
            </w:pPr>
            <w:r w:rsidRPr="00212088">
              <w:rPr>
                <w:lang w:val="en-US"/>
              </w:rPr>
              <w:t>Botromagno</w:t>
            </w:r>
          </w:p>
        </w:tc>
        <w:tc>
          <w:tcPr>
            <w:tcW w:w="3375" w:type="dxa"/>
          </w:tcPr>
          <w:p w14:paraId="410306EB" w14:textId="77777777" w:rsidR="00D300CD" w:rsidRPr="00212088" w:rsidRDefault="00D300CD" w:rsidP="0018752B">
            <w:pPr>
              <w:jc w:val="center"/>
              <w:rPr>
                <w:lang w:val="en-US"/>
              </w:rPr>
            </w:pPr>
            <w:r w:rsidRPr="00212088">
              <w:rPr>
                <w:lang w:val="en-US"/>
              </w:rPr>
              <w:t>G67/II P4 S17 Infill 3</w:t>
            </w:r>
          </w:p>
        </w:tc>
        <w:tc>
          <w:tcPr>
            <w:tcW w:w="1016" w:type="dxa"/>
          </w:tcPr>
          <w:p w14:paraId="2C2D3E3D" w14:textId="77777777" w:rsidR="00D300CD" w:rsidRPr="00212088" w:rsidRDefault="00D300CD" w:rsidP="0018752B">
            <w:pPr>
              <w:jc w:val="center"/>
              <w:rPr>
                <w:lang w:val="en-US"/>
              </w:rPr>
            </w:pPr>
            <w:r w:rsidRPr="00212088">
              <w:rPr>
                <w:lang w:val="en-US"/>
              </w:rPr>
              <w:t>T3</w:t>
            </w:r>
          </w:p>
        </w:tc>
        <w:tc>
          <w:tcPr>
            <w:tcW w:w="1591" w:type="dxa"/>
          </w:tcPr>
          <w:p w14:paraId="5EB96DF8" w14:textId="77777777" w:rsidR="00D300CD" w:rsidRPr="00212088" w:rsidRDefault="00D300CD" w:rsidP="0018752B">
            <w:pPr>
              <w:jc w:val="center"/>
              <w:rPr>
                <w:lang w:val="en-US"/>
              </w:rPr>
            </w:pPr>
            <w:r w:rsidRPr="00212088">
              <w:rPr>
                <w:lang w:val="en-US"/>
              </w:rPr>
              <w:t>Perm. molar</w:t>
            </w:r>
          </w:p>
        </w:tc>
        <w:tc>
          <w:tcPr>
            <w:tcW w:w="1259" w:type="dxa"/>
          </w:tcPr>
          <w:p w14:paraId="0ABCABB2" w14:textId="77777777" w:rsidR="00D300CD" w:rsidRPr="00212088" w:rsidRDefault="00D300CD" w:rsidP="0018752B">
            <w:pPr>
              <w:ind w:right="-113"/>
              <w:jc w:val="center"/>
              <w:rPr>
                <w:lang w:val="en-US"/>
              </w:rPr>
            </w:pPr>
            <w:r w:rsidRPr="00212088">
              <w:rPr>
                <w:lang w:val="en-US"/>
              </w:rPr>
              <w:t>8.2</w:t>
            </w:r>
          </w:p>
        </w:tc>
      </w:tr>
      <w:tr w:rsidR="00D300CD" w:rsidRPr="008C4A6A" w14:paraId="54317800" w14:textId="77777777" w:rsidTr="003D00CA">
        <w:trPr>
          <w:jc w:val="center"/>
        </w:trPr>
        <w:tc>
          <w:tcPr>
            <w:tcW w:w="1416" w:type="dxa"/>
          </w:tcPr>
          <w:p w14:paraId="2148B3FD" w14:textId="77777777" w:rsidR="00D300CD" w:rsidRPr="00212088" w:rsidRDefault="00D300CD" w:rsidP="0018752B">
            <w:pPr>
              <w:jc w:val="center"/>
              <w:rPr>
                <w:lang w:val="en-US"/>
              </w:rPr>
            </w:pPr>
            <w:r w:rsidRPr="00212088">
              <w:rPr>
                <w:lang w:val="en-US"/>
              </w:rPr>
              <w:t>Botromagno</w:t>
            </w:r>
          </w:p>
        </w:tc>
        <w:tc>
          <w:tcPr>
            <w:tcW w:w="3375" w:type="dxa"/>
          </w:tcPr>
          <w:p w14:paraId="7D2DBC36" w14:textId="77777777" w:rsidR="00D300CD" w:rsidRPr="00212088" w:rsidRDefault="00D300CD" w:rsidP="0018752B">
            <w:pPr>
              <w:jc w:val="center"/>
              <w:rPr>
                <w:lang w:val="en-US"/>
              </w:rPr>
            </w:pPr>
            <w:r w:rsidRPr="00212088">
              <w:rPr>
                <w:lang w:val="en-US"/>
              </w:rPr>
              <w:t>21/12/71 Tomba di bambino Ind. 1</w:t>
            </w:r>
          </w:p>
        </w:tc>
        <w:tc>
          <w:tcPr>
            <w:tcW w:w="1016" w:type="dxa"/>
          </w:tcPr>
          <w:p w14:paraId="5E9A6983" w14:textId="77777777" w:rsidR="00D300CD" w:rsidRPr="00212088" w:rsidRDefault="00D300CD" w:rsidP="0018752B">
            <w:pPr>
              <w:jc w:val="center"/>
              <w:rPr>
                <w:lang w:val="en-US"/>
              </w:rPr>
            </w:pPr>
            <w:r w:rsidRPr="00212088">
              <w:rPr>
                <w:lang w:val="en-US"/>
              </w:rPr>
              <w:t>T4</w:t>
            </w:r>
          </w:p>
        </w:tc>
        <w:tc>
          <w:tcPr>
            <w:tcW w:w="1591" w:type="dxa"/>
          </w:tcPr>
          <w:p w14:paraId="64CEB735" w14:textId="77777777" w:rsidR="00D300CD" w:rsidRPr="00212088" w:rsidRDefault="00D300CD" w:rsidP="0018752B">
            <w:pPr>
              <w:jc w:val="center"/>
              <w:rPr>
                <w:lang w:val="en-US"/>
              </w:rPr>
            </w:pPr>
            <w:r w:rsidRPr="00212088">
              <w:rPr>
                <w:lang w:val="en-US"/>
              </w:rPr>
              <w:t>Decid. molar</w:t>
            </w:r>
          </w:p>
        </w:tc>
        <w:tc>
          <w:tcPr>
            <w:tcW w:w="1259" w:type="dxa"/>
          </w:tcPr>
          <w:p w14:paraId="69574651" w14:textId="77777777" w:rsidR="00D300CD" w:rsidRPr="00212088" w:rsidRDefault="00D300CD" w:rsidP="0018752B">
            <w:pPr>
              <w:ind w:right="-113"/>
              <w:jc w:val="center"/>
              <w:rPr>
                <w:lang w:val="en-US"/>
              </w:rPr>
            </w:pPr>
            <w:r w:rsidRPr="00212088">
              <w:rPr>
                <w:lang w:val="en-US"/>
              </w:rPr>
              <w:t>6.4</w:t>
            </w:r>
          </w:p>
        </w:tc>
      </w:tr>
      <w:tr w:rsidR="00D300CD" w:rsidRPr="008C4A6A" w14:paraId="355BD471" w14:textId="77777777" w:rsidTr="003D00CA">
        <w:trPr>
          <w:jc w:val="center"/>
        </w:trPr>
        <w:tc>
          <w:tcPr>
            <w:tcW w:w="1416" w:type="dxa"/>
          </w:tcPr>
          <w:p w14:paraId="08D58B65" w14:textId="77777777" w:rsidR="00D300CD" w:rsidRPr="00212088" w:rsidRDefault="00D300CD" w:rsidP="0018752B">
            <w:pPr>
              <w:jc w:val="center"/>
              <w:rPr>
                <w:lang w:val="en-US"/>
              </w:rPr>
            </w:pPr>
            <w:r w:rsidRPr="00212088">
              <w:rPr>
                <w:lang w:val="en-US"/>
              </w:rPr>
              <w:t>Botromagno</w:t>
            </w:r>
          </w:p>
        </w:tc>
        <w:tc>
          <w:tcPr>
            <w:tcW w:w="3375" w:type="dxa"/>
          </w:tcPr>
          <w:p w14:paraId="03514AAE" w14:textId="77777777" w:rsidR="00D300CD" w:rsidRPr="00212088" w:rsidRDefault="00D300CD" w:rsidP="0018752B">
            <w:pPr>
              <w:jc w:val="center"/>
              <w:rPr>
                <w:lang w:val="en-US"/>
              </w:rPr>
            </w:pPr>
            <w:r w:rsidRPr="00212088">
              <w:rPr>
                <w:lang w:val="en-US"/>
              </w:rPr>
              <w:t>GS70 F25</w:t>
            </w:r>
          </w:p>
        </w:tc>
        <w:tc>
          <w:tcPr>
            <w:tcW w:w="1016" w:type="dxa"/>
          </w:tcPr>
          <w:p w14:paraId="60AAB666" w14:textId="77777777" w:rsidR="00D300CD" w:rsidRPr="00212088" w:rsidRDefault="00D300CD" w:rsidP="0018752B">
            <w:pPr>
              <w:jc w:val="center"/>
              <w:rPr>
                <w:lang w:val="en-US"/>
              </w:rPr>
            </w:pPr>
            <w:r w:rsidRPr="00212088">
              <w:rPr>
                <w:lang w:val="en-US"/>
              </w:rPr>
              <w:t>T5</w:t>
            </w:r>
          </w:p>
        </w:tc>
        <w:tc>
          <w:tcPr>
            <w:tcW w:w="1591" w:type="dxa"/>
          </w:tcPr>
          <w:p w14:paraId="102441F3" w14:textId="77777777" w:rsidR="00D300CD" w:rsidRPr="00212088" w:rsidRDefault="00D300CD" w:rsidP="0018752B">
            <w:pPr>
              <w:jc w:val="center"/>
              <w:rPr>
                <w:lang w:val="en-US"/>
              </w:rPr>
            </w:pPr>
            <w:r w:rsidRPr="00212088">
              <w:rPr>
                <w:lang w:val="en-US"/>
              </w:rPr>
              <w:t>Decid. molar</w:t>
            </w:r>
          </w:p>
        </w:tc>
        <w:tc>
          <w:tcPr>
            <w:tcW w:w="1259" w:type="dxa"/>
          </w:tcPr>
          <w:p w14:paraId="5A02B80E" w14:textId="77777777" w:rsidR="00D300CD" w:rsidRPr="00212088" w:rsidRDefault="00D300CD" w:rsidP="0018752B">
            <w:pPr>
              <w:ind w:right="-113"/>
              <w:jc w:val="center"/>
              <w:rPr>
                <w:lang w:val="en-US"/>
              </w:rPr>
            </w:pPr>
            <w:r w:rsidRPr="00212088">
              <w:rPr>
                <w:lang w:val="en-US"/>
              </w:rPr>
              <w:t>11.4</w:t>
            </w:r>
          </w:p>
        </w:tc>
      </w:tr>
      <w:tr w:rsidR="00D300CD" w:rsidRPr="008C4A6A" w14:paraId="4F16BD15" w14:textId="77777777" w:rsidTr="003D00CA">
        <w:trPr>
          <w:jc w:val="center"/>
        </w:trPr>
        <w:tc>
          <w:tcPr>
            <w:tcW w:w="1416" w:type="dxa"/>
          </w:tcPr>
          <w:p w14:paraId="1EF1C759" w14:textId="77777777" w:rsidR="00D300CD" w:rsidRPr="00212088" w:rsidRDefault="00D300CD" w:rsidP="0018752B">
            <w:pPr>
              <w:jc w:val="center"/>
              <w:rPr>
                <w:lang w:val="en-US"/>
              </w:rPr>
            </w:pPr>
            <w:r w:rsidRPr="00212088">
              <w:rPr>
                <w:lang w:val="en-US"/>
              </w:rPr>
              <w:t>Botromagno</w:t>
            </w:r>
          </w:p>
        </w:tc>
        <w:tc>
          <w:tcPr>
            <w:tcW w:w="3375" w:type="dxa"/>
          </w:tcPr>
          <w:p w14:paraId="3C796212" w14:textId="77777777" w:rsidR="00D300CD" w:rsidRPr="00212088" w:rsidRDefault="00D300CD" w:rsidP="0018752B">
            <w:pPr>
              <w:jc w:val="center"/>
              <w:rPr>
                <w:lang w:val="en-US"/>
              </w:rPr>
            </w:pPr>
            <w:r w:rsidRPr="00212088">
              <w:rPr>
                <w:lang w:val="en-US"/>
              </w:rPr>
              <w:t>1968 DB 1 Contents of Sarcophagus</w:t>
            </w:r>
          </w:p>
        </w:tc>
        <w:tc>
          <w:tcPr>
            <w:tcW w:w="1016" w:type="dxa"/>
          </w:tcPr>
          <w:p w14:paraId="17B423FC" w14:textId="77777777" w:rsidR="00D300CD" w:rsidRPr="00212088" w:rsidRDefault="00D300CD" w:rsidP="0018752B">
            <w:pPr>
              <w:jc w:val="center"/>
              <w:rPr>
                <w:lang w:val="en-US"/>
              </w:rPr>
            </w:pPr>
            <w:r w:rsidRPr="00212088">
              <w:rPr>
                <w:lang w:val="en-US"/>
              </w:rPr>
              <w:t>T6</w:t>
            </w:r>
          </w:p>
        </w:tc>
        <w:tc>
          <w:tcPr>
            <w:tcW w:w="1591" w:type="dxa"/>
          </w:tcPr>
          <w:p w14:paraId="74D52D0C" w14:textId="77777777" w:rsidR="00D300CD" w:rsidRPr="00212088" w:rsidRDefault="00D300CD" w:rsidP="0018752B">
            <w:pPr>
              <w:jc w:val="center"/>
              <w:rPr>
                <w:lang w:val="en-US"/>
              </w:rPr>
            </w:pPr>
            <w:r w:rsidRPr="00212088">
              <w:rPr>
                <w:lang w:val="en-US"/>
              </w:rPr>
              <w:t>Decid. molar</w:t>
            </w:r>
          </w:p>
        </w:tc>
        <w:tc>
          <w:tcPr>
            <w:tcW w:w="1259" w:type="dxa"/>
          </w:tcPr>
          <w:p w14:paraId="312E0F89" w14:textId="77777777" w:rsidR="00D300CD" w:rsidRPr="00212088" w:rsidRDefault="00D300CD" w:rsidP="0018752B">
            <w:pPr>
              <w:ind w:right="-113"/>
              <w:jc w:val="center"/>
              <w:rPr>
                <w:lang w:val="en-US"/>
              </w:rPr>
            </w:pPr>
            <w:r w:rsidRPr="00212088">
              <w:rPr>
                <w:lang w:val="en-US"/>
              </w:rPr>
              <w:t>4.5</w:t>
            </w:r>
          </w:p>
        </w:tc>
      </w:tr>
      <w:tr w:rsidR="00D300CD" w:rsidRPr="008C4A6A" w14:paraId="3F64DAFB" w14:textId="77777777" w:rsidTr="003D00CA">
        <w:trPr>
          <w:jc w:val="center"/>
        </w:trPr>
        <w:tc>
          <w:tcPr>
            <w:tcW w:w="1416" w:type="dxa"/>
          </w:tcPr>
          <w:p w14:paraId="36609EF4" w14:textId="77777777" w:rsidR="00D300CD" w:rsidRPr="00212088" w:rsidRDefault="00D300CD" w:rsidP="0018752B">
            <w:pPr>
              <w:jc w:val="center"/>
              <w:rPr>
                <w:lang w:val="en-US"/>
              </w:rPr>
            </w:pPr>
            <w:r w:rsidRPr="00212088">
              <w:rPr>
                <w:lang w:val="en-US"/>
              </w:rPr>
              <w:t>Botromagno</w:t>
            </w:r>
          </w:p>
        </w:tc>
        <w:tc>
          <w:tcPr>
            <w:tcW w:w="3375" w:type="dxa"/>
          </w:tcPr>
          <w:p w14:paraId="33BEC5B1" w14:textId="77777777" w:rsidR="00D300CD" w:rsidRPr="00212088" w:rsidRDefault="00D300CD" w:rsidP="0018752B">
            <w:pPr>
              <w:jc w:val="center"/>
              <w:rPr>
                <w:lang w:val="en-US"/>
              </w:rPr>
            </w:pPr>
            <w:r w:rsidRPr="00212088">
              <w:rPr>
                <w:lang w:val="en-US"/>
              </w:rPr>
              <w:t>G67/I S5 small tomb</w:t>
            </w:r>
          </w:p>
        </w:tc>
        <w:tc>
          <w:tcPr>
            <w:tcW w:w="1016" w:type="dxa"/>
          </w:tcPr>
          <w:p w14:paraId="38B2E2FB" w14:textId="77777777" w:rsidR="00D300CD" w:rsidRPr="00212088" w:rsidRDefault="00D300CD" w:rsidP="0018752B">
            <w:pPr>
              <w:jc w:val="center"/>
              <w:rPr>
                <w:lang w:val="en-US"/>
              </w:rPr>
            </w:pPr>
            <w:r w:rsidRPr="00212088">
              <w:rPr>
                <w:lang w:val="en-US"/>
              </w:rPr>
              <w:t>T7</w:t>
            </w:r>
          </w:p>
        </w:tc>
        <w:tc>
          <w:tcPr>
            <w:tcW w:w="1591" w:type="dxa"/>
          </w:tcPr>
          <w:p w14:paraId="41BA7C31" w14:textId="77777777" w:rsidR="00D300CD" w:rsidRPr="00212088" w:rsidRDefault="00D300CD" w:rsidP="0018752B">
            <w:pPr>
              <w:jc w:val="center"/>
              <w:rPr>
                <w:lang w:val="en-US"/>
              </w:rPr>
            </w:pPr>
            <w:r w:rsidRPr="00212088">
              <w:rPr>
                <w:lang w:val="en-US"/>
              </w:rPr>
              <w:t>Decid. molar</w:t>
            </w:r>
          </w:p>
        </w:tc>
        <w:tc>
          <w:tcPr>
            <w:tcW w:w="1259" w:type="dxa"/>
          </w:tcPr>
          <w:p w14:paraId="2A3B48CE" w14:textId="77777777" w:rsidR="00D300CD" w:rsidRPr="00212088" w:rsidRDefault="00D300CD" w:rsidP="0018752B">
            <w:pPr>
              <w:ind w:right="-113"/>
              <w:jc w:val="center"/>
              <w:rPr>
                <w:lang w:val="en-US"/>
              </w:rPr>
            </w:pPr>
            <w:r w:rsidRPr="00212088">
              <w:rPr>
                <w:lang w:val="en-US"/>
              </w:rPr>
              <w:t>7.0</w:t>
            </w:r>
          </w:p>
        </w:tc>
      </w:tr>
      <w:tr w:rsidR="00D300CD" w:rsidRPr="008C4A6A" w14:paraId="5EF17D66" w14:textId="77777777" w:rsidTr="003D00CA">
        <w:trPr>
          <w:jc w:val="center"/>
        </w:trPr>
        <w:tc>
          <w:tcPr>
            <w:tcW w:w="1416" w:type="dxa"/>
          </w:tcPr>
          <w:p w14:paraId="1B31A85A" w14:textId="77777777" w:rsidR="00D300CD" w:rsidRPr="00212088" w:rsidRDefault="00D300CD" w:rsidP="0018752B">
            <w:pPr>
              <w:jc w:val="center"/>
              <w:rPr>
                <w:lang w:val="en-US"/>
              </w:rPr>
            </w:pPr>
            <w:r w:rsidRPr="00212088">
              <w:rPr>
                <w:lang w:val="en-US"/>
              </w:rPr>
              <w:t>Botromagno</w:t>
            </w:r>
          </w:p>
        </w:tc>
        <w:tc>
          <w:tcPr>
            <w:tcW w:w="3375" w:type="dxa"/>
          </w:tcPr>
          <w:p w14:paraId="5B143E04" w14:textId="77777777" w:rsidR="00D300CD" w:rsidRPr="00212088" w:rsidRDefault="00D300CD" w:rsidP="0018752B">
            <w:pPr>
              <w:jc w:val="center"/>
              <w:rPr>
                <w:lang w:val="en-US"/>
              </w:rPr>
            </w:pPr>
            <w:r w:rsidRPr="00212088">
              <w:rPr>
                <w:lang w:val="en-US"/>
              </w:rPr>
              <w:t>1967 G67/I SG-Tomb 6(2) Infill 1</w:t>
            </w:r>
          </w:p>
        </w:tc>
        <w:tc>
          <w:tcPr>
            <w:tcW w:w="1016" w:type="dxa"/>
          </w:tcPr>
          <w:p w14:paraId="329BF792" w14:textId="77777777" w:rsidR="00D300CD" w:rsidRPr="00212088" w:rsidRDefault="00D300CD" w:rsidP="0018752B">
            <w:pPr>
              <w:jc w:val="center"/>
              <w:rPr>
                <w:lang w:val="en-US"/>
              </w:rPr>
            </w:pPr>
            <w:r w:rsidRPr="00212088">
              <w:rPr>
                <w:lang w:val="en-US"/>
              </w:rPr>
              <w:t>T8</w:t>
            </w:r>
          </w:p>
        </w:tc>
        <w:tc>
          <w:tcPr>
            <w:tcW w:w="1591" w:type="dxa"/>
          </w:tcPr>
          <w:p w14:paraId="247566E5" w14:textId="77777777" w:rsidR="00D300CD" w:rsidRPr="00212088" w:rsidRDefault="00D300CD" w:rsidP="0018752B">
            <w:pPr>
              <w:jc w:val="center"/>
              <w:rPr>
                <w:lang w:val="en-US"/>
              </w:rPr>
            </w:pPr>
            <w:r w:rsidRPr="00212088">
              <w:rPr>
                <w:lang w:val="en-US"/>
              </w:rPr>
              <w:t>Decid. molar</w:t>
            </w:r>
          </w:p>
        </w:tc>
        <w:tc>
          <w:tcPr>
            <w:tcW w:w="1259" w:type="dxa"/>
          </w:tcPr>
          <w:p w14:paraId="46F92446" w14:textId="77777777" w:rsidR="00D300CD" w:rsidRPr="00212088" w:rsidRDefault="00D300CD" w:rsidP="0018752B">
            <w:pPr>
              <w:ind w:right="-113"/>
              <w:jc w:val="center"/>
              <w:rPr>
                <w:lang w:val="en-US"/>
              </w:rPr>
            </w:pPr>
            <w:r w:rsidRPr="00212088">
              <w:rPr>
                <w:lang w:val="en-US"/>
              </w:rPr>
              <w:t>4.2</w:t>
            </w:r>
          </w:p>
        </w:tc>
      </w:tr>
      <w:tr w:rsidR="00D300CD" w:rsidRPr="008C4A6A" w14:paraId="2C518791" w14:textId="77777777" w:rsidTr="003D00CA">
        <w:trPr>
          <w:jc w:val="center"/>
        </w:trPr>
        <w:tc>
          <w:tcPr>
            <w:tcW w:w="1416" w:type="dxa"/>
          </w:tcPr>
          <w:p w14:paraId="7164A870" w14:textId="77777777" w:rsidR="00D300CD" w:rsidRPr="00212088" w:rsidRDefault="00D300CD" w:rsidP="0018752B">
            <w:pPr>
              <w:jc w:val="center"/>
              <w:rPr>
                <w:lang w:val="en-US"/>
              </w:rPr>
            </w:pPr>
            <w:r w:rsidRPr="00212088">
              <w:rPr>
                <w:color w:val="000000" w:themeColor="text1"/>
                <w:lang w:val="en-US"/>
              </w:rPr>
              <w:t>Parco San Stefano</w:t>
            </w:r>
          </w:p>
        </w:tc>
        <w:tc>
          <w:tcPr>
            <w:tcW w:w="3375" w:type="dxa"/>
          </w:tcPr>
          <w:p w14:paraId="3D9ED097" w14:textId="77777777" w:rsidR="00D300CD" w:rsidRPr="00212088" w:rsidRDefault="00D300CD" w:rsidP="0018752B">
            <w:pPr>
              <w:jc w:val="center"/>
              <w:rPr>
                <w:lang w:val="en-US"/>
              </w:rPr>
            </w:pPr>
            <w:r w:rsidRPr="00212088">
              <w:rPr>
                <w:lang w:val="en-US"/>
              </w:rPr>
              <w:t>No Label #2</w:t>
            </w:r>
          </w:p>
        </w:tc>
        <w:tc>
          <w:tcPr>
            <w:tcW w:w="1016" w:type="dxa"/>
          </w:tcPr>
          <w:p w14:paraId="10B50D18" w14:textId="77777777" w:rsidR="00D300CD" w:rsidRPr="00212088" w:rsidRDefault="00D300CD" w:rsidP="0018752B">
            <w:pPr>
              <w:jc w:val="center"/>
              <w:rPr>
                <w:lang w:val="en-US"/>
              </w:rPr>
            </w:pPr>
            <w:r w:rsidRPr="00212088">
              <w:rPr>
                <w:lang w:val="en-US"/>
              </w:rPr>
              <w:t>T9</w:t>
            </w:r>
          </w:p>
        </w:tc>
        <w:tc>
          <w:tcPr>
            <w:tcW w:w="1591" w:type="dxa"/>
          </w:tcPr>
          <w:p w14:paraId="0CC41C33" w14:textId="77777777" w:rsidR="00D300CD" w:rsidRPr="00212088" w:rsidRDefault="00D300CD" w:rsidP="0018752B">
            <w:pPr>
              <w:jc w:val="center"/>
              <w:rPr>
                <w:lang w:val="en-US"/>
              </w:rPr>
            </w:pPr>
            <w:r w:rsidRPr="00212088">
              <w:rPr>
                <w:lang w:val="en-US"/>
              </w:rPr>
              <w:t>Decid. molar</w:t>
            </w:r>
          </w:p>
        </w:tc>
        <w:tc>
          <w:tcPr>
            <w:tcW w:w="1259" w:type="dxa"/>
          </w:tcPr>
          <w:p w14:paraId="5A7A9922" w14:textId="77777777" w:rsidR="00D300CD" w:rsidRPr="00212088" w:rsidRDefault="00D300CD" w:rsidP="0018752B">
            <w:pPr>
              <w:ind w:right="-113"/>
              <w:jc w:val="center"/>
              <w:rPr>
                <w:lang w:val="en-US"/>
              </w:rPr>
            </w:pPr>
            <w:r w:rsidRPr="00212088">
              <w:rPr>
                <w:lang w:val="en-US"/>
              </w:rPr>
              <w:t>11.0</w:t>
            </w:r>
          </w:p>
        </w:tc>
      </w:tr>
      <w:tr w:rsidR="00D300CD" w:rsidRPr="008C4A6A" w14:paraId="6D7DCCCD" w14:textId="77777777" w:rsidTr="003D00CA">
        <w:trPr>
          <w:jc w:val="center"/>
        </w:trPr>
        <w:tc>
          <w:tcPr>
            <w:tcW w:w="1416" w:type="dxa"/>
          </w:tcPr>
          <w:p w14:paraId="4ECA93D3" w14:textId="77777777" w:rsidR="00D300CD" w:rsidRPr="00212088" w:rsidRDefault="00D300CD" w:rsidP="0018752B">
            <w:pPr>
              <w:jc w:val="center"/>
              <w:rPr>
                <w:lang w:val="en-US"/>
              </w:rPr>
            </w:pPr>
            <w:r w:rsidRPr="00212088">
              <w:rPr>
                <w:lang w:val="en-US"/>
              </w:rPr>
              <w:t>Botromagno</w:t>
            </w:r>
          </w:p>
        </w:tc>
        <w:tc>
          <w:tcPr>
            <w:tcW w:w="3375" w:type="dxa"/>
          </w:tcPr>
          <w:p w14:paraId="4C95F0CD" w14:textId="77777777" w:rsidR="00D300CD" w:rsidRPr="00212088" w:rsidRDefault="00D300CD" w:rsidP="0018752B">
            <w:pPr>
              <w:jc w:val="center"/>
              <w:rPr>
                <w:lang w:val="en-US"/>
              </w:rPr>
            </w:pPr>
            <w:r w:rsidRPr="00212088">
              <w:rPr>
                <w:lang w:val="en-US"/>
              </w:rPr>
              <w:t>1972 Area NA Burial 1 of A-1</w:t>
            </w:r>
          </w:p>
        </w:tc>
        <w:tc>
          <w:tcPr>
            <w:tcW w:w="1016" w:type="dxa"/>
          </w:tcPr>
          <w:p w14:paraId="2F43B893" w14:textId="77777777" w:rsidR="00D300CD" w:rsidRPr="00212088" w:rsidRDefault="00D300CD" w:rsidP="0018752B">
            <w:pPr>
              <w:jc w:val="center"/>
              <w:rPr>
                <w:lang w:val="en-US"/>
              </w:rPr>
            </w:pPr>
            <w:r w:rsidRPr="00212088">
              <w:rPr>
                <w:lang w:val="en-US"/>
              </w:rPr>
              <w:t>T10</w:t>
            </w:r>
          </w:p>
        </w:tc>
        <w:tc>
          <w:tcPr>
            <w:tcW w:w="1591" w:type="dxa"/>
          </w:tcPr>
          <w:p w14:paraId="540C998C" w14:textId="77777777" w:rsidR="00D300CD" w:rsidRPr="00212088" w:rsidRDefault="00D300CD" w:rsidP="0018752B">
            <w:pPr>
              <w:jc w:val="center"/>
              <w:rPr>
                <w:lang w:val="en-US"/>
              </w:rPr>
            </w:pPr>
            <w:r w:rsidRPr="00212088">
              <w:rPr>
                <w:lang w:val="en-US"/>
              </w:rPr>
              <w:t>Decid. molar</w:t>
            </w:r>
          </w:p>
        </w:tc>
        <w:tc>
          <w:tcPr>
            <w:tcW w:w="1259" w:type="dxa"/>
          </w:tcPr>
          <w:p w14:paraId="026B67E7" w14:textId="77777777" w:rsidR="00D300CD" w:rsidRPr="00212088" w:rsidRDefault="00D300CD" w:rsidP="0018752B">
            <w:pPr>
              <w:ind w:right="-113"/>
              <w:jc w:val="center"/>
              <w:rPr>
                <w:lang w:val="en-US"/>
              </w:rPr>
            </w:pPr>
            <w:r w:rsidRPr="00212088">
              <w:rPr>
                <w:lang w:val="en-US"/>
              </w:rPr>
              <w:t>4.9</w:t>
            </w:r>
          </w:p>
        </w:tc>
      </w:tr>
      <w:tr w:rsidR="00D300CD" w:rsidRPr="008C4A6A" w14:paraId="226F5570" w14:textId="77777777" w:rsidTr="003D00CA">
        <w:trPr>
          <w:jc w:val="center"/>
        </w:trPr>
        <w:tc>
          <w:tcPr>
            <w:tcW w:w="1416" w:type="dxa"/>
          </w:tcPr>
          <w:p w14:paraId="0E26C40C" w14:textId="77777777" w:rsidR="00D300CD" w:rsidRPr="00212088" w:rsidRDefault="00D300CD" w:rsidP="0018752B">
            <w:pPr>
              <w:jc w:val="center"/>
              <w:rPr>
                <w:lang w:val="en-US"/>
              </w:rPr>
            </w:pPr>
            <w:r w:rsidRPr="00212088">
              <w:rPr>
                <w:lang w:val="en-US"/>
              </w:rPr>
              <w:t>Botromagno</w:t>
            </w:r>
          </w:p>
        </w:tc>
        <w:tc>
          <w:tcPr>
            <w:tcW w:w="3375" w:type="dxa"/>
          </w:tcPr>
          <w:p w14:paraId="003BB63D" w14:textId="77777777" w:rsidR="00D300CD" w:rsidRPr="00212088" w:rsidRDefault="00D300CD" w:rsidP="0018752B">
            <w:pPr>
              <w:jc w:val="center"/>
              <w:rPr>
                <w:lang w:val="en-US"/>
              </w:rPr>
            </w:pPr>
            <w:r w:rsidRPr="00212088">
              <w:rPr>
                <w:lang w:val="en-US"/>
              </w:rPr>
              <w:t>G67/I P15 S19</w:t>
            </w:r>
          </w:p>
        </w:tc>
        <w:tc>
          <w:tcPr>
            <w:tcW w:w="1016" w:type="dxa"/>
          </w:tcPr>
          <w:p w14:paraId="0DCAE647" w14:textId="77777777" w:rsidR="00D300CD" w:rsidRPr="00212088" w:rsidRDefault="00D300CD" w:rsidP="0018752B">
            <w:pPr>
              <w:jc w:val="center"/>
              <w:rPr>
                <w:lang w:val="en-US"/>
              </w:rPr>
            </w:pPr>
            <w:r w:rsidRPr="00212088">
              <w:rPr>
                <w:lang w:val="en-US"/>
              </w:rPr>
              <w:t>T11</w:t>
            </w:r>
          </w:p>
        </w:tc>
        <w:tc>
          <w:tcPr>
            <w:tcW w:w="1591" w:type="dxa"/>
          </w:tcPr>
          <w:p w14:paraId="3BF0FA67" w14:textId="77777777" w:rsidR="00D300CD" w:rsidRPr="00212088" w:rsidRDefault="00D300CD" w:rsidP="0018752B">
            <w:pPr>
              <w:jc w:val="center"/>
              <w:rPr>
                <w:lang w:val="en-US"/>
              </w:rPr>
            </w:pPr>
            <w:r w:rsidRPr="00212088">
              <w:rPr>
                <w:lang w:val="en-US"/>
              </w:rPr>
              <w:t>Decid. molar</w:t>
            </w:r>
          </w:p>
        </w:tc>
        <w:tc>
          <w:tcPr>
            <w:tcW w:w="1259" w:type="dxa"/>
          </w:tcPr>
          <w:p w14:paraId="26C303A3" w14:textId="77777777" w:rsidR="00D300CD" w:rsidRPr="00212088" w:rsidRDefault="00D300CD" w:rsidP="0018752B">
            <w:pPr>
              <w:ind w:right="-113"/>
              <w:jc w:val="center"/>
              <w:rPr>
                <w:lang w:val="en-US"/>
              </w:rPr>
            </w:pPr>
            <w:r w:rsidRPr="00212088">
              <w:rPr>
                <w:lang w:val="en-US"/>
              </w:rPr>
              <w:t>7.0</w:t>
            </w:r>
          </w:p>
        </w:tc>
      </w:tr>
      <w:tr w:rsidR="00D300CD" w:rsidRPr="008C4A6A" w14:paraId="41CA1210" w14:textId="77777777" w:rsidTr="003D00CA">
        <w:trPr>
          <w:jc w:val="center"/>
        </w:trPr>
        <w:tc>
          <w:tcPr>
            <w:tcW w:w="1416" w:type="dxa"/>
          </w:tcPr>
          <w:p w14:paraId="242D7FA2" w14:textId="77777777" w:rsidR="00D300CD" w:rsidRPr="00212088" w:rsidRDefault="00D300CD" w:rsidP="0018752B">
            <w:pPr>
              <w:jc w:val="center"/>
              <w:rPr>
                <w:lang w:val="en-US"/>
              </w:rPr>
            </w:pPr>
            <w:r w:rsidRPr="00212088">
              <w:rPr>
                <w:lang w:val="en-US"/>
              </w:rPr>
              <w:t>Botromagno</w:t>
            </w:r>
          </w:p>
        </w:tc>
        <w:tc>
          <w:tcPr>
            <w:tcW w:w="3375" w:type="dxa"/>
          </w:tcPr>
          <w:p w14:paraId="00862A72" w14:textId="77777777" w:rsidR="00D300CD" w:rsidRPr="00212088" w:rsidRDefault="00D300CD" w:rsidP="0018752B">
            <w:pPr>
              <w:jc w:val="center"/>
              <w:rPr>
                <w:lang w:val="en-US"/>
              </w:rPr>
            </w:pPr>
            <w:r w:rsidRPr="00212088">
              <w:rPr>
                <w:lang w:val="en-US"/>
              </w:rPr>
              <w:t>G67 Site C RZ3 Pit 3 tomb infill</w:t>
            </w:r>
          </w:p>
        </w:tc>
        <w:tc>
          <w:tcPr>
            <w:tcW w:w="1016" w:type="dxa"/>
          </w:tcPr>
          <w:p w14:paraId="3616FA8E" w14:textId="77777777" w:rsidR="00D300CD" w:rsidRPr="00212088" w:rsidRDefault="00D300CD" w:rsidP="0018752B">
            <w:pPr>
              <w:jc w:val="center"/>
              <w:rPr>
                <w:lang w:val="en-US"/>
              </w:rPr>
            </w:pPr>
            <w:r w:rsidRPr="00212088">
              <w:rPr>
                <w:lang w:val="en-US"/>
              </w:rPr>
              <w:t>T12</w:t>
            </w:r>
          </w:p>
        </w:tc>
        <w:tc>
          <w:tcPr>
            <w:tcW w:w="1591" w:type="dxa"/>
          </w:tcPr>
          <w:p w14:paraId="2A96FAB2" w14:textId="77777777" w:rsidR="00D300CD" w:rsidRPr="00212088" w:rsidRDefault="00D300CD" w:rsidP="0018752B">
            <w:pPr>
              <w:jc w:val="center"/>
              <w:rPr>
                <w:lang w:val="en-US"/>
              </w:rPr>
            </w:pPr>
            <w:r w:rsidRPr="00212088">
              <w:rPr>
                <w:lang w:val="en-US"/>
              </w:rPr>
              <w:t>Perm. molar</w:t>
            </w:r>
          </w:p>
        </w:tc>
        <w:tc>
          <w:tcPr>
            <w:tcW w:w="1259" w:type="dxa"/>
          </w:tcPr>
          <w:p w14:paraId="7D1C4D2F" w14:textId="77777777" w:rsidR="00D300CD" w:rsidRPr="00212088" w:rsidRDefault="00D300CD" w:rsidP="0018752B">
            <w:pPr>
              <w:ind w:right="-113"/>
              <w:jc w:val="center"/>
              <w:rPr>
                <w:lang w:val="en-US"/>
              </w:rPr>
            </w:pPr>
            <w:r w:rsidRPr="00212088">
              <w:rPr>
                <w:lang w:val="en-US"/>
              </w:rPr>
              <w:t>8.7</w:t>
            </w:r>
          </w:p>
        </w:tc>
      </w:tr>
      <w:tr w:rsidR="00D300CD" w:rsidRPr="008C4A6A" w14:paraId="6B505767" w14:textId="77777777" w:rsidTr="003D00CA">
        <w:trPr>
          <w:jc w:val="center"/>
        </w:trPr>
        <w:tc>
          <w:tcPr>
            <w:tcW w:w="1416" w:type="dxa"/>
          </w:tcPr>
          <w:p w14:paraId="0023D1BF" w14:textId="77777777" w:rsidR="00D300CD" w:rsidRPr="00212088" w:rsidRDefault="00D300CD" w:rsidP="0018752B">
            <w:pPr>
              <w:jc w:val="center"/>
              <w:rPr>
                <w:lang w:val="en-US"/>
              </w:rPr>
            </w:pPr>
            <w:r w:rsidRPr="00212088">
              <w:rPr>
                <w:lang w:val="en-US"/>
              </w:rPr>
              <w:t>Botromagno</w:t>
            </w:r>
          </w:p>
        </w:tc>
        <w:tc>
          <w:tcPr>
            <w:tcW w:w="3375" w:type="dxa"/>
          </w:tcPr>
          <w:p w14:paraId="79324F5F" w14:textId="77777777" w:rsidR="00D300CD" w:rsidRPr="00212088" w:rsidRDefault="00D300CD" w:rsidP="0018752B">
            <w:pPr>
              <w:jc w:val="center"/>
              <w:rPr>
                <w:lang w:val="en-US"/>
              </w:rPr>
            </w:pPr>
            <w:r w:rsidRPr="00212088">
              <w:rPr>
                <w:lang w:val="en-US"/>
              </w:rPr>
              <w:t>Botr 1972 Grave 2 bottom burial</w:t>
            </w:r>
          </w:p>
        </w:tc>
        <w:tc>
          <w:tcPr>
            <w:tcW w:w="1016" w:type="dxa"/>
          </w:tcPr>
          <w:p w14:paraId="1A1BD831" w14:textId="77777777" w:rsidR="00D300CD" w:rsidRPr="00212088" w:rsidRDefault="00D300CD" w:rsidP="0018752B">
            <w:pPr>
              <w:jc w:val="center"/>
              <w:rPr>
                <w:lang w:val="en-US"/>
              </w:rPr>
            </w:pPr>
            <w:r w:rsidRPr="00212088">
              <w:rPr>
                <w:lang w:val="en-US"/>
              </w:rPr>
              <w:t>T13</w:t>
            </w:r>
          </w:p>
        </w:tc>
        <w:tc>
          <w:tcPr>
            <w:tcW w:w="1591" w:type="dxa"/>
          </w:tcPr>
          <w:p w14:paraId="39418839" w14:textId="77777777" w:rsidR="00D300CD" w:rsidRPr="00212088" w:rsidRDefault="00D300CD" w:rsidP="0018752B">
            <w:pPr>
              <w:jc w:val="center"/>
              <w:rPr>
                <w:lang w:val="en-US"/>
              </w:rPr>
            </w:pPr>
            <w:r w:rsidRPr="00212088">
              <w:rPr>
                <w:lang w:val="en-US"/>
              </w:rPr>
              <w:t>Perm. molar</w:t>
            </w:r>
          </w:p>
        </w:tc>
        <w:tc>
          <w:tcPr>
            <w:tcW w:w="1259" w:type="dxa"/>
          </w:tcPr>
          <w:p w14:paraId="2213C3EE" w14:textId="77777777" w:rsidR="00D300CD" w:rsidRPr="00212088" w:rsidRDefault="00D300CD" w:rsidP="0018752B">
            <w:pPr>
              <w:ind w:right="-113"/>
              <w:jc w:val="center"/>
              <w:rPr>
                <w:lang w:val="en-US"/>
              </w:rPr>
            </w:pPr>
            <w:r w:rsidRPr="00212088">
              <w:rPr>
                <w:lang w:val="en-US"/>
              </w:rPr>
              <w:t>8.9</w:t>
            </w:r>
          </w:p>
        </w:tc>
      </w:tr>
      <w:tr w:rsidR="00D300CD" w:rsidRPr="008C4A6A" w14:paraId="48E62979" w14:textId="77777777" w:rsidTr="003D00CA">
        <w:trPr>
          <w:jc w:val="center"/>
        </w:trPr>
        <w:tc>
          <w:tcPr>
            <w:tcW w:w="1416" w:type="dxa"/>
          </w:tcPr>
          <w:p w14:paraId="0435F160" w14:textId="77777777" w:rsidR="00D300CD" w:rsidRPr="00212088" w:rsidRDefault="00D300CD" w:rsidP="0018752B">
            <w:pPr>
              <w:jc w:val="center"/>
              <w:rPr>
                <w:color w:val="FF0000"/>
                <w:lang w:val="en-US"/>
              </w:rPr>
            </w:pPr>
            <w:r w:rsidRPr="00212088">
              <w:rPr>
                <w:color w:val="000000" w:themeColor="text1"/>
                <w:lang w:val="en-US"/>
              </w:rPr>
              <w:t>Botromagno</w:t>
            </w:r>
          </w:p>
        </w:tc>
        <w:tc>
          <w:tcPr>
            <w:tcW w:w="3375" w:type="dxa"/>
          </w:tcPr>
          <w:p w14:paraId="2479932B" w14:textId="77777777" w:rsidR="00D300CD" w:rsidRPr="00212088" w:rsidRDefault="00D300CD" w:rsidP="0018752B">
            <w:pPr>
              <w:jc w:val="center"/>
              <w:rPr>
                <w:color w:val="000000" w:themeColor="text1"/>
                <w:lang w:val="en-US"/>
              </w:rPr>
            </w:pPr>
            <w:r w:rsidRPr="00212088">
              <w:rPr>
                <w:color w:val="000000" w:themeColor="text1"/>
                <w:lang w:val="en-US"/>
              </w:rPr>
              <w:t>No label #3 (box 6)</w:t>
            </w:r>
          </w:p>
        </w:tc>
        <w:tc>
          <w:tcPr>
            <w:tcW w:w="1016" w:type="dxa"/>
          </w:tcPr>
          <w:p w14:paraId="670FA14D" w14:textId="77777777" w:rsidR="00D300CD" w:rsidRPr="00212088" w:rsidRDefault="00D300CD" w:rsidP="0018752B">
            <w:pPr>
              <w:jc w:val="center"/>
              <w:rPr>
                <w:lang w:val="en-US"/>
              </w:rPr>
            </w:pPr>
            <w:r w:rsidRPr="00212088">
              <w:rPr>
                <w:lang w:val="en-US"/>
              </w:rPr>
              <w:t>T15</w:t>
            </w:r>
          </w:p>
        </w:tc>
        <w:tc>
          <w:tcPr>
            <w:tcW w:w="1591" w:type="dxa"/>
          </w:tcPr>
          <w:p w14:paraId="5DABE827" w14:textId="77777777" w:rsidR="00D300CD" w:rsidRPr="00212088" w:rsidRDefault="00D300CD" w:rsidP="0018752B">
            <w:pPr>
              <w:jc w:val="center"/>
              <w:rPr>
                <w:lang w:val="en-US"/>
              </w:rPr>
            </w:pPr>
            <w:r w:rsidRPr="00212088">
              <w:rPr>
                <w:lang w:val="en-US"/>
              </w:rPr>
              <w:t>Perm. molar</w:t>
            </w:r>
          </w:p>
        </w:tc>
        <w:tc>
          <w:tcPr>
            <w:tcW w:w="1259" w:type="dxa"/>
          </w:tcPr>
          <w:p w14:paraId="26F61090" w14:textId="77777777" w:rsidR="00D300CD" w:rsidRPr="00212088" w:rsidRDefault="00D300CD" w:rsidP="0018752B">
            <w:pPr>
              <w:ind w:right="-113"/>
              <w:jc w:val="center"/>
              <w:rPr>
                <w:lang w:val="en-US"/>
              </w:rPr>
            </w:pPr>
            <w:r w:rsidRPr="00212088">
              <w:rPr>
                <w:lang w:val="en-US"/>
              </w:rPr>
              <w:t>13.2</w:t>
            </w:r>
          </w:p>
        </w:tc>
      </w:tr>
      <w:tr w:rsidR="00D300CD" w:rsidRPr="008C4A6A" w14:paraId="08B29F6D" w14:textId="77777777" w:rsidTr="003D00CA">
        <w:trPr>
          <w:jc w:val="center"/>
        </w:trPr>
        <w:tc>
          <w:tcPr>
            <w:tcW w:w="1416" w:type="dxa"/>
          </w:tcPr>
          <w:p w14:paraId="40D1D389" w14:textId="77777777" w:rsidR="00D300CD" w:rsidRPr="00212088" w:rsidRDefault="00D300CD" w:rsidP="0018752B">
            <w:pPr>
              <w:jc w:val="center"/>
              <w:rPr>
                <w:color w:val="FF0000"/>
                <w:lang w:val="en-US"/>
              </w:rPr>
            </w:pPr>
            <w:r w:rsidRPr="00212088">
              <w:rPr>
                <w:color w:val="000000" w:themeColor="text1"/>
                <w:lang w:val="en-US"/>
              </w:rPr>
              <w:t>Botromagno</w:t>
            </w:r>
          </w:p>
        </w:tc>
        <w:tc>
          <w:tcPr>
            <w:tcW w:w="3375" w:type="dxa"/>
          </w:tcPr>
          <w:p w14:paraId="4CACFAAC" w14:textId="77777777" w:rsidR="00D300CD" w:rsidRPr="00212088" w:rsidRDefault="00D300CD" w:rsidP="0018752B">
            <w:pPr>
              <w:jc w:val="center"/>
              <w:rPr>
                <w:color w:val="000000" w:themeColor="text1"/>
                <w:lang w:val="en-US"/>
              </w:rPr>
            </w:pPr>
            <w:r w:rsidRPr="00212088">
              <w:rPr>
                <w:color w:val="000000" w:themeColor="text1"/>
                <w:lang w:val="en-US"/>
              </w:rPr>
              <w:t>BOTR F5 20108 Layer 1047 Skull</w:t>
            </w:r>
          </w:p>
        </w:tc>
        <w:tc>
          <w:tcPr>
            <w:tcW w:w="1016" w:type="dxa"/>
          </w:tcPr>
          <w:p w14:paraId="23197267" w14:textId="77777777" w:rsidR="00D300CD" w:rsidRPr="00212088" w:rsidRDefault="00D300CD" w:rsidP="0018752B">
            <w:pPr>
              <w:jc w:val="center"/>
              <w:rPr>
                <w:lang w:val="en-US"/>
              </w:rPr>
            </w:pPr>
            <w:r w:rsidRPr="00212088">
              <w:rPr>
                <w:lang w:val="en-US"/>
              </w:rPr>
              <w:t>T16</w:t>
            </w:r>
          </w:p>
        </w:tc>
        <w:tc>
          <w:tcPr>
            <w:tcW w:w="1591" w:type="dxa"/>
          </w:tcPr>
          <w:p w14:paraId="22468BB2" w14:textId="77777777" w:rsidR="00D300CD" w:rsidRPr="00212088" w:rsidRDefault="00D300CD" w:rsidP="0018752B">
            <w:pPr>
              <w:jc w:val="center"/>
              <w:rPr>
                <w:lang w:val="en-US"/>
              </w:rPr>
            </w:pPr>
            <w:r w:rsidRPr="00212088">
              <w:rPr>
                <w:lang w:val="en-US"/>
              </w:rPr>
              <w:t>Perm. molar</w:t>
            </w:r>
          </w:p>
        </w:tc>
        <w:tc>
          <w:tcPr>
            <w:tcW w:w="1259" w:type="dxa"/>
          </w:tcPr>
          <w:p w14:paraId="076A00F0" w14:textId="77777777" w:rsidR="00D300CD" w:rsidRPr="00212088" w:rsidRDefault="00D300CD" w:rsidP="0018752B">
            <w:pPr>
              <w:ind w:right="-113"/>
              <w:jc w:val="center"/>
              <w:rPr>
                <w:lang w:val="en-US"/>
              </w:rPr>
            </w:pPr>
            <w:r w:rsidRPr="00212088">
              <w:rPr>
                <w:lang w:val="en-US"/>
              </w:rPr>
              <w:t>14.4</w:t>
            </w:r>
          </w:p>
        </w:tc>
      </w:tr>
      <w:tr w:rsidR="00D300CD" w:rsidRPr="008C4A6A" w14:paraId="34193BAE" w14:textId="77777777" w:rsidTr="003D00CA">
        <w:trPr>
          <w:jc w:val="center"/>
        </w:trPr>
        <w:tc>
          <w:tcPr>
            <w:tcW w:w="1416" w:type="dxa"/>
          </w:tcPr>
          <w:p w14:paraId="479AE0D4" w14:textId="77777777" w:rsidR="00D300CD" w:rsidRPr="00212088" w:rsidRDefault="00D300CD" w:rsidP="0018752B">
            <w:pPr>
              <w:jc w:val="center"/>
              <w:rPr>
                <w:color w:val="000000" w:themeColor="text1"/>
                <w:lang w:val="en-US"/>
              </w:rPr>
            </w:pPr>
            <w:r w:rsidRPr="00212088">
              <w:rPr>
                <w:color w:val="000000" w:themeColor="text1"/>
                <w:lang w:val="en-US"/>
              </w:rPr>
              <w:t>Parco San Stefano</w:t>
            </w:r>
          </w:p>
        </w:tc>
        <w:tc>
          <w:tcPr>
            <w:tcW w:w="3375" w:type="dxa"/>
          </w:tcPr>
          <w:p w14:paraId="1BB002C1" w14:textId="77777777" w:rsidR="00D300CD" w:rsidRPr="00212088" w:rsidRDefault="00D300CD" w:rsidP="0018752B">
            <w:pPr>
              <w:jc w:val="center"/>
              <w:rPr>
                <w:color w:val="000000" w:themeColor="text1"/>
                <w:lang w:val="en-US"/>
              </w:rPr>
            </w:pPr>
            <w:r w:rsidRPr="00212088">
              <w:rPr>
                <w:color w:val="000000" w:themeColor="text1"/>
                <w:lang w:val="en-US"/>
              </w:rPr>
              <w:t>PS Stefano Tomba 43</w:t>
            </w:r>
          </w:p>
        </w:tc>
        <w:tc>
          <w:tcPr>
            <w:tcW w:w="1016" w:type="dxa"/>
          </w:tcPr>
          <w:p w14:paraId="4A666281" w14:textId="77777777" w:rsidR="00D300CD" w:rsidRPr="00212088" w:rsidRDefault="00D300CD" w:rsidP="0018752B">
            <w:pPr>
              <w:jc w:val="center"/>
              <w:rPr>
                <w:lang w:val="en-US"/>
              </w:rPr>
            </w:pPr>
            <w:r w:rsidRPr="00212088">
              <w:rPr>
                <w:lang w:val="en-US"/>
              </w:rPr>
              <w:t>T17</w:t>
            </w:r>
          </w:p>
        </w:tc>
        <w:tc>
          <w:tcPr>
            <w:tcW w:w="1591" w:type="dxa"/>
          </w:tcPr>
          <w:p w14:paraId="54DDD823" w14:textId="77777777" w:rsidR="00D300CD" w:rsidRPr="00212088" w:rsidRDefault="00D300CD" w:rsidP="0018752B">
            <w:pPr>
              <w:jc w:val="center"/>
              <w:rPr>
                <w:lang w:val="en-US"/>
              </w:rPr>
            </w:pPr>
            <w:r w:rsidRPr="00212088">
              <w:rPr>
                <w:lang w:val="en-US"/>
              </w:rPr>
              <w:t>Perm. molar</w:t>
            </w:r>
          </w:p>
        </w:tc>
        <w:tc>
          <w:tcPr>
            <w:tcW w:w="1259" w:type="dxa"/>
          </w:tcPr>
          <w:p w14:paraId="5DB9986B" w14:textId="77777777" w:rsidR="00D300CD" w:rsidRPr="00212088" w:rsidRDefault="00D300CD" w:rsidP="0018752B">
            <w:pPr>
              <w:ind w:right="-113"/>
              <w:jc w:val="center"/>
              <w:rPr>
                <w:lang w:val="en-US"/>
              </w:rPr>
            </w:pPr>
            <w:r w:rsidRPr="00212088">
              <w:rPr>
                <w:lang w:val="en-US"/>
              </w:rPr>
              <w:t>12.0</w:t>
            </w:r>
          </w:p>
        </w:tc>
      </w:tr>
      <w:tr w:rsidR="00D300CD" w:rsidRPr="008C4A6A" w14:paraId="1C32C7FC" w14:textId="77777777" w:rsidTr="003D00CA">
        <w:trPr>
          <w:jc w:val="center"/>
        </w:trPr>
        <w:tc>
          <w:tcPr>
            <w:tcW w:w="1416" w:type="dxa"/>
          </w:tcPr>
          <w:p w14:paraId="471350E3" w14:textId="77777777" w:rsidR="00D300CD" w:rsidRPr="00212088" w:rsidRDefault="00D300CD" w:rsidP="0018752B">
            <w:pPr>
              <w:jc w:val="center"/>
              <w:rPr>
                <w:color w:val="000000" w:themeColor="text1"/>
                <w:lang w:val="en-US"/>
              </w:rPr>
            </w:pPr>
            <w:r w:rsidRPr="00212088">
              <w:rPr>
                <w:color w:val="000000" w:themeColor="text1"/>
                <w:lang w:val="en-US"/>
              </w:rPr>
              <w:t>Parco San Stefano</w:t>
            </w:r>
          </w:p>
        </w:tc>
        <w:tc>
          <w:tcPr>
            <w:tcW w:w="3375" w:type="dxa"/>
          </w:tcPr>
          <w:p w14:paraId="4B12E3AA" w14:textId="77777777" w:rsidR="00D300CD" w:rsidRPr="00212088" w:rsidRDefault="00D300CD" w:rsidP="0018752B">
            <w:pPr>
              <w:jc w:val="center"/>
              <w:rPr>
                <w:color w:val="000000" w:themeColor="text1"/>
                <w:lang w:val="en-US"/>
              </w:rPr>
            </w:pPr>
            <w:r w:rsidRPr="00212088">
              <w:rPr>
                <w:color w:val="000000" w:themeColor="text1"/>
                <w:lang w:val="en-US"/>
              </w:rPr>
              <w:t>PS Stefano Tomba 11(?)</w:t>
            </w:r>
          </w:p>
        </w:tc>
        <w:tc>
          <w:tcPr>
            <w:tcW w:w="1016" w:type="dxa"/>
          </w:tcPr>
          <w:p w14:paraId="2EB4CA60" w14:textId="77777777" w:rsidR="00D300CD" w:rsidRPr="00212088" w:rsidRDefault="00D300CD" w:rsidP="0018752B">
            <w:pPr>
              <w:jc w:val="center"/>
              <w:rPr>
                <w:lang w:val="en-US"/>
              </w:rPr>
            </w:pPr>
            <w:r w:rsidRPr="00212088">
              <w:rPr>
                <w:lang w:val="en-US"/>
              </w:rPr>
              <w:t>T18</w:t>
            </w:r>
          </w:p>
        </w:tc>
        <w:tc>
          <w:tcPr>
            <w:tcW w:w="1591" w:type="dxa"/>
          </w:tcPr>
          <w:p w14:paraId="68C481A4" w14:textId="77777777" w:rsidR="00D300CD" w:rsidRPr="00212088" w:rsidRDefault="00D300CD" w:rsidP="0018752B">
            <w:pPr>
              <w:jc w:val="center"/>
              <w:rPr>
                <w:lang w:val="en-US"/>
              </w:rPr>
            </w:pPr>
            <w:r w:rsidRPr="00212088">
              <w:rPr>
                <w:lang w:val="en-US"/>
              </w:rPr>
              <w:t>Perm. Incisor</w:t>
            </w:r>
          </w:p>
        </w:tc>
        <w:tc>
          <w:tcPr>
            <w:tcW w:w="1259" w:type="dxa"/>
          </w:tcPr>
          <w:p w14:paraId="55AE5654" w14:textId="77777777" w:rsidR="00D300CD" w:rsidRPr="00212088" w:rsidRDefault="00D300CD" w:rsidP="0018752B">
            <w:pPr>
              <w:ind w:right="-113"/>
              <w:jc w:val="center"/>
              <w:rPr>
                <w:lang w:val="en-US"/>
              </w:rPr>
            </w:pPr>
            <w:r w:rsidRPr="00212088">
              <w:rPr>
                <w:lang w:val="en-US"/>
              </w:rPr>
              <w:t>12.2</w:t>
            </w:r>
          </w:p>
        </w:tc>
      </w:tr>
      <w:tr w:rsidR="00D300CD" w:rsidRPr="008C4A6A" w14:paraId="216FB3F5" w14:textId="77777777" w:rsidTr="003D00CA">
        <w:trPr>
          <w:jc w:val="center"/>
        </w:trPr>
        <w:tc>
          <w:tcPr>
            <w:tcW w:w="1416" w:type="dxa"/>
          </w:tcPr>
          <w:p w14:paraId="632EBE80" w14:textId="77777777" w:rsidR="00D300CD" w:rsidRPr="00212088" w:rsidRDefault="00D300CD" w:rsidP="0018752B">
            <w:pPr>
              <w:jc w:val="center"/>
              <w:rPr>
                <w:lang w:val="en-US"/>
              </w:rPr>
            </w:pPr>
            <w:r w:rsidRPr="00212088">
              <w:rPr>
                <w:lang w:val="en-US"/>
              </w:rPr>
              <w:t>Botromagno</w:t>
            </w:r>
          </w:p>
        </w:tc>
        <w:tc>
          <w:tcPr>
            <w:tcW w:w="3375" w:type="dxa"/>
          </w:tcPr>
          <w:p w14:paraId="134F17EF" w14:textId="77777777" w:rsidR="00D300CD" w:rsidRPr="00212088" w:rsidRDefault="00D300CD" w:rsidP="0018752B">
            <w:pPr>
              <w:jc w:val="center"/>
              <w:rPr>
                <w:lang w:val="en-US"/>
              </w:rPr>
            </w:pPr>
            <w:r w:rsidRPr="00212088">
              <w:rPr>
                <w:lang w:val="en-US"/>
              </w:rPr>
              <w:t>G67III p.1 e.1 PI 1 Layer 1 pit fill</w:t>
            </w:r>
          </w:p>
        </w:tc>
        <w:tc>
          <w:tcPr>
            <w:tcW w:w="1016" w:type="dxa"/>
          </w:tcPr>
          <w:p w14:paraId="5C55E0B9" w14:textId="77777777" w:rsidR="00D300CD" w:rsidRPr="00212088" w:rsidRDefault="00D300CD" w:rsidP="0018752B">
            <w:pPr>
              <w:jc w:val="center"/>
              <w:rPr>
                <w:lang w:val="en-US"/>
              </w:rPr>
            </w:pPr>
            <w:r w:rsidRPr="00212088">
              <w:rPr>
                <w:lang w:val="en-US"/>
              </w:rPr>
              <w:t>T19</w:t>
            </w:r>
          </w:p>
        </w:tc>
        <w:tc>
          <w:tcPr>
            <w:tcW w:w="1591" w:type="dxa"/>
          </w:tcPr>
          <w:p w14:paraId="659AFC2F" w14:textId="77777777" w:rsidR="00D300CD" w:rsidRPr="00212088" w:rsidRDefault="00D300CD" w:rsidP="0018752B">
            <w:pPr>
              <w:jc w:val="center"/>
              <w:rPr>
                <w:lang w:val="en-US"/>
              </w:rPr>
            </w:pPr>
            <w:r w:rsidRPr="00212088">
              <w:rPr>
                <w:lang w:val="en-US"/>
              </w:rPr>
              <w:t>Perm. Incisor</w:t>
            </w:r>
          </w:p>
        </w:tc>
        <w:tc>
          <w:tcPr>
            <w:tcW w:w="1259" w:type="dxa"/>
          </w:tcPr>
          <w:p w14:paraId="05C99542" w14:textId="77777777" w:rsidR="00D300CD" w:rsidRPr="00212088" w:rsidRDefault="00D300CD" w:rsidP="0018752B">
            <w:pPr>
              <w:ind w:right="-113"/>
              <w:jc w:val="center"/>
              <w:rPr>
                <w:lang w:val="en-US"/>
              </w:rPr>
            </w:pPr>
            <w:r w:rsidRPr="00212088">
              <w:rPr>
                <w:lang w:val="en-US"/>
              </w:rPr>
              <w:t>10.1</w:t>
            </w:r>
          </w:p>
        </w:tc>
      </w:tr>
      <w:tr w:rsidR="00D300CD" w:rsidRPr="008C4A6A" w14:paraId="21042241" w14:textId="77777777" w:rsidTr="003D00CA">
        <w:trPr>
          <w:jc w:val="center"/>
        </w:trPr>
        <w:tc>
          <w:tcPr>
            <w:tcW w:w="1416" w:type="dxa"/>
          </w:tcPr>
          <w:p w14:paraId="55579392" w14:textId="77777777" w:rsidR="00D300CD" w:rsidRPr="00212088" w:rsidRDefault="00D300CD" w:rsidP="0018752B">
            <w:pPr>
              <w:jc w:val="center"/>
              <w:rPr>
                <w:lang w:val="en-US"/>
              </w:rPr>
            </w:pPr>
            <w:r w:rsidRPr="00212088">
              <w:rPr>
                <w:lang w:val="en-US"/>
              </w:rPr>
              <w:t>Botromagno</w:t>
            </w:r>
          </w:p>
        </w:tc>
        <w:tc>
          <w:tcPr>
            <w:tcW w:w="3375" w:type="dxa"/>
          </w:tcPr>
          <w:p w14:paraId="1BC53284" w14:textId="77777777" w:rsidR="00D300CD" w:rsidRPr="00D836F5" w:rsidRDefault="00D300CD" w:rsidP="0018752B">
            <w:pPr>
              <w:jc w:val="center"/>
              <w:rPr>
                <w:lang w:val="it-IT"/>
              </w:rPr>
            </w:pPr>
            <w:r w:rsidRPr="00D836F5">
              <w:rPr>
                <w:lang w:val="it-IT"/>
              </w:rPr>
              <w:t>Botr 1968 GDA 68 R1 F1 L5</w:t>
            </w:r>
          </w:p>
        </w:tc>
        <w:tc>
          <w:tcPr>
            <w:tcW w:w="1016" w:type="dxa"/>
          </w:tcPr>
          <w:p w14:paraId="772FA9B2" w14:textId="77777777" w:rsidR="00D300CD" w:rsidRPr="00212088" w:rsidRDefault="00D300CD" w:rsidP="0018752B">
            <w:pPr>
              <w:jc w:val="center"/>
              <w:rPr>
                <w:lang w:val="en-US"/>
              </w:rPr>
            </w:pPr>
            <w:r w:rsidRPr="00212088">
              <w:rPr>
                <w:lang w:val="en-US"/>
              </w:rPr>
              <w:t>T20</w:t>
            </w:r>
          </w:p>
        </w:tc>
        <w:tc>
          <w:tcPr>
            <w:tcW w:w="1591" w:type="dxa"/>
          </w:tcPr>
          <w:p w14:paraId="7A8E1742" w14:textId="77777777" w:rsidR="00D300CD" w:rsidRPr="00212088" w:rsidRDefault="00D300CD" w:rsidP="0018752B">
            <w:pPr>
              <w:jc w:val="center"/>
              <w:rPr>
                <w:lang w:val="en-US"/>
              </w:rPr>
            </w:pPr>
            <w:r w:rsidRPr="00212088">
              <w:rPr>
                <w:lang w:val="en-US"/>
              </w:rPr>
              <w:t>Perm. molar</w:t>
            </w:r>
          </w:p>
        </w:tc>
        <w:tc>
          <w:tcPr>
            <w:tcW w:w="1259" w:type="dxa"/>
          </w:tcPr>
          <w:p w14:paraId="381F3A16" w14:textId="77777777" w:rsidR="00D300CD" w:rsidRPr="00212088" w:rsidRDefault="00D300CD" w:rsidP="0018752B">
            <w:pPr>
              <w:ind w:right="-113"/>
              <w:jc w:val="center"/>
              <w:rPr>
                <w:lang w:val="en-US"/>
              </w:rPr>
            </w:pPr>
            <w:r w:rsidRPr="00212088">
              <w:rPr>
                <w:lang w:val="en-US"/>
              </w:rPr>
              <w:t>10.0</w:t>
            </w:r>
          </w:p>
        </w:tc>
      </w:tr>
      <w:tr w:rsidR="00D300CD" w:rsidRPr="008C4A6A" w14:paraId="18EA5F91" w14:textId="77777777" w:rsidTr="003D00CA">
        <w:trPr>
          <w:jc w:val="center"/>
        </w:trPr>
        <w:tc>
          <w:tcPr>
            <w:tcW w:w="1416" w:type="dxa"/>
          </w:tcPr>
          <w:p w14:paraId="36A2DD4C" w14:textId="77777777" w:rsidR="00D300CD" w:rsidRPr="00212088" w:rsidRDefault="00D300CD" w:rsidP="0018752B">
            <w:pPr>
              <w:jc w:val="center"/>
              <w:rPr>
                <w:lang w:val="en-US"/>
              </w:rPr>
            </w:pPr>
            <w:r w:rsidRPr="00212088">
              <w:rPr>
                <w:lang w:val="en-US"/>
              </w:rPr>
              <w:t>Padreterno</w:t>
            </w:r>
          </w:p>
        </w:tc>
        <w:tc>
          <w:tcPr>
            <w:tcW w:w="3375" w:type="dxa"/>
          </w:tcPr>
          <w:p w14:paraId="2110839A" w14:textId="77777777" w:rsidR="00D300CD" w:rsidRPr="00212088" w:rsidRDefault="00D300CD" w:rsidP="0018752B">
            <w:pPr>
              <w:jc w:val="center"/>
              <w:rPr>
                <w:lang w:val="it-IT"/>
              </w:rPr>
            </w:pPr>
            <w:r w:rsidRPr="00212088">
              <w:rPr>
                <w:lang w:val="it-IT"/>
              </w:rPr>
              <w:t>Padreterno Settore II Tomba 11 Schletro in Conessione</w:t>
            </w:r>
          </w:p>
        </w:tc>
        <w:tc>
          <w:tcPr>
            <w:tcW w:w="1016" w:type="dxa"/>
          </w:tcPr>
          <w:p w14:paraId="1195805E" w14:textId="77777777" w:rsidR="00D300CD" w:rsidRPr="00212088" w:rsidRDefault="00D300CD" w:rsidP="0018752B">
            <w:pPr>
              <w:jc w:val="center"/>
              <w:rPr>
                <w:lang w:val="en-US"/>
              </w:rPr>
            </w:pPr>
            <w:r w:rsidRPr="00212088">
              <w:rPr>
                <w:lang w:val="en-US"/>
              </w:rPr>
              <w:t>T21</w:t>
            </w:r>
          </w:p>
        </w:tc>
        <w:tc>
          <w:tcPr>
            <w:tcW w:w="1591" w:type="dxa"/>
          </w:tcPr>
          <w:p w14:paraId="2F6A4C53" w14:textId="77777777" w:rsidR="00D300CD" w:rsidRPr="00212088" w:rsidRDefault="00D300CD" w:rsidP="0018752B">
            <w:pPr>
              <w:jc w:val="center"/>
              <w:rPr>
                <w:lang w:val="en-US"/>
              </w:rPr>
            </w:pPr>
            <w:r w:rsidRPr="00212088">
              <w:rPr>
                <w:lang w:val="en-US"/>
              </w:rPr>
              <w:t>Perm. molar</w:t>
            </w:r>
          </w:p>
        </w:tc>
        <w:tc>
          <w:tcPr>
            <w:tcW w:w="1259" w:type="dxa"/>
          </w:tcPr>
          <w:p w14:paraId="1BFECC25" w14:textId="77777777" w:rsidR="00D300CD" w:rsidRPr="00212088" w:rsidRDefault="00D300CD" w:rsidP="0018752B">
            <w:pPr>
              <w:ind w:right="-113"/>
              <w:jc w:val="center"/>
              <w:rPr>
                <w:lang w:val="en-US"/>
              </w:rPr>
            </w:pPr>
            <w:r w:rsidRPr="00212088">
              <w:rPr>
                <w:lang w:val="en-US"/>
              </w:rPr>
              <w:t>13.0</w:t>
            </w:r>
          </w:p>
        </w:tc>
      </w:tr>
      <w:tr w:rsidR="00D300CD" w:rsidRPr="008C4A6A" w14:paraId="56FEB2F9" w14:textId="77777777" w:rsidTr="003D00CA">
        <w:trPr>
          <w:jc w:val="center"/>
        </w:trPr>
        <w:tc>
          <w:tcPr>
            <w:tcW w:w="1416" w:type="dxa"/>
          </w:tcPr>
          <w:p w14:paraId="7260F306" w14:textId="77777777" w:rsidR="00D300CD" w:rsidRPr="00212088" w:rsidRDefault="00D300CD" w:rsidP="0018752B">
            <w:pPr>
              <w:jc w:val="center"/>
              <w:rPr>
                <w:lang w:val="en-US"/>
              </w:rPr>
            </w:pPr>
            <w:r w:rsidRPr="00212088">
              <w:rPr>
                <w:lang w:val="en-US"/>
              </w:rPr>
              <w:t>Botromagno</w:t>
            </w:r>
          </w:p>
        </w:tc>
        <w:tc>
          <w:tcPr>
            <w:tcW w:w="3375" w:type="dxa"/>
          </w:tcPr>
          <w:p w14:paraId="0C58139C" w14:textId="77777777" w:rsidR="00D300CD" w:rsidRPr="00212088" w:rsidRDefault="00D300CD" w:rsidP="0018752B">
            <w:pPr>
              <w:jc w:val="center"/>
              <w:rPr>
                <w:lang w:val="en-US"/>
              </w:rPr>
            </w:pPr>
            <w:r w:rsidRPr="00212088">
              <w:rPr>
                <w:lang w:val="en-US"/>
              </w:rPr>
              <w:t>Botr 1971 Area NB, Grave 3</w:t>
            </w:r>
          </w:p>
        </w:tc>
        <w:tc>
          <w:tcPr>
            <w:tcW w:w="1016" w:type="dxa"/>
          </w:tcPr>
          <w:p w14:paraId="29F506D7" w14:textId="77777777" w:rsidR="00D300CD" w:rsidRPr="00212088" w:rsidRDefault="00D300CD" w:rsidP="0018752B">
            <w:pPr>
              <w:jc w:val="center"/>
              <w:rPr>
                <w:lang w:val="en-US"/>
              </w:rPr>
            </w:pPr>
            <w:r w:rsidRPr="00212088">
              <w:rPr>
                <w:lang w:val="en-US"/>
              </w:rPr>
              <w:t>T22</w:t>
            </w:r>
          </w:p>
        </w:tc>
        <w:tc>
          <w:tcPr>
            <w:tcW w:w="1591" w:type="dxa"/>
          </w:tcPr>
          <w:p w14:paraId="38141E4D" w14:textId="77777777" w:rsidR="00D300CD" w:rsidRPr="00212088" w:rsidRDefault="00D300CD" w:rsidP="0018752B">
            <w:pPr>
              <w:jc w:val="center"/>
              <w:rPr>
                <w:lang w:val="en-US"/>
              </w:rPr>
            </w:pPr>
            <w:r w:rsidRPr="00212088">
              <w:rPr>
                <w:lang w:val="en-US"/>
              </w:rPr>
              <w:t>Perm. molar</w:t>
            </w:r>
          </w:p>
        </w:tc>
        <w:tc>
          <w:tcPr>
            <w:tcW w:w="1259" w:type="dxa"/>
          </w:tcPr>
          <w:p w14:paraId="76DB52A6" w14:textId="77777777" w:rsidR="00D300CD" w:rsidRPr="00212088" w:rsidRDefault="00D300CD" w:rsidP="0018752B">
            <w:pPr>
              <w:ind w:right="-113"/>
              <w:jc w:val="center"/>
              <w:rPr>
                <w:lang w:val="en-US"/>
              </w:rPr>
            </w:pPr>
            <w:r w:rsidRPr="00212088">
              <w:rPr>
                <w:lang w:val="en-US"/>
              </w:rPr>
              <w:t>4.0</w:t>
            </w:r>
          </w:p>
        </w:tc>
      </w:tr>
    </w:tbl>
    <w:p w14:paraId="1431870E" w14:textId="5038ADE4" w:rsidR="00D300CD" w:rsidRDefault="00D300CD" w:rsidP="00D300CD">
      <w:pPr>
        <w:spacing w:line="480" w:lineRule="auto"/>
        <w:rPr>
          <w:lang w:val="en-US"/>
        </w:rPr>
      </w:pPr>
    </w:p>
    <w:p w14:paraId="2973E5E9" w14:textId="5E47EC91" w:rsidR="003D00CA" w:rsidRDefault="003D00CA" w:rsidP="00D300CD">
      <w:pPr>
        <w:spacing w:line="480" w:lineRule="auto"/>
        <w:rPr>
          <w:lang w:val="en-US"/>
        </w:rPr>
      </w:pPr>
    </w:p>
    <w:p w14:paraId="084B571D" w14:textId="77777777" w:rsidR="003D00CA" w:rsidRDefault="003D00CA" w:rsidP="00D300CD">
      <w:pPr>
        <w:spacing w:line="480" w:lineRule="auto"/>
        <w:rPr>
          <w:lang w:val="en-US"/>
        </w:rPr>
      </w:pPr>
    </w:p>
    <w:p w14:paraId="4B16E187" w14:textId="721B66B2" w:rsidR="00D300CD" w:rsidRDefault="00D300CD" w:rsidP="00D300CD">
      <w:pPr>
        <w:spacing w:line="480" w:lineRule="auto"/>
        <w:jc w:val="center"/>
        <w:rPr>
          <w:lang w:val="en-US"/>
        </w:rPr>
      </w:pPr>
      <w:r w:rsidRPr="00212088">
        <w:rPr>
          <w:b/>
          <w:lang w:val="en-US"/>
        </w:rPr>
        <w:lastRenderedPageBreak/>
        <w:t>Table A</w:t>
      </w:r>
      <w:r w:rsidR="0091068C">
        <w:rPr>
          <w:b/>
          <w:lang w:val="en-US"/>
        </w:rPr>
        <w:t>4</w:t>
      </w:r>
      <w:r w:rsidRPr="00212088">
        <w:rPr>
          <w:b/>
          <w:lang w:val="en-US"/>
        </w:rPr>
        <w:t>:</w:t>
      </w:r>
      <w:r w:rsidRPr="00212088">
        <w:rPr>
          <w:lang w:val="en-US"/>
        </w:rPr>
        <w:t xml:space="preserve"> Collagen yields for all subadult bone samples.</w:t>
      </w:r>
    </w:p>
    <w:p w14:paraId="73850B98" w14:textId="77777777" w:rsidR="004B290E" w:rsidRPr="00212088" w:rsidRDefault="004B290E" w:rsidP="004B290E">
      <w:pPr>
        <w:jc w:val="center"/>
        <w:rPr>
          <w:lang w:val="en-US"/>
        </w:rPr>
      </w:pPr>
    </w:p>
    <w:tbl>
      <w:tblPr>
        <w:tblStyle w:val="TableGrid1"/>
        <w:tblW w:w="0" w:type="auto"/>
        <w:jc w:val="center"/>
        <w:tblLook w:val="04A0" w:firstRow="1" w:lastRow="0" w:firstColumn="1" w:lastColumn="0" w:noHBand="0" w:noVBand="1"/>
      </w:tblPr>
      <w:tblGrid>
        <w:gridCol w:w="1532"/>
        <w:gridCol w:w="2847"/>
        <w:gridCol w:w="1109"/>
        <w:gridCol w:w="1206"/>
        <w:gridCol w:w="1963"/>
      </w:tblGrid>
      <w:tr w:rsidR="00D300CD" w:rsidRPr="00212088" w14:paraId="3FCAE9DA" w14:textId="77777777" w:rsidTr="0018752B">
        <w:trPr>
          <w:jc w:val="center"/>
        </w:trPr>
        <w:tc>
          <w:tcPr>
            <w:tcW w:w="1555" w:type="dxa"/>
          </w:tcPr>
          <w:p w14:paraId="47D6CFC9" w14:textId="77777777" w:rsidR="00D300CD" w:rsidRPr="00212088" w:rsidRDefault="00D300CD" w:rsidP="0018752B">
            <w:pPr>
              <w:jc w:val="center"/>
              <w:rPr>
                <w:b/>
                <w:lang w:val="en-US"/>
              </w:rPr>
            </w:pPr>
            <w:r w:rsidRPr="00212088">
              <w:rPr>
                <w:b/>
                <w:lang w:val="en-US"/>
              </w:rPr>
              <w:t>Site</w:t>
            </w:r>
          </w:p>
        </w:tc>
        <w:tc>
          <w:tcPr>
            <w:tcW w:w="3118" w:type="dxa"/>
          </w:tcPr>
          <w:p w14:paraId="16EE2066" w14:textId="77777777" w:rsidR="00D300CD" w:rsidRPr="00212088" w:rsidRDefault="00D300CD" w:rsidP="0018752B">
            <w:pPr>
              <w:jc w:val="center"/>
              <w:rPr>
                <w:b/>
                <w:lang w:val="en-US"/>
              </w:rPr>
            </w:pPr>
            <w:r w:rsidRPr="00212088">
              <w:rPr>
                <w:b/>
                <w:lang w:val="en-US"/>
              </w:rPr>
              <w:t xml:space="preserve">Skeletal ID </w:t>
            </w:r>
          </w:p>
        </w:tc>
        <w:tc>
          <w:tcPr>
            <w:tcW w:w="1134" w:type="dxa"/>
          </w:tcPr>
          <w:p w14:paraId="485D9C61" w14:textId="77777777" w:rsidR="00D300CD" w:rsidRPr="00212088" w:rsidRDefault="00D300CD" w:rsidP="0018752B">
            <w:pPr>
              <w:jc w:val="center"/>
              <w:rPr>
                <w:b/>
                <w:lang w:val="en-US"/>
              </w:rPr>
            </w:pPr>
            <w:r w:rsidRPr="00212088">
              <w:rPr>
                <w:b/>
                <w:lang w:val="en-US"/>
              </w:rPr>
              <w:t>Sample ID</w:t>
            </w:r>
          </w:p>
        </w:tc>
        <w:tc>
          <w:tcPr>
            <w:tcW w:w="1276" w:type="dxa"/>
            <w:tcBorders>
              <w:right w:val="single" w:sz="4" w:space="0" w:color="auto"/>
            </w:tcBorders>
          </w:tcPr>
          <w:p w14:paraId="4A451F56" w14:textId="77777777" w:rsidR="00D300CD" w:rsidRPr="00212088" w:rsidRDefault="00D300CD" w:rsidP="0018752B">
            <w:pPr>
              <w:jc w:val="center"/>
              <w:rPr>
                <w:b/>
                <w:lang w:val="en-US"/>
              </w:rPr>
            </w:pPr>
            <w:r w:rsidRPr="00212088">
              <w:rPr>
                <w:b/>
                <w:lang w:val="en-US"/>
              </w:rPr>
              <w:t>Bone Type</w:t>
            </w:r>
          </w:p>
        </w:tc>
        <w:tc>
          <w:tcPr>
            <w:tcW w:w="2126" w:type="dxa"/>
            <w:tcBorders>
              <w:top w:val="single" w:sz="4" w:space="0" w:color="auto"/>
              <w:left w:val="single" w:sz="4" w:space="0" w:color="auto"/>
              <w:bottom w:val="single" w:sz="4" w:space="0" w:color="auto"/>
              <w:right w:val="single" w:sz="4" w:space="0" w:color="auto"/>
            </w:tcBorders>
          </w:tcPr>
          <w:p w14:paraId="58D007DF" w14:textId="77777777" w:rsidR="00D300CD" w:rsidRPr="00212088" w:rsidRDefault="00D300CD" w:rsidP="0018752B">
            <w:pPr>
              <w:jc w:val="center"/>
              <w:rPr>
                <w:b/>
                <w:lang w:val="en-US"/>
              </w:rPr>
            </w:pPr>
            <w:r w:rsidRPr="00212088">
              <w:rPr>
                <w:b/>
                <w:lang w:val="en-US"/>
              </w:rPr>
              <w:t>Collagen Yield (%)</w:t>
            </w:r>
          </w:p>
        </w:tc>
      </w:tr>
      <w:tr w:rsidR="00D300CD" w:rsidRPr="00212088" w14:paraId="272B5406" w14:textId="77777777" w:rsidTr="0018752B">
        <w:trPr>
          <w:jc w:val="center"/>
        </w:trPr>
        <w:tc>
          <w:tcPr>
            <w:tcW w:w="1555" w:type="dxa"/>
          </w:tcPr>
          <w:p w14:paraId="667A22FD" w14:textId="77777777" w:rsidR="00D300CD" w:rsidRPr="00212088" w:rsidRDefault="00D300CD" w:rsidP="0018752B">
            <w:pPr>
              <w:jc w:val="center"/>
              <w:rPr>
                <w:lang w:val="en-US"/>
              </w:rPr>
            </w:pPr>
            <w:r w:rsidRPr="00212088">
              <w:rPr>
                <w:lang w:val="en-US"/>
              </w:rPr>
              <w:t>Botromagno</w:t>
            </w:r>
          </w:p>
        </w:tc>
        <w:tc>
          <w:tcPr>
            <w:tcW w:w="3118" w:type="dxa"/>
          </w:tcPr>
          <w:p w14:paraId="769D3918" w14:textId="77777777" w:rsidR="00D300CD" w:rsidRPr="00212088" w:rsidRDefault="00D300CD" w:rsidP="0018752B">
            <w:pPr>
              <w:jc w:val="center"/>
              <w:rPr>
                <w:lang w:val="en-US"/>
              </w:rPr>
            </w:pPr>
            <w:r w:rsidRPr="00212088">
              <w:rPr>
                <w:lang w:val="en-US"/>
              </w:rPr>
              <w:t>21/12/71 Tomba di bambino Ind. 1</w:t>
            </w:r>
          </w:p>
        </w:tc>
        <w:tc>
          <w:tcPr>
            <w:tcW w:w="1134" w:type="dxa"/>
          </w:tcPr>
          <w:p w14:paraId="08A45139" w14:textId="77777777" w:rsidR="00D300CD" w:rsidRPr="00212088" w:rsidRDefault="00D300CD" w:rsidP="0018752B">
            <w:pPr>
              <w:jc w:val="center"/>
              <w:rPr>
                <w:lang w:val="en-US"/>
              </w:rPr>
            </w:pPr>
            <w:r w:rsidRPr="00212088">
              <w:rPr>
                <w:lang w:val="en-US"/>
              </w:rPr>
              <w:t>F1</w:t>
            </w:r>
          </w:p>
        </w:tc>
        <w:tc>
          <w:tcPr>
            <w:tcW w:w="1276" w:type="dxa"/>
            <w:tcBorders>
              <w:right w:val="single" w:sz="4" w:space="0" w:color="auto"/>
            </w:tcBorders>
          </w:tcPr>
          <w:p w14:paraId="22CCA2CB" w14:textId="77777777" w:rsidR="00D300CD" w:rsidRPr="00212088" w:rsidRDefault="00D300CD" w:rsidP="0018752B">
            <w:pPr>
              <w:jc w:val="center"/>
              <w:rPr>
                <w:lang w:val="en-US"/>
              </w:rPr>
            </w:pPr>
            <w:r w:rsidRPr="00212088">
              <w:rPr>
                <w:lang w:val="en-US"/>
              </w:rPr>
              <w:t>Femur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F8E0A3C" w14:textId="77777777" w:rsidR="00D300CD" w:rsidRPr="00212088" w:rsidRDefault="00D300CD" w:rsidP="0018752B">
            <w:pPr>
              <w:jc w:val="center"/>
              <w:rPr>
                <w:color w:val="000000"/>
                <w:lang w:val="en-US"/>
              </w:rPr>
            </w:pPr>
            <w:r w:rsidRPr="00212088">
              <w:rPr>
                <w:color w:val="000000"/>
                <w:lang w:val="en-US"/>
              </w:rPr>
              <w:t>4.3</w:t>
            </w:r>
          </w:p>
        </w:tc>
      </w:tr>
      <w:tr w:rsidR="00D300CD" w:rsidRPr="00212088" w14:paraId="0CE76B80" w14:textId="77777777" w:rsidTr="0018752B">
        <w:trPr>
          <w:jc w:val="center"/>
        </w:trPr>
        <w:tc>
          <w:tcPr>
            <w:tcW w:w="1555" w:type="dxa"/>
          </w:tcPr>
          <w:p w14:paraId="444334CF" w14:textId="77777777" w:rsidR="00D300CD" w:rsidRPr="00212088" w:rsidRDefault="00D300CD" w:rsidP="0018752B">
            <w:pPr>
              <w:jc w:val="center"/>
              <w:rPr>
                <w:lang w:val="en-US"/>
              </w:rPr>
            </w:pPr>
            <w:r w:rsidRPr="00212088">
              <w:rPr>
                <w:lang w:val="en-US"/>
              </w:rPr>
              <w:t>Botromagno</w:t>
            </w:r>
          </w:p>
        </w:tc>
        <w:tc>
          <w:tcPr>
            <w:tcW w:w="3118" w:type="dxa"/>
          </w:tcPr>
          <w:p w14:paraId="614DBFBD" w14:textId="77777777" w:rsidR="00D300CD" w:rsidRPr="00212088" w:rsidRDefault="00D300CD" w:rsidP="0018752B">
            <w:pPr>
              <w:jc w:val="center"/>
              <w:rPr>
                <w:lang w:val="en-US"/>
              </w:rPr>
            </w:pPr>
            <w:r w:rsidRPr="00212088">
              <w:rPr>
                <w:lang w:val="en-US"/>
              </w:rPr>
              <w:t>GS70 F25</w:t>
            </w:r>
          </w:p>
        </w:tc>
        <w:tc>
          <w:tcPr>
            <w:tcW w:w="1134" w:type="dxa"/>
          </w:tcPr>
          <w:p w14:paraId="7EC1ADFE" w14:textId="77777777" w:rsidR="00D300CD" w:rsidRPr="00212088" w:rsidRDefault="00D300CD" w:rsidP="0018752B">
            <w:pPr>
              <w:jc w:val="center"/>
              <w:rPr>
                <w:lang w:val="en-US"/>
              </w:rPr>
            </w:pPr>
            <w:r w:rsidRPr="00212088">
              <w:rPr>
                <w:lang w:val="en-US"/>
              </w:rPr>
              <w:t>F2</w:t>
            </w:r>
          </w:p>
        </w:tc>
        <w:tc>
          <w:tcPr>
            <w:tcW w:w="1276" w:type="dxa"/>
            <w:tcBorders>
              <w:right w:val="single" w:sz="4" w:space="0" w:color="auto"/>
            </w:tcBorders>
          </w:tcPr>
          <w:p w14:paraId="673CDE89" w14:textId="77777777" w:rsidR="00D300CD" w:rsidRPr="00212088" w:rsidRDefault="00D300CD" w:rsidP="0018752B">
            <w:pPr>
              <w:jc w:val="center"/>
              <w:rPr>
                <w:lang w:val="en-US"/>
              </w:rPr>
            </w:pPr>
            <w:r w:rsidRPr="00212088">
              <w:rPr>
                <w:lang w:val="en-US"/>
              </w:rPr>
              <w:t>Femur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53211F3" w14:textId="77777777" w:rsidR="00D300CD" w:rsidRPr="00212088" w:rsidRDefault="00D300CD" w:rsidP="0018752B">
            <w:pPr>
              <w:jc w:val="center"/>
              <w:rPr>
                <w:color w:val="000000"/>
                <w:lang w:val="en-US"/>
              </w:rPr>
            </w:pPr>
            <w:r w:rsidRPr="00212088">
              <w:rPr>
                <w:color w:val="000000"/>
                <w:lang w:val="en-US"/>
              </w:rPr>
              <w:t>11.2</w:t>
            </w:r>
          </w:p>
        </w:tc>
      </w:tr>
      <w:tr w:rsidR="00D300CD" w:rsidRPr="00212088" w14:paraId="1B49A0E4" w14:textId="77777777" w:rsidTr="0018752B">
        <w:trPr>
          <w:jc w:val="center"/>
        </w:trPr>
        <w:tc>
          <w:tcPr>
            <w:tcW w:w="1555" w:type="dxa"/>
          </w:tcPr>
          <w:p w14:paraId="2513C746" w14:textId="77777777" w:rsidR="00D300CD" w:rsidRPr="00212088" w:rsidRDefault="00D300CD" w:rsidP="0018752B">
            <w:pPr>
              <w:jc w:val="center"/>
              <w:rPr>
                <w:lang w:val="en-US"/>
              </w:rPr>
            </w:pPr>
            <w:r w:rsidRPr="00212088">
              <w:rPr>
                <w:lang w:val="en-US"/>
              </w:rPr>
              <w:t>Botromagno</w:t>
            </w:r>
          </w:p>
        </w:tc>
        <w:tc>
          <w:tcPr>
            <w:tcW w:w="3118" w:type="dxa"/>
          </w:tcPr>
          <w:p w14:paraId="02D07DA2" w14:textId="77777777" w:rsidR="00D300CD" w:rsidRPr="00212088" w:rsidRDefault="00D300CD" w:rsidP="0018752B">
            <w:pPr>
              <w:jc w:val="center"/>
              <w:rPr>
                <w:lang w:val="en-US"/>
              </w:rPr>
            </w:pPr>
            <w:r w:rsidRPr="00212088">
              <w:rPr>
                <w:lang w:val="en-US"/>
              </w:rPr>
              <w:t>G67/I p3 e2 S4 = Tomb 4</w:t>
            </w:r>
          </w:p>
        </w:tc>
        <w:tc>
          <w:tcPr>
            <w:tcW w:w="1134" w:type="dxa"/>
          </w:tcPr>
          <w:p w14:paraId="137061FB" w14:textId="77777777" w:rsidR="00D300CD" w:rsidRPr="00212088" w:rsidRDefault="00D300CD" w:rsidP="0018752B">
            <w:pPr>
              <w:jc w:val="center"/>
              <w:rPr>
                <w:lang w:val="en-US"/>
              </w:rPr>
            </w:pPr>
            <w:r w:rsidRPr="00212088">
              <w:rPr>
                <w:lang w:val="en-US"/>
              </w:rPr>
              <w:t>F3</w:t>
            </w:r>
          </w:p>
        </w:tc>
        <w:tc>
          <w:tcPr>
            <w:tcW w:w="1276" w:type="dxa"/>
            <w:tcBorders>
              <w:right w:val="single" w:sz="4" w:space="0" w:color="auto"/>
            </w:tcBorders>
          </w:tcPr>
          <w:p w14:paraId="596BA184" w14:textId="77777777" w:rsidR="00D300CD" w:rsidRPr="00212088" w:rsidRDefault="00D300CD" w:rsidP="0018752B">
            <w:pPr>
              <w:jc w:val="center"/>
              <w:rPr>
                <w:lang w:val="en-US"/>
              </w:rPr>
            </w:pPr>
            <w:r w:rsidRPr="00212088">
              <w:rPr>
                <w:lang w:val="en-US"/>
              </w:rPr>
              <w:t>Femur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12032CD" w14:textId="77777777" w:rsidR="00D300CD" w:rsidRPr="00212088" w:rsidRDefault="00D300CD" w:rsidP="0018752B">
            <w:pPr>
              <w:jc w:val="center"/>
              <w:rPr>
                <w:color w:val="000000"/>
                <w:lang w:val="en-US"/>
              </w:rPr>
            </w:pPr>
            <w:r w:rsidRPr="00212088">
              <w:rPr>
                <w:color w:val="000000"/>
                <w:lang w:val="en-US"/>
              </w:rPr>
              <w:t>9.4</w:t>
            </w:r>
          </w:p>
        </w:tc>
      </w:tr>
      <w:tr w:rsidR="00D300CD" w:rsidRPr="00212088" w14:paraId="603903BA" w14:textId="77777777" w:rsidTr="0018752B">
        <w:trPr>
          <w:jc w:val="center"/>
        </w:trPr>
        <w:tc>
          <w:tcPr>
            <w:tcW w:w="1555" w:type="dxa"/>
          </w:tcPr>
          <w:p w14:paraId="72AE0A11" w14:textId="77777777" w:rsidR="00D300CD" w:rsidRPr="00212088" w:rsidRDefault="00D300CD" w:rsidP="0018752B">
            <w:pPr>
              <w:jc w:val="center"/>
              <w:rPr>
                <w:lang w:val="en-US"/>
              </w:rPr>
            </w:pPr>
            <w:r w:rsidRPr="00212088">
              <w:rPr>
                <w:lang w:val="en-US"/>
              </w:rPr>
              <w:t>Botromagno</w:t>
            </w:r>
          </w:p>
        </w:tc>
        <w:tc>
          <w:tcPr>
            <w:tcW w:w="3118" w:type="dxa"/>
          </w:tcPr>
          <w:p w14:paraId="19C513B5" w14:textId="77777777" w:rsidR="00D300CD" w:rsidRPr="00212088" w:rsidRDefault="00D300CD" w:rsidP="0018752B">
            <w:pPr>
              <w:jc w:val="center"/>
              <w:rPr>
                <w:lang w:val="en-US"/>
              </w:rPr>
            </w:pPr>
            <w:r w:rsidRPr="00212088">
              <w:rPr>
                <w:lang w:val="en-US"/>
              </w:rPr>
              <w:t>1968 DB 1 Contents of Sarcophagus</w:t>
            </w:r>
          </w:p>
        </w:tc>
        <w:tc>
          <w:tcPr>
            <w:tcW w:w="1134" w:type="dxa"/>
          </w:tcPr>
          <w:p w14:paraId="3891BF07" w14:textId="77777777" w:rsidR="00D300CD" w:rsidRPr="00212088" w:rsidRDefault="00D300CD" w:rsidP="0018752B">
            <w:pPr>
              <w:jc w:val="center"/>
              <w:rPr>
                <w:lang w:val="en-US"/>
              </w:rPr>
            </w:pPr>
            <w:r w:rsidRPr="00212088">
              <w:rPr>
                <w:lang w:val="en-US"/>
              </w:rPr>
              <w:t>F4</w:t>
            </w:r>
          </w:p>
        </w:tc>
        <w:tc>
          <w:tcPr>
            <w:tcW w:w="1276" w:type="dxa"/>
            <w:tcBorders>
              <w:right w:val="single" w:sz="4" w:space="0" w:color="auto"/>
            </w:tcBorders>
          </w:tcPr>
          <w:p w14:paraId="4A5A32D4" w14:textId="77777777" w:rsidR="00D300CD" w:rsidRPr="00212088" w:rsidRDefault="00D300CD" w:rsidP="0018752B">
            <w:pPr>
              <w:jc w:val="center"/>
              <w:rPr>
                <w:lang w:val="en-US"/>
              </w:rPr>
            </w:pPr>
            <w:r w:rsidRPr="00212088">
              <w:rPr>
                <w:lang w:val="en-US"/>
              </w:rPr>
              <w:t>Femur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15CCD34" w14:textId="77777777" w:rsidR="00D300CD" w:rsidRPr="00212088" w:rsidRDefault="00D300CD" w:rsidP="0018752B">
            <w:pPr>
              <w:jc w:val="center"/>
              <w:rPr>
                <w:color w:val="000000"/>
                <w:lang w:val="en-US"/>
              </w:rPr>
            </w:pPr>
            <w:r w:rsidRPr="00212088">
              <w:rPr>
                <w:color w:val="000000"/>
                <w:lang w:val="en-US"/>
              </w:rPr>
              <w:t>8.5</w:t>
            </w:r>
          </w:p>
        </w:tc>
      </w:tr>
      <w:tr w:rsidR="00D300CD" w:rsidRPr="00212088" w14:paraId="10B6215F" w14:textId="77777777" w:rsidTr="0018752B">
        <w:trPr>
          <w:jc w:val="center"/>
        </w:trPr>
        <w:tc>
          <w:tcPr>
            <w:tcW w:w="1555" w:type="dxa"/>
          </w:tcPr>
          <w:p w14:paraId="0650ED7D" w14:textId="77777777" w:rsidR="00D300CD" w:rsidRPr="00212088" w:rsidRDefault="00D300CD" w:rsidP="0018752B">
            <w:pPr>
              <w:jc w:val="center"/>
              <w:rPr>
                <w:lang w:val="en-US"/>
              </w:rPr>
            </w:pPr>
            <w:r w:rsidRPr="00212088">
              <w:rPr>
                <w:lang w:val="en-US"/>
              </w:rPr>
              <w:t>Botromagno</w:t>
            </w:r>
          </w:p>
        </w:tc>
        <w:tc>
          <w:tcPr>
            <w:tcW w:w="3118" w:type="dxa"/>
          </w:tcPr>
          <w:p w14:paraId="69B3771A" w14:textId="77777777" w:rsidR="00D300CD" w:rsidRPr="00212088" w:rsidRDefault="00D300CD" w:rsidP="0018752B">
            <w:pPr>
              <w:jc w:val="center"/>
              <w:rPr>
                <w:lang w:val="en-US"/>
              </w:rPr>
            </w:pPr>
            <w:r w:rsidRPr="00212088">
              <w:rPr>
                <w:lang w:val="en-US"/>
              </w:rPr>
              <w:t>G67/I S5 small tomb</w:t>
            </w:r>
          </w:p>
        </w:tc>
        <w:tc>
          <w:tcPr>
            <w:tcW w:w="1134" w:type="dxa"/>
          </w:tcPr>
          <w:p w14:paraId="24ECFE1C" w14:textId="77777777" w:rsidR="00D300CD" w:rsidRPr="00212088" w:rsidRDefault="00D300CD" w:rsidP="0018752B">
            <w:pPr>
              <w:jc w:val="center"/>
              <w:rPr>
                <w:lang w:val="en-US"/>
              </w:rPr>
            </w:pPr>
            <w:r w:rsidRPr="00212088">
              <w:rPr>
                <w:lang w:val="en-US"/>
              </w:rPr>
              <w:t>F5</w:t>
            </w:r>
          </w:p>
        </w:tc>
        <w:tc>
          <w:tcPr>
            <w:tcW w:w="1276" w:type="dxa"/>
            <w:tcBorders>
              <w:right w:val="single" w:sz="4" w:space="0" w:color="auto"/>
            </w:tcBorders>
          </w:tcPr>
          <w:p w14:paraId="32DD2D99" w14:textId="77777777" w:rsidR="00D300CD" w:rsidRPr="00212088" w:rsidRDefault="00D300CD" w:rsidP="0018752B">
            <w:pPr>
              <w:jc w:val="center"/>
              <w:rPr>
                <w:lang w:val="en-US"/>
              </w:rPr>
            </w:pPr>
            <w:r w:rsidRPr="00212088">
              <w:rPr>
                <w:lang w:val="en-US"/>
              </w:rPr>
              <w:t>Femur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A2B0D9D" w14:textId="77777777" w:rsidR="00D300CD" w:rsidRPr="00212088" w:rsidRDefault="00D300CD" w:rsidP="0018752B">
            <w:pPr>
              <w:jc w:val="center"/>
              <w:rPr>
                <w:color w:val="000000"/>
                <w:lang w:val="en-US"/>
              </w:rPr>
            </w:pPr>
            <w:r w:rsidRPr="00212088">
              <w:rPr>
                <w:color w:val="000000"/>
                <w:lang w:val="en-US"/>
              </w:rPr>
              <w:t>8.1</w:t>
            </w:r>
          </w:p>
        </w:tc>
      </w:tr>
      <w:tr w:rsidR="00D300CD" w:rsidRPr="00212088" w14:paraId="481C9E91" w14:textId="77777777" w:rsidTr="0018752B">
        <w:trPr>
          <w:jc w:val="center"/>
        </w:trPr>
        <w:tc>
          <w:tcPr>
            <w:tcW w:w="1555" w:type="dxa"/>
          </w:tcPr>
          <w:p w14:paraId="362AEB1D" w14:textId="77777777" w:rsidR="00D300CD" w:rsidRPr="00212088" w:rsidRDefault="00D300CD" w:rsidP="0018752B">
            <w:pPr>
              <w:jc w:val="center"/>
              <w:rPr>
                <w:lang w:val="en-US"/>
              </w:rPr>
            </w:pPr>
            <w:r w:rsidRPr="00212088">
              <w:rPr>
                <w:lang w:val="en-US"/>
              </w:rPr>
              <w:t>Botromagno</w:t>
            </w:r>
          </w:p>
        </w:tc>
        <w:tc>
          <w:tcPr>
            <w:tcW w:w="3118" w:type="dxa"/>
          </w:tcPr>
          <w:p w14:paraId="278A9AD1" w14:textId="77777777" w:rsidR="00D300CD" w:rsidRPr="00212088" w:rsidRDefault="00D300CD" w:rsidP="0018752B">
            <w:pPr>
              <w:jc w:val="center"/>
              <w:rPr>
                <w:lang w:val="en-US"/>
              </w:rPr>
            </w:pPr>
            <w:r w:rsidRPr="00212088">
              <w:rPr>
                <w:lang w:val="en-US"/>
              </w:rPr>
              <w:t>G67 Site C RZ3 Pit 3 tomb infill</w:t>
            </w:r>
          </w:p>
        </w:tc>
        <w:tc>
          <w:tcPr>
            <w:tcW w:w="1134" w:type="dxa"/>
          </w:tcPr>
          <w:p w14:paraId="0B621141" w14:textId="77777777" w:rsidR="00D300CD" w:rsidRPr="00212088" w:rsidRDefault="00D300CD" w:rsidP="0018752B">
            <w:pPr>
              <w:jc w:val="center"/>
              <w:rPr>
                <w:lang w:val="en-US"/>
              </w:rPr>
            </w:pPr>
            <w:r w:rsidRPr="00212088">
              <w:rPr>
                <w:lang w:val="en-US"/>
              </w:rPr>
              <w:t>F6</w:t>
            </w:r>
          </w:p>
        </w:tc>
        <w:tc>
          <w:tcPr>
            <w:tcW w:w="1276" w:type="dxa"/>
            <w:tcBorders>
              <w:right w:val="single" w:sz="4" w:space="0" w:color="auto"/>
            </w:tcBorders>
          </w:tcPr>
          <w:p w14:paraId="4C3CAF79" w14:textId="77777777" w:rsidR="00D300CD" w:rsidRPr="00212088" w:rsidRDefault="00D300CD" w:rsidP="0018752B">
            <w:pPr>
              <w:jc w:val="center"/>
              <w:rPr>
                <w:lang w:val="en-US"/>
              </w:rPr>
            </w:pPr>
            <w:r w:rsidRPr="00212088">
              <w:rPr>
                <w:lang w:val="en-US"/>
              </w:rPr>
              <w:t>Femur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F248C06" w14:textId="77777777" w:rsidR="00D300CD" w:rsidRPr="00212088" w:rsidRDefault="00D300CD" w:rsidP="0018752B">
            <w:pPr>
              <w:jc w:val="center"/>
              <w:rPr>
                <w:color w:val="000000"/>
                <w:lang w:val="en-US"/>
              </w:rPr>
            </w:pPr>
            <w:r w:rsidRPr="00212088">
              <w:rPr>
                <w:color w:val="000000"/>
                <w:lang w:val="en-US"/>
              </w:rPr>
              <w:t>9.0</w:t>
            </w:r>
          </w:p>
        </w:tc>
      </w:tr>
      <w:tr w:rsidR="00D300CD" w:rsidRPr="00212088" w14:paraId="58BCD9FC" w14:textId="77777777" w:rsidTr="0018752B">
        <w:trPr>
          <w:jc w:val="center"/>
        </w:trPr>
        <w:tc>
          <w:tcPr>
            <w:tcW w:w="1555" w:type="dxa"/>
          </w:tcPr>
          <w:p w14:paraId="0CFBF918" w14:textId="77777777" w:rsidR="00D300CD" w:rsidRPr="00212088" w:rsidRDefault="00D300CD" w:rsidP="0018752B">
            <w:pPr>
              <w:jc w:val="center"/>
              <w:rPr>
                <w:lang w:val="en-US"/>
              </w:rPr>
            </w:pPr>
            <w:r w:rsidRPr="00212088">
              <w:rPr>
                <w:lang w:val="en-US"/>
              </w:rPr>
              <w:t>Parco San Stefano</w:t>
            </w:r>
          </w:p>
        </w:tc>
        <w:tc>
          <w:tcPr>
            <w:tcW w:w="3118" w:type="dxa"/>
          </w:tcPr>
          <w:p w14:paraId="398FCE15" w14:textId="77777777" w:rsidR="00D300CD" w:rsidRPr="00212088" w:rsidRDefault="00D300CD" w:rsidP="0018752B">
            <w:pPr>
              <w:jc w:val="center"/>
              <w:rPr>
                <w:lang w:val="en-US"/>
              </w:rPr>
            </w:pPr>
            <w:r w:rsidRPr="00212088">
              <w:rPr>
                <w:lang w:val="en-US"/>
              </w:rPr>
              <w:t>22/5/67 Tomba 30</w:t>
            </w:r>
          </w:p>
        </w:tc>
        <w:tc>
          <w:tcPr>
            <w:tcW w:w="1134" w:type="dxa"/>
          </w:tcPr>
          <w:p w14:paraId="5CE1D697" w14:textId="77777777" w:rsidR="00D300CD" w:rsidRPr="00212088" w:rsidRDefault="00D300CD" w:rsidP="0018752B">
            <w:pPr>
              <w:jc w:val="center"/>
              <w:rPr>
                <w:lang w:val="en-US"/>
              </w:rPr>
            </w:pPr>
            <w:r w:rsidRPr="00212088">
              <w:rPr>
                <w:lang w:val="en-US"/>
              </w:rPr>
              <w:t>F7</w:t>
            </w:r>
          </w:p>
        </w:tc>
        <w:tc>
          <w:tcPr>
            <w:tcW w:w="1276" w:type="dxa"/>
            <w:tcBorders>
              <w:right w:val="single" w:sz="4" w:space="0" w:color="auto"/>
            </w:tcBorders>
          </w:tcPr>
          <w:p w14:paraId="5EF24C53" w14:textId="77777777" w:rsidR="00D300CD" w:rsidRPr="00212088" w:rsidRDefault="00D300CD" w:rsidP="0018752B">
            <w:pPr>
              <w:jc w:val="center"/>
              <w:rPr>
                <w:lang w:val="en-US"/>
              </w:rPr>
            </w:pPr>
            <w:r w:rsidRPr="00212088">
              <w:rPr>
                <w:lang w:val="en-US"/>
              </w:rPr>
              <w:t>Femur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066F475" w14:textId="77777777" w:rsidR="00D300CD" w:rsidRPr="00212088" w:rsidRDefault="00D300CD" w:rsidP="0018752B">
            <w:pPr>
              <w:jc w:val="center"/>
              <w:rPr>
                <w:color w:val="000000"/>
                <w:lang w:val="en-US"/>
              </w:rPr>
            </w:pPr>
            <w:r w:rsidRPr="00212088">
              <w:rPr>
                <w:color w:val="000000"/>
                <w:lang w:val="en-US"/>
              </w:rPr>
              <w:t>4.5</w:t>
            </w:r>
          </w:p>
        </w:tc>
      </w:tr>
      <w:tr w:rsidR="00D300CD" w:rsidRPr="00212088" w14:paraId="38E9575C" w14:textId="77777777" w:rsidTr="0018752B">
        <w:trPr>
          <w:jc w:val="center"/>
        </w:trPr>
        <w:tc>
          <w:tcPr>
            <w:tcW w:w="1555" w:type="dxa"/>
          </w:tcPr>
          <w:p w14:paraId="60037C33" w14:textId="77777777" w:rsidR="00D300CD" w:rsidRPr="00212088" w:rsidRDefault="00D300CD" w:rsidP="0018752B">
            <w:pPr>
              <w:jc w:val="center"/>
              <w:rPr>
                <w:lang w:val="en-US"/>
              </w:rPr>
            </w:pPr>
            <w:r w:rsidRPr="00212088">
              <w:rPr>
                <w:lang w:val="en-US"/>
              </w:rPr>
              <w:t>Botromagno</w:t>
            </w:r>
          </w:p>
        </w:tc>
        <w:tc>
          <w:tcPr>
            <w:tcW w:w="3118" w:type="dxa"/>
          </w:tcPr>
          <w:p w14:paraId="00C0A0B3" w14:textId="77777777" w:rsidR="00D300CD" w:rsidRPr="00212088" w:rsidRDefault="00D300CD" w:rsidP="0018752B">
            <w:pPr>
              <w:jc w:val="center"/>
              <w:rPr>
                <w:lang w:val="en-US"/>
              </w:rPr>
            </w:pPr>
            <w:r w:rsidRPr="00212088">
              <w:rPr>
                <w:lang w:val="en-US"/>
              </w:rPr>
              <w:t>G67/II P4 S17 Infill 3</w:t>
            </w:r>
          </w:p>
        </w:tc>
        <w:tc>
          <w:tcPr>
            <w:tcW w:w="1134" w:type="dxa"/>
          </w:tcPr>
          <w:p w14:paraId="78E1A347" w14:textId="77777777" w:rsidR="00D300CD" w:rsidRPr="00212088" w:rsidRDefault="00D300CD" w:rsidP="0018752B">
            <w:pPr>
              <w:jc w:val="center"/>
              <w:rPr>
                <w:lang w:val="en-US"/>
              </w:rPr>
            </w:pPr>
            <w:r w:rsidRPr="00212088">
              <w:rPr>
                <w:lang w:val="en-US"/>
              </w:rPr>
              <w:t>F8</w:t>
            </w:r>
          </w:p>
        </w:tc>
        <w:tc>
          <w:tcPr>
            <w:tcW w:w="1276" w:type="dxa"/>
            <w:tcBorders>
              <w:right w:val="single" w:sz="4" w:space="0" w:color="auto"/>
            </w:tcBorders>
          </w:tcPr>
          <w:p w14:paraId="0341DA1A" w14:textId="77777777" w:rsidR="00D300CD" w:rsidRPr="00212088" w:rsidRDefault="00D300CD" w:rsidP="0018752B">
            <w:pPr>
              <w:jc w:val="center"/>
              <w:rPr>
                <w:lang w:val="en-US"/>
              </w:rPr>
            </w:pPr>
            <w:r w:rsidRPr="00212088">
              <w:rPr>
                <w:lang w:val="en-US"/>
              </w:rPr>
              <w:t>Femur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058C77A" w14:textId="77777777" w:rsidR="00D300CD" w:rsidRPr="00212088" w:rsidRDefault="00D300CD" w:rsidP="0018752B">
            <w:pPr>
              <w:jc w:val="center"/>
              <w:rPr>
                <w:color w:val="000000"/>
                <w:lang w:val="en-US"/>
              </w:rPr>
            </w:pPr>
            <w:r w:rsidRPr="00212088">
              <w:rPr>
                <w:color w:val="000000"/>
                <w:lang w:val="en-US"/>
              </w:rPr>
              <w:t>2.8</w:t>
            </w:r>
          </w:p>
        </w:tc>
      </w:tr>
      <w:tr w:rsidR="00D300CD" w:rsidRPr="00212088" w14:paraId="32F520DC" w14:textId="77777777" w:rsidTr="0018752B">
        <w:trPr>
          <w:jc w:val="center"/>
        </w:trPr>
        <w:tc>
          <w:tcPr>
            <w:tcW w:w="1555" w:type="dxa"/>
          </w:tcPr>
          <w:p w14:paraId="6AC92C33"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42B1A12E" w14:textId="77777777" w:rsidR="00D300CD" w:rsidRPr="00212088" w:rsidRDefault="00D300CD" w:rsidP="0018752B">
            <w:pPr>
              <w:jc w:val="center"/>
              <w:rPr>
                <w:lang w:val="en-US"/>
              </w:rPr>
            </w:pPr>
            <w:r w:rsidRPr="00212088">
              <w:rPr>
                <w:color w:val="000000" w:themeColor="text1"/>
                <w:lang w:val="en-US"/>
              </w:rPr>
              <w:t>G67/I P15 S19</w:t>
            </w:r>
          </w:p>
        </w:tc>
        <w:tc>
          <w:tcPr>
            <w:tcW w:w="1134" w:type="dxa"/>
          </w:tcPr>
          <w:p w14:paraId="338136E8" w14:textId="77777777" w:rsidR="00D300CD" w:rsidRPr="00212088" w:rsidRDefault="00D300CD" w:rsidP="0018752B">
            <w:pPr>
              <w:jc w:val="center"/>
              <w:rPr>
                <w:lang w:val="en-US"/>
              </w:rPr>
            </w:pPr>
            <w:r w:rsidRPr="00212088">
              <w:rPr>
                <w:lang w:val="en-US"/>
              </w:rPr>
              <w:t>F9</w:t>
            </w:r>
          </w:p>
        </w:tc>
        <w:tc>
          <w:tcPr>
            <w:tcW w:w="1276" w:type="dxa"/>
          </w:tcPr>
          <w:p w14:paraId="7F2429E9" w14:textId="77777777" w:rsidR="00D300CD" w:rsidRPr="00212088" w:rsidRDefault="00D300CD" w:rsidP="0018752B">
            <w:pPr>
              <w:jc w:val="center"/>
              <w:rPr>
                <w:lang w:val="en-US"/>
              </w:rPr>
            </w:pPr>
            <w:r w:rsidRPr="00212088">
              <w:rPr>
                <w:lang w:val="en-US"/>
              </w:rPr>
              <w:t>Femur</w:t>
            </w:r>
          </w:p>
        </w:tc>
        <w:tc>
          <w:tcPr>
            <w:tcW w:w="2126" w:type="dxa"/>
            <w:tcBorders>
              <w:top w:val="single" w:sz="4" w:space="0" w:color="auto"/>
            </w:tcBorders>
          </w:tcPr>
          <w:p w14:paraId="2968C25D" w14:textId="77777777" w:rsidR="00D300CD" w:rsidRPr="00212088" w:rsidRDefault="00D300CD" w:rsidP="0018752B">
            <w:pPr>
              <w:jc w:val="center"/>
              <w:rPr>
                <w:lang w:val="en-US"/>
              </w:rPr>
            </w:pPr>
            <w:r w:rsidRPr="00212088">
              <w:rPr>
                <w:lang w:val="en-US"/>
              </w:rPr>
              <w:t>3.3</w:t>
            </w:r>
          </w:p>
        </w:tc>
      </w:tr>
      <w:tr w:rsidR="00D300CD" w:rsidRPr="00212088" w14:paraId="1874D96C" w14:textId="77777777" w:rsidTr="0018752B">
        <w:trPr>
          <w:jc w:val="center"/>
        </w:trPr>
        <w:tc>
          <w:tcPr>
            <w:tcW w:w="1555" w:type="dxa"/>
          </w:tcPr>
          <w:p w14:paraId="00FA5ECF"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2013D83C" w14:textId="77777777" w:rsidR="00D300CD" w:rsidRPr="00212088" w:rsidRDefault="00D300CD" w:rsidP="0018752B">
            <w:pPr>
              <w:jc w:val="center"/>
              <w:rPr>
                <w:color w:val="000000" w:themeColor="text1"/>
                <w:lang w:val="en-US"/>
              </w:rPr>
            </w:pPr>
            <w:r w:rsidRPr="00212088">
              <w:rPr>
                <w:color w:val="000000" w:themeColor="text1"/>
                <w:lang w:val="en-US"/>
              </w:rPr>
              <w:t>1967 G67/I SG-Tomb 6(2) Infill 1</w:t>
            </w:r>
          </w:p>
        </w:tc>
        <w:tc>
          <w:tcPr>
            <w:tcW w:w="1134" w:type="dxa"/>
          </w:tcPr>
          <w:p w14:paraId="345B2FA5" w14:textId="77777777" w:rsidR="00D300CD" w:rsidRPr="00212088" w:rsidRDefault="00D300CD" w:rsidP="0018752B">
            <w:pPr>
              <w:jc w:val="center"/>
              <w:rPr>
                <w:lang w:val="en-US"/>
              </w:rPr>
            </w:pPr>
            <w:r w:rsidRPr="00212088">
              <w:rPr>
                <w:lang w:val="en-US"/>
              </w:rPr>
              <w:t>F10</w:t>
            </w:r>
          </w:p>
        </w:tc>
        <w:tc>
          <w:tcPr>
            <w:tcW w:w="1276" w:type="dxa"/>
          </w:tcPr>
          <w:p w14:paraId="293F949D" w14:textId="77777777" w:rsidR="00D300CD" w:rsidRPr="00212088" w:rsidRDefault="00D300CD" w:rsidP="0018752B">
            <w:pPr>
              <w:jc w:val="center"/>
              <w:rPr>
                <w:lang w:val="en-US"/>
              </w:rPr>
            </w:pPr>
            <w:r w:rsidRPr="00212088">
              <w:rPr>
                <w:lang w:val="en-US"/>
              </w:rPr>
              <w:t>Femur</w:t>
            </w:r>
          </w:p>
        </w:tc>
        <w:tc>
          <w:tcPr>
            <w:tcW w:w="2126" w:type="dxa"/>
            <w:tcBorders>
              <w:bottom w:val="single" w:sz="4" w:space="0" w:color="auto"/>
            </w:tcBorders>
          </w:tcPr>
          <w:p w14:paraId="073507B2" w14:textId="77777777" w:rsidR="00D300CD" w:rsidRPr="00212088" w:rsidRDefault="00D300CD" w:rsidP="0018752B">
            <w:pPr>
              <w:jc w:val="center"/>
              <w:rPr>
                <w:lang w:val="en-US"/>
              </w:rPr>
            </w:pPr>
            <w:r w:rsidRPr="00212088">
              <w:rPr>
                <w:lang w:val="en-US"/>
              </w:rPr>
              <w:t>10.5</w:t>
            </w:r>
          </w:p>
        </w:tc>
      </w:tr>
      <w:tr w:rsidR="00D300CD" w:rsidRPr="00212088" w14:paraId="74F9E255" w14:textId="77777777" w:rsidTr="0018752B">
        <w:trPr>
          <w:jc w:val="center"/>
        </w:trPr>
        <w:tc>
          <w:tcPr>
            <w:tcW w:w="1555" w:type="dxa"/>
          </w:tcPr>
          <w:p w14:paraId="55C5C456"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1F09ED00" w14:textId="77777777" w:rsidR="00D300CD" w:rsidRPr="00212088" w:rsidRDefault="00D300CD" w:rsidP="0018752B">
            <w:pPr>
              <w:jc w:val="center"/>
              <w:rPr>
                <w:lang w:val="en-US"/>
              </w:rPr>
            </w:pPr>
            <w:r w:rsidRPr="00212088">
              <w:rPr>
                <w:lang w:val="en-US"/>
              </w:rPr>
              <w:t>1967 G67/I SG-Tomb 6(2) Infill 1</w:t>
            </w:r>
          </w:p>
        </w:tc>
        <w:tc>
          <w:tcPr>
            <w:tcW w:w="1134" w:type="dxa"/>
          </w:tcPr>
          <w:p w14:paraId="5AD5DB63" w14:textId="77777777" w:rsidR="00D300CD" w:rsidRPr="00212088" w:rsidRDefault="00D300CD" w:rsidP="0018752B">
            <w:pPr>
              <w:jc w:val="center"/>
              <w:rPr>
                <w:lang w:val="en-US"/>
              </w:rPr>
            </w:pPr>
            <w:r w:rsidRPr="00212088">
              <w:rPr>
                <w:lang w:val="en-US"/>
              </w:rPr>
              <w:t>R1</w:t>
            </w:r>
          </w:p>
        </w:tc>
        <w:tc>
          <w:tcPr>
            <w:tcW w:w="1276" w:type="dxa"/>
            <w:tcBorders>
              <w:right w:val="single" w:sz="4" w:space="0" w:color="auto"/>
            </w:tcBorders>
          </w:tcPr>
          <w:p w14:paraId="594E3C41" w14:textId="77777777" w:rsidR="00D300CD" w:rsidRPr="00212088" w:rsidRDefault="00D300CD" w:rsidP="0018752B">
            <w:pPr>
              <w:jc w:val="center"/>
              <w:rPr>
                <w:lang w:val="en-US"/>
              </w:rPr>
            </w:pPr>
            <w:r w:rsidRPr="00212088">
              <w:rPr>
                <w:lang w:val="en-US"/>
              </w:rPr>
              <w:t>Rib</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96A7AE8" w14:textId="77777777" w:rsidR="00D300CD" w:rsidRPr="00212088" w:rsidRDefault="00D300CD" w:rsidP="0018752B">
            <w:pPr>
              <w:jc w:val="center"/>
              <w:rPr>
                <w:color w:val="000000"/>
                <w:lang w:val="en-US"/>
              </w:rPr>
            </w:pPr>
            <w:r w:rsidRPr="00212088">
              <w:rPr>
                <w:color w:val="000000"/>
                <w:lang w:val="en-US"/>
              </w:rPr>
              <w:t>11.0</w:t>
            </w:r>
          </w:p>
        </w:tc>
      </w:tr>
      <w:tr w:rsidR="00D300CD" w:rsidRPr="00212088" w14:paraId="35C73D97" w14:textId="77777777" w:rsidTr="0018752B">
        <w:trPr>
          <w:jc w:val="center"/>
        </w:trPr>
        <w:tc>
          <w:tcPr>
            <w:tcW w:w="1555" w:type="dxa"/>
          </w:tcPr>
          <w:p w14:paraId="316CBEBB"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33DDDC7C" w14:textId="77777777" w:rsidR="00D300CD" w:rsidRPr="00212088" w:rsidRDefault="00D300CD" w:rsidP="0018752B">
            <w:pPr>
              <w:jc w:val="center"/>
              <w:rPr>
                <w:lang w:val="en-US"/>
              </w:rPr>
            </w:pPr>
            <w:r w:rsidRPr="00212088">
              <w:rPr>
                <w:lang w:val="en-US"/>
              </w:rPr>
              <w:t>1972 Area NA Burial 1 of A-1</w:t>
            </w:r>
          </w:p>
        </w:tc>
        <w:tc>
          <w:tcPr>
            <w:tcW w:w="1134" w:type="dxa"/>
          </w:tcPr>
          <w:p w14:paraId="61603EA3" w14:textId="77777777" w:rsidR="00D300CD" w:rsidRPr="00212088" w:rsidRDefault="00D300CD" w:rsidP="0018752B">
            <w:pPr>
              <w:jc w:val="center"/>
              <w:rPr>
                <w:lang w:val="en-US"/>
              </w:rPr>
            </w:pPr>
            <w:r w:rsidRPr="00212088">
              <w:rPr>
                <w:lang w:val="en-US"/>
              </w:rPr>
              <w:t>R2</w:t>
            </w:r>
          </w:p>
        </w:tc>
        <w:tc>
          <w:tcPr>
            <w:tcW w:w="1276" w:type="dxa"/>
            <w:tcBorders>
              <w:right w:val="single" w:sz="4" w:space="0" w:color="auto"/>
            </w:tcBorders>
          </w:tcPr>
          <w:p w14:paraId="444FD8E5" w14:textId="77777777" w:rsidR="00D300CD" w:rsidRPr="00212088" w:rsidRDefault="00D300CD" w:rsidP="0018752B">
            <w:pPr>
              <w:jc w:val="center"/>
              <w:rPr>
                <w:lang w:val="en-US"/>
              </w:rPr>
            </w:pPr>
            <w:r w:rsidRPr="00212088">
              <w:rPr>
                <w:lang w:val="en-US"/>
              </w:rPr>
              <w:t>Rib</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6408F53" w14:textId="77777777" w:rsidR="00D300CD" w:rsidRPr="00212088" w:rsidRDefault="00D300CD" w:rsidP="0018752B">
            <w:pPr>
              <w:jc w:val="center"/>
              <w:rPr>
                <w:color w:val="000000"/>
                <w:lang w:val="en-US"/>
              </w:rPr>
            </w:pPr>
            <w:r w:rsidRPr="00212088">
              <w:rPr>
                <w:color w:val="000000"/>
                <w:lang w:val="en-US"/>
              </w:rPr>
              <w:t>12.6</w:t>
            </w:r>
          </w:p>
        </w:tc>
      </w:tr>
      <w:tr w:rsidR="00D300CD" w:rsidRPr="00212088" w14:paraId="3E725E49" w14:textId="77777777" w:rsidTr="0018752B">
        <w:trPr>
          <w:jc w:val="center"/>
        </w:trPr>
        <w:tc>
          <w:tcPr>
            <w:tcW w:w="1555" w:type="dxa"/>
          </w:tcPr>
          <w:p w14:paraId="3792ACE9"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1100456F" w14:textId="77777777" w:rsidR="00D300CD" w:rsidRPr="00212088" w:rsidRDefault="00D300CD" w:rsidP="0018752B">
            <w:pPr>
              <w:jc w:val="center"/>
              <w:rPr>
                <w:lang w:val="en-US"/>
              </w:rPr>
            </w:pPr>
            <w:r w:rsidRPr="00212088">
              <w:rPr>
                <w:lang w:val="en-US"/>
              </w:rPr>
              <w:t>G67/I P15 S19</w:t>
            </w:r>
          </w:p>
        </w:tc>
        <w:tc>
          <w:tcPr>
            <w:tcW w:w="1134" w:type="dxa"/>
          </w:tcPr>
          <w:p w14:paraId="52745E2F" w14:textId="77777777" w:rsidR="00D300CD" w:rsidRPr="00212088" w:rsidRDefault="00D300CD" w:rsidP="0018752B">
            <w:pPr>
              <w:jc w:val="center"/>
              <w:rPr>
                <w:lang w:val="en-US"/>
              </w:rPr>
            </w:pPr>
            <w:r w:rsidRPr="00212088">
              <w:rPr>
                <w:lang w:val="en-US"/>
              </w:rPr>
              <w:t>R3</w:t>
            </w:r>
          </w:p>
        </w:tc>
        <w:tc>
          <w:tcPr>
            <w:tcW w:w="1276" w:type="dxa"/>
            <w:tcBorders>
              <w:right w:val="single" w:sz="4" w:space="0" w:color="auto"/>
            </w:tcBorders>
          </w:tcPr>
          <w:p w14:paraId="554E0704" w14:textId="77777777" w:rsidR="00D300CD" w:rsidRPr="00212088" w:rsidRDefault="00D300CD" w:rsidP="0018752B">
            <w:pPr>
              <w:jc w:val="center"/>
              <w:rPr>
                <w:lang w:val="en-US"/>
              </w:rPr>
            </w:pPr>
            <w:r w:rsidRPr="00212088">
              <w:rPr>
                <w:lang w:val="en-US"/>
              </w:rPr>
              <w:t>Rib</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D700B68" w14:textId="77777777" w:rsidR="00D300CD" w:rsidRPr="00212088" w:rsidRDefault="00D300CD" w:rsidP="0018752B">
            <w:pPr>
              <w:jc w:val="center"/>
              <w:rPr>
                <w:color w:val="000000"/>
                <w:lang w:val="en-US"/>
              </w:rPr>
            </w:pPr>
            <w:r w:rsidRPr="00212088">
              <w:rPr>
                <w:color w:val="000000"/>
                <w:lang w:val="en-US"/>
              </w:rPr>
              <w:t>7.8</w:t>
            </w:r>
          </w:p>
        </w:tc>
      </w:tr>
      <w:tr w:rsidR="00D300CD" w:rsidRPr="00212088" w14:paraId="1BD0641B" w14:textId="77777777" w:rsidTr="0018752B">
        <w:trPr>
          <w:jc w:val="center"/>
        </w:trPr>
        <w:tc>
          <w:tcPr>
            <w:tcW w:w="1555" w:type="dxa"/>
          </w:tcPr>
          <w:p w14:paraId="4497F7A0"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15039E8D" w14:textId="77777777" w:rsidR="00D300CD" w:rsidRPr="00212088" w:rsidRDefault="00D300CD" w:rsidP="0018752B">
            <w:pPr>
              <w:jc w:val="center"/>
              <w:rPr>
                <w:lang w:val="en-US"/>
              </w:rPr>
            </w:pPr>
            <w:r w:rsidRPr="00212088">
              <w:rPr>
                <w:lang w:val="en-US"/>
              </w:rPr>
              <w:t>G67/II P4 S17 Infill 3</w:t>
            </w:r>
          </w:p>
        </w:tc>
        <w:tc>
          <w:tcPr>
            <w:tcW w:w="1134" w:type="dxa"/>
          </w:tcPr>
          <w:p w14:paraId="46E65081" w14:textId="77777777" w:rsidR="00D300CD" w:rsidRPr="00212088" w:rsidRDefault="00D300CD" w:rsidP="0018752B">
            <w:pPr>
              <w:jc w:val="center"/>
              <w:rPr>
                <w:lang w:val="en-US"/>
              </w:rPr>
            </w:pPr>
            <w:r w:rsidRPr="00212088">
              <w:rPr>
                <w:lang w:val="en-US"/>
              </w:rPr>
              <w:t>R4</w:t>
            </w:r>
          </w:p>
        </w:tc>
        <w:tc>
          <w:tcPr>
            <w:tcW w:w="1276" w:type="dxa"/>
            <w:tcBorders>
              <w:right w:val="single" w:sz="4" w:space="0" w:color="auto"/>
            </w:tcBorders>
          </w:tcPr>
          <w:p w14:paraId="0CAB3112" w14:textId="77777777" w:rsidR="00D300CD" w:rsidRPr="00212088" w:rsidRDefault="00D300CD" w:rsidP="0018752B">
            <w:pPr>
              <w:jc w:val="center"/>
              <w:rPr>
                <w:lang w:val="en-US"/>
              </w:rPr>
            </w:pPr>
            <w:r w:rsidRPr="00212088">
              <w:rPr>
                <w:lang w:val="en-US"/>
              </w:rPr>
              <w:t>Rib</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E86289A" w14:textId="77777777" w:rsidR="00D300CD" w:rsidRPr="00212088" w:rsidRDefault="00D300CD" w:rsidP="0018752B">
            <w:pPr>
              <w:jc w:val="center"/>
              <w:rPr>
                <w:color w:val="000000"/>
                <w:lang w:val="en-US"/>
              </w:rPr>
            </w:pPr>
            <w:r w:rsidRPr="00212088">
              <w:rPr>
                <w:color w:val="000000"/>
                <w:lang w:val="en-US"/>
              </w:rPr>
              <w:t>8.2</w:t>
            </w:r>
          </w:p>
        </w:tc>
      </w:tr>
      <w:tr w:rsidR="00D300CD" w:rsidRPr="00212088" w14:paraId="292DB46D" w14:textId="77777777" w:rsidTr="0018752B">
        <w:trPr>
          <w:jc w:val="center"/>
        </w:trPr>
        <w:tc>
          <w:tcPr>
            <w:tcW w:w="1555" w:type="dxa"/>
          </w:tcPr>
          <w:p w14:paraId="249D1037"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3883CE7F" w14:textId="77777777" w:rsidR="00D300CD" w:rsidRPr="00212088" w:rsidRDefault="00D300CD" w:rsidP="0018752B">
            <w:pPr>
              <w:jc w:val="center"/>
              <w:rPr>
                <w:lang w:val="en-US"/>
              </w:rPr>
            </w:pPr>
            <w:r w:rsidRPr="00212088">
              <w:rPr>
                <w:lang w:val="en-US"/>
              </w:rPr>
              <w:t>G67/I p3 e2 S4 = Tomb 4</w:t>
            </w:r>
          </w:p>
        </w:tc>
        <w:tc>
          <w:tcPr>
            <w:tcW w:w="1134" w:type="dxa"/>
          </w:tcPr>
          <w:p w14:paraId="3395A0AD" w14:textId="77777777" w:rsidR="00D300CD" w:rsidRPr="00212088" w:rsidRDefault="00D300CD" w:rsidP="0018752B">
            <w:pPr>
              <w:jc w:val="center"/>
              <w:rPr>
                <w:lang w:val="en-US"/>
              </w:rPr>
            </w:pPr>
            <w:r w:rsidRPr="00212088">
              <w:rPr>
                <w:lang w:val="en-US"/>
              </w:rPr>
              <w:t>R5</w:t>
            </w:r>
          </w:p>
        </w:tc>
        <w:tc>
          <w:tcPr>
            <w:tcW w:w="1276" w:type="dxa"/>
            <w:tcBorders>
              <w:right w:val="single" w:sz="4" w:space="0" w:color="auto"/>
            </w:tcBorders>
          </w:tcPr>
          <w:p w14:paraId="0E41CBB7" w14:textId="77777777" w:rsidR="00D300CD" w:rsidRPr="00212088" w:rsidRDefault="00D300CD" w:rsidP="0018752B">
            <w:pPr>
              <w:jc w:val="center"/>
              <w:rPr>
                <w:lang w:val="en-US"/>
              </w:rPr>
            </w:pPr>
            <w:r w:rsidRPr="00212088">
              <w:rPr>
                <w:lang w:val="en-US"/>
              </w:rPr>
              <w:t>Rib</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D30EE2C" w14:textId="77777777" w:rsidR="00D300CD" w:rsidRPr="00212088" w:rsidRDefault="00D300CD" w:rsidP="0018752B">
            <w:pPr>
              <w:jc w:val="center"/>
              <w:rPr>
                <w:color w:val="000000"/>
                <w:lang w:val="en-US"/>
              </w:rPr>
            </w:pPr>
            <w:r w:rsidRPr="00212088">
              <w:rPr>
                <w:color w:val="000000"/>
                <w:lang w:val="en-US"/>
              </w:rPr>
              <w:t>10.0</w:t>
            </w:r>
          </w:p>
        </w:tc>
      </w:tr>
      <w:tr w:rsidR="00D300CD" w:rsidRPr="00212088" w14:paraId="40AE31E5" w14:textId="77777777" w:rsidTr="0018752B">
        <w:trPr>
          <w:jc w:val="center"/>
        </w:trPr>
        <w:tc>
          <w:tcPr>
            <w:tcW w:w="1555" w:type="dxa"/>
          </w:tcPr>
          <w:p w14:paraId="596F740A"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23C3978D" w14:textId="77777777" w:rsidR="00D300CD" w:rsidRPr="00212088" w:rsidRDefault="00D300CD" w:rsidP="0018752B">
            <w:pPr>
              <w:jc w:val="center"/>
              <w:rPr>
                <w:lang w:val="en-US"/>
              </w:rPr>
            </w:pPr>
            <w:r w:rsidRPr="00212088">
              <w:rPr>
                <w:lang w:val="en-US"/>
              </w:rPr>
              <w:t>G67 Site C RZ3 Pit 3 tomb infill</w:t>
            </w:r>
          </w:p>
        </w:tc>
        <w:tc>
          <w:tcPr>
            <w:tcW w:w="1134" w:type="dxa"/>
          </w:tcPr>
          <w:p w14:paraId="2199AFA0" w14:textId="77777777" w:rsidR="00D300CD" w:rsidRPr="00212088" w:rsidRDefault="00D300CD" w:rsidP="0018752B">
            <w:pPr>
              <w:jc w:val="center"/>
              <w:rPr>
                <w:lang w:val="en-US"/>
              </w:rPr>
            </w:pPr>
            <w:r w:rsidRPr="00212088">
              <w:rPr>
                <w:lang w:val="en-US"/>
              </w:rPr>
              <w:t>R6</w:t>
            </w:r>
          </w:p>
        </w:tc>
        <w:tc>
          <w:tcPr>
            <w:tcW w:w="1276" w:type="dxa"/>
            <w:tcBorders>
              <w:right w:val="single" w:sz="4" w:space="0" w:color="auto"/>
            </w:tcBorders>
          </w:tcPr>
          <w:p w14:paraId="1FF357D5" w14:textId="77777777" w:rsidR="00D300CD" w:rsidRPr="00212088" w:rsidRDefault="00D300CD" w:rsidP="0018752B">
            <w:pPr>
              <w:jc w:val="center"/>
              <w:rPr>
                <w:lang w:val="en-US"/>
              </w:rPr>
            </w:pPr>
            <w:r w:rsidRPr="00212088">
              <w:rPr>
                <w:lang w:val="en-US"/>
              </w:rPr>
              <w:t>Rib</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57D3D86" w14:textId="77777777" w:rsidR="00D300CD" w:rsidRPr="00212088" w:rsidRDefault="00D300CD" w:rsidP="0018752B">
            <w:pPr>
              <w:jc w:val="center"/>
              <w:rPr>
                <w:color w:val="000000"/>
                <w:lang w:val="en-US"/>
              </w:rPr>
            </w:pPr>
            <w:r w:rsidRPr="00212088">
              <w:rPr>
                <w:color w:val="000000"/>
                <w:lang w:val="en-US"/>
              </w:rPr>
              <w:t>14.7</w:t>
            </w:r>
          </w:p>
        </w:tc>
      </w:tr>
      <w:tr w:rsidR="00D300CD" w:rsidRPr="00212088" w14:paraId="522354B2" w14:textId="77777777" w:rsidTr="0018752B">
        <w:trPr>
          <w:jc w:val="center"/>
        </w:trPr>
        <w:tc>
          <w:tcPr>
            <w:tcW w:w="1555" w:type="dxa"/>
          </w:tcPr>
          <w:p w14:paraId="75BCED76" w14:textId="77777777" w:rsidR="00D300CD" w:rsidRPr="00212088" w:rsidRDefault="00D300CD" w:rsidP="0018752B">
            <w:pPr>
              <w:jc w:val="center"/>
              <w:rPr>
                <w:color w:val="000000" w:themeColor="text1"/>
                <w:lang w:val="en-US"/>
              </w:rPr>
            </w:pPr>
            <w:r w:rsidRPr="00212088">
              <w:rPr>
                <w:color w:val="000000" w:themeColor="text1"/>
                <w:lang w:val="en-US"/>
              </w:rPr>
              <w:t>Parco San Stefano</w:t>
            </w:r>
          </w:p>
        </w:tc>
        <w:tc>
          <w:tcPr>
            <w:tcW w:w="3118" w:type="dxa"/>
          </w:tcPr>
          <w:p w14:paraId="6BEECED0" w14:textId="77777777" w:rsidR="00D300CD" w:rsidRPr="00212088" w:rsidRDefault="00D300CD" w:rsidP="0018752B">
            <w:pPr>
              <w:jc w:val="center"/>
              <w:rPr>
                <w:color w:val="FF0000"/>
                <w:lang w:val="en-US"/>
              </w:rPr>
            </w:pPr>
            <w:r w:rsidRPr="00212088">
              <w:rPr>
                <w:color w:val="000000" w:themeColor="text1"/>
                <w:lang w:val="en-US"/>
              </w:rPr>
              <w:t>22/5/67 Tomba 30</w:t>
            </w:r>
          </w:p>
        </w:tc>
        <w:tc>
          <w:tcPr>
            <w:tcW w:w="1134" w:type="dxa"/>
          </w:tcPr>
          <w:p w14:paraId="4380E0A6" w14:textId="77777777" w:rsidR="00D300CD" w:rsidRPr="00212088" w:rsidRDefault="00D300CD" w:rsidP="0018752B">
            <w:pPr>
              <w:jc w:val="center"/>
              <w:rPr>
                <w:lang w:val="en-US"/>
              </w:rPr>
            </w:pPr>
            <w:r w:rsidRPr="00212088">
              <w:rPr>
                <w:lang w:val="en-US"/>
              </w:rPr>
              <w:t>R7</w:t>
            </w:r>
          </w:p>
        </w:tc>
        <w:tc>
          <w:tcPr>
            <w:tcW w:w="1276" w:type="dxa"/>
            <w:tcBorders>
              <w:right w:val="single" w:sz="4" w:space="0" w:color="auto"/>
            </w:tcBorders>
          </w:tcPr>
          <w:p w14:paraId="4237071D" w14:textId="77777777" w:rsidR="00D300CD" w:rsidRPr="00212088" w:rsidRDefault="00D300CD" w:rsidP="0018752B">
            <w:pPr>
              <w:jc w:val="center"/>
              <w:rPr>
                <w:lang w:val="en-US"/>
              </w:rPr>
            </w:pPr>
            <w:r w:rsidRPr="00212088">
              <w:rPr>
                <w:lang w:val="en-US"/>
              </w:rPr>
              <w:t>Rib</w:t>
            </w:r>
          </w:p>
        </w:tc>
        <w:tc>
          <w:tcPr>
            <w:tcW w:w="2126" w:type="dxa"/>
            <w:tcBorders>
              <w:top w:val="single" w:sz="4" w:space="0" w:color="auto"/>
              <w:left w:val="single" w:sz="4" w:space="0" w:color="auto"/>
              <w:bottom w:val="single" w:sz="4" w:space="0" w:color="auto"/>
              <w:right w:val="single" w:sz="4" w:space="0" w:color="auto"/>
            </w:tcBorders>
          </w:tcPr>
          <w:p w14:paraId="5418AFF6" w14:textId="77777777" w:rsidR="00D300CD" w:rsidRPr="00212088" w:rsidRDefault="00D300CD" w:rsidP="0018752B">
            <w:pPr>
              <w:jc w:val="center"/>
              <w:rPr>
                <w:lang w:val="en-US"/>
              </w:rPr>
            </w:pPr>
            <w:r w:rsidRPr="00212088">
              <w:rPr>
                <w:lang w:val="en-US"/>
              </w:rPr>
              <w:t>34.8</w:t>
            </w:r>
          </w:p>
        </w:tc>
      </w:tr>
      <w:tr w:rsidR="00D300CD" w:rsidRPr="00212088" w14:paraId="76754CEA" w14:textId="77777777" w:rsidTr="0018752B">
        <w:trPr>
          <w:jc w:val="center"/>
        </w:trPr>
        <w:tc>
          <w:tcPr>
            <w:tcW w:w="1555" w:type="dxa"/>
          </w:tcPr>
          <w:p w14:paraId="307512D2"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165FDA2F" w14:textId="77777777" w:rsidR="00D300CD" w:rsidRPr="00212088" w:rsidRDefault="00D300CD" w:rsidP="0018752B">
            <w:pPr>
              <w:jc w:val="center"/>
              <w:rPr>
                <w:color w:val="FF0000"/>
                <w:lang w:val="en-US"/>
              </w:rPr>
            </w:pPr>
            <w:r w:rsidRPr="00212088">
              <w:rPr>
                <w:color w:val="000000" w:themeColor="text1"/>
                <w:lang w:val="en-US"/>
              </w:rPr>
              <w:t>21/12/71 Tomba di bambino Ind. 1</w:t>
            </w:r>
          </w:p>
        </w:tc>
        <w:tc>
          <w:tcPr>
            <w:tcW w:w="1134" w:type="dxa"/>
          </w:tcPr>
          <w:p w14:paraId="7641F305" w14:textId="77777777" w:rsidR="00D300CD" w:rsidRPr="00212088" w:rsidRDefault="00D300CD" w:rsidP="0018752B">
            <w:pPr>
              <w:jc w:val="center"/>
              <w:rPr>
                <w:lang w:val="en-US"/>
              </w:rPr>
            </w:pPr>
            <w:r w:rsidRPr="00212088">
              <w:rPr>
                <w:lang w:val="en-US"/>
              </w:rPr>
              <w:t>R8</w:t>
            </w:r>
          </w:p>
        </w:tc>
        <w:tc>
          <w:tcPr>
            <w:tcW w:w="1276" w:type="dxa"/>
          </w:tcPr>
          <w:p w14:paraId="5B14FEA0" w14:textId="77777777" w:rsidR="00D300CD" w:rsidRPr="00212088" w:rsidRDefault="00D300CD" w:rsidP="0018752B">
            <w:pPr>
              <w:jc w:val="center"/>
              <w:rPr>
                <w:lang w:val="en-US"/>
              </w:rPr>
            </w:pPr>
            <w:r w:rsidRPr="00212088">
              <w:rPr>
                <w:lang w:val="en-US"/>
              </w:rPr>
              <w:t>Rib</w:t>
            </w:r>
          </w:p>
        </w:tc>
        <w:tc>
          <w:tcPr>
            <w:tcW w:w="2126" w:type="dxa"/>
            <w:tcBorders>
              <w:top w:val="single" w:sz="4" w:space="0" w:color="auto"/>
            </w:tcBorders>
          </w:tcPr>
          <w:p w14:paraId="4F792B0C" w14:textId="77777777" w:rsidR="00D300CD" w:rsidRPr="00212088" w:rsidRDefault="00D300CD" w:rsidP="0018752B">
            <w:pPr>
              <w:jc w:val="center"/>
              <w:rPr>
                <w:lang w:val="en-US"/>
              </w:rPr>
            </w:pPr>
            <w:r w:rsidRPr="00212088">
              <w:rPr>
                <w:lang w:val="en-US"/>
              </w:rPr>
              <w:t>2.1</w:t>
            </w:r>
          </w:p>
        </w:tc>
      </w:tr>
      <w:tr w:rsidR="00D300CD" w:rsidRPr="00212088" w14:paraId="28F96181" w14:textId="77777777" w:rsidTr="0018752B">
        <w:trPr>
          <w:jc w:val="center"/>
        </w:trPr>
        <w:tc>
          <w:tcPr>
            <w:tcW w:w="1555" w:type="dxa"/>
          </w:tcPr>
          <w:p w14:paraId="0D1499E2"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6A6023BA" w14:textId="77777777" w:rsidR="00D300CD" w:rsidRPr="00212088" w:rsidRDefault="00D300CD" w:rsidP="0018752B">
            <w:pPr>
              <w:jc w:val="center"/>
              <w:rPr>
                <w:color w:val="FF0000"/>
                <w:lang w:val="en-US"/>
              </w:rPr>
            </w:pPr>
            <w:r w:rsidRPr="00212088">
              <w:rPr>
                <w:color w:val="000000" w:themeColor="text1"/>
                <w:lang w:val="en-US"/>
              </w:rPr>
              <w:t>GS70 F25</w:t>
            </w:r>
          </w:p>
        </w:tc>
        <w:tc>
          <w:tcPr>
            <w:tcW w:w="1134" w:type="dxa"/>
          </w:tcPr>
          <w:p w14:paraId="0547925B" w14:textId="77777777" w:rsidR="00D300CD" w:rsidRPr="00212088" w:rsidRDefault="00D300CD" w:rsidP="0018752B">
            <w:pPr>
              <w:jc w:val="center"/>
              <w:rPr>
                <w:lang w:val="en-US"/>
              </w:rPr>
            </w:pPr>
            <w:r w:rsidRPr="00212088">
              <w:rPr>
                <w:lang w:val="en-US"/>
              </w:rPr>
              <w:t>R9</w:t>
            </w:r>
          </w:p>
        </w:tc>
        <w:tc>
          <w:tcPr>
            <w:tcW w:w="1276" w:type="dxa"/>
          </w:tcPr>
          <w:p w14:paraId="25C6633C" w14:textId="77777777" w:rsidR="00D300CD" w:rsidRPr="00212088" w:rsidRDefault="00D300CD" w:rsidP="0018752B">
            <w:pPr>
              <w:jc w:val="center"/>
              <w:rPr>
                <w:lang w:val="en-US"/>
              </w:rPr>
            </w:pPr>
            <w:r w:rsidRPr="00212088">
              <w:rPr>
                <w:lang w:val="en-US"/>
              </w:rPr>
              <w:t>Rib</w:t>
            </w:r>
          </w:p>
        </w:tc>
        <w:tc>
          <w:tcPr>
            <w:tcW w:w="2126" w:type="dxa"/>
          </w:tcPr>
          <w:p w14:paraId="46D9B4C9" w14:textId="77777777" w:rsidR="00D300CD" w:rsidRPr="00212088" w:rsidRDefault="00D300CD" w:rsidP="0018752B">
            <w:pPr>
              <w:jc w:val="center"/>
              <w:rPr>
                <w:lang w:val="en-US"/>
              </w:rPr>
            </w:pPr>
            <w:r w:rsidRPr="00212088">
              <w:rPr>
                <w:lang w:val="en-US"/>
              </w:rPr>
              <w:t>81.8</w:t>
            </w:r>
          </w:p>
        </w:tc>
      </w:tr>
      <w:tr w:rsidR="00D300CD" w:rsidRPr="00212088" w14:paraId="63635FBD" w14:textId="77777777" w:rsidTr="0018752B">
        <w:trPr>
          <w:jc w:val="center"/>
        </w:trPr>
        <w:tc>
          <w:tcPr>
            <w:tcW w:w="1555" w:type="dxa"/>
          </w:tcPr>
          <w:p w14:paraId="021E6D94"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645E86D4" w14:textId="77777777" w:rsidR="00D300CD" w:rsidRPr="00212088" w:rsidRDefault="00D300CD" w:rsidP="0018752B">
            <w:pPr>
              <w:jc w:val="center"/>
              <w:rPr>
                <w:color w:val="FF0000"/>
                <w:lang w:val="en-US"/>
              </w:rPr>
            </w:pPr>
            <w:r w:rsidRPr="00212088">
              <w:rPr>
                <w:color w:val="000000" w:themeColor="text1"/>
                <w:lang w:val="en-US"/>
              </w:rPr>
              <w:t>1968 DB 1 Contents of Sarcophagus</w:t>
            </w:r>
          </w:p>
        </w:tc>
        <w:tc>
          <w:tcPr>
            <w:tcW w:w="1134" w:type="dxa"/>
          </w:tcPr>
          <w:p w14:paraId="19675879" w14:textId="77777777" w:rsidR="00D300CD" w:rsidRPr="00212088" w:rsidRDefault="00D300CD" w:rsidP="0018752B">
            <w:pPr>
              <w:jc w:val="center"/>
              <w:rPr>
                <w:lang w:val="en-US"/>
              </w:rPr>
            </w:pPr>
            <w:r w:rsidRPr="00212088">
              <w:rPr>
                <w:lang w:val="en-US"/>
              </w:rPr>
              <w:t>R10</w:t>
            </w:r>
          </w:p>
        </w:tc>
        <w:tc>
          <w:tcPr>
            <w:tcW w:w="1276" w:type="dxa"/>
          </w:tcPr>
          <w:p w14:paraId="2CB9E230" w14:textId="77777777" w:rsidR="00D300CD" w:rsidRPr="00212088" w:rsidRDefault="00D300CD" w:rsidP="0018752B">
            <w:pPr>
              <w:jc w:val="center"/>
              <w:rPr>
                <w:lang w:val="en-US"/>
              </w:rPr>
            </w:pPr>
            <w:r w:rsidRPr="00212088">
              <w:rPr>
                <w:lang w:val="en-US"/>
              </w:rPr>
              <w:t>Rib</w:t>
            </w:r>
          </w:p>
        </w:tc>
        <w:tc>
          <w:tcPr>
            <w:tcW w:w="2126" w:type="dxa"/>
          </w:tcPr>
          <w:p w14:paraId="7227292C" w14:textId="77777777" w:rsidR="00D300CD" w:rsidRPr="00212088" w:rsidRDefault="00D300CD" w:rsidP="0018752B">
            <w:pPr>
              <w:jc w:val="center"/>
              <w:rPr>
                <w:lang w:val="en-US"/>
              </w:rPr>
            </w:pPr>
            <w:r w:rsidRPr="00212088">
              <w:rPr>
                <w:lang w:val="en-US"/>
              </w:rPr>
              <w:t>38.2</w:t>
            </w:r>
          </w:p>
        </w:tc>
      </w:tr>
      <w:tr w:rsidR="00D300CD" w:rsidRPr="00212088" w14:paraId="24BB6B74" w14:textId="77777777" w:rsidTr="0018752B">
        <w:trPr>
          <w:jc w:val="center"/>
        </w:trPr>
        <w:tc>
          <w:tcPr>
            <w:tcW w:w="1555" w:type="dxa"/>
          </w:tcPr>
          <w:p w14:paraId="765CBF15" w14:textId="77777777" w:rsidR="00D300CD" w:rsidRPr="00212088" w:rsidRDefault="00D300CD" w:rsidP="0018752B">
            <w:pPr>
              <w:jc w:val="center"/>
              <w:rPr>
                <w:color w:val="000000" w:themeColor="text1"/>
                <w:lang w:val="en-US"/>
              </w:rPr>
            </w:pPr>
            <w:r w:rsidRPr="00212088">
              <w:rPr>
                <w:color w:val="000000" w:themeColor="text1"/>
                <w:lang w:val="en-US"/>
              </w:rPr>
              <w:t>Botromagno</w:t>
            </w:r>
          </w:p>
        </w:tc>
        <w:tc>
          <w:tcPr>
            <w:tcW w:w="3118" w:type="dxa"/>
          </w:tcPr>
          <w:p w14:paraId="5F1B7845" w14:textId="77777777" w:rsidR="00D300CD" w:rsidRPr="00212088" w:rsidRDefault="00D300CD" w:rsidP="0018752B">
            <w:pPr>
              <w:jc w:val="center"/>
              <w:rPr>
                <w:color w:val="FF0000"/>
                <w:lang w:val="en-US"/>
              </w:rPr>
            </w:pPr>
            <w:r w:rsidRPr="00212088">
              <w:rPr>
                <w:color w:val="000000" w:themeColor="text1"/>
                <w:lang w:val="en-US"/>
              </w:rPr>
              <w:t>G67/I S5 small tomb</w:t>
            </w:r>
          </w:p>
        </w:tc>
        <w:tc>
          <w:tcPr>
            <w:tcW w:w="1134" w:type="dxa"/>
          </w:tcPr>
          <w:p w14:paraId="3BE1E1C8" w14:textId="77777777" w:rsidR="00D300CD" w:rsidRPr="00212088" w:rsidRDefault="00D300CD" w:rsidP="0018752B">
            <w:pPr>
              <w:jc w:val="center"/>
              <w:rPr>
                <w:lang w:val="en-US"/>
              </w:rPr>
            </w:pPr>
            <w:r w:rsidRPr="00212088">
              <w:rPr>
                <w:lang w:val="en-US"/>
              </w:rPr>
              <w:t>R11</w:t>
            </w:r>
          </w:p>
        </w:tc>
        <w:tc>
          <w:tcPr>
            <w:tcW w:w="1276" w:type="dxa"/>
          </w:tcPr>
          <w:p w14:paraId="639F9304" w14:textId="77777777" w:rsidR="00D300CD" w:rsidRPr="00212088" w:rsidRDefault="00D300CD" w:rsidP="0018752B">
            <w:pPr>
              <w:jc w:val="center"/>
              <w:rPr>
                <w:lang w:val="en-US"/>
              </w:rPr>
            </w:pPr>
            <w:r w:rsidRPr="00212088">
              <w:rPr>
                <w:lang w:val="en-US"/>
              </w:rPr>
              <w:t>Rib</w:t>
            </w:r>
          </w:p>
        </w:tc>
        <w:tc>
          <w:tcPr>
            <w:tcW w:w="2126" w:type="dxa"/>
          </w:tcPr>
          <w:p w14:paraId="7BD7E6BA" w14:textId="77777777" w:rsidR="00D300CD" w:rsidRPr="00212088" w:rsidRDefault="00D300CD" w:rsidP="0018752B">
            <w:pPr>
              <w:jc w:val="center"/>
              <w:rPr>
                <w:lang w:val="en-US"/>
              </w:rPr>
            </w:pPr>
            <w:r w:rsidRPr="00212088">
              <w:rPr>
                <w:lang w:val="en-US"/>
              </w:rPr>
              <w:t>44.7</w:t>
            </w:r>
          </w:p>
        </w:tc>
      </w:tr>
    </w:tbl>
    <w:p w14:paraId="21B2C315" w14:textId="77777777" w:rsidR="00D300CD" w:rsidRDefault="00D300CD" w:rsidP="00817A11"/>
    <w:p w14:paraId="3C5E4468" w14:textId="77777777" w:rsidR="00D300CD" w:rsidRDefault="00D300CD" w:rsidP="00D300CD"/>
    <w:p w14:paraId="07730DBF" w14:textId="77777777" w:rsidR="00D300CD" w:rsidRDefault="00D300CD" w:rsidP="00D300CD"/>
    <w:p w14:paraId="63E30232" w14:textId="77777777" w:rsidR="00D300CD" w:rsidRDefault="00D300CD" w:rsidP="00D300CD"/>
    <w:p w14:paraId="16D81FA5" w14:textId="77777777" w:rsidR="00D300CD" w:rsidRDefault="00D300CD" w:rsidP="00D300CD"/>
    <w:p w14:paraId="7C42AA7F" w14:textId="77777777" w:rsidR="00D300CD" w:rsidRDefault="00D300CD" w:rsidP="00D300CD"/>
    <w:p w14:paraId="2493B4C3" w14:textId="77777777" w:rsidR="00D300CD" w:rsidRDefault="00D300CD" w:rsidP="00D300CD"/>
    <w:p w14:paraId="518A6299" w14:textId="77777777" w:rsidR="00D300CD" w:rsidRDefault="00D300CD" w:rsidP="00D300CD"/>
    <w:p w14:paraId="44F5658B" w14:textId="77777777" w:rsidR="00D300CD" w:rsidRDefault="00D300CD" w:rsidP="00D300CD"/>
    <w:p w14:paraId="154556CC" w14:textId="77777777" w:rsidR="00D300CD" w:rsidRDefault="00D300CD" w:rsidP="00D300CD"/>
    <w:p w14:paraId="201F86A9" w14:textId="77777777" w:rsidR="00D300CD" w:rsidRDefault="00D300CD" w:rsidP="00D300CD"/>
    <w:p w14:paraId="747DBDDC" w14:textId="77777777" w:rsidR="00D300CD" w:rsidRDefault="00D300CD" w:rsidP="00D300CD"/>
    <w:p w14:paraId="24A3C97E" w14:textId="77777777" w:rsidR="00E55453" w:rsidRDefault="00E55453" w:rsidP="003D00CA">
      <w:pPr>
        <w:rPr>
          <w:b/>
          <w:sz w:val="32"/>
        </w:rPr>
      </w:pPr>
    </w:p>
    <w:p w14:paraId="50DB8AAF" w14:textId="77777777" w:rsidR="00E55453" w:rsidRDefault="00E55453" w:rsidP="00D300CD">
      <w:pPr>
        <w:jc w:val="center"/>
        <w:rPr>
          <w:b/>
          <w:sz w:val="32"/>
        </w:rPr>
      </w:pPr>
    </w:p>
    <w:p w14:paraId="4BEC1A7B" w14:textId="77777777" w:rsidR="00E55453" w:rsidRDefault="00E55453" w:rsidP="00D300CD">
      <w:pPr>
        <w:jc w:val="center"/>
        <w:rPr>
          <w:b/>
          <w:sz w:val="32"/>
        </w:rPr>
      </w:pPr>
    </w:p>
    <w:p w14:paraId="6E023E5B" w14:textId="77777777" w:rsidR="00E55453" w:rsidRDefault="00E55453" w:rsidP="00D300CD">
      <w:pPr>
        <w:jc w:val="center"/>
        <w:rPr>
          <w:b/>
          <w:sz w:val="32"/>
        </w:rPr>
      </w:pPr>
    </w:p>
    <w:p w14:paraId="2E068920" w14:textId="77777777" w:rsidR="00E55453" w:rsidRDefault="00E55453" w:rsidP="00D300CD">
      <w:pPr>
        <w:jc w:val="center"/>
        <w:rPr>
          <w:b/>
          <w:sz w:val="32"/>
        </w:rPr>
      </w:pPr>
    </w:p>
    <w:p w14:paraId="39AE6709" w14:textId="77777777" w:rsidR="00E55453" w:rsidRDefault="00E55453" w:rsidP="00D300CD">
      <w:pPr>
        <w:jc w:val="center"/>
        <w:rPr>
          <w:b/>
          <w:sz w:val="32"/>
        </w:rPr>
      </w:pPr>
    </w:p>
    <w:p w14:paraId="3837924C" w14:textId="4BC75901" w:rsidR="00D300CD" w:rsidRPr="00D75D34" w:rsidRDefault="00D300CD" w:rsidP="00D300CD">
      <w:pPr>
        <w:jc w:val="center"/>
        <w:rPr>
          <w:b/>
          <w:sz w:val="32"/>
        </w:rPr>
      </w:pPr>
      <w:r w:rsidRPr="00D75D34">
        <w:rPr>
          <w:b/>
          <w:sz w:val="32"/>
        </w:rPr>
        <w:t xml:space="preserve">Appendix </w:t>
      </w:r>
      <w:r>
        <w:rPr>
          <w:b/>
          <w:sz w:val="32"/>
        </w:rPr>
        <w:t>B</w:t>
      </w:r>
    </w:p>
    <w:p w14:paraId="46F448F2" w14:textId="77777777" w:rsidR="00D300CD" w:rsidRPr="00D75D34" w:rsidRDefault="00D300CD" w:rsidP="00D300CD">
      <w:pPr>
        <w:jc w:val="center"/>
        <w:rPr>
          <w:b/>
          <w:sz w:val="32"/>
        </w:rPr>
      </w:pPr>
    </w:p>
    <w:p w14:paraId="249F55DD" w14:textId="77777777" w:rsidR="00D300CD" w:rsidRDefault="00D300CD" w:rsidP="00D300CD">
      <w:pPr>
        <w:jc w:val="center"/>
        <w:rPr>
          <w:sz w:val="32"/>
        </w:rPr>
      </w:pPr>
      <w:r>
        <w:rPr>
          <w:sz w:val="32"/>
        </w:rPr>
        <w:t>Statistical Analyses for Variation in Stable Isotope Data</w:t>
      </w:r>
    </w:p>
    <w:p w14:paraId="0FADD2FC" w14:textId="77777777" w:rsidR="00D300CD" w:rsidRDefault="00D300CD" w:rsidP="00D300CD">
      <w:pPr>
        <w:jc w:val="center"/>
        <w:rPr>
          <w:sz w:val="32"/>
        </w:rPr>
      </w:pPr>
    </w:p>
    <w:p w14:paraId="1A83BCE7" w14:textId="77777777" w:rsidR="00D300CD" w:rsidRDefault="00D300CD" w:rsidP="00D300CD">
      <w:pPr>
        <w:jc w:val="center"/>
        <w:rPr>
          <w:sz w:val="32"/>
        </w:rPr>
      </w:pPr>
    </w:p>
    <w:p w14:paraId="4AF2BBF7" w14:textId="77777777" w:rsidR="00D300CD" w:rsidRDefault="00D300CD" w:rsidP="00D300CD">
      <w:pPr>
        <w:jc w:val="center"/>
        <w:rPr>
          <w:sz w:val="32"/>
        </w:rPr>
      </w:pPr>
    </w:p>
    <w:p w14:paraId="5D21C899" w14:textId="77777777" w:rsidR="00D300CD" w:rsidRDefault="00D300CD" w:rsidP="00D300CD">
      <w:pPr>
        <w:jc w:val="center"/>
        <w:rPr>
          <w:sz w:val="32"/>
        </w:rPr>
      </w:pPr>
    </w:p>
    <w:p w14:paraId="74197590" w14:textId="77777777" w:rsidR="00D300CD" w:rsidRDefault="00D300CD" w:rsidP="00D300CD">
      <w:pPr>
        <w:jc w:val="center"/>
        <w:rPr>
          <w:sz w:val="32"/>
        </w:rPr>
      </w:pPr>
    </w:p>
    <w:p w14:paraId="0FC0094E" w14:textId="77777777" w:rsidR="00D300CD" w:rsidRDefault="00D300CD" w:rsidP="00D300CD">
      <w:pPr>
        <w:jc w:val="center"/>
        <w:rPr>
          <w:sz w:val="32"/>
        </w:rPr>
      </w:pPr>
    </w:p>
    <w:p w14:paraId="5531AFB4" w14:textId="77777777" w:rsidR="00D300CD" w:rsidRDefault="00D300CD" w:rsidP="00D300CD">
      <w:pPr>
        <w:jc w:val="center"/>
        <w:rPr>
          <w:sz w:val="32"/>
        </w:rPr>
      </w:pPr>
    </w:p>
    <w:p w14:paraId="6E2E7955" w14:textId="77777777" w:rsidR="00D300CD" w:rsidRDefault="00D300CD" w:rsidP="00D300CD">
      <w:pPr>
        <w:jc w:val="center"/>
        <w:rPr>
          <w:sz w:val="32"/>
        </w:rPr>
      </w:pPr>
    </w:p>
    <w:p w14:paraId="07F1B622" w14:textId="77777777" w:rsidR="00D300CD" w:rsidRDefault="00D300CD" w:rsidP="00D300CD">
      <w:pPr>
        <w:jc w:val="center"/>
        <w:rPr>
          <w:sz w:val="32"/>
        </w:rPr>
      </w:pPr>
    </w:p>
    <w:p w14:paraId="5EE4DA64" w14:textId="77777777" w:rsidR="00D300CD" w:rsidRDefault="00D300CD" w:rsidP="00D300CD">
      <w:pPr>
        <w:jc w:val="center"/>
        <w:rPr>
          <w:sz w:val="32"/>
        </w:rPr>
      </w:pPr>
    </w:p>
    <w:p w14:paraId="0C9B1655" w14:textId="77777777" w:rsidR="00D300CD" w:rsidRDefault="00D300CD" w:rsidP="00D300CD">
      <w:pPr>
        <w:jc w:val="center"/>
        <w:rPr>
          <w:sz w:val="32"/>
        </w:rPr>
      </w:pPr>
    </w:p>
    <w:p w14:paraId="34B472DA" w14:textId="77777777" w:rsidR="00D300CD" w:rsidRDefault="00D300CD" w:rsidP="00D300CD">
      <w:pPr>
        <w:jc w:val="center"/>
        <w:rPr>
          <w:sz w:val="32"/>
        </w:rPr>
      </w:pPr>
    </w:p>
    <w:p w14:paraId="09A6E2F9" w14:textId="77777777" w:rsidR="00D300CD" w:rsidRDefault="00D300CD" w:rsidP="00D300CD">
      <w:pPr>
        <w:jc w:val="center"/>
        <w:rPr>
          <w:sz w:val="32"/>
        </w:rPr>
      </w:pPr>
    </w:p>
    <w:p w14:paraId="625E32C3" w14:textId="77777777" w:rsidR="00D300CD" w:rsidRDefault="00D300CD" w:rsidP="00D300CD">
      <w:pPr>
        <w:jc w:val="center"/>
        <w:rPr>
          <w:sz w:val="32"/>
        </w:rPr>
      </w:pPr>
    </w:p>
    <w:p w14:paraId="52CE478B" w14:textId="77777777" w:rsidR="00D300CD" w:rsidRDefault="00D300CD" w:rsidP="00D300CD">
      <w:pPr>
        <w:jc w:val="center"/>
        <w:rPr>
          <w:sz w:val="32"/>
        </w:rPr>
      </w:pPr>
    </w:p>
    <w:p w14:paraId="6909CF86" w14:textId="6172384C" w:rsidR="00D300CD" w:rsidRDefault="00D300CD" w:rsidP="00817A11">
      <w:pPr>
        <w:rPr>
          <w:sz w:val="32"/>
        </w:rPr>
      </w:pPr>
    </w:p>
    <w:p w14:paraId="75E6B1FE" w14:textId="4D599E3E" w:rsidR="00817A11" w:rsidRDefault="00817A11" w:rsidP="00817A11">
      <w:pPr>
        <w:rPr>
          <w:sz w:val="32"/>
        </w:rPr>
      </w:pPr>
    </w:p>
    <w:p w14:paraId="02189EE6" w14:textId="05948007" w:rsidR="003D00CA" w:rsidRDefault="003D00CA" w:rsidP="00817A11">
      <w:pPr>
        <w:rPr>
          <w:sz w:val="32"/>
        </w:rPr>
      </w:pPr>
    </w:p>
    <w:p w14:paraId="2D002EF0" w14:textId="77777777" w:rsidR="003D00CA" w:rsidRDefault="003D00CA" w:rsidP="00817A11">
      <w:pPr>
        <w:rPr>
          <w:sz w:val="32"/>
        </w:rPr>
      </w:pPr>
    </w:p>
    <w:p w14:paraId="386B2BA3" w14:textId="77777777" w:rsidR="00D300CD" w:rsidRDefault="00D300CD" w:rsidP="00D300CD">
      <w:pPr>
        <w:jc w:val="center"/>
      </w:pPr>
      <w:r w:rsidRPr="00817A11">
        <w:rPr>
          <w:b/>
        </w:rPr>
        <w:lastRenderedPageBreak/>
        <w:t>Table B1</w:t>
      </w:r>
      <w:r>
        <w:t>: Results of ANCOVA statistical analysis for adult Group A and B</w:t>
      </w:r>
      <w:r w:rsidRPr="002307AB">
        <w:t xml:space="preserve"> </w:t>
      </w:r>
      <w:r>
        <w:t>and their differences in stable</w:t>
      </w:r>
      <w:r w:rsidRPr="00B020DA">
        <w:t xml:space="preserve"> nitrogen</w:t>
      </w:r>
      <w:r>
        <w:t xml:space="preserve"> isotope values.</w:t>
      </w:r>
    </w:p>
    <w:p w14:paraId="0275CB89" w14:textId="77777777" w:rsidR="00D300CD" w:rsidRPr="0057008A" w:rsidRDefault="00D300CD" w:rsidP="00D300CD">
      <w:pPr>
        <w:jc w:val="center"/>
      </w:pPr>
    </w:p>
    <w:tbl>
      <w:tblPr>
        <w:tblStyle w:val="TableGrid"/>
        <w:tblW w:w="0" w:type="auto"/>
        <w:tblLook w:val="04A0" w:firstRow="1" w:lastRow="0" w:firstColumn="1" w:lastColumn="0" w:noHBand="0" w:noVBand="1"/>
      </w:tblPr>
      <w:tblGrid>
        <w:gridCol w:w="1509"/>
        <w:gridCol w:w="1873"/>
        <w:gridCol w:w="1050"/>
        <w:gridCol w:w="1488"/>
        <w:gridCol w:w="1504"/>
        <w:gridCol w:w="1233"/>
      </w:tblGrid>
      <w:tr w:rsidR="00D300CD" w14:paraId="5BCF860E" w14:textId="77777777" w:rsidTr="0018752B">
        <w:tc>
          <w:tcPr>
            <w:tcW w:w="1558" w:type="dxa"/>
            <w:vAlign w:val="bottom"/>
          </w:tcPr>
          <w:p w14:paraId="7C0DE689" w14:textId="77777777" w:rsidR="00D300CD" w:rsidRPr="00095D01" w:rsidRDefault="00D300CD" w:rsidP="0018752B">
            <w:pPr>
              <w:jc w:val="center"/>
              <w:rPr>
                <w:b/>
                <w:color w:val="000000" w:themeColor="text1"/>
                <w:sz w:val="32"/>
              </w:rPr>
            </w:pPr>
            <w:r w:rsidRPr="00095D01">
              <w:rPr>
                <w:b/>
                <w:color w:val="000000" w:themeColor="text1"/>
              </w:rPr>
              <w:t>Source</w:t>
            </w:r>
          </w:p>
        </w:tc>
        <w:tc>
          <w:tcPr>
            <w:tcW w:w="1981" w:type="dxa"/>
            <w:vAlign w:val="bottom"/>
          </w:tcPr>
          <w:p w14:paraId="3C521693" w14:textId="77777777" w:rsidR="00D300CD" w:rsidRPr="00095D01" w:rsidRDefault="00D300CD" w:rsidP="0018752B">
            <w:pPr>
              <w:jc w:val="center"/>
              <w:rPr>
                <w:b/>
                <w:color w:val="000000" w:themeColor="text1"/>
                <w:sz w:val="32"/>
              </w:rPr>
            </w:pPr>
            <w:r w:rsidRPr="00095D01">
              <w:rPr>
                <w:b/>
                <w:color w:val="000000" w:themeColor="text1"/>
              </w:rPr>
              <w:t>Type III Sum of Squares</w:t>
            </w:r>
          </w:p>
        </w:tc>
        <w:tc>
          <w:tcPr>
            <w:tcW w:w="1135" w:type="dxa"/>
            <w:vAlign w:val="bottom"/>
          </w:tcPr>
          <w:p w14:paraId="3438D919" w14:textId="77777777" w:rsidR="00D300CD" w:rsidRPr="00095D01" w:rsidRDefault="00D300CD" w:rsidP="0018752B">
            <w:pPr>
              <w:jc w:val="center"/>
              <w:rPr>
                <w:b/>
                <w:color w:val="000000" w:themeColor="text1"/>
                <w:sz w:val="32"/>
              </w:rPr>
            </w:pPr>
            <w:r w:rsidRPr="00095D01">
              <w:rPr>
                <w:b/>
                <w:color w:val="000000" w:themeColor="text1"/>
              </w:rPr>
              <w:t>df</w:t>
            </w:r>
          </w:p>
        </w:tc>
        <w:tc>
          <w:tcPr>
            <w:tcW w:w="1558" w:type="dxa"/>
            <w:vAlign w:val="bottom"/>
          </w:tcPr>
          <w:p w14:paraId="03ED69CE" w14:textId="77777777" w:rsidR="00D300CD" w:rsidRPr="00095D01" w:rsidRDefault="00D300CD" w:rsidP="0018752B">
            <w:pPr>
              <w:jc w:val="center"/>
              <w:rPr>
                <w:b/>
                <w:color w:val="000000" w:themeColor="text1"/>
                <w:sz w:val="32"/>
              </w:rPr>
            </w:pPr>
            <w:r w:rsidRPr="00095D01">
              <w:rPr>
                <w:b/>
                <w:color w:val="000000" w:themeColor="text1"/>
              </w:rPr>
              <w:t>Mean Square</w:t>
            </w:r>
          </w:p>
        </w:tc>
        <w:tc>
          <w:tcPr>
            <w:tcW w:w="1559" w:type="dxa"/>
            <w:vAlign w:val="bottom"/>
          </w:tcPr>
          <w:p w14:paraId="4600AF85" w14:textId="77777777" w:rsidR="00D300CD" w:rsidRPr="00095D01" w:rsidRDefault="00D300CD" w:rsidP="0018752B">
            <w:pPr>
              <w:jc w:val="center"/>
              <w:rPr>
                <w:b/>
                <w:color w:val="000000" w:themeColor="text1"/>
                <w:sz w:val="32"/>
              </w:rPr>
            </w:pPr>
            <w:r w:rsidRPr="00095D01">
              <w:rPr>
                <w:b/>
                <w:color w:val="000000" w:themeColor="text1"/>
              </w:rPr>
              <w:t>F</w:t>
            </w:r>
          </w:p>
        </w:tc>
        <w:tc>
          <w:tcPr>
            <w:tcW w:w="1276" w:type="dxa"/>
            <w:vAlign w:val="bottom"/>
          </w:tcPr>
          <w:p w14:paraId="235A5730" w14:textId="77777777" w:rsidR="00D300CD" w:rsidRPr="00095D01" w:rsidRDefault="00D300CD" w:rsidP="0018752B">
            <w:pPr>
              <w:jc w:val="center"/>
              <w:rPr>
                <w:b/>
                <w:color w:val="000000" w:themeColor="text1"/>
                <w:sz w:val="32"/>
              </w:rPr>
            </w:pPr>
            <w:r w:rsidRPr="00095D01">
              <w:rPr>
                <w:b/>
                <w:color w:val="000000" w:themeColor="text1"/>
              </w:rPr>
              <w:t>Sig.</w:t>
            </w:r>
          </w:p>
        </w:tc>
      </w:tr>
      <w:tr w:rsidR="00D300CD" w14:paraId="6B0CE5B3" w14:textId="77777777" w:rsidTr="0018752B">
        <w:tc>
          <w:tcPr>
            <w:tcW w:w="1558" w:type="dxa"/>
          </w:tcPr>
          <w:p w14:paraId="4356BB13" w14:textId="77777777" w:rsidR="00D300CD" w:rsidRPr="00095D01" w:rsidRDefault="00D300CD" w:rsidP="0018752B">
            <w:pPr>
              <w:jc w:val="center"/>
              <w:rPr>
                <w:color w:val="000000" w:themeColor="text1"/>
                <w:sz w:val="32"/>
              </w:rPr>
            </w:pPr>
            <w:r w:rsidRPr="00095D01">
              <w:rPr>
                <w:color w:val="000000" w:themeColor="text1"/>
              </w:rPr>
              <w:t>Corrected Model</w:t>
            </w:r>
          </w:p>
        </w:tc>
        <w:tc>
          <w:tcPr>
            <w:tcW w:w="1981" w:type="dxa"/>
          </w:tcPr>
          <w:p w14:paraId="7153A8A2" w14:textId="77777777" w:rsidR="00D300CD" w:rsidRPr="00095D01" w:rsidRDefault="00D300CD" w:rsidP="0018752B">
            <w:pPr>
              <w:jc w:val="center"/>
              <w:rPr>
                <w:color w:val="000000" w:themeColor="text1"/>
                <w:sz w:val="32"/>
              </w:rPr>
            </w:pPr>
            <w:r w:rsidRPr="00095D01">
              <w:rPr>
                <w:color w:val="000000" w:themeColor="text1"/>
              </w:rPr>
              <w:t>42.977</w:t>
            </w:r>
            <w:r w:rsidRPr="00095D01">
              <w:rPr>
                <w:color w:val="000000" w:themeColor="text1"/>
                <w:vertAlign w:val="superscript"/>
              </w:rPr>
              <w:t>a</w:t>
            </w:r>
          </w:p>
        </w:tc>
        <w:tc>
          <w:tcPr>
            <w:tcW w:w="1135" w:type="dxa"/>
          </w:tcPr>
          <w:p w14:paraId="31793BCC" w14:textId="77777777" w:rsidR="00D300CD" w:rsidRPr="00095D01" w:rsidRDefault="00D300CD" w:rsidP="0018752B">
            <w:pPr>
              <w:jc w:val="center"/>
              <w:rPr>
                <w:color w:val="000000" w:themeColor="text1"/>
                <w:sz w:val="32"/>
              </w:rPr>
            </w:pPr>
            <w:r w:rsidRPr="00095D01">
              <w:rPr>
                <w:color w:val="000000" w:themeColor="text1"/>
              </w:rPr>
              <w:t>2</w:t>
            </w:r>
          </w:p>
        </w:tc>
        <w:tc>
          <w:tcPr>
            <w:tcW w:w="1558" w:type="dxa"/>
          </w:tcPr>
          <w:p w14:paraId="12F7DF26" w14:textId="37B261CD" w:rsidR="00D300CD" w:rsidRPr="00095D01" w:rsidRDefault="00D300CD" w:rsidP="0018752B">
            <w:pPr>
              <w:jc w:val="center"/>
              <w:rPr>
                <w:color w:val="000000" w:themeColor="text1"/>
                <w:sz w:val="32"/>
              </w:rPr>
            </w:pPr>
            <w:r w:rsidRPr="00095D01">
              <w:rPr>
                <w:color w:val="000000" w:themeColor="text1"/>
              </w:rPr>
              <w:t>21.</w:t>
            </w:r>
            <w:r w:rsidR="00475B6A">
              <w:rPr>
                <w:color w:val="000000" w:themeColor="text1"/>
              </w:rPr>
              <w:t>5</w:t>
            </w:r>
          </w:p>
        </w:tc>
        <w:tc>
          <w:tcPr>
            <w:tcW w:w="1559" w:type="dxa"/>
          </w:tcPr>
          <w:p w14:paraId="4A3866B5" w14:textId="77777777" w:rsidR="00D300CD" w:rsidRPr="00095D01" w:rsidRDefault="00D300CD" w:rsidP="0018752B">
            <w:pPr>
              <w:jc w:val="center"/>
              <w:rPr>
                <w:color w:val="000000" w:themeColor="text1"/>
                <w:sz w:val="32"/>
              </w:rPr>
            </w:pPr>
            <w:r w:rsidRPr="00095D01">
              <w:rPr>
                <w:color w:val="000000" w:themeColor="text1"/>
              </w:rPr>
              <w:t>37.039</w:t>
            </w:r>
          </w:p>
        </w:tc>
        <w:tc>
          <w:tcPr>
            <w:tcW w:w="1276" w:type="dxa"/>
          </w:tcPr>
          <w:p w14:paraId="70C9068B" w14:textId="77777777" w:rsidR="00D300CD" w:rsidRPr="00095D01" w:rsidRDefault="00D300CD" w:rsidP="0018752B">
            <w:pPr>
              <w:jc w:val="center"/>
              <w:rPr>
                <w:color w:val="000000" w:themeColor="text1"/>
                <w:sz w:val="32"/>
              </w:rPr>
            </w:pPr>
            <w:r w:rsidRPr="0057008A">
              <w:rPr>
                <w:color w:val="000000" w:themeColor="text1"/>
              </w:rPr>
              <w:t>1.8355</w:t>
            </w:r>
            <w:r w:rsidRPr="0057008A">
              <w:rPr>
                <w:color w:val="000000" w:themeColor="text1"/>
                <w:vertAlign w:val="superscript"/>
              </w:rPr>
              <w:t>-11</w:t>
            </w:r>
          </w:p>
        </w:tc>
      </w:tr>
      <w:tr w:rsidR="00D300CD" w14:paraId="7A0A7CC0" w14:textId="77777777" w:rsidTr="0018752B">
        <w:tc>
          <w:tcPr>
            <w:tcW w:w="1558" w:type="dxa"/>
          </w:tcPr>
          <w:p w14:paraId="68D4F0BF" w14:textId="77777777" w:rsidR="00D300CD" w:rsidRPr="00095D01" w:rsidRDefault="00D300CD" w:rsidP="0018752B">
            <w:pPr>
              <w:jc w:val="center"/>
              <w:rPr>
                <w:color w:val="000000" w:themeColor="text1"/>
                <w:sz w:val="32"/>
              </w:rPr>
            </w:pPr>
            <w:r w:rsidRPr="00095D01">
              <w:rPr>
                <w:color w:val="000000" w:themeColor="text1"/>
              </w:rPr>
              <w:t>Intercept</w:t>
            </w:r>
          </w:p>
        </w:tc>
        <w:tc>
          <w:tcPr>
            <w:tcW w:w="1981" w:type="dxa"/>
          </w:tcPr>
          <w:p w14:paraId="4C24BECE" w14:textId="77777777" w:rsidR="00D300CD" w:rsidRPr="00095D01" w:rsidRDefault="00D300CD" w:rsidP="0018752B">
            <w:pPr>
              <w:jc w:val="center"/>
              <w:rPr>
                <w:color w:val="000000" w:themeColor="text1"/>
                <w:sz w:val="32"/>
              </w:rPr>
            </w:pPr>
            <w:r w:rsidRPr="00095D01">
              <w:rPr>
                <w:color w:val="000000" w:themeColor="text1"/>
              </w:rPr>
              <w:t>834.687</w:t>
            </w:r>
          </w:p>
        </w:tc>
        <w:tc>
          <w:tcPr>
            <w:tcW w:w="1135" w:type="dxa"/>
          </w:tcPr>
          <w:p w14:paraId="38B8C27F" w14:textId="77777777" w:rsidR="00D300CD" w:rsidRPr="00095D01" w:rsidRDefault="00D300CD" w:rsidP="0018752B">
            <w:pPr>
              <w:jc w:val="center"/>
              <w:rPr>
                <w:color w:val="000000" w:themeColor="text1"/>
                <w:sz w:val="32"/>
              </w:rPr>
            </w:pPr>
            <w:r w:rsidRPr="00095D01">
              <w:rPr>
                <w:color w:val="000000" w:themeColor="text1"/>
              </w:rPr>
              <w:t>1</w:t>
            </w:r>
          </w:p>
        </w:tc>
        <w:tc>
          <w:tcPr>
            <w:tcW w:w="1558" w:type="dxa"/>
          </w:tcPr>
          <w:p w14:paraId="230A5DED" w14:textId="77777777" w:rsidR="00D300CD" w:rsidRPr="00095D01" w:rsidRDefault="00D300CD" w:rsidP="0018752B">
            <w:pPr>
              <w:jc w:val="center"/>
              <w:rPr>
                <w:color w:val="000000" w:themeColor="text1"/>
                <w:sz w:val="32"/>
              </w:rPr>
            </w:pPr>
            <w:r w:rsidRPr="00095D01">
              <w:rPr>
                <w:color w:val="000000" w:themeColor="text1"/>
              </w:rPr>
              <w:t>834.687</w:t>
            </w:r>
          </w:p>
        </w:tc>
        <w:tc>
          <w:tcPr>
            <w:tcW w:w="1559" w:type="dxa"/>
          </w:tcPr>
          <w:p w14:paraId="5FC21421" w14:textId="77777777" w:rsidR="00D300CD" w:rsidRPr="00095D01" w:rsidRDefault="00D300CD" w:rsidP="0018752B">
            <w:pPr>
              <w:jc w:val="center"/>
              <w:rPr>
                <w:color w:val="000000" w:themeColor="text1"/>
                <w:sz w:val="32"/>
              </w:rPr>
            </w:pPr>
            <w:r w:rsidRPr="00095D01">
              <w:rPr>
                <w:color w:val="000000" w:themeColor="text1"/>
              </w:rPr>
              <w:t>1438.735</w:t>
            </w:r>
          </w:p>
        </w:tc>
        <w:tc>
          <w:tcPr>
            <w:tcW w:w="1276" w:type="dxa"/>
          </w:tcPr>
          <w:p w14:paraId="338B1752" w14:textId="77777777" w:rsidR="00D300CD" w:rsidRPr="00095D01" w:rsidRDefault="00D300CD" w:rsidP="0018752B">
            <w:pPr>
              <w:jc w:val="center"/>
              <w:rPr>
                <w:color w:val="000000" w:themeColor="text1"/>
                <w:sz w:val="32"/>
              </w:rPr>
            </w:pPr>
            <w:r w:rsidRPr="0057008A">
              <w:rPr>
                <w:color w:val="000000" w:themeColor="text1"/>
              </w:rPr>
              <w:t>4.621</w:t>
            </w:r>
            <w:r w:rsidRPr="0057008A">
              <w:rPr>
                <w:color w:val="000000" w:themeColor="text1"/>
                <w:vertAlign w:val="superscript"/>
              </w:rPr>
              <w:t>-46</w:t>
            </w:r>
          </w:p>
        </w:tc>
      </w:tr>
      <w:tr w:rsidR="00D300CD" w14:paraId="2DDF8247" w14:textId="77777777" w:rsidTr="0018752B">
        <w:tc>
          <w:tcPr>
            <w:tcW w:w="1558" w:type="dxa"/>
          </w:tcPr>
          <w:p w14:paraId="7F60DB64" w14:textId="77777777" w:rsidR="00D300CD" w:rsidRPr="00095D01" w:rsidRDefault="00D300CD" w:rsidP="0018752B">
            <w:pPr>
              <w:jc w:val="center"/>
              <w:rPr>
                <w:color w:val="000000" w:themeColor="text1"/>
                <w:sz w:val="32"/>
              </w:rPr>
            </w:pPr>
            <w:r w:rsidRPr="00095D01">
              <w:rPr>
                <w:color w:val="000000" w:themeColor="text1"/>
              </w:rPr>
              <w:t>Age</w:t>
            </w:r>
            <w:r>
              <w:rPr>
                <w:color w:val="000000" w:themeColor="text1"/>
              </w:rPr>
              <w:t xml:space="preserve"> Brackets</w:t>
            </w:r>
          </w:p>
        </w:tc>
        <w:tc>
          <w:tcPr>
            <w:tcW w:w="1981" w:type="dxa"/>
          </w:tcPr>
          <w:p w14:paraId="41CD7F18" w14:textId="77777777" w:rsidR="00D300CD" w:rsidRPr="00095D01" w:rsidRDefault="00D300CD" w:rsidP="0018752B">
            <w:pPr>
              <w:jc w:val="center"/>
              <w:rPr>
                <w:color w:val="000000" w:themeColor="text1"/>
                <w:sz w:val="32"/>
              </w:rPr>
            </w:pPr>
            <w:r w:rsidRPr="00095D01">
              <w:rPr>
                <w:color w:val="000000" w:themeColor="text1"/>
              </w:rPr>
              <w:t>.173</w:t>
            </w:r>
          </w:p>
        </w:tc>
        <w:tc>
          <w:tcPr>
            <w:tcW w:w="1135" w:type="dxa"/>
          </w:tcPr>
          <w:p w14:paraId="039187A0" w14:textId="77777777" w:rsidR="00D300CD" w:rsidRPr="00095D01" w:rsidRDefault="00D300CD" w:rsidP="0018752B">
            <w:pPr>
              <w:jc w:val="center"/>
              <w:rPr>
                <w:color w:val="000000" w:themeColor="text1"/>
                <w:sz w:val="32"/>
              </w:rPr>
            </w:pPr>
            <w:r w:rsidRPr="00095D01">
              <w:rPr>
                <w:color w:val="000000" w:themeColor="text1"/>
              </w:rPr>
              <w:t>1</w:t>
            </w:r>
          </w:p>
        </w:tc>
        <w:tc>
          <w:tcPr>
            <w:tcW w:w="1558" w:type="dxa"/>
          </w:tcPr>
          <w:p w14:paraId="010CB8AE" w14:textId="77777777" w:rsidR="00D300CD" w:rsidRPr="00095D01" w:rsidRDefault="00D300CD" w:rsidP="0018752B">
            <w:pPr>
              <w:jc w:val="center"/>
              <w:rPr>
                <w:color w:val="000000" w:themeColor="text1"/>
                <w:sz w:val="32"/>
              </w:rPr>
            </w:pPr>
            <w:r w:rsidRPr="00095D01">
              <w:rPr>
                <w:color w:val="000000" w:themeColor="text1"/>
              </w:rPr>
              <w:t>.173</w:t>
            </w:r>
          </w:p>
        </w:tc>
        <w:tc>
          <w:tcPr>
            <w:tcW w:w="1559" w:type="dxa"/>
          </w:tcPr>
          <w:p w14:paraId="60159D7C" w14:textId="77777777" w:rsidR="00D300CD" w:rsidRPr="00095D01" w:rsidRDefault="00D300CD" w:rsidP="0018752B">
            <w:pPr>
              <w:jc w:val="center"/>
              <w:rPr>
                <w:color w:val="000000" w:themeColor="text1"/>
                <w:sz w:val="32"/>
              </w:rPr>
            </w:pPr>
            <w:r w:rsidRPr="00095D01">
              <w:rPr>
                <w:color w:val="000000" w:themeColor="text1"/>
              </w:rPr>
              <w:t>.298</w:t>
            </w:r>
          </w:p>
        </w:tc>
        <w:tc>
          <w:tcPr>
            <w:tcW w:w="1276" w:type="dxa"/>
          </w:tcPr>
          <w:p w14:paraId="384799AE" w14:textId="77777777" w:rsidR="00D300CD" w:rsidRPr="00095D01" w:rsidRDefault="00D300CD" w:rsidP="0018752B">
            <w:pPr>
              <w:jc w:val="center"/>
              <w:rPr>
                <w:color w:val="000000" w:themeColor="text1"/>
                <w:sz w:val="32"/>
              </w:rPr>
            </w:pPr>
            <w:r w:rsidRPr="00095D01">
              <w:rPr>
                <w:color w:val="000000" w:themeColor="text1"/>
              </w:rPr>
              <w:t>.587</w:t>
            </w:r>
          </w:p>
        </w:tc>
      </w:tr>
      <w:tr w:rsidR="00D300CD" w14:paraId="16633272" w14:textId="77777777" w:rsidTr="0018752B">
        <w:tc>
          <w:tcPr>
            <w:tcW w:w="1558" w:type="dxa"/>
          </w:tcPr>
          <w:p w14:paraId="72959E01" w14:textId="77777777" w:rsidR="00D300CD" w:rsidRPr="00095D01" w:rsidRDefault="00D300CD" w:rsidP="0018752B">
            <w:pPr>
              <w:jc w:val="center"/>
              <w:rPr>
                <w:color w:val="000000" w:themeColor="text1"/>
                <w:sz w:val="32"/>
              </w:rPr>
            </w:pPr>
            <w:r w:rsidRPr="00095D01">
              <w:rPr>
                <w:color w:val="000000" w:themeColor="text1"/>
              </w:rPr>
              <w:t>Group</w:t>
            </w:r>
            <w:r>
              <w:rPr>
                <w:color w:val="000000" w:themeColor="text1"/>
              </w:rPr>
              <w:t>s</w:t>
            </w:r>
          </w:p>
        </w:tc>
        <w:tc>
          <w:tcPr>
            <w:tcW w:w="1981" w:type="dxa"/>
          </w:tcPr>
          <w:p w14:paraId="70DB7FC0" w14:textId="77777777" w:rsidR="00D300CD" w:rsidRPr="00095D01" w:rsidRDefault="00D300CD" w:rsidP="0018752B">
            <w:pPr>
              <w:jc w:val="center"/>
              <w:rPr>
                <w:color w:val="000000" w:themeColor="text1"/>
                <w:sz w:val="32"/>
              </w:rPr>
            </w:pPr>
            <w:r w:rsidRPr="00095D01">
              <w:rPr>
                <w:color w:val="000000" w:themeColor="text1"/>
              </w:rPr>
              <w:t>42.792</w:t>
            </w:r>
          </w:p>
        </w:tc>
        <w:tc>
          <w:tcPr>
            <w:tcW w:w="1135" w:type="dxa"/>
          </w:tcPr>
          <w:p w14:paraId="2FC0DE77" w14:textId="77777777" w:rsidR="00D300CD" w:rsidRPr="00095D01" w:rsidRDefault="00D300CD" w:rsidP="0018752B">
            <w:pPr>
              <w:jc w:val="center"/>
              <w:rPr>
                <w:color w:val="000000" w:themeColor="text1"/>
                <w:sz w:val="32"/>
              </w:rPr>
            </w:pPr>
            <w:r w:rsidRPr="00095D01">
              <w:rPr>
                <w:color w:val="000000" w:themeColor="text1"/>
              </w:rPr>
              <w:t>1</w:t>
            </w:r>
          </w:p>
        </w:tc>
        <w:tc>
          <w:tcPr>
            <w:tcW w:w="1558" w:type="dxa"/>
          </w:tcPr>
          <w:p w14:paraId="15233C7F" w14:textId="77777777" w:rsidR="00D300CD" w:rsidRPr="00095D01" w:rsidRDefault="00D300CD" w:rsidP="0018752B">
            <w:pPr>
              <w:jc w:val="center"/>
              <w:rPr>
                <w:color w:val="000000" w:themeColor="text1"/>
                <w:sz w:val="32"/>
              </w:rPr>
            </w:pPr>
            <w:r w:rsidRPr="00095D01">
              <w:rPr>
                <w:color w:val="000000" w:themeColor="text1"/>
              </w:rPr>
              <w:t>42.792</w:t>
            </w:r>
          </w:p>
        </w:tc>
        <w:tc>
          <w:tcPr>
            <w:tcW w:w="1559" w:type="dxa"/>
          </w:tcPr>
          <w:p w14:paraId="03D48FA2" w14:textId="77777777" w:rsidR="00D300CD" w:rsidRPr="00095D01" w:rsidRDefault="00D300CD" w:rsidP="0018752B">
            <w:pPr>
              <w:jc w:val="center"/>
              <w:rPr>
                <w:color w:val="000000" w:themeColor="text1"/>
                <w:sz w:val="32"/>
              </w:rPr>
            </w:pPr>
            <w:r w:rsidRPr="00095D01">
              <w:rPr>
                <w:color w:val="000000" w:themeColor="text1"/>
              </w:rPr>
              <w:t>73.760</w:t>
            </w:r>
          </w:p>
        </w:tc>
        <w:tc>
          <w:tcPr>
            <w:tcW w:w="1276" w:type="dxa"/>
          </w:tcPr>
          <w:p w14:paraId="0C96F5DF" w14:textId="77777777" w:rsidR="00D300CD" w:rsidRPr="0057008A" w:rsidRDefault="00D300CD" w:rsidP="0018752B">
            <w:pPr>
              <w:jc w:val="center"/>
              <w:rPr>
                <w:b/>
                <w:color w:val="000000" w:themeColor="text1"/>
                <w:sz w:val="32"/>
              </w:rPr>
            </w:pPr>
            <w:r w:rsidRPr="0057008A">
              <w:rPr>
                <w:b/>
                <w:color w:val="000000" w:themeColor="text1"/>
              </w:rPr>
              <w:t>2.6402</w:t>
            </w:r>
            <w:r w:rsidRPr="0057008A">
              <w:rPr>
                <w:b/>
                <w:color w:val="000000" w:themeColor="text1"/>
                <w:vertAlign w:val="superscript"/>
              </w:rPr>
              <w:t>-12</w:t>
            </w:r>
          </w:p>
        </w:tc>
      </w:tr>
      <w:tr w:rsidR="00D300CD" w14:paraId="0479E675" w14:textId="77777777" w:rsidTr="0018752B">
        <w:tc>
          <w:tcPr>
            <w:tcW w:w="1558" w:type="dxa"/>
          </w:tcPr>
          <w:p w14:paraId="76930F5C" w14:textId="77777777" w:rsidR="00D300CD" w:rsidRPr="00095D01" w:rsidRDefault="00D300CD" w:rsidP="0018752B">
            <w:pPr>
              <w:jc w:val="center"/>
              <w:rPr>
                <w:color w:val="000000" w:themeColor="text1"/>
                <w:sz w:val="32"/>
              </w:rPr>
            </w:pPr>
            <w:r w:rsidRPr="00095D01">
              <w:rPr>
                <w:color w:val="000000" w:themeColor="text1"/>
              </w:rPr>
              <w:t>Error</w:t>
            </w:r>
          </w:p>
        </w:tc>
        <w:tc>
          <w:tcPr>
            <w:tcW w:w="1981" w:type="dxa"/>
          </w:tcPr>
          <w:p w14:paraId="02C1355C" w14:textId="77777777" w:rsidR="00D300CD" w:rsidRPr="00095D01" w:rsidRDefault="00D300CD" w:rsidP="0018752B">
            <w:pPr>
              <w:jc w:val="center"/>
              <w:rPr>
                <w:color w:val="000000" w:themeColor="text1"/>
                <w:sz w:val="32"/>
              </w:rPr>
            </w:pPr>
            <w:r w:rsidRPr="00095D01">
              <w:rPr>
                <w:color w:val="000000" w:themeColor="text1"/>
              </w:rPr>
              <w:t>37.710</w:t>
            </w:r>
          </w:p>
        </w:tc>
        <w:tc>
          <w:tcPr>
            <w:tcW w:w="1135" w:type="dxa"/>
          </w:tcPr>
          <w:p w14:paraId="4928C47E" w14:textId="77777777" w:rsidR="00D300CD" w:rsidRPr="00095D01" w:rsidRDefault="00D300CD" w:rsidP="0018752B">
            <w:pPr>
              <w:jc w:val="center"/>
              <w:rPr>
                <w:color w:val="000000" w:themeColor="text1"/>
                <w:sz w:val="32"/>
              </w:rPr>
            </w:pPr>
            <w:r w:rsidRPr="00095D01">
              <w:rPr>
                <w:color w:val="000000" w:themeColor="text1"/>
              </w:rPr>
              <w:t>65</w:t>
            </w:r>
          </w:p>
        </w:tc>
        <w:tc>
          <w:tcPr>
            <w:tcW w:w="1558" w:type="dxa"/>
          </w:tcPr>
          <w:p w14:paraId="3C06E6D9" w14:textId="77777777" w:rsidR="00D300CD" w:rsidRPr="00095D01" w:rsidRDefault="00D300CD" w:rsidP="0018752B">
            <w:pPr>
              <w:jc w:val="center"/>
              <w:rPr>
                <w:color w:val="000000" w:themeColor="text1"/>
                <w:sz w:val="32"/>
              </w:rPr>
            </w:pPr>
            <w:r w:rsidRPr="00095D01">
              <w:rPr>
                <w:color w:val="000000" w:themeColor="text1"/>
              </w:rPr>
              <w:t>.580</w:t>
            </w:r>
          </w:p>
        </w:tc>
        <w:tc>
          <w:tcPr>
            <w:tcW w:w="1559" w:type="dxa"/>
            <w:vAlign w:val="center"/>
          </w:tcPr>
          <w:p w14:paraId="6FD2F1D7" w14:textId="77777777" w:rsidR="00D300CD" w:rsidRPr="00095D01" w:rsidRDefault="00D300CD" w:rsidP="0018752B">
            <w:pPr>
              <w:jc w:val="center"/>
              <w:rPr>
                <w:color w:val="000000" w:themeColor="text1"/>
                <w:sz w:val="32"/>
              </w:rPr>
            </w:pPr>
          </w:p>
        </w:tc>
        <w:tc>
          <w:tcPr>
            <w:tcW w:w="1276" w:type="dxa"/>
            <w:vAlign w:val="center"/>
          </w:tcPr>
          <w:p w14:paraId="0A94AB3C" w14:textId="77777777" w:rsidR="00D300CD" w:rsidRPr="00095D01" w:rsidRDefault="00D300CD" w:rsidP="0018752B">
            <w:pPr>
              <w:jc w:val="center"/>
              <w:rPr>
                <w:color w:val="000000" w:themeColor="text1"/>
                <w:sz w:val="32"/>
              </w:rPr>
            </w:pPr>
          </w:p>
        </w:tc>
      </w:tr>
      <w:tr w:rsidR="00D300CD" w14:paraId="7253CE63" w14:textId="77777777" w:rsidTr="0018752B">
        <w:tc>
          <w:tcPr>
            <w:tcW w:w="1558" w:type="dxa"/>
          </w:tcPr>
          <w:p w14:paraId="538AB8D2" w14:textId="77777777" w:rsidR="00D300CD" w:rsidRPr="00095D01" w:rsidRDefault="00D300CD" w:rsidP="0018752B">
            <w:pPr>
              <w:jc w:val="center"/>
              <w:rPr>
                <w:color w:val="000000" w:themeColor="text1"/>
                <w:sz w:val="32"/>
              </w:rPr>
            </w:pPr>
            <w:r w:rsidRPr="00095D01">
              <w:rPr>
                <w:color w:val="000000" w:themeColor="text1"/>
              </w:rPr>
              <w:t>Total</w:t>
            </w:r>
          </w:p>
        </w:tc>
        <w:tc>
          <w:tcPr>
            <w:tcW w:w="1981" w:type="dxa"/>
          </w:tcPr>
          <w:p w14:paraId="0BE13179" w14:textId="77777777" w:rsidR="00D300CD" w:rsidRPr="00095D01" w:rsidRDefault="00D300CD" w:rsidP="0018752B">
            <w:pPr>
              <w:jc w:val="center"/>
              <w:rPr>
                <w:color w:val="000000" w:themeColor="text1"/>
                <w:sz w:val="32"/>
              </w:rPr>
            </w:pPr>
            <w:r w:rsidRPr="00095D01">
              <w:rPr>
                <w:color w:val="000000" w:themeColor="text1"/>
              </w:rPr>
              <w:t>6145.133</w:t>
            </w:r>
          </w:p>
        </w:tc>
        <w:tc>
          <w:tcPr>
            <w:tcW w:w="1135" w:type="dxa"/>
          </w:tcPr>
          <w:p w14:paraId="5933B8FC" w14:textId="77777777" w:rsidR="00D300CD" w:rsidRPr="00095D01" w:rsidRDefault="00D300CD" w:rsidP="0018752B">
            <w:pPr>
              <w:jc w:val="center"/>
              <w:rPr>
                <w:color w:val="000000" w:themeColor="text1"/>
                <w:sz w:val="32"/>
              </w:rPr>
            </w:pPr>
            <w:r w:rsidRPr="00095D01">
              <w:rPr>
                <w:color w:val="000000" w:themeColor="text1"/>
              </w:rPr>
              <w:t>68</w:t>
            </w:r>
          </w:p>
        </w:tc>
        <w:tc>
          <w:tcPr>
            <w:tcW w:w="1558" w:type="dxa"/>
            <w:vAlign w:val="center"/>
          </w:tcPr>
          <w:p w14:paraId="304C8712" w14:textId="77777777" w:rsidR="00D300CD" w:rsidRPr="00095D01" w:rsidRDefault="00D300CD" w:rsidP="0018752B">
            <w:pPr>
              <w:jc w:val="center"/>
              <w:rPr>
                <w:color w:val="000000" w:themeColor="text1"/>
                <w:sz w:val="32"/>
              </w:rPr>
            </w:pPr>
          </w:p>
        </w:tc>
        <w:tc>
          <w:tcPr>
            <w:tcW w:w="1559" w:type="dxa"/>
            <w:vAlign w:val="center"/>
          </w:tcPr>
          <w:p w14:paraId="02E68A1F" w14:textId="77777777" w:rsidR="00D300CD" w:rsidRPr="00095D01" w:rsidRDefault="00D300CD" w:rsidP="0018752B">
            <w:pPr>
              <w:jc w:val="center"/>
              <w:rPr>
                <w:color w:val="000000" w:themeColor="text1"/>
                <w:sz w:val="32"/>
              </w:rPr>
            </w:pPr>
          </w:p>
        </w:tc>
        <w:tc>
          <w:tcPr>
            <w:tcW w:w="1276" w:type="dxa"/>
            <w:vAlign w:val="center"/>
          </w:tcPr>
          <w:p w14:paraId="614D6CCD" w14:textId="77777777" w:rsidR="00D300CD" w:rsidRPr="00095D01" w:rsidRDefault="00D300CD" w:rsidP="0018752B">
            <w:pPr>
              <w:jc w:val="center"/>
              <w:rPr>
                <w:color w:val="000000" w:themeColor="text1"/>
                <w:sz w:val="32"/>
              </w:rPr>
            </w:pPr>
          </w:p>
        </w:tc>
      </w:tr>
      <w:tr w:rsidR="00D300CD" w14:paraId="05396C20" w14:textId="77777777" w:rsidTr="0018752B">
        <w:tc>
          <w:tcPr>
            <w:tcW w:w="1558" w:type="dxa"/>
          </w:tcPr>
          <w:p w14:paraId="14219B9C" w14:textId="77777777" w:rsidR="00D300CD" w:rsidRPr="00095D01" w:rsidRDefault="00D300CD" w:rsidP="0018752B">
            <w:pPr>
              <w:jc w:val="center"/>
              <w:rPr>
                <w:color w:val="000000" w:themeColor="text1"/>
                <w:sz w:val="32"/>
              </w:rPr>
            </w:pPr>
            <w:r w:rsidRPr="00095D01">
              <w:rPr>
                <w:color w:val="000000" w:themeColor="text1"/>
              </w:rPr>
              <w:t>Corrected Total</w:t>
            </w:r>
          </w:p>
        </w:tc>
        <w:tc>
          <w:tcPr>
            <w:tcW w:w="1981" w:type="dxa"/>
          </w:tcPr>
          <w:p w14:paraId="685B7C06" w14:textId="77777777" w:rsidR="00D300CD" w:rsidRPr="00095D01" w:rsidRDefault="00D300CD" w:rsidP="0018752B">
            <w:pPr>
              <w:jc w:val="center"/>
              <w:rPr>
                <w:color w:val="000000" w:themeColor="text1"/>
                <w:sz w:val="32"/>
              </w:rPr>
            </w:pPr>
            <w:r w:rsidRPr="00095D01">
              <w:rPr>
                <w:color w:val="000000" w:themeColor="text1"/>
              </w:rPr>
              <w:t>80.687</w:t>
            </w:r>
          </w:p>
        </w:tc>
        <w:tc>
          <w:tcPr>
            <w:tcW w:w="1135" w:type="dxa"/>
          </w:tcPr>
          <w:p w14:paraId="18B1CF8B" w14:textId="77777777" w:rsidR="00D300CD" w:rsidRPr="00095D01" w:rsidRDefault="00D300CD" w:rsidP="0018752B">
            <w:pPr>
              <w:jc w:val="center"/>
              <w:rPr>
                <w:color w:val="000000" w:themeColor="text1"/>
                <w:sz w:val="32"/>
              </w:rPr>
            </w:pPr>
            <w:r w:rsidRPr="00095D01">
              <w:rPr>
                <w:color w:val="000000" w:themeColor="text1"/>
              </w:rPr>
              <w:t>67</w:t>
            </w:r>
          </w:p>
        </w:tc>
        <w:tc>
          <w:tcPr>
            <w:tcW w:w="1558" w:type="dxa"/>
            <w:vAlign w:val="center"/>
          </w:tcPr>
          <w:p w14:paraId="7873C768" w14:textId="77777777" w:rsidR="00D300CD" w:rsidRPr="00095D01" w:rsidRDefault="00D300CD" w:rsidP="0018752B">
            <w:pPr>
              <w:jc w:val="center"/>
              <w:rPr>
                <w:color w:val="000000" w:themeColor="text1"/>
                <w:sz w:val="32"/>
              </w:rPr>
            </w:pPr>
          </w:p>
        </w:tc>
        <w:tc>
          <w:tcPr>
            <w:tcW w:w="1559" w:type="dxa"/>
            <w:vAlign w:val="center"/>
          </w:tcPr>
          <w:p w14:paraId="0CB5DEAA" w14:textId="77777777" w:rsidR="00D300CD" w:rsidRPr="00095D01" w:rsidRDefault="00D300CD" w:rsidP="0018752B">
            <w:pPr>
              <w:jc w:val="center"/>
              <w:rPr>
                <w:color w:val="000000" w:themeColor="text1"/>
                <w:sz w:val="32"/>
              </w:rPr>
            </w:pPr>
          </w:p>
        </w:tc>
        <w:tc>
          <w:tcPr>
            <w:tcW w:w="1276" w:type="dxa"/>
            <w:vAlign w:val="center"/>
          </w:tcPr>
          <w:p w14:paraId="382BD93B" w14:textId="77777777" w:rsidR="00D300CD" w:rsidRPr="00095D01" w:rsidRDefault="00D300CD" w:rsidP="0018752B">
            <w:pPr>
              <w:jc w:val="center"/>
              <w:rPr>
                <w:color w:val="000000" w:themeColor="text1"/>
                <w:sz w:val="32"/>
              </w:rPr>
            </w:pPr>
          </w:p>
        </w:tc>
      </w:tr>
    </w:tbl>
    <w:p w14:paraId="06F5CA3D" w14:textId="77777777" w:rsidR="00D300CD" w:rsidRDefault="00D300CD" w:rsidP="00D300CD">
      <w:pPr>
        <w:jc w:val="center"/>
        <w:rPr>
          <w:sz w:val="32"/>
        </w:rPr>
      </w:pPr>
    </w:p>
    <w:p w14:paraId="1E5C4BFF" w14:textId="77777777" w:rsidR="00D300CD" w:rsidRDefault="00D300CD" w:rsidP="00D300CD">
      <w:pPr>
        <w:jc w:val="center"/>
      </w:pPr>
      <w:r w:rsidRPr="00817A11">
        <w:rPr>
          <w:b/>
        </w:rPr>
        <w:t>Table B2</w:t>
      </w:r>
      <w:r w:rsidRPr="00B020DA">
        <w:t xml:space="preserve">: </w:t>
      </w:r>
      <w:r>
        <w:t>Results of ANCOVA statistical analysis for adult sexed individuals and their differences in stable</w:t>
      </w:r>
      <w:r w:rsidRPr="00B020DA">
        <w:t xml:space="preserve"> nitrogen</w:t>
      </w:r>
      <w:r>
        <w:t xml:space="preserve"> isotope values.</w:t>
      </w:r>
    </w:p>
    <w:p w14:paraId="55DC3433" w14:textId="77777777" w:rsidR="00D300CD" w:rsidRPr="00B020DA" w:rsidRDefault="00D300CD" w:rsidP="00D300CD">
      <w:pPr>
        <w:jc w:val="center"/>
      </w:pPr>
    </w:p>
    <w:tbl>
      <w:tblPr>
        <w:tblStyle w:val="TableGrid"/>
        <w:tblW w:w="0" w:type="auto"/>
        <w:tblLook w:val="04A0" w:firstRow="1" w:lastRow="0" w:firstColumn="1" w:lastColumn="0" w:noHBand="0" w:noVBand="1"/>
      </w:tblPr>
      <w:tblGrid>
        <w:gridCol w:w="1514"/>
        <w:gridCol w:w="1885"/>
        <w:gridCol w:w="1060"/>
        <w:gridCol w:w="1496"/>
        <w:gridCol w:w="1497"/>
        <w:gridCol w:w="1205"/>
      </w:tblGrid>
      <w:tr w:rsidR="00D300CD" w14:paraId="74E04FC5" w14:textId="77777777" w:rsidTr="0018752B">
        <w:tc>
          <w:tcPr>
            <w:tcW w:w="1558" w:type="dxa"/>
            <w:vAlign w:val="bottom"/>
          </w:tcPr>
          <w:p w14:paraId="7BCB7C10" w14:textId="77777777" w:rsidR="00D300CD" w:rsidRPr="00B020DA" w:rsidRDefault="00D300CD" w:rsidP="0018752B">
            <w:pPr>
              <w:jc w:val="center"/>
              <w:rPr>
                <w:b/>
                <w:color w:val="000000" w:themeColor="text1"/>
              </w:rPr>
            </w:pPr>
            <w:r w:rsidRPr="00B020DA">
              <w:rPr>
                <w:b/>
                <w:color w:val="000000" w:themeColor="text1"/>
              </w:rPr>
              <w:t>Source</w:t>
            </w:r>
          </w:p>
        </w:tc>
        <w:tc>
          <w:tcPr>
            <w:tcW w:w="1981" w:type="dxa"/>
            <w:vAlign w:val="bottom"/>
          </w:tcPr>
          <w:p w14:paraId="48637576" w14:textId="77777777" w:rsidR="00D300CD" w:rsidRPr="00B020DA" w:rsidRDefault="00D300CD" w:rsidP="0018752B">
            <w:pPr>
              <w:jc w:val="center"/>
              <w:rPr>
                <w:b/>
                <w:color w:val="000000" w:themeColor="text1"/>
              </w:rPr>
            </w:pPr>
            <w:r w:rsidRPr="00B020DA">
              <w:rPr>
                <w:b/>
                <w:color w:val="000000" w:themeColor="text1"/>
              </w:rPr>
              <w:t>Type III Sum of Squares</w:t>
            </w:r>
          </w:p>
        </w:tc>
        <w:tc>
          <w:tcPr>
            <w:tcW w:w="1135" w:type="dxa"/>
            <w:vAlign w:val="bottom"/>
          </w:tcPr>
          <w:p w14:paraId="2A9E0F41" w14:textId="77777777" w:rsidR="00D300CD" w:rsidRPr="00B020DA" w:rsidRDefault="00D300CD" w:rsidP="0018752B">
            <w:pPr>
              <w:jc w:val="center"/>
              <w:rPr>
                <w:b/>
                <w:color w:val="000000" w:themeColor="text1"/>
              </w:rPr>
            </w:pPr>
            <w:r w:rsidRPr="00B020DA">
              <w:rPr>
                <w:b/>
                <w:color w:val="000000" w:themeColor="text1"/>
              </w:rPr>
              <w:t>df</w:t>
            </w:r>
          </w:p>
        </w:tc>
        <w:tc>
          <w:tcPr>
            <w:tcW w:w="1558" w:type="dxa"/>
            <w:vAlign w:val="bottom"/>
          </w:tcPr>
          <w:p w14:paraId="0CBBECDC" w14:textId="77777777" w:rsidR="00D300CD" w:rsidRPr="00B020DA" w:rsidRDefault="00D300CD" w:rsidP="0018752B">
            <w:pPr>
              <w:jc w:val="center"/>
              <w:rPr>
                <w:b/>
                <w:color w:val="000000" w:themeColor="text1"/>
              </w:rPr>
            </w:pPr>
            <w:r w:rsidRPr="00B020DA">
              <w:rPr>
                <w:b/>
                <w:color w:val="000000" w:themeColor="text1"/>
              </w:rPr>
              <w:t>Mean Square</w:t>
            </w:r>
          </w:p>
        </w:tc>
        <w:tc>
          <w:tcPr>
            <w:tcW w:w="1559" w:type="dxa"/>
            <w:vAlign w:val="bottom"/>
          </w:tcPr>
          <w:p w14:paraId="207A68E6" w14:textId="77777777" w:rsidR="00D300CD" w:rsidRPr="00B020DA" w:rsidRDefault="00D300CD" w:rsidP="0018752B">
            <w:pPr>
              <w:jc w:val="center"/>
              <w:rPr>
                <w:b/>
                <w:color w:val="000000" w:themeColor="text1"/>
              </w:rPr>
            </w:pPr>
            <w:r w:rsidRPr="00B020DA">
              <w:rPr>
                <w:b/>
                <w:color w:val="000000" w:themeColor="text1"/>
              </w:rPr>
              <w:t>F</w:t>
            </w:r>
          </w:p>
        </w:tc>
        <w:tc>
          <w:tcPr>
            <w:tcW w:w="1276" w:type="dxa"/>
            <w:vAlign w:val="bottom"/>
          </w:tcPr>
          <w:p w14:paraId="13170325" w14:textId="77777777" w:rsidR="00D300CD" w:rsidRPr="00B020DA" w:rsidRDefault="00D300CD" w:rsidP="0018752B">
            <w:pPr>
              <w:jc w:val="center"/>
              <w:rPr>
                <w:b/>
                <w:color w:val="000000" w:themeColor="text1"/>
              </w:rPr>
            </w:pPr>
            <w:r w:rsidRPr="00B020DA">
              <w:rPr>
                <w:b/>
                <w:color w:val="000000" w:themeColor="text1"/>
              </w:rPr>
              <w:t>Sig.</w:t>
            </w:r>
          </w:p>
        </w:tc>
      </w:tr>
      <w:tr w:rsidR="00D300CD" w14:paraId="38555AFD" w14:textId="77777777" w:rsidTr="0018752B">
        <w:tc>
          <w:tcPr>
            <w:tcW w:w="1558" w:type="dxa"/>
          </w:tcPr>
          <w:p w14:paraId="5C6134A5" w14:textId="77777777" w:rsidR="00D300CD" w:rsidRPr="00B020DA" w:rsidRDefault="00D300CD" w:rsidP="0018752B">
            <w:pPr>
              <w:jc w:val="center"/>
              <w:rPr>
                <w:color w:val="000000" w:themeColor="text1"/>
              </w:rPr>
            </w:pPr>
            <w:r w:rsidRPr="00B020DA">
              <w:rPr>
                <w:color w:val="000000" w:themeColor="text1"/>
              </w:rPr>
              <w:t>Corrected Model</w:t>
            </w:r>
          </w:p>
        </w:tc>
        <w:tc>
          <w:tcPr>
            <w:tcW w:w="1981" w:type="dxa"/>
          </w:tcPr>
          <w:p w14:paraId="182D965B" w14:textId="77777777" w:rsidR="00D300CD" w:rsidRPr="00B020DA" w:rsidRDefault="00D300CD" w:rsidP="0018752B">
            <w:pPr>
              <w:jc w:val="center"/>
              <w:rPr>
                <w:color w:val="000000" w:themeColor="text1"/>
              </w:rPr>
            </w:pPr>
            <w:r w:rsidRPr="00B020DA">
              <w:rPr>
                <w:color w:val="000000" w:themeColor="text1"/>
              </w:rPr>
              <w:t>4.620</w:t>
            </w:r>
            <w:r w:rsidRPr="00B020DA">
              <w:rPr>
                <w:color w:val="000000" w:themeColor="text1"/>
                <w:vertAlign w:val="superscript"/>
              </w:rPr>
              <w:t>a</w:t>
            </w:r>
          </w:p>
        </w:tc>
        <w:tc>
          <w:tcPr>
            <w:tcW w:w="1135" w:type="dxa"/>
          </w:tcPr>
          <w:p w14:paraId="27EDD091" w14:textId="77777777" w:rsidR="00D300CD" w:rsidRPr="00B020DA" w:rsidRDefault="00D300CD" w:rsidP="0018752B">
            <w:pPr>
              <w:jc w:val="center"/>
              <w:rPr>
                <w:color w:val="000000" w:themeColor="text1"/>
              </w:rPr>
            </w:pPr>
            <w:r w:rsidRPr="00B020DA">
              <w:rPr>
                <w:color w:val="000000" w:themeColor="text1"/>
              </w:rPr>
              <w:t>2</w:t>
            </w:r>
          </w:p>
        </w:tc>
        <w:tc>
          <w:tcPr>
            <w:tcW w:w="1558" w:type="dxa"/>
          </w:tcPr>
          <w:p w14:paraId="6967044B" w14:textId="77777777" w:rsidR="00D300CD" w:rsidRPr="00B020DA" w:rsidRDefault="00D300CD" w:rsidP="0018752B">
            <w:pPr>
              <w:jc w:val="center"/>
              <w:rPr>
                <w:color w:val="000000" w:themeColor="text1"/>
              </w:rPr>
            </w:pPr>
            <w:r w:rsidRPr="00B020DA">
              <w:rPr>
                <w:color w:val="000000" w:themeColor="text1"/>
              </w:rPr>
              <w:t>2.310</w:t>
            </w:r>
          </w:p>
        </w:tc>
        <w:tc>
          <w:tcPr>
            <w:tcW w:w="1559" w:type="dxa"/>
          </w:tcPr>
          <w:p w14:paraId="301CA53D" w14:textId="77777777" w:rsidR="00D300CD" w:rsidRPr="00B020DA" w:rsidRDefault="00D300CD" w:rsidP="0018752B">
            <w:pPr>
              <w:jc w:val="center"/>
              <w:rPr>
                <w:color w:val="000000" w:themeColor="text1"/>
              </w:rPr>
            </w:pPr>
            <w:r w:rsidRPr="00B020DA">
              <w:rPr>
                <w:color w:val="000000" w:themeColor="text1"/>
              </w:rPr>
              <w:t>2.364</w:t>
            </w:r>
          </w:p>
        </w:tc>
        <w:tc>
          <w:tcPr>
            <w:tcW w:w="1276" w:type="dxa"/>
          </w:tcPr>
          <w:p w14:paraId="55FBCF87" w14:textId="77777777" w:rsidR="00D300CD" w:rsidRPr="00B020DA" w:rsidRDefault="00D300CD" w:rsidP="0018752B">
            <w:pPr>
              <w:jc w:val="center"/>
              <w:rPr>
                <w:color w:val="000000" w:themeColor="text1"/>
              </w:rPr>
            </w:pPr>
            <w:r w:rsidRPr="00B020DA">
              <w:rPr>
                <w:color w:val="000000" w:themeColor="text1"/>
              </w:rPr>
              <w:t>.103</w:t>
            </w:r>
          </w:p>
        </w:tc>
      </w:tr>
      <w:tr w:rsidR="00D300CD" w14:paraId="31BB1057" w14:textId="77777777" w:rsidTr="0018752B">
        <w:tc>
          <w:tcPr>
            <w:tcW w:w="1558" w:type="dxa"/>
          </w:tcPr>
          <w:p w14:paraId="3D9079CC" w14:textId="77777777" w:rsidR="00D300CD" w:rsidRPr="00B020DA" w:rsidRDefault="00D300CD" w:rsidP="0018752B">
            <w:pPr>
              <w:jc w:val="center"/>
              <w:rPr>
                <w:color w:val="000000" w:themeColor="text1"/>
              </w:rPr>
            </w:pPr>
            <w:r w:rsidRPr="00B020DA">
              <w:rPr>
                <w:color w:val="000000" w:themeColor="text1"/>
              </w:rPr>
              <w:t>Intercept</w:t>
            </w:r>
          </w:p>
        </w:tc>
        <w:tc>
          <w:tcPr>
            <w:tcW w:w="1981" w:type="dxa"/>
          </w:tcPr>
          <w:p w14:paraId="6A9D5170" w14:textId="77777777" w:rsidR="00D300CD" w:rsidRPr="00B020DA" w:rsidRDefault="00D300CD" w:rsidP="0018752B">
            <w:pPr>
              <w:jc w:val="center"/>
              <w:rPr>
                <w:color w:val="000000" w:themeColor="text1"/>
              </w:rPr>
            </w:pPr>
            <w:r w:rsidRPr="00B020DA">
              <w:rPr>
                <w:color w:val="000000" w:themeColor="text1"/>
              </w:rPr>
              <w:t>797.760</w:t>
            </w:r>
          </w:p>
        </w:tc>
        <w:tc>
          <w:tcPr>
            <w:tcW w:w="1135" w:type="dxa"/>
          </w:tcPr>
          <w:p w14:paraId="304A16B9" w14:textId="77777777" w:rsidR="00D300CD" w:rsidRPr="00B020DA" w:rsidRDefault="00D300CD" w:rsidP="0018752B">
            <w:pPr>
              <w:jc w:val="center"/>
              <w:rPr>
                <w:color w:val="000000" w:themeColor="text1"/>
              </w:rPr>
            </w:pPr>
            <w:r w:rsidRPr="00B020DA">
              <w:rPr>
                <w:color w:val="000000" w:themeColor="text1"/>
              </w:rPr>
              <w:t>1</w:t>
            </w:r>
          </w:p>
        </w:tc>
        <w:tc>
          <w:tcPr>
            <w:tcW w:w="1558" w:type="dxa"/>
          </w:tcPr>
          <w:p w14:paraId="2556734D" w14:textId="77777777" w:rsidR="00D300CD" w:rsidRPr="00B020DA" w:rsidRDefault="00D300CD" w:rsidP="0018752B">
            <w:pPr>
              <w:jc w:val="center"/>
              <w:rPr>
                <w:color w:val="000000" w:themeColor="text1"/>
              </w:rPr>
            </w:pPr>
            <w:r w:rsidRPr="00B020DA">
              <w:rPr>
                <w:color w:val="000000" w:themeColor="text1"/>
              </w:rPr>
              <w:t>797.760</w:t>
            </w:r>
          </w:p>
        </w:tc>
        <w:tc>
          <w:tcPr>
            <w:tcW w:w="1559" w:type="dxa"/>
          </w:tcPr>
          <w:p w14:paraId="00921E61" w14:textId="77777777" w:rsidR="00D300CD" w:rsidRPr="00B020DA" w:rsidRDefault="00D300CD" w:rsidP="0018752B">
            <w:pPr>
              <w:jc w:val="center"/>
              <w:rPr>
                <w:color w:val="000000" w:themeColor="text1"/>
              </w:rPr>
            </w:pPr>
            <w:r w:rsidRPr="00B020DA">
              <w:rPr>
                <w:color w:val="000000" w:themeColor="text1"/>
              </w:rPr>
              <w:t>816.230</w:t>
            </w:r>
          </w:p>
        </w:tc>
        <w:tc>
          <w:tcPr>
            <w:tcW w:w="1276" w:type="dxa"/>
          </w:tcPr>
          <w:p w14:paraId="00A414B5" w14:textId="77777777" w:rsidR="00D300CD" w:rsidRPr="00B020DA" w:rsidRDefault="00D300CD" w:rsidP="0018752B">
            <w:pPr>
              <w:jc w:val="center"/>
              <w:rPr>
                <w:color w:val="000000" w:themeColor="text1"/>
              </w:rPr>
            </w:pPr>
            <w:r w:rsidRPr="00B020DA">
              <w:rPr>
                <w:color w:val="000000" w:themeColor="text1"/>
              </w:rPr>
              <w:t>.000</w:t>
            </w:r>
          </w:p>
        </w:tc>
      </w:tr>
      <w:tr w:rsidR="00D300CD" w14:paraId="3EF18C70" w14:textId="77777777" w:rsidTr="0018752B">
        <w:tc>
          <w:tcPr>
            <w:tcW w:w="1558" w:type="dxa"/>
          </w:tcPr>
          <w:p w14:paraId="706E9B80" w14:textId="77777777" w:rsidR="00D300CD" w:rsidRPr="00B020DA" w:rsidRDefault="00D300CD" w:rsidP="0018752B">
            <w:pPr>
              <w:jc w:val="center"/>
              <w:rPr>
                <w:color w:val="000000" w:themeColor="text1"/>
              </w:rPr>
            </w:pPr>
            <w:r w:rsidRPr="00B020DA">
              <w:rPr>
                <w:color w:val="000000" w:themeColor="text1"/>
              </w:rPr>
              <w:t>Age</w:t>
            </w:r>
            <w:r>
              <w:rPr>
                <w:color w:val="000000" w:themeColor="text1"/>
              </w:rPr>
              <w:t xml:space="preserve"> Brackets</w:t>
            </w:r>
          </w:p>
        </w:tc>
        <w:tc>
          <w:tcPr>
            <w:tcW w:w="1981" w:type="dxa"/>
          </w:tcPr>
          <w:p w14:paraId="5E507067" w14:textId="77777777" w:rsidR="00D300CD" w:rsidRPr="00B020DA" w:rsidRDefault="00D300CD" w:rsidP="0018752B">
            <w:pPr>
              <w:jc w:val="center"/>
              <w:rPr>
                <w:color w:val="000000" w:themeColor="text1"/>
              </w:rPr>
            </w:pPr>
            <w:r w:rsidRPr="00B020DA">
              <w:rPr>
                <w:color w:val="000000" w:themeColor="text1"/>
              </w:rPr>
              <w:t>.422</w:t>
            </w:r>
          </w:p>
        </w:tc>
        <w:tc>
          <w:tcPr>
            <w:tcW w:w="1135" w:type="dxa"/>
          </w:tcPr>
          <w:p w14:paraId="4EF4FB0E" w14:textId="77777777" w:rsidR="00D300CD" w:rsidRPr="00B020DA" w:rsidRDefault="00D300CD" w:rsidP="0018752B">
            <w:pPr>
              <w:jc w:val="center"/>
              <w:rPr>
                <w:color w:val="000000" w:themeColor="text1"/>
              </w:rPr>
            </w:pPr>
            <w:r w:rsidRPr="00B020DA">
              <w:rPr>
                <w:color w:val="000000" w:themeColor="text1"/>
              </w:rPr>
              <w:t>1</w:t>
            </w:r>
          </w:p>
        </w:tc>
        <w:tc>
          <w:tcPr>
            <w:tcW w:w="1558" w:type="dxa"/>
          </w:tcPr>
          <w:p w14:paraId="2750278C" w14:textId="77777777" w:rsidR="00D300CD" w:rsidRPr="00B020DA" w:rsidRDefault="00D300CD" w:rsidP="0018752B">
            <w:pPr>
              <w:jc w:val="center"/>
              <w:rPr>
                <w:color w:val="000000" w:themeColor="text1"/>
              </w:rPr>
            </w:pPr>
            <w:r w:rsidRPr="00B020DA">
              <w:rPr>
                <w:color w:val="000000" w:themeColor="text1"/>
              </w:rPr>
              <w:t>.422</w:t>
            </w:r>
          </w:p>
        </w:tc>
        <w:tc>
          <w:tcPr>
            <w:tcW w:w="1559" w:type="dxa"/>
          </w:tcPr>
          <w:p w14:paraId="4909E912" w14:textId="77777777" w:rsidR="00D300CD" w:rsidRPr="00B020DA" w:rsidRDefault="00D300CD" w:rsidP="0018752B">
            <w:pPr>
              <w:jc w:val="center"/>
              <w:rPr>
                <w:color w:val="000000" w:themeColor="text1"/>
              </w:rPr>
            </w:pPr>
            <w:r w:rsidRPr="00B020DA">
              <w:rPr>
                <w:color w:val="000000" w:themeColor="text1"/>
              </w:rPr>
              <w:t>.431</w:t>
            </w:r>
          </w:p>
        </w:tc>
        <w:tc>
          <w:tcPr>
            <w:tcW w:w="1276" w:type="dxa"/>
          </w:tcPr>
          <w:p w14:paraId="1C3F2EC2" w14:textId="77777777" w:rsidR="00D300CD" w:rsidRPr="00B020DA" w:rsidRDefault="00D300CD" w:rsidP="0018752B">
            <w:pPr>
              <w:jc w:val="center"/>
              <w:rPr>
                <w:color w:val="000000" w:themeColor="text1"/>
              </w:rPr>
            </w:pPr>
            <w:r w:rsidRPr="00B020DA">
              <w:rPr>
                <w:color w:val="000000" w:themeColor="text1"/>
              </w:rPr>
              <w:t>.514</w:t>
            </w:r>
          </w:p>
        </w:tc>
      </w:tr>
      <w:tr w:rsidR="00D300CD" w14:paraId="18783F82" w14:textId="77777777" w:rsidTr="0018752B">
        <w:tc>
          <w:tcPr>
            <w:tcW w:w="1558" w:type="dxa"/>
          </w:tcPr>
          <w:p w14:paraId="53A574DC" w14:textId="77777777" w:rsidR="00D300CD" w:rsidRPr="00B020DA" w:rsidRDefault="00D300CD" w:rsidP="0018752B">
            <w:pPr>
              <w:jc w:val="center"/>
              <w:rPr>
                <w:color w:val="000000" w:themeColor="text1"/>
              </w:rPr>
            </w:pPr>
            <w:r w:rsidRPr="00B020DA">
              <w:rPr>
                <w:color w:val="000000" w:themeColor="text1"/>
              </w:rPr>
              <w:t>Sex</w:t>
            </w:r>
          </w:p>
        </w:tc>
        <w:tc>
          <w:tcPr>
            <w:tcW w:w="1981" w:type="dxa"/>
          </w:tcPr>
          <w:p w14:paraId="0D810367" w14:textId="77777777" w:rsidR="00D300CD" w:rsidRPr="00B020DA" w:rsidRDefault="00D300CD" w:rsidP="0018752B">
            <w:pPr>
              <w:jc w:val="center"/>
              <w:rPr>
                <w:color w:val="000000" w:themeColor="text1"/>
              </w:rPr>
            </w:pPr>
            <w:r w:rsidRPr="00B020DA">
              <w:rPr>
                <w:color w:val="000000" w:themeColor="text1"/>
              </w:rPr>
              <w:t>4.261</w:t>
            </w:r>
          </w:p>
        </w:tc>
        <w:tc>
          <w:tcPr>
            <w:tcW w:w="1135" w:type="dxa"/>
          </w:tcPr>
          <w:p w14:paraId="296C33FA" w14:textId="77777777" w:rsidR="00D300CD" w:rsidRPr="00B020DA" w:rsidRDefault="00D300CD" w:rsidP="0018752B">
            <w:pPr>
              <w:jc w:val="center"/>
              <w:rPr>
                <w:color w:val="000000" w:themeColor="text1"/>
              </w:rPr>
            </w:pPr>
            <w:r w:rsidRPr="00B020DA">
              <w:rPr>
                <w:color w:val="000000" w:themeColor="text1"/>
              </w:rPr>
              <w:t>1</w:t>
            </w:r>
          </w:p>
        </w:tc>
        <w:tc>
          <w:tcPr>
            <w:tcW w:w="1558" w:type="dxa"/>
          </w:tcPr>
          <w:p w14:paraId="3712C215" w14:textId="77777777" w:rsidR="00D300CD" w:rsidRPr="00B020DA" w:rsidRDefault="00D300CD" w:rsidP="0018752B">
            <w:pPr>
              <w:jc w:val="center"/>
              <w:rPr>
                <w:color w:val="000000" w:themeColor="text1"/>
              </w:rPr>
            </w:pPr>
            <w:r w:rsidRPr="00B020DA">
              <w:rPr>
                <w:color w:val="000000" w:themeColor="text1"/>
              </w:rPr>
              <w:t>4.261</w:t>
            </w:r>
          </w:p>
        </w:tc>
        <w:tc>
          <w:tcPr>
            <w:tcW w:w="1559" w:type="dxa"/>
          </w:tcPr>
          <w:p w14:paraId="65AC654F" w14:textId="77777777" w:rsidR="00D300CD" w:rsidRPr="00B020DA" w:rsidRDefault="00D300CD" w:rsidP="0018752B">
            <w:pPr>
              <w:jc w:val="center"/>
              <w:rPr>
                <w:color w:val="000000" w:themeColor="text1"/>
              </w:rPr>
            </w:pPr>
            <w:r w:rsidRPr="00B020DA">
              <w:rPr>
                <w:color w:val="000000" w:themeColor="text1"/>
              </w:rPr>
              <w:t>4.359</w:t>
            </w:r>
          </w:p>
        </w:tc>
        <w:tc>
          <w:tcPr>
            <w:tcW w:w="1276" w:type="dxa"/>
          </w:tcPr>
          <w:p w14:paraId="21B7850E" w14:textId="77777777" w:rsidR="00D300CD" w:rsidRPr="00B020DA" w:rsidRDefault="00D300CD" w:rsidP="0018752B">
            <w:pPr>
              <w:jc w:val="center"/>
              <w:rPr>
                <w:b/>
                <w:color w:val="000000" w:themeColor="text1"/>
              </w:rPr>
            </w:pPr>
            <w:r w:rsidRPr="00B020DA">
              <w:rPr>
                <w:b/>
                <w:color w:val="000000" w:themeColor="text1"/>
              </w:rPr>
              <w:t>.041</w:t>
            </w:r>
          </w:p>
        </w:tc>
      </w:tr>
      <w:tr w:rsidR="00D300CD" w14:paraId="17A70889" w14:textId="77777777" w:rsidTr="0018752B">
        <w:tc>
          <w:tcPr>
            <w:tcW w:w="1558" w:type="dxa"/>
          </w:tcPr>
          <w:p w14:paraId="58291466" w14:textId="77777777" w:rsidR="00D300CD" w:rsidRPr="00B020DA" w:rsidRDefault="00D300CD" w:rsidP="0018752B">
            <w:pPr>
              <w:jc w:val="center"/>
              <w:rPr>
                <w:color w:val="000000" w:themeColor="text1"/>
              </w:rPr>
            </w:pPr>
            <w:r w:rsidRPr="00B020DA">
              <w:rPr>
                <w:color w:val="000000" w:themeColor="text1"/>
              </w:rPr>
              <w:t>Error</w:t>
            </w:r>
          </w:p>
        </w:tc>
        <w:tc>
          <w:tcPr>
            <w:tcW w:w="1981" w:type="dxa"/>
          </w:tcPr>
          <w:p w14:paraId="3B007368" w14:textId="77777777" w:rsidR="00D300CD" w:rsidRPr="00B020DA" w:rsidRDefault="00D300CD" w:rsidP="0018752B">
            <w:pPr>
              <w:jc w:val="center"/>
              <w:rPr>
                <w:color w:val="000000" w:themeColor="text1"/>
              </w:rPr>
            </w:pPr>
            <w:r w:rsidRPr="00B020DA">
              <w:rPr>
                <w:color w:val="000000" w:themeColor="text1"/>
              </w:rPr>
              <w:t>56.688</w:t>
            </w:r>
          </w:p>
        </w:tc>
        <w:tc>
          <w:tcPr>
            <w:tcW w:w="1135" w:type="dxa"/>
          </w:tcPr>
          <w:p w14:paraId="1B583B45" w14:textId="77777777" w:rsidR="00D300CD" w:rsidRPr="00B020DA" w:rsidRDefault="00D300CD" w:rsidP="0018752B">
            <w:pPr>
              <w:jc w:val="center"/>
              <w:rPr>
                <w:color w:val="000000" w:themeColor="text1"/>
              </w:rPr>
            </w:pPr>
            <w:r w:rsidRPr="00B020DA">
              <w:rPr>
                <w:color w:val="000000" w:themeColor="text1"/>
              </w:rPr>
              <w:t>58</w:t>
            </w:r>
          </w:p>
        </w:tc>
        <w:tc>
          <w:tcPr>
            <w:tcW w:w="1558" w:type="dxa"/>
          </w:tcPr>
          <w:p w14:paraId="22E67B6B" w14:textId="77777777" w:rsidR="00D300CD" w:rsidRPr="00B020DA" w:rsidRDefault="00D300CD" w:rsidP="0018752B">
            <w:pPr>
              <w:jc w:val="center"/>
              <w:rPr>
                <w:color w:val="000000" w:themeColor="text1"/>
              </w:rPr>
            </w:pPr>
            <w:r w:rsidRPr="00B020DA">
              <w:rPr>
                <w:color w:val="000000" w:themeColor="text1"/>
              </w:rPr>
              <w:t>.977</w:t>
            </w:r>
          </w:p>
        </w:tc>
        <w:tc>
          <w:tcPr>
            <w:tcW w:w="1559" w:type="dxa"/>
            <w:vAlign w:val="center"/>
          </w:tcPr>
          <w:p w14:paraId="7F1977EE" w14:textId="77777777" w:rsidR="00D300CD" w:rsidRPr="00B020DA" w:rsidRDefault="00D300CD" w:rsidP="0018752B">
            <w:pPr>
              <w:jc w:val="center"/>
              <w:rPr>
                <w:color w:val="000000" w:themeColor="text1"/>
              </w:rPr>
            </w:pPr>
          </w:p>
        </w:tc>
        <w:tc>
          <w:tcPr>
            <w:tcW w:w="1276" w:type="dxa"/>
            <w:vAlign w:val="center"/>
          </w:tcPr>
          <w:p w14:paraId="0F1AF148" w14:textId="77777777" w:rsidR="00D300CD" w:rsidRPr="00B020DA" w:rsidRDefault="00D300CD" w:rsidP="0018752B">
            <w:pPr>
              <w:jc w:val="center"/>
              <w:rPr>
                <w:color w:val="000000" w:themeColor="text1"/>
              </w:rPr>
            </w:pPr>
          </w:p>
        </w:tc>
      </w:tr>
      <w:tr w:rsidR="00D300CD" w14:paraId="6AD5F837" w14:textId="77777777" w:rsidTr="0018752B">
        <w:tc>
          <w:tcPr>
            <w:tcW w:w="1558" w:type="dxa"/>
          </w:tcPr>
          <w:p w14:paraId="7DFF3E24" w14:textId="77777777" w:rsidR="00D300CD" w:rsidRPr="00B020DA" w:rsidRDefault="00D300CD" w:rsidP="0018752B">
            <w:pPr>
              <w:jc w:val="center"/>
              <w:rPr>
                <w:color w:val="000000" w:themeColor="text1"/>
              </w:rPr>
            </w:pPr>
            <w:r w:rsidRPr="00B020DA">
              <w:rPr>
                <w:color w:val="000000" w:themeColor="text1"/>
              </w:rPr>
              <w:t>Total</w:t>
            </w:r>
          </w:p>
        </w:tc>
        <w:tc>
          <w:tcPr>
            <w:tcW w:w="1981" w:type="dxa"/>
          </w:tcPr>
          <w:p w14:paraId="43FFEB21" w14:textId="77777777" w:rsidR="00D300CD" w:rsidRPr="00B020DA" w:rsidRDefault="00D300CD" w:rsidP="0018752B">
            <w:pPr>
              <w:jc w:val="center"/>
              <w:rPr>
                <w:color w:val="000000" w:themeColor="text1"/>
              </w:rPr>
            </w:pPr>
            <w:r w:rsidRPr="00B020DA">
              <w:rPr>
                <w:color w:val="000000" w:themeColor="text1"/>
              </w:rPr>
              <w:t>5688.445</w:t>
            </w:r>
          </w:p>
        </w:tc>
        <w:tc>
          <w:tcPr>
            <w:tcW w:w="1135" w:type="dxa"/>
          </w:tcPr>
          <w:p w14:paraId="4BEC3B29" w14:textId="77777777" w:rsidR="00D300CD" w:rsidRPr="00B020DA" w:rsidRDefault="00D300CD" w:rsidP="0018752B">
            <w:pPr>
              <w:jc w:val="center"/>
              <w:rPr>
                <w:color w:val="000000" w:themeColor="text1"/>
              </w:rPr>
            </w:pPr>
            <w:r w:rsidRPr="00B020DA">
              <w:rPr>
                <w:color w:val="000000" w:themeColor="text1"/>
              </w:rPr>
              <w:t>61</w:t>
            </w:r>
          </w:p>
        </w:tc>
        <w:tc>
          <w:tcPr>
            <w:tcW w:w="1558" w:type="dxa"/>
            <w:vAlign w:val="center"/>
          </w:tcPr>
          <w:p w14:paraId="40A67C7F" w14:textId="77777777" w:rsidR="00D300CD" w:rsidRPr="00B020DA" w:rsidRDefault="00D300CD" w:rsidP="0018752B">
            <w:pPr>
              <w:jc w:val="center"/>
              <w:rPr>
                <w:color w:val="000000" w:themeColor="text1"/>
              </w:rPr>
            </w:pPr>
          </w:p>
        </w:tc>
        <w:tc>
          <w:tcPr>
            <w:tcW w:w="1559" w:type="dxa"/>
            <w:vAlign w:val="center"/>
          </w:tcPr>
          <w:p w14:paraId="4E02DD7E" w14:textId="77777777" w:rsidR="00D300CD" w:rsidRPr="00B020DA" w:rsidRDefault="00D300CD" w:rsidP="0018752B">
            <w:pPr>
              <w:jc w:val="center"/>
              <w:rPr>
                <w:color w:val="000000" w:themeColor="text1"/>
              </w:rPr>
            </w:pPr>
          </w:p>
        </w:tc>
        <w:tc>
          <w:tcPr>
            <w:tcW w:w="1276" w:type="dxa"/>
            <w:vAlign w:val="center"/>
          </w:tcPr>
          <w:p w14:paraId="5EF7FDF1" w14:textId="77777777" w:rsidR="00D300CD" w:rsidRPr="00B020DA" w:rsidRDefault="00D300CD" w:rsidP="0018752B">
            <w:pPr>
              <w:jc w:val="center"/>
              <w:rPr>
                <w:color w:val="000000" w:themeColor="text1"/>
              </w:rPr>
            </w:pPr>
          </w:p>
        </w:tc>
      </w:tr>
      <w:tr w:rsidR="00D300CD" w14:paraId="17CBDF90" w14:textId="77777777" w:rsidTr="0018752B">
        <w:tc>
          <w:tcPr>
            <w:tcW w:w="1558" w:type="dxa"/>
          </w:tcPr>
          <w:p w14:paraId="2DA044E0" w14:textId="77777777" w:rsidR="00D300CD" w:rsidRPr="00B020DA" w:rsidRDefault="00D300CD" w:rsidP="0018752B">
            <w:pPr>
              <w:jc w:val="center"/>
              <w:rPr>
                <w:color w:val="000000" w:themeColor="text1"/>
              </w:rPr>
            </w:pPr>
            <w:r w:rsidRPr="00B020DA">
              <w:rPr>
                <w:color w:val="000000" w:themeColor="text1"/>
              </w:rPr>
              <w:t>Corrected Total</w:t>
            </w:r>
          </w:p>
        </w:tc>
        <w:tc>
          <w:tcPr>
            <w:tcW w:w="1981" w:type="dxa"/>
          </w:tcPr>
          <w:p w14:paraId="787F189E" w14:textId="77777777" w:rsidR="00D300CD" w:rsidRPr="00B020DA" w:rsidRDefault="00D300CD" w:rsidP="0018752B">
            <w:pPr>
              <w:jc w:val="center"/>
              <w:rPr>
                <w:color w:val="000000" w:themeColor="text1"/>
              </w:rPr>
            </w:pPr>
            <w:r w:rsidRPr="00B020DA">
              <w:rPr>
                <w:color w:val="000000" w:themeColor="text1"/>
              </w:rPr>
              <w:t>61.308</w:t>
            </w:r>
          </w:p>
        </w:tc>
        <w:tc>
          <w:tcPr>
            <w:tcW w:w="1135" w:type="dxa"/>
          </w:tcPr>
          <w:p w14:paraId="3EE05E09" w14:textId="77777777" w:rsidR="00D300CD" w:rsidRPr="00B020DA" w:rsidRDefault="00D300CD" w:rsidP="0018752B">
            <w:pPr>
              <w:jc w:val="center"/>
              <w:rPr>
                <w:color w:val="000000" w:themeColor="text1"/>
              </w:rPr>
            </w:pPr>
            <w:r w:rsidRPr="00B020DA">
              <w:rPr>
                <w:color w:val="000000" w:themeColor="text1"/>
              </w:rPr>
              <w:t>60</w:t>
            </w:r>
          </w:p>
        </w:tc>
        <w:tc>
          <w:tcPr>
            <w:tcW w:w="1558" w:type="dxa"/>
            <w:vAlign w:val="center"/>
          </w:tcPr>
          <w:p w14:paraId="408443D4" w14:textId="77777777" w:rsidR="00D300CD" w:rsidRPr="00B020DA" w:rsidRDefault="00D300CD" w:rsidP="0018752B">
            <w:pPr>
              <w:jc w:val="center"/>
              <w:rPr>
                <w:color w:val="000000" w:themeColor="text1"/>
              </w:rPr>
            </w:pPr>
          </w:p>
        </w:tc>
        <w:tc>
          <w:tcPr>
            <w:tcW w:w="1559" w:type="dxa"/>
            <w:vAlign w:val="center"/>
          </w:tcPr>
          <w:p w14:paraId="2D2AFD93" w14:textId="77777777" w:rsidR="00D300CD" w:rsidRPr="00B020DA" w:rsidRDefault="00D300CD" w:rsidP="0018752B">
            <w:pPr>
              <w:jc w:val="center"/>
              <w:rPr>
                <w:color w:val="000000" w:themeColor="text1"/>
              </w:rPr>
            </w:pPr>
          </w:p>
        </w:tc>
        <w:tc>
          <w:tcPr>
            <w:tcW w:w="1276" w:type="dxa"/>
            <w:vAlign w:val="center"/>
          </w:tcPr>
          <w:p w14:paraId="654EB6E8" w14:textId="77777777" w:rsidR="00D300CD" w:rsidRPr="00B020DA" w:rsidRDefault="00D300CD" w:rsidP="0018752B">
            <w:pPr>
              <w:jc w:val="center"/>
              <w:rPr>
                <w:color w:val="000000" w:themeColor="text1"/>
              </w:rPr>
            </w:pPr>
          </w:p>
        </w:tc>
      </w:tr>
    </w:tbl>
    <w:p w14:paraId="034C65C4" w14:textId="77777777" w:rsidR="00D300CD" w:rsidRDefault="00D300CD" w:rsidP="00D300CD"/>
    <w:p w14:paraId="405589B0" w14:textId="77777777" w:rsidR="003D00CA" w:rsidRDefault="003D00CA" w:rsidP="00D300CD">
      <w:pPr>
        <w:jc w:val="center"/>
        <w:rPr>
          <w:b/>
        </w:rPr>
      </w:pPr>
    </w:p>
    <w:p w14:paraId="2BD4A277" w14:textId="77777777" w:rsidR="003D00CA" w:rsidRDefault="003D00CA" w:rsidP="00D300CD">
      <w:pPr>
        <w:jc w:val="center"/>
        <w:rPr>
          <w:b/>
        </w:rPr>
      </w:pPr>
    </w:p>
    <w:p w14:paraId="4557D93F" w14:textId="77777777" w:rsidR="003D00CA" w:rsidRDefault="003D00CA" w:rsidP="00D300CD">
      <w:pPr>
        <w:jc w:val="center"/>
        <w:rPr>
          <w:b/>
        </w:rPr>
      </w:pPr>
    </w:p>
    <w:p w14:paraId="77321FCE" w14:textId="77777777" w:rsidR="003D00CA" w:rsidRDefault="003D00CA" w:rsidP="00D300CD">
      <w:pPr>
        <w:jc w:val="center"/>
        <w:rPr>
          <w:b/>
        </w:rPr>
      </w:pPr>
    </w:p>
    <w:p w14:paraId="356CAA59" w14:textId="77777777" w:rsidR="003D00CA" w:rsidRDefault="003D00CA" w:rsidP="00D300CD">
      <w:pPr>
        <w:jc w:val="center"/>
        <w:rPr>
          <w:b/>
        </w:rPr>
      </w:pPr>
    </w:p>
    <w:p w14:paraId="5493A14F" w14:textId="77777777" w:rsidR="003D00CA" w:rsidRDefault="003D00CA" w:rsidP="00D300CD">
      <w:pPr>
        <w:jc w:val="center"/>
        <w:rPr>
          <w:b/>
        </w:rPr>
      </w:pPr>
    </w:p>
    <w:p w14:paraId="2178BEE3" w14:textId="77777777" w:rsidR="003D00CA" w:rsidRDefault="003D00CA" w:rsidP="00D300CD">
      <w:pPr>
        <w:jc w:val="center"/>
        <w:rPr>
          <w:b/>
        </w:rPr>
      </w:pPr>
    </w:p>
    <w:p w14:paraId="189D35C5" w14:textId="77777777" w:rsidR="003D00CA" w:rsidRDefault="003D00CA" w:rsidP="00D300CD">
      <w:pPr>
        <w:jc w:val="center"/>
        <w:rPr>
          <w:b/>
        </w:rPr>
      </w:pPr>
    </w:p>
    <w:p w14:paraId="2C1D2D29" w14:textId="77777777" w:rsidR="003D00CA" w:rsidRDefault="003D00CA" w:rsidP="00D300CD">
      <w:pPr>
        <w:jc w:val="center"/>
        <w:rPr>
          <w:b/>
        </w:rPr>
      </w:pPr>
    </w:p>
    <w:p w14:paraId="24E8CA80" w14:textId="62247804" w:rsidR="00D300CD" w:rsidRDefault="00D300CD" w:rsidP="00D300CD">
      <w:pPr>
        <w:jc w:val="center"/>
      </w:pPr>
      <w:r w:rsidRPr="00817A11">
        <w:rPr>
          <w:b/>
        </w:rPr>
        <w:lastRenderedPageBreak/>
        <w:t>Table B3</w:t>
      </w:r>
      <w:r w:rsidRPr="00B020DA">
        <w:t xml:space="preserve"> : </w:t>
      </w:r>
      <w:r>
        <w:t>Results of ANCOVA statistical analysis for adult sexed individuals and their differences in stable</w:t>
      </w:r>
      <w:r w:rsidRPr="00B020DA">
        <w:t xml:space="preserve"> </w:t>
      </w:r>
      <w:r>
        <w:t>carbon isotope values.</w:t>
      </w:r>
    </w:p>
    <w:p w14:paraId="11AD501F" w14:textId="77777777" w:rsidR="00D300CD" w:rsidRDefault="00D300CD" w:rsidP="00D300CD"/>
    <w:tbl>
      <w:tblPr>
        <w:tblStyle w:val="TableGrid"/>
        <w:tblW w:w="0" w:type="auto"/>
        <w:tblLook w:val="04A0" w:firstRow="1" w:lastRow="0" w:firstColumn="1" w:lastColumn="0" w:noHBand="0" w:noVBand="1"/>
      </w:tblPr>
      <w:tblGrid>
        <w:gridCol w:w="1507"/>
        <w:gridCol w:w="1886"/>
        <w:gridCol w:w="1049"/>
        <w:gridCol w:w="1502"/>
        <w:gridCol w:w="1518"/>
        <w:gridCol w:w="1195"/>
      </w:tblGrid>
      <w:tr w:rsidR="00D300CD" w14:paraId="65EEC3DF" w14:textId="77777777" w:rsidTr="0018752B">
        <w:tc>
          <w:tcPr>
            <w:tcW w:w="1558" w:type="dxa"/>
            <w:vAlign w:val="bottom"/>
          </w:tcPr>
          <w:p w14:paraId="40E7618B" w14:textId="77777777" w:rsidR="00D300CD" w:rsidRPr="00B020DA" w:rsidRDefault="00D300CD" w:rsidP="0018752B">
            <w:pPr>
              <w:jc w:val="center"/>
              <w:rPr>
                <w:b/>
                <w:color w:val="000000" w:themeColor="text1"/>
              </w:rPr>
            </w:pPr>
            <w:r w:rsidRPr="00B020DA">
              <w:rPr>
                <w:b/>
                <w:color w:val="000000" w:themeColor="text1"/>
              </w:rPr>
              <w:t>Source</w:t>
            </w:r>
          </w:p>
        </w:tc>
        <w:tc>
          <w:tcPr>
            <w:tcW w:w="1981" w:type="dxa"/>
            <w:vAlign w:val="bottom"/>
          </w:tcPr>
          <w:p w14:paraId="0795F8C0" w14:textId="77777777" w:rsidR="00D300CD" w:rsidRPr="00B020DA" w:rsidRDefault="00D300CD" w:rsidP="0018752B">
            <w:pPr>
              <w:jc w:val="center"/>
              <w:rPr>
                <w:b/>
                <w:color w:val="000000" w:themeColor="text1"/>
              </w:rPr>
            </w:pPr>
            <w:r w:rsidRPr="00B020DA">
              <w:rPr>
                <w:b/>
                <w:color w:val="000000" w:themeColor="text1"/>
              </w:rPr>
              <w:t>Type III Sum of Squares</w:t>
            </w:r>
          </w:p>
        </w:tc>
        <w:tc>
          <w:tcPr>
            <w:tcW w:w="1135" w:type="dxa"/>
            <w:vAlign w:val="bottom"/>
          </w:tcPr>
          <w:p w14:paraId="1F749CC4" w14:textId="77777777" w:rsidR="00D300CD" w:rsidRPr="00B020DA" w:rsidRDefault="00D300CD" w:rsidP="0018752B">
            <w:pPr>
              <w:jc w:val="center"/>
              <w:rPr>
                <w:b/>
                <w:color w:val="000000" w:themeColor="text1"/>
              </w:rPr>
            </w:pPr>
            <w:r w:rsidRPr="00B020DA">
              <w:rPr>
                <w:b/>
                <w:color w:val="000000" w:themeColor="text1"/>
              </w:rPr>
              <w:t>df</w:t>
            </w:r>
          </w:p>
        </w:tc>
        <w:tc>
          <w:tcPr>
            <w:tcW w:w="1558" w:type="dxa"/>
            <w:vAlign w:val="bottom"/>
          </w:tcPr>
          <w:p w14:paraId="57AEDBD3" w14:textId="77777777" w:rsidR="00D300CD" w:rsidRPr="00B020DA" w:rsidRDefault="00D300CD" w:rsidP="0018752B">
            <w:pPr>
              <w:jc w:val="center"/>
              <w:rPr>
                <w:b/>
                <w:color w:val="000000" w:themeColor="text1"/>
              </w:rPr>
            </w:pPr>
            <w:r w:rsidRPr="00B020DA">
              <w:rPr>
                <w:b/>
                <w:color w:val="000000" w:themeColor="text1"/>
              </w:rPr>
              <w:t>Mean Square</w:t>
            </w:r>
          </w:p>
        </w:tc>
        <w:tc>
          <w:tcPr>
            <w:tcW w:w="1559" w:type="dxa"/>
            <w:vAlign w:val="bottom"/>
          </w:tcPr>
          <w:p w14:paraId="6A341893" w14:textId="77777777" w:rsidR="00D300CD" w:rsidRPr="00B020DA" w:rsidRDefault="00D300CD" w:rsidP="0018752B">
            <w:pPr>
              <w:jc w:val="center"/>
              <w:rPr>
                <w:b/>
                <w:color w:val="000000" w:themeColor="text1"/>
              </w:rPr>
            </w:pPr>
            <w:r w:rsidRPr="00B020DA">
              <w:rPr>
                <w:b/>
                <w:color w:val="000000" w:themeColor="text1"/>
              </w:rPr>
              <w:t>F</w:t>
            </w:r>
          </w:p>
        </w:tc>
        <w:tc>
          <w:tcPr>
            <w:tcW w:w="1276" w:type="dxa"/>
            <w:vAlign w:val="bottom"/>
          </w:tcPr>
          <w:p w14:paraId="6B9FA0F5" w14:textId="77777777" w:rsidR="00D300CD" w:rsidRPr="00B020DA" w:rsidRDefault="00D300CD" w:rsidP="0018752B">
            <w:pPr>
              <w:jc w:val="center"/>
              <w:rPr>
                <w:b/>
                <w:color w:val="000000" w:themeColor="text1"/>
              </w:rPr>
            </w:pPr>
            <w:r w:rsidRPr="00B020DA">
              <w:rPr>
                <w:b/>
                <w:color w:val="000000" w:themeColor="text1"/>
              </w:rPr>
              <w:t>Sig.</w:t>
            </w:r>
          </w:p>
        </w:tc>
      </w:tr>
      <w:tr w:rsidR="00D300CD" w14:paraId="57B9A9BF" w14:textId="77777777" w:rsidTr="0018752B">
        <w:tc>
          <w:tcPr>
            <w:tcW w:w="1558" w:type="dxa"/>
          </w:tcPr>
          <w:p w14:paraId="13DD3F5F" w14:textId="77777777" w:rsidR="00D300CD" w:rsidRPr="00B020DA" w:rsidRDefault="00D300CD" w:rsidP="0018752B">
            <w:pPr>
              <w:jc w:val="center"/>
              <w:rPr>
                <w:color w:val="000000" w:themeColor="text1"/>
              </w:rPr>
            </w:pPr>
            <w:r w:rsidRPr="00B020DA">
              <w:rPr>
                <w:color w:val="000000" w:themeColor="text1"/>
              </w:rPr>
              <w:t>Corrected Model</w:t>
            </w:r>
          </w:p>
        </w:tc>
        <w:tc>
          <w:tcPr>
            <w:tcW w:w="1981" w:type="dxa"/>
          </w:tcPr>
          <w:p w14:paraId="29D4CE92" w14:textId="77777777" w:rsidR="00D300CD" w:rsidRPr="00B020DA" w:rsidRDefault="00D300CD" w:rsidP="0018752B">
            <w:pPr>
              <w:jc w:val="center"/>
              <w:rPr>
                <w:color w:val="000000" w:themeColor="text1"/>
              </w:rPr>
            </w:pPr>
            <w:r w:rsidRPr="00B020DA">
              <w:rPr>
                <w:color w:val="000000" w:themeColor="text1"/>
              </w:rPr>
              <w:t>.099</w:t>
            </w:r>
            <w:r w:rsidRPr="00B020DA">
              <w:rPr>
                <w:color w:val="000000" w:themeColor="text1"/>
                <w:vertAlign w:val="superscript"/>
              </w:rPr>
              <w:t>a</w:t>
            </w:r>
          </w:p>
        </w:tc>
        <w:tc>
          <w:tcPr>
            <w:tcW w:w="1135" w:type="dxa"/>
          </w:tcPr>
          <w:p w14:paraId="64056D36" w14:textId="77777777" w:rsidR="00D300CD" w:rsidRPr="00B020DA" w:rsidRDefault="00D300CD" w:rsidP="0018752B">
            <w:pPr>
              <w:jc w:val="center"/>
              <w:rPr>
                <w:color w:val="000000" w:themeColor="text1"/>
              </w:rPr>
            </w:pPr>
            <w:r w:rsidRPr="00B020DA">
              <w:rPr>
                <w:color w:val="000000" w:themeColor="text1"/>
              </w:rPr>
              <w:t>2</w:t>
            </w:r>
          </w:p>
        </w:tc>
        <w:tc>
          <w:tcPr>
            <w:tcW w:w="1558" w:type="dxa"/>
          </w:tcPr>
          <w:p w14:paraId="3F3B96F8" w14:textId="77777777" w:rsidR="00D300CD" w:rsidRPr="00B020DA" w:rsidRDefault="00D300CD" w:rsidP="0018752B">
            <w:pPr>
              <w:jc w:val="center"/>
              <w:rPr>
                <w:color w:val="000000" w:themeColor="text1"/>
              </w:rPr>
            </w:pPr>
            <w:r w:rsidRPr="00B020DA">
              <w:rPr>
                <w:color w:val="000000" w:themeColor="text1"/>
              </w:rPr>
              <w:t>.050</w:t>
            </w:r>
          </w:p>
        </w:tc>
        <w:tc>
          <w:tcPr>
            <w:tcW w:w="1559" w:type="dxa"/>
          </w:tcPr>
          <w:p w14:paraId="6C1B8693" w14:textId="77777777" w:rsidR="00D300CD" w:rsidRPr="00B020DA" w:rsidRDefault="00D300CD" w:rsidP="0018752B">
            <w:pPr>
              <w:jc w:val="center"/>
              <w:rPr>
                <w:color w:val="000000" w:themeColor="text1"/>
              </w:rPr>
            </w:pPr>
            <w:r w:rsidRPr="00B020DA">
              <w:rPr>
                <w:color w:val="000000" w:themeColor="text1"/>
              </w:rPr>
              <w:t>.248</w:t>
            </w:r>
          </w:p>
        </w:tc>
        <w:tc>
          <w:tcPr>
            <w:tcW w:w="1276" w:type="dxa"/>
          </w:tcPr>
          <w:p w14:paraId="7706B77A" w14:textId="77777777" w:rsidR="00D300CD" w:rsidRPr="00B020DA" w:rsidRDefault="00D300CD" w:rsidP="0018752B">
            <w:pPr>
              <w:jc w:val="center"/>
              <w:rPr>
                <w:color w:val="000000" w:themeColor="text1"/>
              </w:rPr>
            </w:pPr>
            <w:r w:rsidRPr="00B020DA">
              <w:rPr>
                <w:color w:val="000000" w:themeColor="text1"/>
              </w:rPr>
              <w:t>.782</w:t>
            </w:r>
          </w:p>
        </w:tc>
      </w:tr>
      <w:tr w:rsidR="00D300CD" w14:paraId="3687F401" w14:textId="77777777" w:rsidTr="0018752B">
        <w:tc>
          <w:tcPr>
            <w:tcW w:w="1558" w:type="dxa"/>
          </w:tcPr>
          <w:p w14:paraId="08B1E9EB" w14:textId="77777777" w:rsidR="00D300CD" w:rsidRPr="00B020DA" w:rsidRDefault="00D300CD" w:rsidP="0018752B">
            <w:pPr>
              <w:jc w:val="center"/>
              <w:rPr>
                <w:color w:val="000000" w:themeColor="text1"/>
              </w:rPr>
            </w:pPr>
            <w:r w:rsidRPr="00B020DA">
              <w:rPr>
                <w:color w:val="000000" w:themeColor="text1"/>
              </w:rPr>
              <w:t>Intercept</w:t>
            </w:r>
          </w:p>
        </w:tc>
        <w:tc>
          <w:tcPr>
            <w:tcW w:w="1981" w:type="dxa"/>
          </w:tcPr>
          <w:p w14:paraId="2C679492" w14:textId="77777777" w:rsidR="00D300CD" w:rsidRPr="00B020DA" w:rsidRDefault="00D300CD" w:rsidP="0018752B">
            <w:pPr>
              <w:jc w:val="center"/>
              <w:rPr>
                <w:color w:val="000000" w:themeColor="text1"/>
              </w:rPr>
            </w:pPr>
            <w:r w:rsidRPr="00B020DA">
              <w:rPr>
                <w:color w:val="000000" w:themeColor="text1"/>
              </w:rPr>
              <w:t>3279.096</w:t>
            </w:r>
          </w:p>
        </w:tc>
        <w:tc>
          <w:tcPr>
            <w:tcW w:w="1135" w:type="dxa"/>
          </w:tcPr>
          <w:p w14:paraId="1CBB615C" w14:textId="77777777" w:rsidR="00D300CD" w:rsidRPr="00B020DA" w:rsidRDefault="00D300CD" w:rsidP="0018752B">
            <w:pPr>
              <w:jc w:val="center"/>
              <w:rPr>
                <w:color w:val="000000" w:themeColor="text1"/>
              </w:rPr>
            </w:pPr>
            <w:r w:rsidRPr="00B020DA">
              <w:rPr>
                <w:color w:val="000000" w:themeColor="text1"/>
              </w:rPr>
              <w:t>1</w:t>
            </w:r>
          </w:p>
        </w:tc>
        <w:tc>
          <w:tcPr>
            <w:tcW w:w="1558" w:type="dxa"/>
          </w:tcPr>
          <w:p w14:paraId="5B92C25D" w14:textId="77777777" w:rsidR="00D300CD" w:rsidRPr="00B020DA" w:rsidRDefault="00D300CD" w:rsidP="0018752B">
            <w:pPr>
              <w:jc w:val="center"/>
              <w:rPr>
                <w:color w:val="000000" w:themeColor="text1"/>
              </w:rPr>
            </w:pPr>
            <w:r w:rsidRPr="00B020DA">
              <w:rPr>
                <w:color w:val="000000" w:themeColor="text1"/>
              </w:rPr>
              <w:t>3279.096</w:t>
            </w:r>
          </w:p>
        </w:tc>
        <w:tc>
          <w:tcPr>
            <w:tcW w:w="1559" w:type="dxa"/>
          </w:tcPr>
          <w:p w14:paraId="28374F9D" w14:textId="77777777" w:rsidR="00D300CD" w:rsidRPr="00B020DA" w:rsidRDefault="00D300CD" w:rsidP="0018752B">
            <w:pPr>
              <w:jc w:val="center"/>
              <w:rPr>
                <w:color w:val="000000" w:themeColor="text1"/>
              </w:rPr>
            </w:pPr>
            <w:r w:rsidRPr="00B020DA">
              <w:rPr>
                <w:color w:val="000000" w:themeColor="text1"/>
              </w:rPr>
              <w:t>16391.345</w:t>
            </w:r>
          </w:p>
        </w:tc>
        <w:tc>
          <w:tcPr>
            <w:tcW w:w="1276" w:type="dxa"/>
          </w:tcPr>
          <w:p w14:paraId="6CF60E1A" w14:textId="77777777" w:rsidR="00D300CD" w:rsidRPr="00B020DA" w:rsidRDefault="00D300CD" w:rsidP="0018752B">
            <w:pPr>
              <w:jc w:val="center"/>
              <w:rPr>
                <w:color w:val="000000" w:themeColor="text1"/>
              </w:rPr>
            </w:pPr>
            <w:r w:rsidRPr="00B020DA">
              <w:rPr>
                <w:color w:val="000000" w:themeColor="text1"/>
              </w:rPr>
              <w:t>.000</w:t>
            </w:r>
          </w:p>
        </w:tc>
      </w:tr>
      <w:tr w:rsidR="00D300CD" w14:paraId="2222B9CE" w14:textId="77777777" w:rsidTr="0018752B">
        <w:tc>
          <w:tcPr>
            <w:tcW w:w="1558" w:type="dxa"/>
          </w:tcPr>
          <w:p w14:paraId="18A8AE3F" w14:textId="77777777" w:rsidR="00D300CD" w:rsidRPr="00B020DA" w:rsidRDefault="00D300CD" w:rsidP="0018752B">
            <w:pPr>
              <w:rPr>
                <w:color w:val="000000" w:themeColor="text1"/>
              </w:rPr>
            </w:pPr>
            <w:r w:rsidRPr="00B020DA">
              <w:rPr>
                <w:color w:val="000000" w:themeColor="text1"/>
              </w:rPr>
              <w:t>Age</w:t>
            </w:r>
            <w:r>
              <w:rPr>
                <w:color w:val="000000" w:themeColor="text1"/>
              </w:rPr>
              <w:t xml:space="preserve"> Brackets</w:t>
            </w:r>
          </w:p>
        </w:tc>
        <w:tc>
          <w:tcPr>
            <w:tcW w:w="1981" w:type="dxa"/>
          </w:tcPr>
          <w:p w14:paraId="1A315F3C" w14:textId="77777777" w:rsidR="00D300CD" w:rsidRPr="00B020DA" w:rsidRDefault="00D300CD" w:rsidP="0018752B">
            <w:pPr>
              <w:jc w:val="center"/>
              <w:rPr>
                <w:color w:val="000000" w:themeColor="text1"/>
              </w:rPr>
            </w:pPr>
            <w:r w:rsidRPr="00B020DA">
              <w:rPr>
                <w:color w:val="000000" w:themeColor="text1"/>
              </w:rPr>
              <w:t>.037</w:t>
            </w:r>
          </w:p>
        </w:tc>
        <w:tc>
          <w:tcPr>
            <w:tcW w:w="1135" w:type="dxa"/>
          </w:tcPr>
          <w:p w14:paraId="731F4B0C" w14:textId="77777777" w:rsidR="00D300CD" w:rsidRPr="00B020DA" w:rsidRDefault="00D300CD" w:rsidP="0018752B">
            <w:pPr>
              <w:jc w:val="center"/>
              <w:rPr>
                <w:color w:val="000000" w:themeColor="text1"/>
              </w:rPr>
            </w:pPr>
            <w:r w:rsidRPr="00B020DA">
              <w:rPr>
                <w:color w:val="000000" w:themeColor="text1"/>
              </w:rPr>
              <w:t>1</w:t>
            </w:r>
          </w:p>
        </w:tc>
        <w:tc>
          <w:tcPr>
            <w:tcW w:w="1558" w:type="dxa"/>
          </w:tcPr>
          <w:p w14:paraId="128F0BCA" w14:textId="77777777" w:rsidR="00D300CD" w:rsidRPr="00B020DA" w:rsidRDefault="00D300CD" w:rsidP="0018752B">
            <w:pPr>
              <w:jc w:val="center"/>
              <w:rPr>
                <w:color w:val="000000" w:themeColor="text1"/>
              </w:rPr>
            </w:pPr>
            <w:r w:rsidRPr="00B020DA">
              <w:rPr>
                <w:color w:val="000000" w:themeColor="text1"/>
              </w:rPr>
              <w:t>.037</w:t>
            </w:r>
          </w:p>
        </w:tc>
        <w:tc>
          <w:tcPr>
            <w:tcW w:w="1559" w:type="dxa"/>
          </w:tcPr>
          <w:p w14:paraId="14C404C0" w14:textId="77777777" w:rsidR="00D300CD" w:rsidRPr="00B020DA" w:rsidRDefault="00D300CD" w:rsidP="0018752B">
            <w:pPr>
              <w:jc w:val="center"/>
              <w:rPr>
                <w:color w:val="000000" w:themeColor="text1"/>
              </w:rPr>
            </w:pPr>
            <w:r w:rsidRPr="00B020DA">
              <w:rPr>
                <w:color w:val="000000" w:themeColor="text1"/>
              </w:rPr>
              <w:t>.187</w:t>
            </w:r>
          </w:p>
        </w:tc>
        <w:tc>
          <w:tcPr>
            <w:tcW w:w="1276" w:type="dxa"/>
          </w:tcPr>
          <w:p w14:paraId="3EF6EE5A" w14:textId="77777777" w:rsidR="00D300CD" w:rsidRPr="00B020DA" w:rsidRDefault="00D300CD" w:rsidP="0018752B">
            <w:pPr>
              <w:jc w:val="center"/>
              <w:rPr>
                <w:color w:val="000000" w:themeColor="text1"/>
              </w:rPr>
            </w:pPr>
            <w:r w:rsidRPr="00B020DA">
              <w:rPr>
                <w:color w:val="000000" w:themeColor="text1"/>
              </w:rPr>
              <w:t>.667</w:t>
            </w:r>
          </w:p>
        </w:tc>
      </w:tr>
      <w:tr w:rsidR="00D300CD" w14:paraId="3A60C6C2" w14:textId="77777777" w:rsidTr="0018752B">
        <w:tc>
          <w:tcPr>
            <w:tcW w:w="1558" w:type="dxa"/>
          </w:tcPr>
          <w:p w14:paraId="293ED5C6" w14:textId="77777777" w:rsidR="00D300CD" w:rsidRPr="00B020DA" w:rsidRDefault="00D300CD" w:rsidP="0018752B">
            <w:pPr>
              <w:jc w:val="center"/>
              <w:rPr>
                <w:color w:val="000000" w:themeColor="text1"/>
              </w:rPr>
            </w:pPr>
            <w:r w:rsidRPr="00B020DA">
              <w:rPr>
                <w:color w:val="000000" w:themeColor="text1"/>
              </w:rPr>
              <w:t>Sex</w:t>
            </w:r>
          </w:p>
        </w:tc>
        <w:tc>
          <w:tcPr>
            <w:tcW w:w="1981" w:type="dxa"/>
          </w:tcPr>
          <w:p w14:paraId="6A9BE0C6" w14:textId="77777777" w:rsidR="00D300CD" w:rsidRPr="00B020DA" w:rsidRDefault="00D300CD" w:rsidP="0018752B">
            <w:pPr>
              <w:jc w:val="center"/>
              <w:rPr>
                <w:color w:val="000000" w:themeColor="text1"/>
              </w:rPr>
            </w:pPr>
            <w:r w:rsidRPr="00B020DA">
              <w:rPr>
                <w:color w:val="000000" w:themeColor="text1"/>
              </w:rPr>
              <w:t>.059</w:t>
            </w:r>
          </w:p>
        </w:tc>
        <w:tc>
          <w:tcPr>
            <w:tcW w:w="1135" w:type="dxa"/>
          </w:tcPr>
          <w:p w14:paraId="790AEF95" w14:textId="77777777" w:rsidR="00D300CD" w:rsidRPr="00B020DA" w:rsidRDefault="00D300CD" w:rsidP="0018752B">
            <w:pPr>
              <w:jc w:val="center"/>
              <w:rPr>
                <w:color w:val="000000" w:themeColor="text1"/>
              </w:rPr>
            </w:pPr>
            <w:r w:rsidRPr="00B020DA">
              <w:rPr>
                <w:color w:val="000000" w:themeColor="text1"/>
              </w:rPr>
              <w:t>1</w:t>
            </w:r>
          </w:p>
        </w:tc>
        <w:tc>
          <w:tcPr>
            <w:tcW w:w="1558" w:type="dxa"/>
          </w:tcPr>
          <w:p w14:paraId="3396174C" w14:textId="77777777" w:rsidR="00D300CD" w:rsidRPr="00B020DA" w:rsidRDefault="00D300CD" w:rsidP="0018752B">
            <w:pPr>
              <w:jc w:val="center"/>
              <w:rPr>
                <w:color w:val="000000" w:themeColor="text1"/>
              </w:rPr>
            </w:pPr>
            <w:r w:rsidRPr="00B020DA">
              <w:rPr>
                <w:color w:val="000000" w:themeColor="text1"/>
              </w:rPr>
              <w:t>.059</w:t>
            </w:r>
          </w:p>
        </w:tc>
        <w:tc>
          <w:tcPr>
            <w:tcW w:w="1559" w:type="dxa"/>
          </w:tcPr>
          <w:p w14:paraId="2008954E" w14:textId="77777777" w:rsidR="00D300CD" w:rsidRPr="00B020DA" w:rsidRDefault="00D300CD" w:rsidP="0018752B">
            <w:pPr>
              <w:jc w:val="center"/>
              <w:rPr>
                <w:color w:val="000000" w:themeColor="text1"/>
              </w:rPr>
            </w:pPr>
            <w:r w:rsidRPr="00B020DA">
              <w:rPr>
                <w:color w:val="000000" w:themeColor="text1"/>
              </w:rPr>
              <w:t>.296</w:t>
            </w:r>
          </w:p>
        </w:tc>
        <w:tc>
          <w:tcPr>
            <w:tcW w:w="1276" w:type="dxa"/>
          </w:tcPr>
          <w:p w14:paraId="04548AE3" w14:textId="77777777" w:rsidR="00D300CD" w:rsidRPr="00B020DA" w:rsidRDefault="00D300CD" w:rsidP="0018752B">
            <w:pPr>
              <w:jc w:val="center"/>
              <w:rPr>
                <w:b/>
                <w:color w:val="000000" w:themeColor="text1"/>
              </w:rPr>
            </w:pPr>
            <w:r w:rsidRPr="00B020DA">
              <w:rPr>
                <w:b/>
                <w:color w:val="000000" w:themeColor="text1"/>
              </w:rPr>
              <w:t>.588</w:t>
            </w:r>
          </w:p>
        </w:tc>
      </w:tr>
      <w:tr w:rsidR="00D300CD" w14:paraId="08FC40AE" w14:textId="77777777" w:rsidTr="0018752B">
        <w:tc>
          <w:tcPr>
            <w:tcW w:w="1558" w:type="dxa"/>
          </w:tcPr>
          <w:p w14:paraId="2DB5E555" w14:textId="77777777" w:rsidR="00D300CD" w:rsidRPr="00B020DA" w:rsidRDefault="00D300CD" w:rsidP="0018752B">
            <w:pPr>
              <w:jc w:val="center"/>
              <w:rPr>
                <w:color w:val="000000" w:themeColor="text1"/>
              </w:rPr>
            </w:pPr>
            <w:r w:rsidRPr="00B020DA">
              <w:rPr>
                <w:color w:val="000000" w:themeColor="text1"/>
              </w:rPr>
              <w:t>Error</w:t>
            </w:r>
          </w:p>
        </w:tc>
        <w:tc>
          <w:tcPr>
            <w:tcW w:w="1981" w:type="dxa"/>
          </w:tcPr>
          <w:p w14:paraId="362BB416" w14:textId="77777777" w:rsidR="00D300CD" w:rsidRPr="00B020DA" w:rsidRDefault="00D300CD" w:rsidP="0018752B">
            <w:pPr>
              <w:jc w:val="center"/>
              <w:rPr>
                <w:color w:val="000000" w:themeColor="text1"/>
              </w:rPr>
            </w:pPr>
            <w:r w:rsidRPr="00B020DA">
              <w:rPr>
                <w:color w:val="000000" w:themeColor="text1"/>
              </w:rPr>
              <w:t>11.603</w:t>
            </w:r>
          </w:p>
        </w:tc>
        <w:tc>
          <w:tcPr>
            <w:tcW w:w="1135" w:type="dxa"/>
          </w:tcPr>
          <w:p w14:paraId="45A89166" w14:textId="77777777" w:rsidR="00D300CD" w:rsidRPr="00B020DA" w:rsidRDefault="00D300CD" w:rsidP="0018752B">
            <w:pPr>
              <w:jc w:val="center"/>
              <w:rPr>
                <w:color w:val="000000" w:themeColor="text1"/>
              </w:rPr>
            </w:pPr>
            <w:r w:rsidRPr="00B020DA">
              <w:rPr>
                <w:color w:val="000000" w:themeColor="text1"/>
              </w:rPr>
              <w:t>58</w:t>
            </w:r>
          </w:p>
        </w:tc>
        <w:tc>
          <w:tcPr>
            <w:tcW w:w="1558" w:type="dxa"/>
          </w:tcPr>
          <w:p w14:paraId="6EDED4FC" w14:textId="77777777" w:rsidR="00D300CD" w:rsidRPr="00B020DA" w:rsidRDefault="00D300CD" w:rsidP="0018752B">
            <w:pPr>
              <w:jc w:val="center"/>
              <w:rPr>
                <w:color w:val="000000" w:themeColor="text1"/>
              </w:rPr>
            </w:pPr>
            <w:r w:rsidRPr="00B020DA">
              <w:rPr>
                <w:color w:val="000000" w:themeColor="text1"/>
              </w:rPr>
              <w:t>.200</w:t>
            </w:r>
          </w:p>
        </w:tc>
        <w:tc>
          <w:tcPr>
            <w:tcW w:w="1559" w:type="dxa"/>
            <w:vAlign w:val="center"/>
          </w:tcPr>
          <w:p w14:paraId="759DCD11" w14:textId="77777777" w:rsidR="00D300CD" w:rsidRPr="00B020DA" w:rsidRDefault="00D300CD" w:rsidP="0018752B">
            <w:pPr>
              <w:jc w:val="center"/>
              <w:rPr>
                <w:color w:val="000000" w:themeColor="text1"/>
              </w:rPr>
            </w:pPr>
          </w:p>
        </w:tc>
        <w:tc>
          <w:tcPr>
            <w:tcW w:w="1276" w:type="dxa"/>
            <w:vAlign w:val="center"/>
          </w:tcPr>
          <w:p w14:paraId="41D0F964" w14:textId="77777777" w:rsidR="00D300CD" w:rsidRPr="00B020DA" w:rsidRDefault="00D300CD" w:rsidP="0018752B">
            <w:pPr>
              <w:jc w:val="center"/>
              <w:rPr>
                <w:color w:val="000000" w:themeColor="text1"/>
              </w:rPr>
            </w:pPr>
          </w:p>
        </w:tc>
      </w:tr>
      <w:tr w:rsidR="00D300CD" w14:paraId="5DC20BB2" w14:textId="77777777" w:rsidTr="0018752B">
        <w:tc>
          <w:tcPr>
            <w:tcW w:w="1558" w:type="dxa"/>
          </w:tcPr>
          <w:p w14:paraId="504A1466" w14:textId="77777777" w:rsidR="00D300CD" w:rsidRPr="00B020DA" w:rsidRDefault="00D300CD" w:rsidP="0018752B">
            <w:pPr>
              <w:jc w:val="center"/>
              <w:rPr>
                <w:color w:val="000000" w:themeColor="text1"/>
              </w:rPr>
            </w:pPr>
            <w:r w:rsidRPr="00B020DA">
              <w:rPr>
                <w:color w:val="000000" w:themeColor="text1"/>
              </w:rPr>
              <w:t>Total</w:t>
            </w:r>
          </w:p>
        </w:tc>
        <w:tc>
          <w:tcPr>
            <w:tcW w:w="1981" w:type="dxa"/>
          </w:tcPr>
          <w:p w14:paraId="44FD67F1" w14:textId="77777777" w:rsidR="00D300CD" w:rsidRPr="00B020DA" w:rsidRDefault="00D300CD" w:rsidP="0018752B">
            <w:pPr>
              <w:jc w:val="center"/>
              <w:rPr>
                <w:color w:val="000000" w:themeColor="text1"/>
              </w:rPr>
            </w:pPr>
            <w:r w:rsidRPr="00B020DA">
              <w:rPr>
                <w:color w:val="000000" w:themeColor="text1"/>
              </w:rPr>
              <w:t>22760.620</w:t>
            </w:r>
          </w:p>
        </w:tc>
        <w:tc>
          <w:tcPr>
            <w:tcW w:w="1135" w:type="dxa"/>
          </w:tcPr>
          <w:p w14:paraId="48896F0D" w14:textId="77777777" w:rsidR="00D300CD" w:rsidRPr="00B020DA" w:rsidRDefault="00D300CD" w:rsidP="0018752B">
            <w:pPr>
              <w:jc w:val="center"/>
              <w:rPr>
                <w:color w:val="000000" w:themeColor="text1"/>
              </w:rPr>
            </w:pPr>
            <w:r w:rsidRPr="00B020DA">
              <w:rPr>
                <w:color w:val="000000" w:themeColor="text1"/>
              </w:rPr>
              <w:t>61</w:t>
            </w:r>
          </w:p>
        </w:tc>
        <w:tc>
          <w:tcPr>
            <w:tcW w:w="1558" w:type="dxa"/>
            <w:vAlign w:val="center"/>
          </w:tcPr>
          <w:p w14:paraId="5B763224" w14:textId="77777777" w:rsidR="00D300CD" w:rsidRPr="00B020DA" w:rsidRDefault="00D300CD" w:rsidP="0018752B">
            <w:pPr>
              <w:jc w:val="center"/>
              <w:rPr>
                <w:color w:val="000000" w:themeColor="text1"/>
              </w:rPr>
            </w:pPr>
          </w:p>
        </w:tc>
        <w:tc>
          <w:tcPr>
            <w:tcW w:w="1559" w:type="dxa"/>
            <w:vAlign w:val="center"/>
          </w:tcPr>
          <w:p w14:paraId="606E88E9" w14:textId="77777777" w:rsidR="00D300CD" w:rsidRPr="00B020DA" w:rsidRDefault="00D300CD" w:rsidP="0018752B">
            <w:pPr>
              <w:jc w:val="center"/>
              <w:rPr>
                <w:color w:val="000000" w:themeColor="text1"/>
              </w:rPr>
            </w:pPr>
          </w:p>
        </w:tc>
        <w:tc>
          <w:tcPr>
            <w:tcW w:w="1276" w:type="dxa"/>
            <w:vAlign w:val="center"/>
          </w:tcPr>
          <w:p w14:paraId="0B8739D3" w14:textId="77777777" w:rsidR="00D300CD" w:rsidRPr="00B020DA" w:rsidRDefault="00D300CD" w:rsidP="0018752B">
            <w:pPr>
              <w:jc w:val="center"/>
              <w:rPr>
                <w:color w:val="000000" w:themeColor="text1"/>
              </w:rPr>
            </w:pPr>
          </w:p>
        </w:tc>
      </w:tr>
      <w:tr w:rsidR="00D300CD" w14:paraId="261E8F68" w14:textId="77777777" w:rsidTr="0018752B">
        <w:tc>
          <w:tcPr>
            <w:tcW w:w="1558" w:type="dxa"/>
          </w:tcPr>
          <w:p w14:paraId="7847A6C5" w14:textId="77777777" w:rsidR="00D300CD" w:rsidRPr="00B020DA" w:rsidRDefault="00D300CD" w:rsidP="0018752B">
            <w:pPr>
              <w:jc w:val="center"/>
              <w:rPr>
                <w:color w:val="000000" w:themeColor="text1"/>
              </w:rPr>
            </w:pPr>
            <w:r w:rsidRPr="00B020DA">
              <w:rPr>
                <w:color w:val="000000" w:themeColor="text1"/>
              </w:rPr>
              <w:t>Corrected Total</w:t>
            </w:r>
          </w:p>
        </w:tc>
        <w:tc>
          <w:tcPr>
            <w:tcW w:w="1981" w:type="dxa"/>
          </w:tcPr>
          <w:p w14:paraId="6FD5BE1D" w14:textId="77777777" w:rsidR="00D300CD" w:rsidRPr="00B020DA" w:rsidRDefault="00D300CD" w:rsidP="0018752B">
            <w:pPr>
              <w:jc w:val="center"/>
              <w:rPr>
                <w:color w:val="000000" w:themeColor="text1"/>
              </w:rPr>
            </w:pPr>
            <w:r w:rsidRPr="00B020DA">
              <w:rPr>
                <w:color w:val="000000" w:themeColor="text1"/>
              </w:rPr>
              <w:t>11.702</w:t>
            </w:r>
          </w:p>
        </w:tc>
        <w:tc>
          <w:tcPr>
            <w:tcW w:w="1135" w:type="dxa"/>
          </w:tcPr>
          <w:p w14:paraId="75EB43C3" w14:textId="77777777" w:rsidR="00D300CD" w:rsidRPr="00B020DA" w:rsidRDefault="00D300CD" w:rsidP="0018752B">
            <w:pPr>
              <w:jc w:val="center"/>
              <w:rPr>
                <w:color w:val="000000" w:themeColor="text1"/>
              </w:rPr>
            </w:pPr>
            <w:r w:rsidRPr="00B020DA">
              <w:rPr>
                <w:color w:val="000000" w:themeColor="text1"/>
              </w:rPr>
              <w:t>60</w:t>
            </w:r>
          </w:p>
        </w:tc>
        <w:tc>
          <w:tcPr>
            <w:tcW w:w="1558" w:type="dxa"/>
            <w:vAlign w:val="center"/>
          </w:tcPr>
          <w:p w14:paraId="5D9378F6" w14:textId="77777777" w:rsidR="00D300CD" w:rsidRPr="00B020DA" w:rsidRDefault="00D300CD" w:rsidP="0018752B">
            <w:pPr>
              <w:jc w:val="center"/>
              <w:rPr>
                <w:color w:val="000000" w:themeColor="text1"/>
              </w:rPr>
            </w:pPr>
          </w:p>
        </w:tc>
        <w:tc>
          <w:tcPr>
            <w:tcW w:w="1559" w:type="dxa"/>
            <w:vAlign w:val="center"/>
          </w:tcPr>
          <w:p w14:paraId="7D946F92" w14:textId="77777777" w:rsidR="00D300CD" w:rsidRPr="00B020DA" w:rsidRDefault="00D300CD" w:rsidP="0018752B">
            <w:pPr>
              <w:jc w:val="center"/>
              <w:rPr>
                <w:color w:val="000000" w:themeColor="text1"/>
              </w:rPr>
            </w:pPr>
          </w:p>
        </w:tc>
        <w:tc>
          <w:tcPr>
            <w:tcW w:w="1276" w:type="dxa"/>
            <w:vAlign w:val="center"/>
          </w:tcPr>
          <w:p w14:paraId="42893E0F" w14:textId="77777777" w:rsidR="00D300CD" w:rsidRPr="00B020DA" w:rsidRDefault="00D300CD" w:rsidP="0018752B">
            <w:pPr>
              <w:jc w:val="center"/>
              <w:rPr>
                <w:color w:val="000000" w:themeColor="text1"/>
              </w:rPr>
            </w:pPr>
          </w:p>
        </w:tc>
      </w:tr>
    </w:tbl>
    <w:p w14:paraId="575F8F27" w14:textId="77777777" w:rsidR="00D300CD" w:rsidRDefault="00D300CD" w:rsidP="00D300CD">
      <w:pPr>
        <w:spacing w:line="480" w:lineRule="auto"/>
      </w:pPr>
    </w:p>
    <w:p w14:paraId="0803BD23" w14:textId="77777777" w:rsidR="00D300CD" w:rsidRDefault="00D300CD" w:rsidP="00D300CD">
      <w:pPr>
        <w:jc w:val="center"/>
      </w:pPr>
      <w:r w:rsidRPr="00817A11">
        <w:rPr>
          <w:b/>
        </w:rPr>
        <w:t>Table B4</w:t>
      </w:r>
      <w:r w:rsidRPr="00F51378">
        <w:t xml:space="preserve">: </w:t>
      </w:r>
      <w:r>
        <w:t>Results from paired t-test statistical analysis for nitrogen isotope values of subadult rib and femoral samples.</w:t>
      </w:r>
    </w:p>
    <w:p w14:paraId="127BA5C2" w14:textId="77777777" w:rsidR="00D300CD" w:rsidRPr="00F51378" w:rsidRDefault="00D300CD" w:rsidP="00D300CD">
      <w:pPr>
        <w:jc w:val="center"/>
      </w:pPr>
    </w:p>
    <w:tbl>
      <w:tblPr>
        <w:tblStyle w:val="TableGrid"/>
        <w:tblW w:w="0" w:type="auto"/>
        <w:tblLook w:val="04A0" w:firstRow="1" w:lastRow="0" w:firstColumn="1" w:lastColumn="0" w:noHBand="0" w:noVBand="1"/>
      </w:tblPr>
      <w:tblGrid>
        <w:gridCol w:w="1172"/>
        <w:gridCol w:w="930"/>
        <w:gridCol w:w="1203"/>
        <w:gridCol w:w="948"/>
        <w:gridCol w:w="952"/>
        <w:gridCol w:w="948"/>
        <w:gridCol w:w="879"/>
        <w:gridCol w:w="688"/>
        <w:gridCol w:w="937"/>
      </w:tblGrid>
      <w:tr w:rsidR="00D300CD" w14:paraId="09057ACE" w14:textId="77777777" w:rsidTr="0018752B">
        <w:tc>
          <w:tcPr>
            <w:tcW w:w="1433" w:type="dxa"/>
          </w:tcPr>
          <w:p w14:paraId="2C92C63D" w14:textId="77777777" w:rsidR="00D300CD" w:rsidRPr="00F51378" w:rsidRDefault="00D300CD" w:rsidP="0018752B">
            <w:pPr>
              <w:jc w:val="center"/>
              <w:rPr>
                <w:b/>
              </w:rPr>
            </w:pPr>
          </w:p>
        </w:tc>
        <w:tc>
          <w:tcPr>
            <w:tcW w:w="972" w:type="dxa"/>
          </w:tcPr>
          <w:p w14:paraId="15CBE5EF" w14:textId="77777777" w:rsidR="00D300CD" w:rsidRPr="00F51378" w:rsidRDefault="00D300CD" w:rsidP="0018752B">
            <w:pPr>
              <w:jc w:val="center"/>
              <w:rPr>
                <w:b/>
              </w:rPr>
            </w:pPr>
            <w:r w:rsidRPr="00F51378">
              <w:rPr>
                <w:b/>
              </w:rPr>
              <w:t>Mean</w:t>
            </w:r>
          </w:p>
        </w:tc>
        <w:tc>
          <w:tcPr>
            <w:tcW w:w="1067" w:type="dxa"/>
          </w:tcPr>
          <w:p w14:paraId="4A40B826" w14:textId="77777777" w:rsidR="00D300CD" w:rsidRPr="00F51378" w:rsidRDefault="00D300CD" w:rsidP="0018752B">
            <w:pPr>
              <w:jc w:val="center"/>
              <w:rPr>
                <w:b/>
              </w:rPr>
            </w:pPr>
            <w:r w:rsidRPr="00F51378">
              <w:rPr>
                <w:b/>
              </w:rPr>
              <w:t>Std. Deviation</w:t>
            </w:r>
          </w:p>
        </w:tc>
        <w:tc>
          <w:tcPr>
            <w:tcW w:w="1006" w:type="dxa"/>
          </w:tcPr>
          <w:p w14:paraId="2FE557BB" w14:textId="77777777" w:rsidR="00D300CD" w:rsidRPr="00F51378" w:rsidRDefault="00D300CD" w:rsidP="0018752B">
            <w:pPr>
              <w:jc w:val="center"/>
              <w:rPr>
                <w:b/>
              </w:rPr>
            </w:pPr>
            <w:r w:rsidRPr="00F51378">
              <w:rPr>
                <w:b/>
              </w:rPr>
              <w:t>Std. Error Mean</w:t>
            </w:r>
          </w:p>
        </w:tc>
        <w:tc>
          <w:tcPr>
            <w:tcW w:w="1006" w:type="dxa"/>
          </w:tcPr>
          <w:p w14:paraId="0C63772E" w14:textId="77777777" w:rsidR="00D300CD" w:rsidRPr="00F51378" w:rsidRDefault="00D300CD" w:rsidP="0018752B">
            <w:pPr>
              <w:jc w:val="center"/>
              <w:rPr>
                <w:b/>
              </w:rPr>
            </w:pPr>
            <w:r w:rsidRPr="00F51378">
              <w:rPr>
                <w:b/>
              </w:rPr>
              <w:t>Lower</w:t>
            </w:r>
          </w:p>
        </w:tc>
        <w:tc>
          <w:tcPr>
            <w:tcW w:w="1006" w:type="dxa"/>
          </w:tcPr>
          <w:p w14:paraId="5EDFD5CF" w14:textId="77777777" w:rsidR="00D300CD" w:rsidRPr="00F51378" w:rsidRDefault="00D300CD" w:rsidP="0018752B">
            <w:pPr>
              <w:jc w:val="center"/>
              <w:rPr>
                <w:b/>
              </w:rPr>
            </w:pPr>
            <w:r w:rsidRPr="00F51378">
              <w:rPr>
                <w:b/>
              </w:rPr>
              <w:t>Upper</w:t>
            </w:r>
          </w:p>
        </w:tc>
        <w:tc>
          <w:tcPr>
            <w:tcW w:w="976" w:type="dxa"/>
          </w:tcPr>
          <w:p w14:paraId="4C1A4595" w14:textId="77777777" w:rsidR="00D300CD" w:rsidRPr="00F51378" w:rsidRDefault="00D300CD" w:rsidP="0018752B">
            <w:pPr>
              <w:jc w:val="center"/>
              <w:rPr>
                <w:b/>
              </w:rPr>
            </w:pPr>
            <w:r w:rsidRPr="00F51378">
              <w:rPr>
                <w:b/>
              </w:rPr>
              <w:t>t</w:t>
            </w:r>
          </w:p>
        </w:tc>
        <w:tc>
          <w:tcPr>
            <w:tcW w:w="893" w:type="dxa"/>
          </w:tcPr>
          <w:p w14:paraId="26EC47BD" w14:textId="77777777" w:rsidR="00D300CD" w:rsidRPr="00F51378" w:rsidRDefault="00D300CD" w:rsidP="0018752B">
            <w:pPr>
              <w:jc w:val="center"/>
              <w:rPr>
                <w:b/>
              </w:rPr>
            </w:pPr>
            <w:r w:rsidRPr="00F51378">
              <w:rPr>
                <w:b/>
              </w:rPr>
              <w:t>df</w:t>
            </w:r>
          </w:p>
        </w:tc>
        <w:tc>
          <w:tcPr>
            <w:tcW w:w="991" w:type="dxa"/>
          </w:tcPr>
          <w:p w14:paraId="5188D2A2" w14:textId="77777777" w:rsidR="00D300CD" w:rsidRPr="00F51378" w:rsidRDefault="00D300CD" w:rsidP="0018752B">
            <w:pPr>
              <w:jc w:val="center"/>
              <w:rPr>
                <w:b/>
              </w:rPr>
            </w:pPr>
            <w:r w:rsidRPr="00F51378">
              <w:rPr>
                <w:b/>
              </w:rPr>
              <w:t>Sig. (2 -tailed)</w:t>
            </w:r>
          </w:p>
        </w:tc>
      </w:tr>
      <w:tr w:rsidR="00D300CD" w14:paraId="6D373113" w14:textId="77777777" w:rsidTr="0018752B">
        <w:tc>
          <w:tcPr>
            <w:tcW w:w="1433" w:type="dxa"/>
          </w:tcPr>
          <w:p w14:paraId="3244DE2B" w14:textId="77777777" w:rsidR="00D300CD" w:rsidRPr="00F51378" w:rsidRDefault="00D300CD" w:rsidP="0018752B">
            <w:pPr>
              <w:jc w:val="center"/>
            </w:pPr>
            <w:r w:rsidRPr="00F51378">
              <w:t xml:space="preserve">Pair 1 – Rib </w:t>
            </w:r>
            <w:r w:rsidRPr="00F51378">
              <w:rPr>
                <w:vertAlign w:val="superscript"/>
              </w:rPr>
              <w:t>15</w:t>
            </w:r>
            <w:r w:rsidRPr="00F51378">
              <w:t>N and</w:t>
            </w:r>
          </w:p>
          <w:p w14:paraId="170BED58" w14:textId="77777777" w:rsidR="00D300CD" w:rsidRPr="00F51378" w:rsidRDefault="00D300CD" w:rsidP="0018752B">
            <w:pPr>
              <w:jc w:val="center"/>
            </w:pPr>
            <w:r w:rsidRPr="00F51378">
              <w:t xml:space="preserve">Femur </w:t>
            </w:r>
            <w:r w:rsidRPr="00F51378">
              <w:rPr>
                <w:vertAlign w:val="superscript"/>
              </w:rPr>
              <w:t>15</w:t>
            </w:r>
            <w:r w:rsidRPr="00F51378">
              <w:t>N</w:t>
            </w:r>
          </w:p>
        </w:tc>
        <w:tc>
          <w:tcPr>
            <w:tcW w:w="972" w:type="dxa"/>
          </w:tcPr>
          <w:p w14:paraId="3F9CF4A7" w14:textId="77777777" w:rsidR="00D300CD" w:rsidRPr="00F51378" w:rsidRDefault="00D300CD" w:rsidP="0018752B">
            <w:pPr>
              <w:jc w:val="center"/>
            </w:pPr>
            <w:r w:rsidRPr="00F51378">
              <w:rPr>
                <w:color w:val="010205"/>
              </w:rPr>
              <w:t>-.44444</w:t>
            </w:r>
          </w:p>
        </w:tc>
        <w:tc>
          <w:tcPr>
            <w:tcW w:w="1067" w:type="dxa"/>
          </w:tcPr>
          <w:p w14:paraId="0362808A" w14:textId="77777777" w:rsidR="00D300CD" w:rsidRPr="00F51378" w:rsidRDefault="00D300CD" w:rsidP="0018752B">
            <w:pPr>
              <w:jc w:val="center"/>
            </w:pPr>
            <w:r w:rsidRPr="00F51378">
              <w:rPr>
                <w:color w:val="010205"/>
              </w:rPr>
              <w:t>.71351</w:t>
            </w:r>
          </w:p>
        </w:tc>
        <w:tc>
          <w:tcPr>
            <w:tcW w:w="1006" w:type="dxa"/>
          </w:tcPr>
          <w:p w14:paraId="74E9E7C0" w14:textId="77777777" w:rsidR="00D300CD" w:rsidRPr="00F51378" w:rsidRDefault="00D300CD" w:rsidP="0018752B">
            <w:pPr>
              <w:jc w:val="center"/>
            </w:pPr>
            <w:r w:rsidRPr="00F51378">
              <w:rPr>
                <w:color w:val="010205"/>
              </w:rPr>
              <w:t>.23784</w:t>
            </w:r>
          </w:p>
        </w:tc>
        <w:tc>
          <w:tcPr>
            <w:tcW w:w="1006" w:type="dxa"/>
          </w:tcPr>
          <w:p w14:paraId="4C6CA4BD" w14:textId="77777777" w:rsidR="00D300CD" w:rsidRPr="00F51378" w:rsidRDefault="00D300CD" w:rsidP="0018752B">
            <w:pPr>
              <w:jc w:val="center"/>
            </w:pPr>
            <w:r w:rsidRPr="00F51378">
              <w:rPr>
                <w:color w:val="010205"/>
              </w:rPr>
              <w:t>-.99290</w:t>
            </w:r>
          </w:p>
        </w:tc>
        <w:tc>
          <w:tcPr>
            <w:tcW w:w="1006" w:type="dxa"/>
          </w:tcPr>
          <w:p w14:paraId="7EF8C764" w14:textId="77777777" w:rsidR="00D300CD" w:rsidRPr="00F51378" w:rsidRDefault="00D300CD" w:rsidP="0018752B">
            <w:pPr>
              <w:jc w:val="center"/>
            </w:pPr>
            <w:r w:rsidRPr="00F51378">
              <w:rPr>
                <w:color w:val="010205"/>
              </w:rPr>
              <w:t>.10401</w:t>
            </w:r>
          </w:p>
        </w:tc>
        <w:tc>
          <w:tcPr>
            <w:tcW w:w="976" w:type="dxa"/>
          </w:tcPr>
          <w:p w14:paraId="29063447" w14:textId="77777777" w:rsidR="00D300CD" w:rsidRPr="00F51378" w:rsidRDefault="00D300CD" w:rsidP="0018752B">
            <w:pPr>
              <w:jc w:val="center"/>
            </w:pPr>
            <w:r w:rsidRPr="00F51378">
              <w:rPr>
                <w:color w:val="010205"/>
              </w:rPr>
              <w:t>-1.869</w:t>
            </w:r>
          </w:p>
        </w:tc>
        <w:tc>
          <w:tcPr>
            <w:tcW w:w="893" w:type="dxa"/>
          </w:tcPr>
          <w:p w14:paraId="6E103F76" w14:textId="77777777" w:rsidR="00D300CD" w:rsidRPr="00F51378" w:rsidRDefault="00D300CD" w:rsidP="0018752B">
            <w:pPr>
              <w:jc w:val="center"/>
            </w:pPr>
            <w:r w:rsidRPr="00F51378">
              <w:rPr>
                <w:color w:val="010205"/>
              </w:rPr>
              <w:t>8</w:t>
            </w:r>
          </w:p>
        </w:tc>
        <w:tc>
          <w:tcPr>
            <w:tcW w:w="991" w:type="dxa"/>
          </w:tcPr>
          <w:p w14:paraId="005F9080" w14:textId="77777777" w:rsidR="00D300CD" w:rsidRPr="00F51378" w:rsidRDefault="00D300CD" w:rsidP="0018752B">
            <w:pPr>
              <w:jc w:val="center"/>
              <w:rPr>
                <w:b/>
              </w:rPr>
            </w:pPr>
            <w:r w:rsidRPr="00F51378">
              <w:rPr>
                <w:b/>
                <w:color w:val="010205"/>
              </w:rPr>
              <w:t>.099</w:t>
            </w:r>
          </w:p>
        </w:tc>
      </w:tr>
    </w:tbl>
    <w:p w14:paraId="7962970B" w14:textId="77777777" w:rsidR="00D300CD" w:rsidRDefault="00D300CD" w:rsidP="00D300CD"/>
    <w:p w14:paraId="0240C058" w14:textId="77777777" w:rsidR="003D00CA" w:rsidRDefault="003D00CA" w:rsidP="00D300CD">
      <w:pPr>
        <w:jc w:val="center"/>
        <w:rPr>
          <w:b/>
        </w:rPr>
      </w:pPr>
    </w:p>
    <w:p w14:paraId="1E74D697" w14:textId="77777777" w:rsidR="003D00CA" w:rsidRDefault="003D00CA" w:rsidP="00D300CD">
      <w:pPr>
        <w:jc w:val="center"/>
        <w:rPr>
          <w:b/>
        </w:rPr>
      </w:pPr>
    </w:p>
    <w:p w14:paraId="0D2EC4EA" w14:textId="77777777" w:rsidR="003D00CA" w:rsidRDefault="003D00CA" w:rsidP="00D300CD">
      <w:pPr>
        <w:jc w:val="center"/>
        <w:rPr>
          <w:b/>
        </w:rPr>
      </w:pPr>
    </w:p>
    <w:p w14:paraId="2E389794" w14:textId="77777777" w:rsidR="003D00CA" w:rsidRDefault="003D00CA" w:rsidP="00D300CD">
      <w:pPr>
        <w:jc w:val="center"/>
        <w:rPr>
          <w:b/>
        </w:rPr>
      </w:pPr>
    </w:p>
    <w:p w14:paraId="63EE1032" w14:textId="77777777" w:rsidR="003D00CA" w:rsidRDefault="003D00CA" w:rsidP="00D300CD">
      <w:pPr>
        <w:jc w:val="center"/>
        <w:rPr>
          <w:b/>
        </w:rPr>
      </w:pPr>
    </w:p>
    <w:p w14:paraId="20F6009C" w14:textId="77777777" w:rsidR="003D00CA" w:rsidRDefault="003D00CA" w:rsidP="00D300CD">
      <w:pPr>
        <w:jc w:val="center"/>
        <w:rPr>
          <w:b/>
        </w:rPr>
      </w:pPr>
    </w:p>
    <w:p w14:paraId="5661ECE4" w14:textId="77777777" w:rsidR="003D00CA" w:rsidRDefault="003D00CA" w:rsidP="00D300CD">
      <w:pPr>
        <w:jc w:val="center"/>
        <w:rPr>
          <w:b/>
        </w:rPr>
      </w:pPr>
    </w:p>
    <w:p w14:paraId="29D13C32" w14:textId="77777777" w:rsidR="003D00CA" w:rsidRDefault="003D00CA" w:rsidP="00D300CD">
      <w:pPr>
        <w:jc w:val="center"/>
        <w:rPr>
          <w:b/>
        </w:rPr>
      </w:pPr>
    </w:p>
    <w:p w14:paraId="095CE8CE" w14:textId="77777777" w:rsidR="003D00CA" w:rsidRDefault="003D00CA" w:rsidP="00D300CD">
      <w:pPr>
        <w:jc w:val="center"/>
        <w:rPr>
          <w:b/>
        </w:rPr>
      </w:pPr>
    </w:p>
    <w:p w14:paraId="7C908CAF" w14:textId="77777777" w:rsidR="003D00CA" w:rsidRDefault="003D00CA" w:rsidP="00D300CD">
      <w:pPr>
        <w:jc w:val="center"/>
        <w:rPr>
          <w:b/>
        </w:rPr>
      </w:pPr>
    </w:p>
    <w:p w14:paraId="45AB8E97" w14:textId="77777777" w:rsidR="003D00CA" w:rsidRDefault="003D00CA" w:rsidP="00D300CD">
      <w:pPr>
        <w:jc w:val="center"/>
        <w:rPr>
          <w:b/>
        </w:rPr>
      </w:pPr>
    </w:p>
    <w:p w14:paraId="0B025392" w14:textId="77777777" w:rsidR="003D00CA" w:rsidRDefault="003D00CA" w:rsidP="00D300CD">
      <w:pPr>
        <w:jc w:val="center"/>
        <w:rPr>
          <w:b/>
        </w:rPr>
      </w:pPr>
    </w:p>
    <w:p w14:paraId="6055790C" w14:textId="77777777" w:rsidR="003D00CA" w:rsidRDefault="003D00CA" w:rsidP="00D300CD">
      <w:pPr>
        <w:jc w:val="center"/>
        <w:rPr>
          <w:b/>
        </w:rPr>
      </w:pPr>
    </w:p>
    <w:p w14:paraId="241F1B4D" w14:textId="77777777" w:rsidR="003D00CA" w:rsidRDefault="003D00CA" w:rsidP="00D300CD">
      <w:pPr>
        <w:jc w:val="center"/>
        <w:rPr>
          <w:b/>
        </w:rPr>
      </w:pPr>
    </w:p>
    <w:p w14:paraId="05639D4C" w14:textId="77777777" w:rsidR="003D00CA" w:rsidRDefault="003D00CA" w:rsidP="00D300CD">
      <w:pPr>
        <w:jc w:val="center"/>
        <w:rPr>
          <w:b/>
        </w:rPr>
      </w:pPr>
    </w:p>
    <w:p w14:paraId="564973DC" w14:textId="5867137E" w:rsidR="00D300CD" w:rsidRPr="00F51378" w:rsidRDefault="00D300CD" w:rsidP="00D300CD">
      <w:pPr>
        <w:jc w:val="center"/>
      </w:pPr>
      <w:r w:rsidRPr="00817A11">
        <w:rPr>
          <w:b/>
        </w:rPr>
        <w:lastRenderedPageBreak/>
        <w:t>Table B5:</w:t>
      </w:r>
      <w:r w:rsidRPr="00F51378">
        <w:t xml:space="preserve"> </w:t>
      </w:r>
      <w:r>
        <w:t>Results of ANCOVA statistical analysis for survivors and non-survivors of weaning and their differences in stable</w:t>
      </w:r>
      <w:r w:rsidRPr="00B020DA">
        <w:t xml:space="preserve"> </w:t>
      </w:r>
      <w:r>
        <w:t>nitrogen isotope values.</w:t>
      </w:r>
    </w:p>
    <w:p w14:paraId="5AEEAA4B" w14:textId="77777777" w:rsidR="00D300CD" w:rsidRDefault="00D300CD" w:rsidP="00D300CD"/>
    <w:tbl>
      <w:tblPr>
        <w:tblStyle w:val="TableGrid"/>
        <w:tblW w:w="0" w:type="auto"/>
        <w:tblLook w:val="04A0" w:firstRow="1" w:lastRow="0" w:firstColumn="1" w:lastColumn="0" w:noHBand="0" w:noVBand="1"/>
      </w:tblPr>
      <w:tblGrid>
        <w:gridCol w:w="1467"/>
        <w:gridCol w:w="1700"/>
        <w:gridCol w:w="1117"/>
        <w:gridCol w:w="1457"/>
        <w:gridCol w:w="1458"/>
        <w:gridCol w:w="1458"/>
      </w:tblGrid>
      <w:tr w:rsidR="00D300CD" w14:paraId="301392D1" w14:textId="77777777" w:rsidTr="0018752B">
        <w:tc>
          <w:tcPr>
            <w:tcW w:w="1558" w:type="dxa"/>
            <w:vAlign w:val="bottom"/>
          </w:tcPr>
          <w:p w14:paraId="1107E441" w14:textId="77777777" w:rsidR="00D300CD" w:rsidRPr="00F51378" w:rsidRDefault="00D300CD" w:rsidP="0018752B">
            <w:pPr>
              <w:jc w:val="center"/>
              <w:rPr>
                <w:b/>
                <w:color w:val="000000" w:themeColor="text1"/>
              </w:rPr>
            </w:pPr>
            <w:r w:rsidRPr="00F51378">
              <w:rPr>
                <w:b/>
                <w:color w:val="000000" w:themeColor="text1"/>
              </w:rPr>
              <w:t>Source</w:t>
            </w:r>
          </w:p>
        </w:tc>
        <w:tc>
          <w:tcPr>
            <w:tcW w:w="1839" w:type="dxa"/>
            <w:vAlign w:val="bottom"/>
          </w:tcPr>
          <w:p w14:paraId="76CC3F64" w14:textId="77777777" w:rsidR="00D300CD" w:rsidRPr="00F51378" w:rsidRDefault="00D300CD" w:rsidP="0018752B">
            <w:pPr>
              <w:jc w:val="center"/>
              <w:rPr>
                <w:b/>
                <w:color w:val="000000" w:themeColor="text1"/>
              </w:rPr>
            </w:pPr>
            <w:r w:rsidRPr="00F51378">
              <w:rPr>
                <w:b/>
                <w:color w:val="000000" w:themeColor="text1"/>
              </w:rPr>
              <w:t>Type III Sum of Squares</w:t>
            </w:r>
          </w:p>
        </w:tc>
        <w:tc>
          <w:tcPr>
            <w:tcW w:w="1277" w:type="dxa"/>
            <w:vAlign w:val="bottom"/>
          </w:tcPr>
          <w:p w14:paraId="14A8DEDC" w14:textId="77777777" w:rsidR="00D300CD" w:rsidRPr="00F51378" w:rsidRDefault="00D300CD" w:rsidP="0018752B">
            <w:pPr>
              <w:jc w:val="center"/>
              <w:rPr>
                <w:b/>
                <w:color w:val="000000" w:themeColor="text1"/>
              </w:rPr>
            </w:pPr>
            <w:r w:rsidRPr="00F51378">
              <w:rPr>
                <w:b/>
                <w:color w:val="000000" w:themeColor="text1"/>
              </w:rPr>
              <w:t>df</w:t>
            </w:r>
          </w:p>
        </w:tc>
        <w:tc>
          <w:tcPr>
            <w:tcW w:w="1558" w:type="dxa"/>
            <w:vAlign w:val="bottom"/>
          </w:tcPr>
          <w:p w14:paraId="2D7A5765" w14:textId="77777777" w:rsidR="00D300CD" w:rsidRPr="00F51378" w:rsidRDefault="00D300CD" w:rsidP="0018752B">
            <w:pPr>
              <w:jc w:val="center"/>
              <w:rPr>
                <w:b/>
                <w:color w:val="000000" w:themeColor="text1"/>
              </w:rPr>
            </w:pPr>
            <w:r w:rsidRPr="00F51378">
              <w:rPr>
                <w:b/>
                <w:color w:val="000000" w:themeColor="text1"/>
              </w:rPr>
              <w:t>Mean Square</w:t>
            </w:r>
          </w:p>
        </w:tc>
        <w:tc>
          <w:tcPr>
            <w:tcW w:w="1559" w:type="dxa"/>
            <w:vAlign w:val="bottom"/>
          </w:tcPr>
          <w:p w14:paraId="49777D61" w14:textId="77777777" w:rsidR="00D300CD" w:rsidRPr="00F51378" w:rsidRDefault="00D300CD" w:rsidP="0018752B">
            <w:pPr>
              <w:jc w:val="center"/>
              <w:rPr>
                <w:b/>
                <w:color w:val="000000" w:themeColor="text1"/>
              </w:rPr>
            </w:pPr>
            <w:r w:rsidRPr="00F51378">
              <w:rPr>
                <w:b/>
                <w:color w:val="000000" w:themeColor="text1"/>
              </w:rPr>
              <w:t>F</w:t>
            </w:r>
          </w:p>
        </w:tc>
        <w:tc>
          <w:tcPr>
            <w:tcW w:w="1559" w:type="dxa"/>
            <w:vAlign w:val="bottom"/>
          </w:tcPr>
          <w:p w14:paraId="0811DB37" w14:textId="77777777" w:rsidR="00D300CD" w:rsidRPr="00F51378" w:rsidRDefault="00D300CD" w:rsidP="0018752B">
            <w:pPr>
              <w:jc w:val="center"/>
              <w:rPr>
                <w:b/>
                <w:color w:val="000000" w:themeColor="text1"/>
              </w:rPr>
            </w:pPr>
            <w:r w:rsidRPr="00F51378">
              <w:rPr>
                <w:b/>
                <w:color w:val="000000" w:themeColor="text1"/>
              </w:rPr>
              <w:t>Sig.</w:t>
            </w:r>
          </w:p>
        </w:tc>
      </w:tr>
      <w:tr w:rsidR="00D300CD" w14:paraId="2AEFFEE7" w14:textId="77777777" w:rsidTr="0018752B">
        <w:tc>
          <w:tcPr>
            <w:tcW w:w="1558" w:type="dxa"/>
          </w:tcPr>
          <w:p w14:paraId="79F41A7D" w14:textId="77777777" w:rsidR="00D300CD" w:rsidRPr="00F51378" w:rsidRDefault="00D300CD" w:rsidP="0018752B">
            <w:pPr>
              <w:jc w:val="center"/>
              <w:rPr>
                <w:color w:val="000000" w:themeColor="text1"/>
              </w:rPr>
            </w:pPr>
            <w:r w:rsidRPr="00F51378">
              <w:rPr>
                <w:color w:val="000000" w:themeColor="text1"/>
              </w:rPr>
              <w:t>Corrected Model</w:t>
            </w:r>
          </w:p>
        </w:tc>
        <w:tc>
          <w:tcPr>
            <w:tcW w:w="1839" w:type="dxa"/>
          </w:tcPr>
          <w:p w14:paraId="24A920F4" w14:textId="77777777" w:rsidR="00D300CD" w:rsidRPr="00F51378" w:rsidRDefault="00D300CD" w:rsidP="0018752B">
            <w:pPr>
              <w:jc w:val="center"/>
              <w:rPr>
                <w:color w:val="000000" w:themeColor="text1"/>
              </w:rPr>
            </w:pPr>
            <w:r w:rsidRPr="00F51378">
              <w:rPr>
                <w:color w:val="000000" w:themeColor="text1"/>
              </w:rPr>
              <w:t>244.520</w:t>
            </w:r>
            <w:r w:rsidRPr="00F51378">
              <w:rPr>
                <w:color w:val="000000" w:themeColor="text1"/>
                <w:vertAlign w:val="superscript"/>
              </w:rPr>
              <w:t>a</w:t>
            </w:r>
          </w:p>
        </w:tc>
        <w:tc>
          <w:tcPr>
            <w:tcW w:w="1277" w:type="dxa"/>
          </w:tcPr>
          <w:p w14:paraId="0761E7B7" w14:textId="77777777" w:rsidR="00D300CD" w:rsidRPr="00F51378" w:rsidRDefault="00D300CD" w:rsidP="0018752B">
            <w:pPr>
              <w:jc w:val="center"/>
              <w:rPr>
                <w:color w:val="000000" w:themeColor="text1"/>
              </w:rPr>
            </w:pPr>
            <w:r w:rsidRPr="00F51378">
              <w:rPr>
                <w:color w:val="000000" w:themeColor="text1"/>
              </w:rPr>
              <w:t>2</w:t>
            </w:r>
          </w:p>
        </w:tc>
        <w:tc>
          <w:tcPr>
            <w:tcW w:w="1558" w:type="dxa"/>
          </w:tcPr>
          <w:p w14:paraId="52031E5D" w14:textId="77777777" w:rsidR="00D300CD" w:rsidRPr="00F51378" w:rsidRDefault="00D300CD" w:rsidP="0018752B">
            <w:pPr>
              <w:jc w:val="center"/>
              <w:rPr>
                <w:color w:val="000000" w:themeColor="text1"/>
              </w:rPr>
            </w:pPr>
            <w:r w:rsidRPr="00F51378">
              <w:rPr>
                <w:color w:val="000000" w:themeColor="text1"/>
              </w:rPr>
              <w:t>122.260</w:t>
            </w:r>
          </w:p>
        </w:tc>
        <w:tc>
          <w:tcPr>
            <w:tcW w:w="1559" w:type="dxa"/>
          </w:tcPr>
          <w:p w14:paraId="5CB0A92E" w14:textId="77777777" w:rsidR="00D300CD" w:rsidRPr="00F51378" w:rsidRDefault="00D300CD" w:rsidP="0018752B">
            <w:pPr>
              <w:jc w:val="center"/>
              <w:rPr>
                <w:color w:val="000000" w:themeColor="text1"/>
              </w:rPr>
            </w:pPr>
            <w:r w:rsidRPr="00F51378">
              <w:rPr>
                <w:color w:val="000000" w:themeColor="text1"/>
              </w:rPr>
              <w:t>62.867</w:t>
            </w:r>
          </w:p>
        </w:tc>
        <w:tc>
          <w:tcPr>
            <w:tcW w:w="1559" w:type="dxa"/>
          </w:tcPr>
          <w:p w14:paraId="005729EC" w14:textId="77777777" w:rsidR="00D300CD" w:rsidRPr="00F51378" w:rsidRDefault="00D300CD" w:rsidP="0018752B">
            <w:pPr>
              <w:jc w:val="center"/>
              <w:rPr>
                <w:color w:val="000000" w:themeColor="text1"/>
              </w:rPr>
            </w:pPr>
            <w:r w:rsidRPr="00F51378">
              <w:rPr>
                <w:color w:val="000000" w:themeColor="text1"/>
              </w:rPr>
              <w:t>1.1587</w:t>
            </w:r>
            <w:r w:rsidRPr="00F51378">
              <w:rPr>
                <w:color w:val="000000" w:themeColor="text1"/>
                <w:vertAlign w:val="superscript"/>
              </w:rPr>
              <w:t>-19</w:t>
            </w:r>
          </w:p>
        </w:tc>
      </w:tr>
      <w:tr w:rsidR="00D300CD" w14:paraId="7D6692F3" w14:textId="77777777" w:rsidTr="0018752B">
        <w:tc>
          <w:tcPr>
            <w:tcW w:w="1558" w:type="dxa"/>
          </w:tcPr>
          <w:p w14:paraId="5412B84A" w14:textId="77777777" w:rsidR="00D300CD" w:rsidRPr="00F51378" w:rsidRDefault="00D300CD" w:rsidP="0018752B">
            <w:pPr>
              <w:jc w:val="center"/>
              <w:rPr>
                <w:color w:val="000000" w:themeColor="text1"/>
              </w:rPr>
            </w:pPr>
            <w:r w:rsidRPr="00F51378">
              <w:rPr>
                <w:color w:val="000000" w:themeColor="text1"/>
              </w:rPr>
              <w:t>Intercept</w:t>
            </w:r>
          </w:p>
        </w:tc>
        <w:tc>
          <w:tcPr>
            <w:tcW w:w="1839" w:type="dxa"/>
          </w:tcPr>
          <w:p w14:paraId="6D34C4F9" w14:textId="77777777" w:rsidR="00D300CD" w:rsidRPr="00F51378" w:rsidRDefault="00D300CD" w:rsidP="0018752B">
            <w:pPr>
              <w:jc w:val="center"/>
              <w:rPr>
                <w:color w:val="000000" w:themeColor="text1"/>
              </w:rPr>
            </w:pPr>
            <w:r w:rsidRPr="00F51378">
              <w:rPr>
                <w:color w:val="000000" w:themeColor="text1"/>
              </w:rPr>
              <w:t>4413.960</w:t>
            </w:r>
          </w:p>
        </w:tc>
        <w:tc>
          <w:tcPr>
            <w:tcW w:w="1277" w:type="dxa"/>
          </w:tcPr>
          <w:p w14:paraId="1C757959" w14:textId="77777777" w:rsidR="00D300CD" w:rsidRPr="00F51378" w:rsidRDefault="00D300CD" w:rsidP="0018752B">
            <w:pPr>
              <w:jc w:val="center"/>
              <w:rPr>
                <w:color w:val="000000" w:themeColor="text1"/>
              </w:rPr>
            </w:pPr>
            <w:r w:rsidRPr="00F51378">
              <w:rPr>
                <w:color w:val="000000" w:themeColor="text1"/>
              </w:rPr>
              <w:t>1</w:t>
            </w:r>
          </w:p>
        </w:tc>
        <w:tc>
          <w:tcPr>
            <w:tcW w:w="1558" w:type="dxa"/>
          </w:tcPr>
          <w:p w14:paraId="61BD0C98" w14:textId="77777777" w:rsidR="00D300CD" w:rsidRPr="00F51378" w:rsidRDefault="00D300CD" w:rsidP="0018752B">
            <w:pPr>
              <w:jc w:val="center"/>
              <w:rPr>
                <w:color w:val="000000" w:themeColor="text1"/>
              </w:rPr>
            </w:pPr>
            <w:r w:rsidRPr="00F51378">
              <w:rPr>
                <w:color w:val="000000" w:themeColor="text1"/>
              </w:rPr>
              <w:t>4413.960</w:t>
            </w:r>
          </w:p>
        </w:tc>
        <w:tc>
          <w:tcPr>
            <w:tcW w:w="1559" w:type="dxa"/>
          </w:tcPr>
          <w:p w14:paraId="2C990514" w14:textId="77777777" w:rsidR="00D300CD" w:rsidRPr="00F51378" w:rsidRDefault="00D300CD" w:rsidP="0018752B">
            <w:pPr>
              <w:jc w:val="center"/>
              <w:rPr>
                <w:color w:val="000000" w:themeColor="text1"/>
              </w:rPr>
            </w:pPr>
            <w:r w:rsidRPr="00F51378">
              <w:rPr>
                <w:color w:val="000000" w:themeColor="text1"/>
              </w:rPr>
              <w:t>2269.697</w:t>
            </w:r>
          </w:p>
        </w:tc>
        <w:tc>
          <w:tcPr>
            <w:tcW w:w="1559" w:type="dxa"/>
          </w:tcPr>
          <w:p w14:paraId="05648C49" w14:textId="77777777" w:rsidR="00D300CD" w:rsidRPr="00F51378" w:rsidRDefault="00D300CD" w:rsidP="0018752B">
            <w:pPr>
              <w:jc w:val="center"/>
              <w:rPr>
                <w:color w:val="000000" w:themeColor="text1"/>
              </w:rPr>
            </w:pPr>
            <w:r w:rsidRPr="00F51378">
              <w:rPr>
                <w:color w:val="000000" w:themeColor="text1"/>
              </w:rPr>
              <w:t>1.9124</w:t>
            </w:r>
            <w:r w:rsidRPr="00F51378">
              <w:rPr>
                <w:color w:val="000000" w:themeColor="text1"/>
                <w:vertAlign w:val="superscript"/>
              </w:rPr>
              <w:t>-82</w:t>
            </w:r>
          </w:p>
        </w:tc>
      </w:tr>
      <w:tr w:rsidR="00D300CD" w14:paraId="18D5272F" w14:textId="77777777" w:rsidTr="0018752B">
        <w:tc>
          <w:tcPr>
            <w:tcW w:w="1558" w:type="dxa"/>
          </w:tcPr>
          <w:p w14:paraId="63206A96" w14:textId="77777777" w:rsidR="00D300CD" w:rsidRPr="00F51378" w:rsidRDefault="00D300CD" w:rsidP="0018752B">
            <w:pPr>
              <w:jc w:val="center"/>
              <w:rPr>
                <w:color w:val="000000" w:themeColor="text1"/>
              </w:rPr>
            </w:pPr>
            <w:r>
              <w:rPr>
                <w:color w:val="000000" w:themeColor="text1"/>
              </w:rPr>
              <w:t>Age Brackets</w:t>
            </w:r>
          </w:p>
        </w:tc>
        <w:tc>
          <w:tcPr>
            <w:tcW w:w="1839" w:type="dxa"/>
          </w:tcPr>
          <w:p w14:paraId="6DA5F580" w14:textId="77777777" w:rsidR="00D300CD" w:rsidRPr="00F51378" w:rsidRDefault="00D300CD" w:rsidP="0018752B">
            <w:pPr>
              <w:jc w:val="center"/>
              <w:rPr>
                <w:color w:val="000000" w:themeColor="text1"/>
              </w:rPr>
            </w:pPr>
            <w:r w:rsidRPr="00F51378">
              <w:rPr>
                <w:color w:val="000000" w:themeColor="text1"/>
              </w:rPr>
              <w:t>86.532</w:t>
            </w:r>
          </w:p>
        </w:tc>
        <w:tc>
          <w:tcPr>
            <w:tcW w:w="1277" w:type="dxa"/>
          </w:tcPr>
          <w:p w14:paraId="12C816C1" w14:textId="77777777" w:rsidR="00D300CD" w:rsidRPr="00F51378" w:rsidRDefault="00D300CD" w:rsidP="0018752B">
            <w:pPr>
              <w:jc w:val="center"/>
              <w:rPr>
                <w:color w:val="000000" w:themeColor="text1"/>
              </w:rPr>
            </w:pPr>
            <w:r w:rsidRPr="00F51378">
              <w:rPr>
                <w:color w:val="000000" w:themeColor="text1"/>
              </w:rPr>
              <w:t>1</w:t>
            </w:r>
          </w:p>
        </w:tc>
        <w:tc>
          <w:tcPr>
            <w:tcW w:w="1558" w:type="dxa"/>
          </w:tcPr>
          <w:p w14:paraId="211DA948" w14:textId="77777777" w:rsidR="00D300CD" w:rsidRPr="00F51378" w:rsidRDefault="00D300CD" w:rsidP="0018752B">
            <w:pPr>
              <w:jc w:val="center"/>
              <w:rPr>
                <w:color w:val="000000" w:themeColor="text1"/>
              </w:rPr>
            </w:pPr>
            <w:r w:rsidRPr="00F51378">
              <w:rPr>
                <w:color w:val="000000" w:themeColor="text1"/>
              </w:rPr>
              <w:t>86.532</w:t>
            </w:r>
          </w:p>
        </w:tc>
        <w:tc>
          <w:tcPr>
            <w:tcW w:w="1559" w:type="dxa"/>
          </w:tcPr>
          <w:p w14:paraId="09F3E75B" w14:textId="77777777" w:rsidR="00D300CD" w:rsidRPr="00F51378" w:rsidRDefault="00D300CD" w:rsidP="0018752B">
            <w:pPr>
              <w:jc w:val="center"/>
              <w:rPr>
                <w:color w:val="000000" w:themeColor="text1"/>
              </w:rPr>
            </w:pPr>
            <w:r w:rsidRPr="00F51378">
              <w:rPr>
                <w:color w:val="000000" w:themeColor="text1"/>
              </w:rPr>
              <w:t>44.495</w:t>
            </w:r>
          </w:p>
        </w:tc>
        <w:tc>
          <w:tcPr>
            <w:tcW w:w="1559" w:type="dxa"/>
          </w:tcPr>
          <w:p w14:paraId="6CFF4A60" w14:textId="77777777" w:rsidR="00D300CD" w:rsidRPr="00F51378" w:rsidRDefault="00D300CD" w:rsidP="0018752B">
            <w:pPr>
              <w:jc w:val="center"/>
              <w:rPr>
                <w:color w:val="000000" w:themeColor="text1"/>
              </w:rPr>
            </w:pPr>
            <w:r w:rsidRPr="00F51378">
              <w:rPr>
                <w:color w:val="000000" w:themeColor="text1"/>
              </w:rPr>
              <w:t>7.2263</w:t>
            </w:r>
            <w:r w:rsidRPr="00F51378">
              <w:rPr>
                <w:color w:val="000000" w:themeColor="text1"/>
                <w:vertAlign w:val="superscript"/>
              </w:rPr>
              <w:t>-10</w:t>
            </w:r>
          </w:p>
        </w:tc>
      </w:tr>
      <w:tr w:rsidR="00D300CD" w14:paraId="74545F99" w14:textId="77777777" w:rsidTr="0018752B">
        <w:tc>
          <w:tcPr>
            <w:tcW w:w="1558" w:type="dxa"/>
          </w:tcPr>
          <w:p w14:paraId="444CF58A" w14:textId="77777777" w:rsidR="00D300CD" w:rsidRPr="00F51378" w:rsidRDefault="00D300CD" w:rsidP="0018752B">
            <w:pPr>
              <w:jc w:val="center"/>
              <w:rPr>
                <w:color w:val="000000" w:themeColor="text1"/>
              </w:rPr>
            </w:pPr>
            <w:r>
              <w:rPr>
                <w:color w:val="000000" w:themeColor="text1"/>
              </w:rPr>
              <w:t>Surv. Vs. Non Surv.</w:t>
            </w:r>
          </w:p>
        </w:tc>
        <w:tc>
          <w:tcPr>
            <w:tcW w:w="1839" w:type="dxa"/>
          </w:tcPr>
          <w:p w14:paraId="57748334" w14:textId="77777777" w:rsidR="00D300CD" w:rsidRPr="00F51378" w:rsidRDefault="00D300CD" w:rsidP="0018752B">
            <w:pPr>
              <w:jc w:val="center"/>
              <w:rPr>
                <w:color w:val="000000" w:themeColor="text1"/>
              </w:rPr>
            </w:pPr>
            <w:r w:rsidRPr="00F51378">
              <w:rPr>
                <w:color w:val="000000" w:themeColor="text1"/>
              </w:rPr>
              <w:t>28.571</w:t>
            </w:r>
          </w:p>
        </w:tc>
        <w:tc>
          <w:tcPr>
            <w:tcW w:w="1277" w:type="dxa"/>
          </w:tcPr>
          <w:p w14:paraId="2BDA3417" w14:textId="77777777" w:rsidR="00D300CD" w:rsidRPr="00F51378" w:rsidRDefault="00D300CD" w:rsidP="0018752B">
            <w:pPr>
              <w:jc w:val="center"/>
              <w:rPr>
                <w:color w:val="000000" w:themeColor="text1"/>
              </w:rPr>
            </w:pPr>
            <w:r w:rsidRPr="00F51378">
              <w:rPr>
                <w:color w:val="000000" w:themeColor="text1"/>
              </w:rPr>
              <w:t>1</w:t>
            </w:r>
          </w:p>
        </w:tc>
        <w:tc>
          <w:tcPr>
            <w:tcW w:w="1558" w:type="dxa"/>
          </w:tcPr>
          <w:p w14:paraId="6D0D13CB" w14:textId="77777777" w:rsidR="00D300CD" w:rsidRPr="00F51378" w:rsidRDefault="00D300CD" w:rsidP="0018752B">
            <w:pPr>
              <w:jc w:val="center"/>
              <w:rPr>
                <w:color w:val="000000" w:themeColor="text1"/>
              </w:rPr>
            </w:pPr>
            <w:r w:rsidRPr="00F51378">
              <w:rPr>
                <w:color w:val="000000" w:themeColor="text1"/>
              </w:rPr>
              <w:t>28.571</w:t>
            </w:r>
          </w:p>
        </w:tc>
        <w:tc>
          <w:tcPr>
            <w:tcW w:w="1559" w:type="dxa"/>
          </w:tcPr>
          <w:p w14:paraId="29BD50DA" w14:textId="77777777" w:rsidR="00D300CD" w:rsidRPr="00F51378" w:rsidRDefault="00D300CD" w:rsidP="0018752B">
            <w:pPr>
              <w:jc w:val="center"/>
              <w:rPr>
                <w:color w:val="000000" w:themeColor="text1"/>
              </w:rPr>
            </w:pPr>
            <w:r w:rsidRPr="00F51378">
              <w:rPr>
                <w:color w:val="000000" w:themeColor="text1"/>
              </w:rPr>
              <w:t>14.691</w:t>
            </w:r>
          </w:p>
        </w:tc>
        <w:tc>
          <w:tcPr>
            <w:tcW w:w="1559" w:type="dxa"/>
          </w:tcPr>
          <w:p w14:paraId="5ED389A5" w14:textId="77777777" w:rsidR="00D300CD" w:rsidRPr="00720E23" w:rsidRDefault="00D300CD" w:rsidP="0018752B">
            <w:pPr>
              <w:jc w:val="center"/>
              <w:rPr>
                <w:b/>
                <w:color w:val="000000" w:themeColor="text1"/>
              </w:rPr>
            </w:pPr>
            <w:r w:rsidRPr="00720E23">
              <w:rPr>
                <w:b/>
                <w:color w:val="000000" w:themeColor="text1"/>
              </w:rPr>
              <w:t>0.000199</w:t>
            </w:r>
          </w:p>
        </w:tc>
      </w:tr>
      <w:tr w:rsidR="00D300CD" w14:paraId="4F39E8B8" w14:textId="77777777" w:rsidTr="0018752B">
        <w:tc>
          <w:tcPr>
            <w:tcW w:w="1558" w:type="dxa"/>
          </w:tcPr>
          <w:p w14:paraId="63E4568F" w14:textId="77777777" w:rsidR="00D300CD" w:rsidRPr="00F51378" w:rsidRDefault="00D300CD" w:rsidP="0018752B">
            <w:pPr>
              <w:jc w:val="center"/>
              <w:rPr>
                <w:color w:val="000000" w:themeColor="text1"/>
              </w:rPr>
            </w:pPr>
            <w:r w:rsidRPr="00F51378">
              <w:rPr>
                <w:color w:val="000000" w:themeColor="text1"/>
              </w:rPr>
              <w:t>Error</w:t>
            </w:r>
          </w:p>
        </w:tc>
        <w:tc>
          <w:tcPr>
            <w:tcW w:w="1839" w:type="dxa"/>
          </w:tcPr>
          <w:p w14:paraId="49D98E08" w14:textId="77777777" w:rsidR="00D300CD" w:rsidRPr="00F51378" w:rsidRDefault="00D300CD" w:rsidP="0018752B">
            <w:pPr>
              <w:jc w:val="center"/>
              <w:rPr>
                <w:color w:val="000000" w:themeColor="text1"/>
              </w:rPr>
            </w:pPr>
            <w:r w:rsidRPr="00F51378">
              <w:rPr>
                <w:color w:val="000000" w:themeColor="text1"/>
              </w:rPr>
              <w:t>245.037</w:t>
            </w:r>
          </w:p>
        </w:tc>
        <w:tc>
          <w:tcPr>
            <w:tcW w:w="1277" w:type="dxa"/>
          </w:tcPr>
          <w:p w14:paraId="3A2A99D4" w14:textId="77777777" w:rsidR="00D300CD" w:rsidRPr="00F51378" w:rsidRDefault="00D300CD" w:rsidP="0018752B">
            <w:pPr>
              <w:jc w:val="center"/>
              <w:rPr>
                <w:color w:val="000000" w:themeColor="text1"/>
              </w:rPr>
            </w:pPr>
            <w:r w:rsidRPr="00F51378">
              <w:rPr>
                <w:color w:val="000000" w:themeColor="text1"/>
              </w:rPr>
              <w:t>126</w:t>
            </w:r>
          </w:p>
        </w:tc>
        <w:tc>
          <w:tcPr>
            <w:tcW w:w="1558" w:type="dxa"/>
          </w:tcPr>
          <w:p w14:paraId="0F5C3A74" w14:textId="77777777" w:rsidR="00D300CD" w:rsidRPr="00F51378" w:rsidRDefault="00D300CD" w:rsidP="0018752B">
            <w:pPr>
              <w:jc w:val="center"/>
              <w:rPr>
                <w:color w:val="000000" w:themeColor="text1"/>
              </w:rPr>
            </w:pPr>
            <w:r w:rsidRPr="00F51378">
              <w:rPr>
                <w:color w:val="000000" w:themeColor="text1"/>
              </w:rPr>
              <w:t>1.945</w:t>
            </w:r>
          </w:p>
        </w:tc>
        <w:tc>
          <w:tcPr>
            <w:tcW w:w="1559" w:type="dxa"/>
            <w:vAlign w:val="center"/>
          </w:tcPr>
          <w:p w14:paraId="603B1ED9" w14:textId="77777777" w:rsidR="00D300CD" w:rsidRPr="00F51378" w:rsidRDefault="00D300CD" w:rsidP="0018752B">
            <w:pPr>
              <w:jc w:val="center"/>
              <w:rPr>
                <w:color w:val="000000" w:themeColor="text1"/>
              </w:rPr>
            </w:pPr>
          </w:p>
        </w:tc>
        <w:tc>
          <w:tcPr>
            <w:tcW w:w="1559" w:type="dxa"/>
            <w:vAlign w:val="center"/>
          </w:tcPr>
          <w:p w14:paraId="571B5933" w14:textId="77777777" w:rsidR="00D300CD" w:rsidRPr="00F51378" w:rsidRDefault="00D300CD" w:rsidP="0018752B">
            <w:pPr>
              <w:jc w:val="center"/>
              <w:rPr>
                <w:color w:val="000000" w:themeColor="text1"/>
              </w:rPr>
            </w:pPr>
          </w:p>
        </w:tc>
      </w:tr>
      <w:tr w:rsidR="00D300CD" w14:paraId="0C9DB7F1" w14:textId="77777777" w:rsidTr="0018752B">
        <w:tc>
          <w:tcPr>
            <w:tcW w:w="1558" w:type="dxa"/>
          </w:tcPr>
          <w:p w14:paraId="7BA1C9F6" w14:textId="77777777" w:rsidR="00D300CD" w:rsidRPr="00F51378" w:rsidRDefault="00D300CD" w:rsidP="0018752B">
            <w:pPr>
              <w:jc w:val="center"/>
              <w:rPr>
                <w:color w:val="000000" w:themeColor="text1"/>
              </w:rPr>
            </w:pPr>
            <w:r w:rsidRPr="00F51378">
              <w:rPr>
                <w:color w:val="000000" w:themeColor="text1"/>
              </w:rPr>
              <w:t>Total</w:t>
            </w:r>
          </w:p>
        </w:tc>
        <w:tc>
          <w:tcPr>
            <w:tcW w:w="1839" w:type="dxa"/>
          </w:tcPr>
          <w:p w14:paraId="08CDCA85" w14:textId="77777777" w:rsidR="00D300CD" w:rsidRPr="00F51378" w:rsidRDefault="00D300CD" w:rsidP="0018752B">
            <w:pPr>
              <w:jc w:val="center"/>
              <w:rPr>
                <w:color w:val="000000" w:themeColor="text1"/>
              </w:rPr>
            </w:pPr>
            <w:r w:rsidRPr="00F51378">
              <w:rPr>
                <w:color w:val="000000" w:themeColor="text1"/>
              </w:rPr>
              <w:t>15385.296</w:t>
            </w:r>
          </w:p>
        </w:tc>
        <w:tc>
          <w:tcPr>
            <w:tcW w:w="1277" w:type="dxa"/>
          </w:tcPr>
          <w:p w14:paraId="59DF1660" w14:textId="77777777" w:rsidR="00D300CD" w:rsidRPr="00F51378" w:rsidRDefault="00D300CD" w:rsidP="0018752B">
            <w:pPr>
              <w:jc w:val="center"/>
              <w:rPr>
                <w:color w:val="000000" w:themeColor="text1"/>
              </w:rPr>
            </w:pPr>
            <w:r w:rsidRPr="00F51378">
              <w:rPr>
                <w:color w:val="000000" w:themeColor="text1"/>
              </w:rPr>
              <w:t>129</w:t>
            </w:r>
          </w:p>
        </w:tc>
        <w:tc>
          <w:tcPr>
            <w:tcW w:w="1558" w:type="dxa"/>
            <w:vAlign w:val="center"/>
          </w:tcPr>
          <w:p w14:paraId="5E6A3458" w14:textId="77777777" w:rsidR="00D300CD" w:rsidRPr="00F51378" w:rsidRDefault="00D300CD" w:rsidP="0018752B">
            <w:pPr>
              <w:jc w:val="center"/>
              <w:rPr>
                <w:color w:val="000000" w:themeColor="text1"/>
              </w:rPr>
            </w:pPr>
          </w:p>
        </w:tc>
        <w:tc>
          <w:tcPr>
            <w:tcW w:w="1559" w:type="dxa"/>
            <w:vAlign w:val="center"/>
          </w:tcPr>
          <w:p w14:paraId="2B66FB26" w14:textId="77777777" w:rsidR="00D300CD" w:rsidRPr="00F51378" w:rsidRDefault="00D300CD" w:rsidP="0018752B">
            <w:pPr>
              <w:jc w:val="center"/>
              <w:rPr>
                <w:color w:val="000000" w:themeColor="text1"/>
              </w:rPr>
            </w:pPr>
          </w:p>
        </w:tc>
        <w:tc>
          <w:tcPr>
            <w:tcW w:w="1559" w:type="dxa"/>
            <w:vAlign w:val="center"/>
          </w:tcPr>
          <w:p w14:paraId="28BD98DA" w14:textId="77777777" w:rsidR="00D300CD" w:rsidRPr="00F51378" w:rsidRDefault="00D300CD" w:rsidP="0018752B">
            <w:pPr>
              <w:jc w:val="center"/>
              <w:rPr>
                <w:color w:val="000000" w:themeColor="text1"/>
              </w:rPr>
            </w:pPr>
          </w:p>
        </w:tc>
      </w:tr>
      <w:tr w:rsidR="00D300CD" w14:paraId="158C8773" w14:textId="77777777" w:rsidTr="0018752B">
        <w:tc>
          <w:tcPr>
            <w:tcW w:w="1558" w:type="dxa"/>
          </w:tcPr>
          <w:p w14:paraId="19A65CBD" w14:textId="77777777" w:rsidR="00D300CD" w:rsidRPr="00F51378" w:rsidRDefault="00D300CD" w:rsidP="0018752B">
            <w:pPr>
              <w:jc w:val="center"/>
              <w:rPr>
                <w:color w:val="000000" w:themeColor="text1"/>
              </w:rPr>
            </w:pPr>
            <w:r w:rsidRPr="00F51378">
              <w:rPr>
                <w:color w:val="000000" w:themeColor="text1"/>
              </w:rPr>
              <w:t>Corrected Total</w:t>
            </w:r>
          </w:p>
        </w:tc>
        <w:tc>
          <w:tcPr>
            <w:tcW w:w="1839" w:type="dxa"/>
          </w:tcPr>
          <w:p w14:paraId="1E407D61" w14:textId="77777777" w:rsidR="00D300CD" w:rsidRPr="00F51378" w:rsidRDefault="00D300CD" w:rsidP="0018752B">
            <w:pPr>
              <w:jc w:val="center"/>
              <w:rPr>
                <w:color w:val="000000" w:themeColor="text1"/>
              </w:rPr>
            </w:pPr>
            <w:r w:rsidRPr="00F51378">
              <w:rPr>
                <w:color w:val="000000" w:themeColor="text1"/>
              </w:rPr>
              <w:t>489.557</w:t>
            </w:r>
          </w:p>
        </w:tc>
        <w:tc>
          <w:tcPr>
            <w:tcW w:w="1277" w:type="dxa"/>
          </w:tcPr>
          <w:p w14:paraId="2B16A6FD" w14:textId="77777777" w:rsidR="00D300CD" w:rsidRPr="00F51378" w:rsidRDefault="00D300CD" w:rsidP="0018752B">
            <w:pPr>
              <w:jc w:val="center"/>
              <w:rPr>
                <w:color w:val="000000" w:themeColor="text1"/>
              </w:rPr>
            </w:pPr>
            <w:r w:rsidRPr="00F51378">
              <w:rPr>
                <w:color w:val="000000" w:themeColor="text1"/>
              </w:rPr>
              <w:t>128</w:t>
            </w:r>
          </w:p>
        </w:tc>
        <w:tc>
          <w:tcPr>
            <w:tcW w:w="1558" w:type="dxa"/>
            <w:vAlign w:val="center"/>
          </w:tcPr>
          <w:p w14:paraId="1F110CF5" w14:textId="77777777" w:rsidR="00D300CD" w:rsidRPr="00F51378" w:rsidRDefault="00D300CD" w:rsidP="0018752B">
            <w:pPr>
              <w:jc w:val="center"/>
              <w:rPr>
                <w:color w:val="000000" w:themeColor="text1"/>
              </w:rPr>
            </w:pPr>
          </w:p>
        </w:tc>
        <w:tc>
          <w:tcPr>
            <w:tcW w:w="1559" w:type="dxa"/>
            <w:vAlign w:val="center"/>
          </w:tcPr>
          <w:p w14:paraId="6C2ACCB2" w14:textId="77777777" w:rsidR="00D300CD" w:rsidRPr="00F51378" w:rsidRDefault="00D300CD" w:rsidP="0018752B">
            <w:pPr>
              <w:jc w:val="center"/>
              <w:rPr>
                <w:color w:val="000000" w:themeColor="text1"/>
              </w:rPr>
            </w:pPr>
          </w:p>
        </w:tc>
        <w:tc>
          <w:tcPr>
            <w:tcW w:w="1559" w:type="dxa"/>
            <w:vAlign w:val="center"/>
          </w:tcPr>
          <w:p w14:paraId="40FBC39F" w14:textId="77777777" w:rsidR="00D300CD" w:rsidRPr="00F51378" w:rsidRDefault="00D300CD" w:rsidP="0018752B">
            <w:pPr>
              <w:jc w:val="center"/>
              <w:rPr>
                <w:color w:val="000000" w:themeColor="text1"/>
              </w:rPr>
            </w:pPr>
          </w:p>
        </w:tc>
      </w:tr>
    </w:tbl>
    <w:p w14:paraId="4B3514B4" w14:textId="77777777" w:rsidR="00D300CD" w:rsidRPr="00720E23" w:rsidRDefault="00D300CD" w:rsidP="00D300CD">
      <w:pPr>
        <w:jc w:val="center"/>
      </w:pPr>
    </w:p>
    <w:p w14:paraId="4E6813A2" w14:textId="77777777" w:rsidR="00D300CD" w:rsidRDefault="00D300CD" w:rsidP="00D300CD">
      <w:pPr>
        <w:jc w:val="center"/>
      </w:pPr>
      <w:r w:rsidRPr="00817A11">
        <w:rPr>
          <w:b/>
        </w:rPr>
        <w:t>Table B6:</w:t>
      </w:r>
      <w:r w:rsidRPr="00720E23">
        <w:t xml:space="preserve"> </w:t>
      </w:r>
      <w:r>
        <w:t>Results of ANCOVA statistical analysis for survivors and non-survivors of weaning and their differences in stable</w:t>
      </w:r>
      <w:r w:rsidRPr="00B020DA">
        <w:t xml:space="preserve"> </w:t>
      </w:r>
      <w:r>
        <w:t>carbon isotope values.</w:t>
      </w:r>
    </w:p>
    <w:p w14:paraId="09C60A51" w14:textId="77777777" w:rsidR="00D300CD" w:rsidRPr="00720E23" w:rsidRDefault="00D300CD" w:rsidP="00D300CD">
      <w:pPr>
        <w:jc w:val="center"/>
      </w:pPr>
    </w:p>
    <w:tbl>
      <w:tblPr>
        <w:tblStyle w:val="TableGrid"/>
        <w:tblW w:w="0" w:type="auto"/>
        <w:tblLook w:val="04A0" w:firstRow="1" w:lastRow="0" w:firstColumn="1" w:lastColumn="0" w:noHBand="0" w:noVBand="1"/>
      </w:tblPr>
      <w:tblGrid>
        <w:gridCol w:w="1476"/>
        <w:gridCol w:w="1716"/>
        <w:gridCol w:w="1134"/>
        <w:gridCol w:w="1468"/>
        <w:gridCol w:w="1493"/>
        <w:gridCol w:w="1370"/>
      </w:tblGrid>
      <w:tr w:rsidR="00D300CD" w14:paraId="3B7F6270" w14:textId="77777777" w:rsidTr="0018752B">
        <w:tc>
          <w:tcPr>
            <w:tcW w:w="1558" w:type="dxa"/>
            <w:vAlign w:val="bottom"/>
          </w:tcPr>
          <w:p w14:paraId="0D867E73" w14:textId="77777777" w:rsidR="00D300CD" w:rsidRPr="00720E23" w:rsidRDefault="00D300CD" w:rsidP="0018752B">
            <w:pPr>
              <w:jc w:val="center"/>
              <w:rPr>
                <w:b/>
                <w:color w:val="000000" w:themeColor="text1"/>
              </w:rPr>
            </w:pPr>
            <w:r w:rsidRPr="00720E23">
              <w:rPr>
                <w:b/>
                <w:color w:val="000000" w:themeColor="text1"/>
              </w:rPr>
              <w:t>Source</w:t>
            </w:r>
          </w:p>
        </w:tc>
        <w:tc>
          <w:tcPr>
            <w:tcW w:w="1839" w:type="dxa"/>
            <w:vAlign w:val="bottom"/>
          </w:tcPr>
          <w:p w14:paraId="7BADBE04" w14:textId="77777777" w:rsidR="00D300CD" w:rsidRPr="00720E23" w:rsidRDefault="00D300CD" w:rsidP="0018752B">
            <w:pPr>
              <w:jc w:val="center"/>
              <w:rPr>
                <w:b/>
                <w:color w:val="000000" w:themeColor="text1"/>
              </w:rPr>
            </w:pPr>
            <w:r w:rsidRPr="00720E23">
              <w:rPr>
                <w:b/>
                <w:color w:val="000000" w:themeColor="text1"/>
              </w:rPr>
              <w:t>Type III Sum of Squares</w:t>
            </w:r>
          </w:p>
        </w:tc>
        <w:tc>
          <w:tcPr>
            <w:tcW w:w="1277" w:type="dxa"/>
            <w:vAlign w:val="bottom"/>
          </w:tcPr>
          <w:p w14:paraId="535FA127" w14:textId="77777777" w:rsidR="00D300CD" w:rsidRPr="00720E23" w:rsidRDefault="00D300CD" w:rsidP="0018752B">
            <w:pPr>
              <w:jc w:val="center"/>
              <w:rPr>
                <w:b/>
                <w:color w:val="000000" w:themeColor="text1"/>
              </w:rPr>
            </w:pPr>
            <w:r w:rsidRPr="00720E23">
              <w:rPr>
                <w:b/>
                <w:color w:val="000000" w:themeColor="text1"/>
              </w:rPr>
              <w:t>df</w:t>
            </w:r>
          </w:p>
        </w:tc>
        <w:tc>
          <w:tcPr>
            <w:tcW w:w="1558" w:type="dxa"/>
            <w:vAlign w:val="bottom"/>
          </w:tcPr>
          <w:p w14:paraId="16B63F32" w14:textId="77777777" w:rsidR="00D300CD" w:rsidRPr="00720E23" w:rsidRDefault="00D300CD" w:rsidP="0018752B">
            <w:pPr>
              <w:jc w:val="center"/>
              <w:rPr>
                <w:b/>
                <w:color w:val="000000" w:themeColor="text1"/>
              </w:rPr>
            </w:pPr>
            <w:r w:rsidRPr="00720E23">
              <w:rPr>
                <w:b/>
                <w:color w:val="000000" w:themeColor="text1"/>
              </w:rPr>
              <w:t>Mean Square</w:t>
            </w:r>
          </w:p>
        </w:tc>
        <w:tc>
          <w:tcPr>
            <w:tcW w:w="1559" w:type="dxa"/>
            <w:vAlign w:val="bottom"/>
          </w:tcPr>
          <w:p w14:paraId="68A31576" w14:textId="77777777" w:rsidR="00D300CD" w:rsidRPr="00720E23" w:rsidRDefault="00D300CD" w:rsidP="0018752B">
            <w:pPr>
              <w:jc w:val="center"/>
              <w:rPr>
                <w:b/>
                <w:color w:val="000000" w:themeColor="text1"/>
              </w:rPr>
            </w:pPr>
            <w:r w:rsidRPr="00720E23">
              <w:rPr>
                <w:b/>
                <w:color w:val="000000" w:themeColor="text1"/>
              </w:rPr>
              <w:t>F</w:t>
            </w:r>
          </w:p>
        </w:tc>
        <w:tc>
          <w:tcPr>
            <w:tcW w:w="1559" w:type="dxa"/>
            <w:vAlign w:val="bottom"/>
          </w:tcPr>
          <w:p w14:paraId="537B47D4" w14:textId="77777777" w:rsidR="00D300CD" w:rsidRPr="00720E23" w:rsidRDefault="00D300CD" w:rsidP="0018752B">
            <w:pPr>
              <w:jc w:val="center"/>
              <w:rPr>
                <w:b/>
                <w:color w:val="000000" w:themeColor="text1"/>
              </w:rPr>
            </w:pPr>
            <w:r w:rsidRPr="00720E23">
              <w:rPr>
                <w:b/>
                <w:color w:val="000000" w:themeColor="text1"/>
              </w:rPr>
              <w:t>Sig.</w:t>
            </w:r>
          </w:p>
        </w:tc>
      </w:tr>
      <w:tr w:rsidR="00D300CD" w14:paraId="067E91FD" w14:textId="77777777" w:rsidTr="0018752B">
        <w:tc>
          <w:tcPr>
            <w:tcW w:w="1558" w:type="dxa"/>
          </w:tcPr>
          <w:p w14:paraId="20F03509" w14:textId="77777777" w:rsidR="00D300CD" w:rsidRPr="00720E23" w:rsidRDefault="00D300CD" w:rsidP="0018752B">
            <w:pPr>
              <w:jc w:val="center"/>
              <w:rPr>
                <w:color w:val="000000" w:themeColor="text1"/>
              </w:rPr>
            </w:pPr>
            <w:r w:rsidRPr="00720E23">
              <w:rPr>
                <w:color w:val="000000" w:themeColor="text1"/>
              </w:rPr>
              <w:t>Corrected Model</w:t>
            </w:r>
          </w:p>
        </w:tc>
        <w:tc>
          <w:tcPr>
            <w:tcW w:w="1839" w:type="dxa"/>
          </w:tcPr>
          <w:p w14:paraId="3A2F65A6" w14:textId="77777777" w:rsidR="00D300CD" w:rsidRPr="00720E23" w:rsidRDefault="00D300CD" w:rsidP="0018752B">
            <w:pPr>
              <w:jc w:val="center"/>
              <w:rPr>
                <w:color w:val="000000" w:themeColor="text1"/>
              </w:rPr>
            </w:pPr>
            <w:r w:rsidRPr="00720E23">
              <w:rPr>
                <w:color w:val="000000" w:themeColor="text1"/>
              </w:rPr>
              <w:t>8.409</w:t>
            </w:r>
            <w:r w:rsidRPr="00720E23">
              <w:rPr>
                <w:color w:val="000000" w:themeColor="text1"/>
                <w:vertAlign w:val="superscript"/>
              </w:rPr>
              <w:t>a</w:t>
            </w:r>
          </w:p>
        </w:tc>
        <w:tc>
          <w:tcPr>
            <w:tcW w:w="1277" w:type="dxa"/>
          </w:tcPr>
          <w:p w14:paraId="475B60CE" w14:textId="77777777" w:rsidR="00D300CD" w:rsidRPr="00720E23" w:rsidRDefault="00D300CD" w:rsidP="0018752B">
            <w:pPr>
              <w:jc w:val="center"/>
              <w:rPr>
                <w:color w:val="000000" w:themeColor="text1"/>
              </w:rPr>
            </w:pPr>
            <w:r w:rsidRPr="00720E23">
              <w:rPr>
                <w:color w:val="000000" w:themeColor="text1"/>
              </w:rPr>
              <w:t>2</w:t>
            </w:r>
          </w:p>
        </w:tc>
        <w:tc>
          <w:tcPr>
            <w:tcW w:w="1558" w:type="dxa"/>
          </w:tcPr>
          <w:p w14:paraId="179D8DF7" w14:textId="77777777" w:rsidR="00D300CD" w:rsidRPr="00720E23" w:rsidRDefault="00D300CD" w:rsidP="0018752B">
            <w:pPr>
              <w:jc w:val="center"/>
              <w:rPr>
                <w:color w:val="000000" w:themeColor="text1"/>
              </w:rPr>
            </w:pPr>
            <w:r w:rsidRPr="00720E23">
              <w:rPr>
                <w:color w:val="000000" w:themeColor="text1"/>
              </w:rPr>
              <w:t>4.204</w:t>
            </w:r>
          </w:p>
        </w:tc>
        <w:tc>
          <w:tcPr>
            <w:tcW w:w="1559" w:type="dxa"/>
          </w:tcPr>
          <w:p w14:paraId="125BE904" w14:textId="77777777" w:rsidR="00D300CD" w:rsidRPr="00720E23" w:rsidRDefault="00D300CD" w:rsidP="0018752B">
            <w:pPr>
              <w:jc w:val="center"/>
              <w:rPr>
                <w:color w:val="000000" w:themeColor="text1"/>
              </w:rPr>
            </w:pPr>
            <w:r w:rsidRPr="00720E23">
              <w:rPr>
                <w:color w:val="000000" w:themeColor="text1"/>
              </w:rPr>
              <w:t>16.673</w:t>
            </w:r>
          </w:p>
        </w:tc>
        <w:tc>
          <w:tcPr>
            <w:tcW w:w="1559" w:type="dxa"/>
          </w:tcPr>
          <w:p w14:paraId="6B06FF57" w14:textId="77777777" w:rsidR="00D300CD" w:rsidRPr="00720E23" w:rsidRDefault="00D300CD" w:rsidP="0018752B">
            <w:pPr>
              <w:jc w:val="center"/>
              <w:rPr>
                <w:color w:val="000000" w:themeColor="text1"/>
              </w:rPr>
            </w:pPr>
            <w:r w:rsidRPr="00720E23">
              <w:rPr>
                <w:color w:val="000000" w:themeColor="text1"/>
              </w:rPr>
              <w:t>.000</w:t>
            </w:r>
          </w:p>
        </w:tc>
      </w:tr>
      <w:tr w:rsidR="00D300CD" w14:paraId="0B512913" w14:textId="77777777" w:rsidTr="0018752B">
        <w:tc>
          <w:tcPr>
            <w:tcW w:w="1558" w:type="dxa"/>
          </w:tcPr>
          <w:p w14:paraId="40B3413F" w14:textId="77777777" w:rsidR="00D300CD" w:rsidRPr="00720E23" w:rsidRDefault="00D300CD" w:rsidP="0018752B">
            <w:pPr>
              <w:jc w:val="center"/>
              <w:rPr>
                <w:color w:val="000000" w:themeColor="text1"/>
              </w:rPr>
            </w:pPr>
            <w:r w:rsidRPr="00720E23">
              <w:rPr>
                <w:color w:val="000000" w:themeColor="text1"/>
              </w:rPr>
              <w:t>Intercept</w:t>
            </w:r>
          </w:p>
        </w:tc>
        <w:tc>
          <w:tcPr>
            <w:tcW w:w="1839" w:type="dxa"/>
          </w:tcPr>
          <w:p w14:paraId="37DAD96A" w14:textId="77777777" w:rsidR="00D300CD" w:rsidRPr="00720E23" w:rsidRDefault="00D300CD" w:rsidP="0018752B">
            <w:pPr>
              <w:jc w:val="center"/>
              <w:rPr>
                <w:color w:val="000000" w:themeColor="text1"/>
              </w:rPr>
            </w:pPr>
            <w:r w:rsidRPr="00720E23">
              <w:rPr>
                <w:color w:val="000000" w:themeColor="text1"/>
              </w:rPr>
              <w:t>9285.491</w:t>
            </w:r>
          </w:p>
        </w:tc>
        <w:tc>
          <w:tcPr>
            <w:tcW w:w="1277" w:type="dxa"/>
          </w:tcPr>
          <w:p w14:paraId="61D394F1" w14:textId="77777777" w:rsidR="00D300CD" w:rsidRPr="00720E23" w:rsidRDefault="00D300CD" w:rsidP="0018752B">
            <w:pPr>
              <w:jc w:val="center"/>
              <w:rPr>
                <w:color w:val="000000" w:themeColor="text1"/>
              </w:rPr>
            </w:pPr>
            <w:r w:rsidRPr="00720E23">
              <w:rPr>
                <w:color w:val="000000" w:themeColor="text1"/>
              </w:rPr>
              <w:t>1</w:t>
            </w:r>
          </w:p>
        </w:tc>
        <w:tc>
          <w:tcPr>
            <w:tcW w:w="1558" w:type="dxa"/>
          </w:tcPr>
          <w:p w14:paraId="0D05CECD" w14:textId="77777777" w:rsidR="00D300CD" w:rsidRPr="00720E23" w:rsidRDefault="00D300CD" w:rsidP="0018752B">
            <w:pPr>
              <w:jc w:val="center"/>
              <w:rPr>
                <w:color w:val="000000" w:themeColor="text1"/>
              </w:rPr>
            </w:pPr>
            <w:r w:rsidRPr="00720E23">
              <w:rPr>
                <w:color w:val="000000" w:themeColor="text1"/>
              </w:rPr>
              <w:t>9285.491</w:t>
            </w:r>
          </w:p>
        </w:tc>
        <w:tc>
          <w:tcPr>
            <w:tcW w:w="1559" w:type="dxa"/>
          </w:tcPr>
          <w:p w14:paraId="32DB3B81" w14:textId="77777777" w:rsidR="00D300CD" w:rsidRPr="00720E23" w:rsidRDefault="00D300CD" w:rsidP="0018752B">
            <w:pPr>
              <w:jc w:val="center"/>
              <w:rPr>
                <w:color w:val="000000" w:themeColor="text1"/>
              </w:rPr>
            </w:pPr>
            <w:r w:rsidRPr="00720E23">
              <w:rPr>
                <w:color w:val="000000" w:themeColor="text1"/>
              </w:rPr>
              <w:t>36824.119</w:t>
            </w:r>
          </w:p>
        </w:tc>
        <w:tc>
          <w:tcPr>
            <w:tcW w:w="1559" w:type="dxa"/>
          </w:tcPr>
          <w:p w14:paraId="1F86A413" w14:textId="77777777" w:rsidR="00D300CD" w:rsidRPr="00720E23" w:rsidRDefault="00D300CD" w:rsidP="0018752B">
            <w:pPr>
              <w:jc w:val="center"/>
              <w:rPr>
                <w:color w:val="000000" w:themeColor="text1"/>
              </w:rPr>
            </w:pPr>
            <w:r w:rsidRPr="00720E23">
              <w:rPr>
                <w:color w:val="000000" w:themeColor="text1"/>
              </w:rPr>
              <w:t>.000</w:t>
            </w:r>
          </w:p>
        </w:tc>
      </w:tr>
      <w:tr w:rsidR="00D300CD" w14:paraId="0D301F72" w14:textId="77777777" w:rsidTr="0018752B">
        <w:tc>
          <w:tcPr>
            <w:tcW w:w="1558" w:type="dxa"/>
          </w:tcPr>
          <w:p w14:paraId="43A16BE9" w14:textId="77777777" w:rsidR="00D300CD" w:rsidRPr="00720E23" w:rsidRDefault="00D300CD" w:rsidP="0018752B">
            <w:pPr>
              <w:jc w:val="center"/>
              <w:rPr>
                <w:color w:val="000000" w:themeColor="text1"/>
              </w:rPr>
            </w:pPr>
            <w:r>
              <w:rPr>
                <w:color w:val="000000" w:themeColor="text1"/>
              </w:rPr>
              <w:t>Age Brackets</w:t>
            </w:r>
          </w:p>
        </w:tc>
        <w:tc>
          <w:tcPr>
            <w:tcW w:w="1839" w:type="dxa"/>
          </w:tcPr>
          <w:p w14:paraId="22B5915A" w14:textId="77777777" w:rsidR="00D300CD" w:rsidRPr="00720E23" w:rsidRDefault="00D300CD" w:rsidP="0018752B">
            <w:pPr>
              <w:jc w:val="center"/>
              <w:rPr>
                <w:color w:val="000000" w:themeColor="text1"/>
              </w:rPr>
            </w:pPr>
            <w:r w:rsidRPr="00720E23">
              <w:rPr>
                <w:color w:val="000000" w:themeColor="text1"/>
              </w:rPr>
              <w:t>4.966</w:t>
            </w:r>
          </w:p>
        </w:tc>
        <w:tc>
          <w:tcPr>
            <w:tcW w:w="1277" w:type="dxa"/>
          </w:tcPr>
          <w:p w14:paraId="2A95FD04" w14:textId="77777777" w:rsidR="00D300CD" w:rsidRPr="00720E23" w:rsidRDefault="00D300CD" w:rsidP="0018752B">
            <w:pPr>
              <w:jc w:val="center"/>
              <w:rPr>
                <w:color w:val="000000" w:themeColor="text1"/>
              </w:rPr>
            </w:pPr>
            <w:r w:rsidRPr="00720E23">
              <w:rPr>
                <w:color w:val="000000" w:themeColor="text1"/>
              </w:rPr>
              <w:t>1</w:t>
            </w:r>
          </w:p>
        </w:tc>
        <w:tc>
          <w:tcPr>
            <w:tcW w:w="1558" w:type="dxa"/>
          </w:tcPr>
          <w:p w14:paraId="57185BB1" w14:textId="77777777" w:rsidR="00D300CD" w:rsidRPr="00720E23" w:rsidRDefault="00D300CD" w:rsidP="0018752B">
            <w:pPr>
              <w:jc w:val="center"/>
              <w:rPr>
                <w:color w:val="000000" w:themeColor="text1"/>
              </w:rPr>
            </w:pPr>
            <w:r w:rsidRPr="00720E23">
              <w:rPr>
                <w:color w:val="000000" w:themeColor="text1"/>
              </w:rPr>
              <w:t>4.966</w:t>
            </w:r>
          </w:p>
        </w:tc>
        <w:tc>
          <w:tcPr>
            <w:tcW w:w="1559" w:type="dxa"/>
          </w:tcPr>
          <w:p w14:paraId="5C827BF3" w14:textId="77777777" w:rsidR="00D300CD" w:rsidRPr="00720E23" w:rsidRDefault="00D300CD" w:rsidP="0018752B">
            <w:pPr>
              <w:jc w:val="center"/>
              <w:rPr>
                <w:color w:val="000000" w:themeColor="text1"/>
              </w:rPr>
            </w:pPr>
            <w:r w:rsidRPr="00720E23">
              <w:rPr>
                <w:color w:val="000000" w:themeColor="text1"/>
              </w:rPr>
              <w:t>19.694</w:t>
            </w:r>
          </w:p>
        </w:tc>
        <w:tc>
          <w:tcPr>
            <w:tcW w:w="1559" w:type="dxa"/>
          </w:tcPr>
          <w:p w14:paraId="14DA13A3" w14:textId="77777777" w:rsidR="00D300CD" w:rsidRPr="00720E23" w:rsidRDefault="00D300CD" w:rsidP="0018752B">
            <w:pPr>
              <w:jc w:val="center"/>
              <w:rPr>
                <w:color w:val="000000" w:themeColor="text1"/>
              </w:rPr>
            </w:pPr>
            <w:r w:rsidRPr="00720E23">
              <w:rPr>
                <w:color w:val="000000" w:themeColor="text1"/>
              </w:rPr>
              <w:t>.000</w:t>
            </w:r>
          </w:p>
        </w:tc>
      </w:tr>
      <w:tr w:rsidR="00D300CD" w14:paraId="65298E8C" w14:textId="77777777" w:rsidTr="0018752B">
        <w:tc>
          <w:tcPr>
            <w:tcW w:w="1558" w:type="dxa"/>
          </w:tcPr>
          <w:p w14:paraId="0A3319FB" w14:textId="77777777" w:rsidR="00D300CD" w:rsidRPr="00720E23" w:rsidRDefault="00D300CD" w:rsidP="0018752B">
            <w:pPr>
              <w:jc w:val="center"/>
              <w:rPr>
                <w:color w:val="000000" w:themeColor="text1"/>
              </w:rPr>
            </w:pPr>
            <w:r>
              <w:rPr>
                <w:color w:val="000000" w:themeColor="text1"/>
              </w:rPr>
              <w:t>Surv. Vs. Non Surv.</w:t>
            </w:r>
          </w:p>
        </w:tc>
        <w:tc>
          <w:tcPr>
            <w:tcW w:w="1839" w:type="dxa"/>
          </w:tcPr>
          <w:p w14:paraId="6578632F" w14:textId="77777777" w:rsidR="00D300CD" w:rsidRPr="00720E23" w:rsidRDefault="00D300CD" w:rsidP="0018752B">
            <w:pPr>
              <w:jc w:val="center"/>
              <w:rPr>
                <w:color w:val="000000" w:themeColor="text1"/>
              </w:rPr>
            </w:pPr>
            <w:r w:rsidRPr="00720E23">
              <w:rPr>
                <w:color w:val="000000" w:themeColor="text1"/>
              </w:rPr>
              <w:t>.100</w:t>
            </w:r>
          </w:p>
        </w:tc>
        <w:tc>
          <w:tcPr>
            <w:tcW w:w="1277" w:type="dxa"/>
          </w:tcPr>
          <w:p w14:paraId="5681FA55" w14:textId="77777777" w:rsidR="00D300CD" w:rsidRPr="00720E23" w:rsidRDefault="00D300CD" w:rsidP="0018752B">
            <w:pPr>
              <w:jc w:val="center"/>
              <w:rPr>
                <w:color w:val="000000" w:themeColor="text1"/>
              </w:rPr>
            </w:pPr>
            <w:r w:rsidRPr="00720E23">
              <w:rPr>
                <w:color w:val="000000" w:themeColor="text1"/>
              </w:rPr>
              <w:t>1</w:t>
            </w:r>
          </w:p>
        </w:tc>
        <w:tc>
          <w:tcPr>
            <w:tcW w:w="1558" w:type="dxa"/>
          </w:tcPr>
          <w:p w14:paraId="536D7D2C" w14:textId="77777777" w:rsidR="00D300CD" w:rsidRPr="00720E23" w:rsidRDefault="00D300CD" w:rsidP="0018752B">
            <w:pPr>
              <w:jc w:val="center"/>
              <w:rPr>
                <w:color w:val="000000" w:themeColor="text1"/>
              </w:rPr>
            </w:pPr>
            <w:r w:rsidRPr="00720E23">
              <w:rPr>
                <w:color w:val="000000" w:themeColor="text1"/>
              </w:rPr>
              <w:t>.100</w:t>
            </w:r>
          </w:p>
        </w:tc>
        <w:tc>
          <w:tcPr>
            <w:tcW w:w="1559" w:type="dxa"/>
          </w:tcPr>
          <w:p w14:paraId="2A67E936" w14:textId="77777777" w:rsidR="00D300CD" w:rsidRPr="00720E23" w:rsidRDefault="00D300CD" w:rsidP="0018752B">
            <w:pPr>
              <w:jc w:val="center"/>
              <w:rPr>
                <w:color w:val="000000" w:themeColor="text1"/>
              </w:rPr>
            </w:pPr>
            <w:r w:rsidRPr="00720E23">
              <w:rPr>
                <w:color w:val="000000" w:themeColor="text1"/>
              </w:rPr>
              <w:t>.398</w:t>
            </w:r>
          </w:p>
        </w:tc>
        <w:tc>
          <w:tcPr>
            <w:tcW w:w="1559" w:type="dxa"/>
          </w:tcPr>
          <w:p w14:paraId="6F6A897E" w14:textId="77777777" w:rsidR="00D300CD" w:rsidRPr="00720E23" w:rsidRDefault="00D300CD" w:rsidP="0018752B">
            <w:pPr>
              <w:jc w:val="center"/>
              <w:rPr>
                <w:b/>
                <w:color w:val="000000" w:themeColor="text1"/>
              </w:rPr>
            </w:pPr>
            <w:r w:rsidRPr="00720E23">
              <w:rPr>
                <w:b/>
                <w:color w:val="000000" w:themeColor="text1"/>
              </w:rPr>
              <w:t>.529</w:t>
            </w:r>
          </w:p>
        </w:tc>
      </w:tr>
      <w:tr w:rsidR="00D300CD" w14:paraId="498D64EB" w14:textId="77777777" w:rsidTr="0018752B">
        <w:tc>
          <w:tcPr>
            <w:tcW w:w="1558" w:type="dxa"/>
          </w:tcPr>
          <w:p w14:paraId="064E80BB" w14:textId="77777777" w:rsidR="00D300CD" w:rsidRPr="00720E23" w:rsidRDefault="00D300CD" w:rsidP="0018752B">
            <w:pPr>
              <w:jc w:val="center"/>
              <w:rPr>
                <w:color w:val="000000" w:themeColor="text1"/>
              </w:rPr>
            </w:pPr>
            <w:r w:rsidRPr="00720E23">
              <w:rPr>
                <w:color w:val="000000" w:themeColor="text1"/>
              </w:rPr>
              <w:t>Error</w:t>
            </w:r>
          </w:p>
        </w:tc>
        <w:tc>
          <w:tcPr>
            <w:tcW w:w="1839" w:type="dxa"/>
          </w:tcPr>
          <w:p w14:paraId="0CAD40AE" w14:textId="77777777" w:rsidR="00D300CD" w:rsidRPr="00720E23" w:rsidRDefault="00D300CD" w:rsidP="0018752B">
            <w:pPr>
              <w:jc w:val="center"/>
              <w:rPr>
                <w:color w:val="000000" w:themeColor="text1"/>
              </w:rPr>
            </w:pPr>
            <w:r w:rsidRPr="00720E23">
              <w:rPr>
                <w:color w:val="000000" w:themeColor="text1"/>
              </w:rPr>
              <w:t>31.772</w:t>
            </w:r>
          </w:p>
        </w:tc>
        <w:tc>
          <w:tcPr>
            <w:tcW w:w="1277" w:type="dxa"/>
          </w:tcPr>
          <w:p w14:paraId="6D971645" w14:textId="77777777" w:rsidR="00D300CD" w:rsidRPr="00720E23" w:rsidRDefault="00D300CD" w:rsidP="0018752B">
            <w:pPr>
              <w:jc w:val="center"/>
              <w:rPr>
                <w:color w:val="000000" w:themeColor="text1"/>
              </w:rPr>
            </w:pPr>
            <w:r w:rsidRPr="00720E23">
              <w:rPr>
                <w:color w:val="000000" w:themeColor="text1"/>
              </w:rPr>
              <w:t>126</w:t>
            </w:r>
          </w:p>
        </w:tc>
        <w:tc>
          <w:tcPr>
            <w:tcW w:w="1558" w:type="dxa"/>
          </w:tcPr>
          <w:p w14:paraId="583E44B5" w14:textId="77777777" w:rsidR="00D300CD" w:rsidRPr="00720E23" w:rsidRDefault="00D300CD" w:rsidP="0018752B">
            <w:pPr>
              <w:jc w:val="center"/>
              <w:rPr>
                <w:color w:val="000000" w:themeColor="text1"/>
              </w:rPr>
            </w:pPr>
            <w:r w:rsidRPr="00720E23">
              <w:rPr>
                <w:color w:val="000000" w:themeColor="text1"/>
              </w:rPr>
              <w:t>.252</w:t>
            </w:r>
          </w:p>
        </w:tc>
        <w:tc>
          <w:tcPr>
            <w:tcW w:w="1559" w:type="dxa"/>
            <w:vAlign w:val="center"/>
          </w:tcPr>
          <w:p w14:paraId="67DEC678" w14:textId="77777777" w:rsidR="00D300CD" w:rsidRPr="00720E23" w:rsidRDefault="00D300CD" w:rsidP="0018752B">
            <w:pPr>
              <w:jc w:val="center"/>
              <w:rPr>
                <w:color w:val="000000" w:themeColor="text1"/>
              </w:rPr>
            </w:pPr>
          </w:p>
        </w:tc>
        <w:tc>
          <w:tcPr>
            <w:tcW w:w="1559" w:type="dxa"/>
            <w:vAlign w:val="center"/>
          </w:tcPr>
          <w:p w14:paraId="6870C6F4" w14:textId="77777777" w:rsidR="00D300CD" w:rsidRPr="00720E23" w:rsidRDefault="00D300CD" w:rsidP="0018752B">
            <w:pPr>
              <w:jc w:val="center"/>
              <w:rPr>
                <w:color w:val="000000" w:themeColor="text1"/>
              </w:rPr>
            </w:pPr>
          </w:p>
        </w:tc>
      </w:tr>
      <w:tr w:rsidR="00D300CD" w14:paraId="1D8085BC" w14:textId="77777777" w:rsidTr="0018752B">
        <w:tc>
          <w:tcPr>
            <w:tcW w:w="1558" w:type="dxa"/>
          </w:tcPr>
          <w:p w14:paraId="506562E3" w14:textId="77777777" w:rsidR="00D300CD" w:rsidRPr="00720E23" w:rsidRDefault="00D300CD" w:rsidP="0018752B">
            <w:pPr>
              <w:jc w:val="center"/>
              <w:rPr>
                <w:color w:val="000000" w:themeColor="text1"/>
              </w:rPr>
            </w:pPr>
            <w:r w:rsidRPr="00720E23">
              <w:rPr>
                <w:color w:val="000000" w:themeColor="text1"/>
              </w:rPr>
              <w:t>Total</w:t>
            </w:r>
          </w:p>
        </w:tc>
        <w:tc>
          <w:tcPr>
            <w:tcW w:w="1839" w:type="dxa"/>
          </w:tcPr>
          <w:p w14:paraId="5C8F7E4C" w14:textId="77777777" w:rsidR="00D300CD" w:rsidRPr="00720E23" w:rsidRDefault="00D300CD" w:rsidP="0018752B">
            <w:pPr>
              <w:jc w:val="center"/>
              <w:rPr>
                <w:color w:val="000000" w:themeColor="text1"/>
              </w:rPr>
            </w:pPr>
            <w:r w:rsidRPr="00720E23">
              <w:rPr>
                <w:color w:val="000000" w:themeColor="text1"/>
              </w:rPr>
              <w:t>47717.315</w:t>
            </w:r>
          </w:p>
        </w:tc>
        <w:tc>
          <w:tcPr>
            <w:tcW w:w="1277" w:type="dxa"/>
          </w:tcPr>
          <w:p w14:paraId="07ED0FAA" w14:textId="77777777" w:rsidR="00D300CD" w:rsidRPr="00720E23" w:rsidRDefault="00D300CD" w:rsidP="0018752B">
            <w:pPr>
              <w:jc w:val="center"/>
              <w:rPr>
                <w:color w:val="000000" w:themeColor="text1"/>
              </w:rPr>
            </w:pPr>
            <w:r w:rsidRPr="00720E23">
              <w:rPr>
                <w:color w:val="000000" w:themeColor="text1"/>
              </w:rPr>
              <w:t>129</w:t>
            </w:r>
          </w:p>
        </w:tc>
        <w:tc>
          <w:tcPr>
            <w:tcW w:w="1558" w:type="dxa"/>
            <w:vAlign w:val="center"/>
          </w:tcPr>
          <w:p w14:paraId="2C7EAF5F" w14:textId="77777777" w:rsidR="00D300CD" w:rsidRPr="00720E23" w:rsidRDefault="00D300CD" w:rsidP="0018752B">
            <w:pPr>
              <w:jc w:val="center"/>
              <w:rPr>
                <w:color w:val="000000" w:themeColor="text1"/>
              </w:rPr>
            </w:pPr>
          </w:p>
        </w:tc>
        <w:tc>
          <w:tcPr>
            <w:tcW w:w="1559" w:type="dxa"/>
            <w:vAlign w:val="center"/>
          </w:tcPr>
          <w:p w14:paraId="131A9559" w14:textId="77777777" w:rsidR="00D300CD" w:rsidRPr="00720E23" w:rsidRDefault="00D300CD" w:rsidP="0018752B">
            <w:pPr>
              <w:jc w:val="center"/>
              <w:rPr>
                <w:color w:val="000000" w:themeColor="text1"/>
              </w:rPr>
            </w:pPr>
          </w:p>
        </w:tc>
        <w:tc>
          <w:tcPr>
            <w:tcW w:w="1559" w:type="dxa"/>
            <w:vAlign w:val="center"/>
          </w:tcPr>
          <w:p w14:paraId="7DE035E5" w14:textId="77777777" w:rsidR="00D300CD" w:rsidRPr="00720E23" w:rsidRDefault="00D300CD" w:rsidP="0018752B">
            <w:pPr>
              <w:jc w:val="center"/>
              <w:rPr>
                <w:color w:val="000000" w:themeColor="text1"/>
              </w:rPr>
            </w:pPr>
          </w:p>
        </w:tc>
      </w:tr>
      <w:tr w:rsidR="00D300CD" w14:paraId="3AF9B2FF" w14:textId="77777777" w:rsidTr="0018752B">
        <w:tc>
          <w:tcPr>
            <w:tcW w:w="1558" w:type="dxa"/>
          </w:tcPr>
          <w:p w14:paraId="6697345E" w14:textId="77777777" w:rsidR="00D300CD" w:rsidRPr="00720E23" w:rsidRDefault="00D300CD" w:rsidP="0018752B">
            <w:pPr>
              <w:jc w:val="center"/>
              <w:rPr>
                <w:color w:val="000000" w:themeColor="text1"/>
              </w:rPr>
            </w:pPr>
            <w:r w:rsidRPr="00720E23">
              <w:rPr>
                <w:color w:val="000000" w:themeColor="text1"/>
              </w:rPr>
              <w:t>Corrected Tota</w:t>
            </w:r>
          </w:p>
        </w:tc>
        <w:tc>
          <w:tcPr>
            <w:tcW w:w="1839" w:type="dxa"/>
          </w:tcPr>
          <w:p w14:paraId="51C0E765" w14:textId="77777777" w:rsidR="00D300CD" w:rsidRPr="00720E23" w:rsidRDefault="00D300CD" w:rsidP="0018752B">
            <w:pPr>
              <w:jc w:val="center"/>
              <w:rPr>
                <w:color w:val="000000" w:themeColor="text1"/>
              </w:rPr>
            </w:pPr>
            <w:r w:rsidRPr="00720E23">
              <w:rPr>
                <w:color w:val="000000" w:themeColor="text1"/>
              </w:rPr>
              <w:t>40.180</w:t>
            </w:r>
          </w:p>
        </w:tc>
        <w:tc>
          <w:tcPr>
            <w:tcW w:w="1277" w:type="dxa"/>
          </w:tcPr>
          <w:p w14:paraId="7079E115" w14:textId="77777777" w:rsidR="00D300CD" w:rsidRPr="00720E23" w:rsidRDefault="00D300CD" w:rsidP="0018752B">
            <w:pPr>
              <w:jc w:val="center"/>
              <w:rPr>
                <w:color w:val="000000" w:themeColor="text1"/>
              </w:rPr>
            </w:pPr>
            <w:r w:rsidRPr="00720E23">
              <w:rPr>
                <w:color w:val="000000" w:themeColor="text1"/>
              </w:rPr>
              <w:t>128</w:t>
            </w:r>
          </w:p>
        </w:tc>
        <w:tc>
          <w:tcPr>
            <w:tcW w:w="1558" w:type="dxa"/>
            <w:vAlign w:val="center"/>
          </w:tcPr>
          <w:p w14:paraId="0EBCE934" w14:textId="77777777" w:rsidR="00D300CD" w:rsidRPr="00720E23" w:rsidRDefault="00D300CD" w:rsidP="0018752B">
            <w:pPr>
              <w:jc w:val="center"/>
              <w:rPr>
                <w:color w:val="000000" w:themeColor="text1"/>
              </w:rPr>
            </w:pPr>
          </w:p>
        </w:tc>
        <w:tc>
          <w:tcPr>
            <w:tcW w:w="1559" w:type="dxa"/>
            <w:vAlign w:val="center"/>
          </w:tcPr>
          <w:p w14:paraId="004B2C10" w14:textId="77777777" w:rsidR="00D300CD" w:rsidRPr="00720E23" w:rsidRDefault="00D300CD" w:rsidP="0018752B">
            <w:pPr>
              <w:jc w:val="center"/>
              <w:rPr>
                <w:color w:val="000000" w:themeColor="text1"/>
              </w:rPr>
            </w:pPr>
          </w:p>
        </w:tc>
        <w:tc>
          <w:tcPr>
            <w:tcW w:w="1559" w:type="dxa"/>
            <w:vAlign w:val="center"/>
          </w:tcPr>
          <w:p w14:paraId="5EE60FD1" w14:textId="77777777" w:rsidR="00D300CD" w:rsidRPr="00720E23" w:rsidRDefault="00D300CD" w:rsidP="0018752B">
            <w:pPr>
              <w:jc w:val="center"/>
              <w:rPr>
                <w:color w:val="000000" w:themeColor="text1"/>
              </w:rPr>
            </w:pPr>
          </w:p>
        </w:tc>
      </w:tr>
    </w:tbl>
    <w:p w14:paraId="2314915D" w14:textId="77777777" w:rsidR="00D300CD" w:rsidRPr="00873C7D" w:rsidRDefault="00D300CD">
      <w:pPr>
        <w:rPr>
          <w:color w:val="000000" w:themeColor="text1"/>
          <w:lang w:val="en-US"/>
        </w:rPr>
      </w:pPr>
    </w:p>
    <w:sectPr w:rsidR="00D300CD" w:rsidRPr="00873C7D" w:rsidSect="001A193A">
      <w:footerReference w:type="even" r:id="rId91"/>
      <w:pgSz w:w="12240" w:h="15840"/>
      <w:pgMar w:top="2155" w:right="1418" w:bottom="1418" w:left="215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91F19" w14:textId="77777777" w:rsidR="005074F1" w:rsidRDefault="005074F1" w:rsidP="00D1276A">
      <w:r>
        <w:separator/>
      </w:r>
    </w:p>
  </w:endnote>
  <w:endnote w:type="continuationSeparator" w:id="0">
    <w:p w14:paraId="561D01A8" w14:textId="77777777" w:rsidR="005074F1" w:rsidRDefault="005074F1" w:rsidP="00D1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6510043"/>
      <w:docPartObj>
        <w:docPartGallery w:val="Page Numbers (Bottom of Page)"/>
        <w:docPartUnique/>
      </w:docPartObj>
    </w:sdtPr>
    <w:sdtContent>
      <w:p w14:paraId="068DAC34" w14:textId="77777777" w:rsidR="00BD4967" w:rsidRDefault="00BD4967" w:rsidP="002C10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14065C" w14:textId="77777777" w:rsidR="00BD4967" w:rsidRDefault="00BD4967" w:rsidP="005C76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57085"/>
      <w:docPartObj>
        <w:docPartGallery w:val="Page Numbers (Bottom of Page)"/>
        <w:docPartUnique/>
      </w:docPartObj>
    </w:sdtPr>
    <w:sdtContent>
      <w:p w14:paraId="65369D2A" w14:textId="2528ECA1" w:rsidR="00BD4967" w:rsidRDefault="00BD4967" w:rsidP="002C1092">
        <w:pPr>
          <w:pStyle w:val="Footer"/>
          <w:framePr w:wrap="none" w:vAnchor="text" w:hAnchor="margin" w:xAlign="center" w:y="1"/>
          <w:jc w:val="center"/>
          <w:rPr>
            <w:rStyle w:val="PageNumber"/>
          </w:rPr>
        </w:pPr>
      </w:p>
    </w:sdtContent>
  </w:sdt>
  <w:sdt>
    <w:sdtPr>
      <w:rPr>
        <w:rStyle w:val="PageNumber"/>
      </w:rPr>
      <w:id w:val="-229762988"/>
      <w:docPartObj>
        <w:docPartGallery w:val="Page Numbers (Bottom of Page)"/>
        <w:docPartUnique/>
      </w:docPartObj>
    </w:sdtPr>
    <w:sdtContent>
      <w:p w14:paraId="577FB52F" w14:textId="725DD144" w:rsidR="00BD4967" w:rsidRDefault="00BD4967" w:rsidP="002C1092">
        <w:pPr>
          <w:pStyle w:val="Footer"/>
          <w:framePr w:wrap="none" w:vAnchor="text" w:hAnchor="margin" w:xAlign="center" w:y="1"/>
          <w:ind w:right="360"/>
          <w:jc w:val="center"/>
          <w:rPr>
            <w:rStyle w:val="PageNumber"/>
          </w:rPr>
        </w:pPr>
      </w:p>
    </w:sdtContent>
  </w:sdt>
  <w:p w14:paraId="5956AFE1" w14:textId="77777777" w:rsidR="00BD4967" w:rsidRDefault="00BD4967" w:rsidP="005C769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4901541"/>
      <w:docPartObj>
        <w:docPartGallery w:val="Page Numbers (Bottom of Page)"/>
        <w:docPartUnique/>
      </w:docPartObj>
    </w:sdtPr>
    <w:sdtContent>
      <w:p w14:paraId="4402F345" w14:textId="626D093E" w:rsidR="00BD4967" w:rsidRDefault="00BD4967" w:rsidP="00C7750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sdtContent>
  </w:sdt>
  <w:p w14:paraId="692901CF" w14:textId="77777777" w:rsidR="00BD4967" w:rsidRDefault="00BD49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5771408"/>
      <w:docPartObj>
        <w:docPartGallery w:val="Page Numbers (Bottom of Page)"/>
        <w:docPartUnique/>
      </w:docPartObj>
    </w:sdtPr>
    <w:sdtContent>
      <w:p w14:paraId="27341C15" w14:textId="1C56278C" w:rsidR="00BD4967" w:rsidRDefault="00BD4967" w:rsidP="002C1092">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sdtContent>
  </w:sdt>
  <w:sdt>
    <w:sdtPr>
      <w:rPr>
        <w:rStyle w:val="PageNumber"/>
      </w:rPr>
      <w:id w:val="-1348780740"/>
      <w:docPartObj>
        <w:docPartGallery w:val="Page Numbers (Bottom of Page)"/>
        <w:docPartUnique/>
      </w:docPartObj>
    </w:sdtPr>
    <w:sdtContent>
      <w:p w14:paraId="15261F55" w14:textId="77777777" w:rsidR="00BD4967" w:rsidRDefault="00BD4967" w:rsidP="002C1092">
        <w:pPr>
          <w:pStyle w:val="Footer"/>
          <w:framePr w:wrap="none" w:vAnchor="text" w:hAnchor="margin" w:xAlign="center" w:y="1"/>
          <w:ind w:right="360"/>
          <w:jc w:val="center"/>
          <w:rPr>
            <w:rStyle w:val="PageNumber"/>
          </w:rPr>
        </w:pPr>
      </w:p>
    </w:sdtContent>
  </w:sdt>
  <w:p w14:paraId="728CC137" w14:textId="77777777" w:rsidR="00BD4967" w:rsidRDefault="00BD4967" w:rsidP="005C769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5551106"/>
      <w:docPartObj>
        <w:docPartGallery w:val="Page Numbers (Bottom of Page)"/>
        <w:docPartUnique/>
      </w:docPartObj>
    </w:sdtPr>
    <w:sdtContent>
      <w:p w14:paraId="5AB85AEA" w14:textId="2CF560D3" w:rsidR="00BD4967" w:rsidRDefault="00BD4967" w:rsidP="005C76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84A683" w14:textId="77777777" w:rsidR="00BD4967" w:rsidRDefault="00BD4967" w:rsidP="005C7697">
    <w:pPr>
      <w:pStyle w:val="Footer"/>
      <w:ind w:right="360"/>
    </w:pPr>
  </w:p>
  <w:p w14:paraId="6531AA8F" w14:textId="77777777" w:rsidR="00BD4967" w:rsidRDefault="00BD4967"/>
  <w:p w14:paraId="671080A2" w14:textId="77777777" w:rsidR="00BD4967" w:rsidRDefault="00BD4967"/>
  <w:p w14:paraId="76DC06FE" w14:textId="77777777" w:rsidR="00BD4967" w:rsidRDefault="00BD4967"/>
  <w:p w14:paraId="2AC93EFB" w14:textId="77777777" w:rsidR="00BD4967" w:rsidRDefault="00BD4967"/>
  <w:p w14:paraId="546B36B4" w14:textId="77777777" w:rsidR="00BD4967" w:rsidRDefault="00BD49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47DE7" w14:textId="77777777" w:rsidR="005074F1" w:rsidRDefault="005074F1" w:rsidP="00D1276A">
      <w:r>
        <w:separator/>
      </w:r>
    </w:p>
  </w:footnote>
  <w:footnote w:type="continuationSeparator" w:id="0">
    <w:p w14:paraId="339EF75D" w14:textId="77777777" w:rsidR="005074F1" w:rsidRDefault="005074F1" w:rsidP="00D12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211A" w14:textId="77777777" w:rsidR="00BD4967" w:rsidRPr="00940391" w:rsidRDefault="00BD4967" w:rsidP="00DF7844">
    <w:pPr>
      <w:pStyle w:val="Header"/>
      <w:rPr>
        <w:color w:val="000000" w:themeColor="text1"/>
      </w:rPr>
    </w:pPr>
    <w:r w:rsidRPr="00940391">
      <w:rPr>
        <w:color w:val="000000" w:themeColor="text1"/>
      </w:rPr>
      <w:t>M.A Thesis – Hana Salahuddin; McMaster University – Department of Anthropology</w:t>
    </w:r>
  </w:p>
  <w:p w14:paraId="45048373" w14:textId="77777777" w:rsidR="00BD4967" w:rsidRDefault="00BD49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85F95" w14:textId="77777777" w:rsidR="00BD4967" w:rsidRDefault="00BD4967" w:rsidP="005007EE">
    <w:pPr>
      <w:pStyle w:val="Header"/>
    </w:pPr>
    <w:r>
      <w:t>M.A Thesis – Hana Salahuddin; McMaster University – Department of Anthropology</w:t>
    </w:r>
  </w:p>
  <w:p w14:paraId="3413952E" w14:textId="77777777" w:rsidR="00BD4967" w:rsidRDefault="00BD49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CFF4B" w14:textId="77777777" w:rsidR="00BD4967" w:rsidRDefault="00BD4967" w:rsidP="005007EE">
    <w:pPr>
      <w:pStyle w:val="Header"/>
    </w:pPr>
    <w:r>
      <w:t>M.A Thesis – Hana Salahuddin; McMaster University – Department of Anthropology</w:t>
    </w:r>
  </w:p>
  <w:p w14:paraId="315A9AEB" w14:textId="77777777" w:rsidR="00BD4967" w:rsidRDefault="00BD4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187D"/>
    <w:multiLevelType w:val="hybridMultilevel"/>
    <w:tmpl w:val="E438F9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E6C9D"/>
    <w:multiLevelType w:val="hybridMultilevel"/>
    <w:tmpl w:val="0D8AD1B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76F3E"/>
    <w:multiLevelType w:val="multilevel"/>
    <w:tmpl w:val="167ABD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9F36E69"/>
    <w:multiLevelType w:val="hybridMultilevel"/>
    <w:tmpl w:val="BC267ED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1619D"/>
    <w:multiLevelType w:val="multilevel"/>
    <w:tmpl w:val="A6266AA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E55734"/>
    <w:multiLevelType w:val="multilevel"/>
    <w:tmpl w:val="677A40E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2A2621"/>
    <w:multiLevelType w:val="multilevel"/>
    <w:tmpl w:val="140A3C5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104829"/>
    <w:multiLevelType w:val="multilevel"/>
    <w:tmpl w:val="3034871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590A0E"/>
    <w:multiLevelType w:val="multilevel"/>
    <w:tmpl w:val="49FEE93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D6E60"/>
    <w:multiLevelType w:val="hybridMultilevel"/>
    <w:tmpl w:val="C67AB466"/>
    <w:lvl w:ilvl="0" w:tplc="395261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3E4DE5"/>
    <w:multiLevelType w:val="hybridMultilevel"/>
    <w:tmpl w:val="E9B20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06DCF"/>
    <w:multiLevelType w:val="hybridMultilevel"/>
    <w:tmpl w:val="BBA8B456"/>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4163C"/>
    <w:multiLevelType w:val="hybridMultilevel"/>
    <w:tmpl w:val="8A682936"/>
    <w:lvl w:ilvl="0" w:tplc="0BE47C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CB2663"/>
    <w:multiLevelType w:val="hybridMultilevel"/>
    <w:tmpl w:val="5C8CE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6196A"/>
    <w:multiLevelType w:val="hybridMultilevel"/>
    <w:tmpl w:val="BDA86FA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E72A7"/>
    <w:multiLevelType w:val="multilevel"/>
    <w:tmpl w:val="92EE598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4B41EE"/>
    <w:multiLevelType w:val="multilevel"/>
    <w:tmpl w:val="243446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D10821"/>
    <w:multiLevelType w:val="multilevel"/>
    <w:tmpl w:val="436CD7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EC1637B"/>
    <w:multiLevelType w:val="multilevel"/>
    <w:tmpl w:val="80B2D2FA"/>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1716FF4"/>
    <w:multiLevelType w:val="hybridMultilevel"/>
    <w:tmpl w:val="B734E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F94BFB"/>
    <w:multiLevelType w:val="multilevel"/>
    <w:tmpl w:val="436CD7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83C095B"/>
    <w:multiLevelType w:val="multilevel"/>
    <w:tmpl w:val="286616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FA409F"/>
    <w:multiLevelType w:val="hybridMultilevel"/>
    <w:tmpl w:val="608EA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666214"/>
    <w:multiLevelType w:val="multilevel"/>
    <w:tmpl w:val="BCC69EF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1E306A"/>
    <w:multiLevelType w:val="hybridMultilevel"/>
    <w:tmpl w:val="E6C2599E"/>
    <w:lvl w:ilvl="0" w:tplc="A2727F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665318"/>
    <w:multiLevelType w:val="hybridMultilevel"/>
    <w:tmpl w:val="1310B49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5B51C6"/>
    <w:multiLevelType w:val="multilevel"/>
    <w:tmpl w:val="A6266AA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733087"/>
    <w:multiLevelType w:val="hybridMultilevel"/>
    <w:tmpl w:val="B788814A"/>
    <w:lvl w:ilvl="0" w:tplc="D90E8DA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A5BCD"/>
    <w:multiLevelType w:val="hybridMultilevel"/>
    <w:tmpl w:val="46C448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D33BB2"/>
    <w:multiLevelType w:val="hybridMultilevel"/>
    <w:tmpl w:val="C82CE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E514B"/>
    <w:multiLevelType w:val="hybridMultilevel"/>
    <w:tmpl w:val="95D0FA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1129F9"/>
    <w:multiLevelType w:val="multilevel"/>
    <w:tmpl w:val="BFC8139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6A3899"/>
    <w:multiLevelType w:val="multilevel"/>
    <w:tmpl w:val="4564682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AD94C5B"/>
    <w:multiLevelType w:val="multilevel"/>
    <w:tmpl w:val="FA2AB6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B834FAC"/>
    <w:multiLevelType w:val="hybridMultilevel"/>
    <w:tmpl w:val="DB1C7C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C797B"/>
    <w:multiLevelType w:val="hybridMultilevel"/>
    <w:tmpl w:val="A5DEC552"/>
    <w:lvl w:ilvl="0" w:tplc="C90C69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B143FC"/>
    <w:multiLevelType w:val="hybridMultilevel"/>
    <w:tmpl w:val="38662476"/>
    <w:lvl w:ilvl="0" w:tplc="9586CD52">
      <w:start w:val="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841A0"/>
    <w:multiLevelType w:val="multilevel"/>
    <w:tmpl w:val="9998C2A0"/>
    <w:lvl w:ilvl="0">
      <w:start w:val="4"/>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78A238F1"/>
    <w:multiLevelType w:val="hybridMultilevel"/>
    <w:tmpl w:val="1E90F0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962967"/>
    <w:multiLevelType w:val="multilevel"/>
    <w:tmpl w:val="167ABD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7FF656DE"/>
    <w:multiLevelType w:val="hybridMultilevel"/>
    <w:tmpl w:val="AAF8959E"/>
    <w:lvl w:ilvl="0" w:tplc="1D3618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0"/>
  </w:num>
  <w:num w:numId="3">
    <w:abstractNumId w:val="33"/>
  </w:num>
  <w:num w:numId="4">
    <w:abstractNumId w:val="9"/>
  </w:num>
  <w:num w:numId="5">
    <w:abstractNumId w:val="27"/>
  </w:num>
  <w:num w:numId="6">
    <w:abstractNumId w:val="10"/>
  </w:num>
  <w:num w:numId="7">
    <w:abstractNumId w:val="0"/>
  </w:num>
  <w:num w:numId="8">
    <w:abstractNumId w:val="35"/>
  </w:num>
  <w:num w:numId="9">
    <w:abstractNumId w:val="22"/>
  </w:num>
  <w:num w:numId="10">
    <w:abstractNumId w:val="28"/>
  </w:num>
  <w:num w:numId="11">
    <w:abstractNumId w:val="36"/>
  </w:num>
  <w:num w:numId="12">
    <w:abstractNumId w:val="16"/>
  </w:num>
  <w:num w:numId="13">
    <w:abstractNumId w:val="32"/>
  </w:num>
  <w:num w:numId="14">
    <w:abstractNumId w:val="2"/>
  </w:num>
  <w:num w:numId="15">
    <w:abstractNumId w:val="13"/>
  </w:num>
  <w:num w:numId="16">
    <w:abstractNumId w:val="29"/>
  </w:num>
  <w:num w:numId="17">
    <w:abstractNumId w:val="19"/>
  </w:num>
  <w:num w:numId="18">
    <w:abstractNumId w:val="24"/>
  </w:num>
  <w:num w:numId="19">
    <w:abstractNumId w:val="40"/>
  </w:num>
  <w:num w:numId="20">
    <w:abstractNumId w:val="30"/>
  </w:num>
  <w:num w:numId="21">
    <w:abstractNumId w:val="1"/>
  </w:num>
  <w:num w:numId="22">
    <w:abstractNumId w:val="14"/>
  </w:num>
  <w:num w:numId="23">
    <w:abstractNumId w:val="38"/>
  </w:num>
  <w:num w:numId="24">
    <w:abstractNumId w:val="34"/>
  </w:num>
  <w:num w:numId="25">
    <w:abstractNumId w:val="31"/>
  </w:num>
  <w:num w:numId="26">
    <w:abstractNumId w:val="7"/>
  </w:num>
  <w:num w:numId="27">
    <w:abstractNumId w:val="5"/>
  </w:num>
  <w:num w:numId="28">
    <w:abstractNumId w:val="18"/>
  </w:num>
  <w:num w:numId="29">
    <w:abstractNumId w:val="15"/>
  </w:num>
  <w:num w:numId="30">
    <w:abstractNumId w:val="23"/>
  </w:num>
  <w:num w:numId="31">
    <w:abstractNumId w:val="26"/>
  </w:num>
  <w:num w:numId="32">
    <w:abstractNumId w:val="4"/>
  </w:num>
  <w:num w:numId="33">
    <w:abstractNumId w:val="37"/>
  </w:num>
  <w:num w:numId="34">
    <w:abstractNumId w:val="6"/>
  </w:num>
  <w:num w:numId="35">
    <w:abstractNumId w:val="12"/>
  </w:num>
  <w:num w:numId="36">
    <w:abstractNumId w:val="39"/>
  </w:num>
  <w:num w:numId="37">
    <w:abstractNumId w:val="21"/>
  </w:num>
  <w:num w:numId="38">
    <w:abstractNumId w:val="8"/>
  </w:num>
  <w:num w:numId="39">
    <w:abstractNumId w:val="11"/>
  </w:num>
  <w:num w:numId="40">
    <w:abstractNumId w:val="25"/>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B7F"/>
    <w:rsid w:val="0000142C"/>
    <w:rsid w:val="00003A82"/>
    <w:rsid w:val="00004C1A"/>
    <w:rsid w:val="00006319"/>
    <w:rsid w:val="0000632C"/>
    <w:rsid w:val="00006AC1"/>
    <w:rsid w:val="000070A5"/>
    <w:rsid w:val="00013B07"/>
    <w:rsid w:val="00014747"/>
    <w:rsid w:val="00016CFE"/>
    <w:rsid w:val="00016D0A"/>
    <w:rsid w:val="000204FA"/>
    <w:rsid w:val="00020E0F"/>
    <w:rsid w:val="00023753"/>
    <w:rsid w:val="00023D99"/>
    <w:rsid w:val="00023E93"/>
    <w:rsid w:val="000246D3"/>
    <w:rsid w:val="00024D9A"/>
    <w:rsid w:val="0002795B"/>
    <w:rsid w:val="00031ECF"/>
    <w:rsid w:val="000323A8"/>
    <w:rsid w:val="000329E2"/>
    <w:rsid w:val="00033BD7"/>
    <w:rsid w:val="0003405D"/>
    <w:rsid w:val="0003536A"/>
    <w:rsid w:val="000403EB"/>
    <w:rsid w:val="00040CDA"/>
    <w:rsid w:val="00040DF8"/>
    <w:rsid w:val="000417E2"/>
    <w:rsid w:val="0004183A"/>
    <w:rsid w:val="00042B1A"/>
    <w:rsid w:val="000432C0"/>
    <w:rsid w:val="00045D3E"/>
    <w:rsid w:val="00046F00"/>
    <w:rsid w:val="00046F50"/>
    <w:rsid w:val="0004751B"/>
    <w:rsid w:val="00047EED"/>
    <w:rsid w:val="0005370D"/>
    <w:rsid w:val="00054391"/>
    <w:rsid w:val="000552D3"/>
    <w:rsid w:val="00055320"/>
    <w:rsid w:val="00057CF9"/>
    <w:rsid w:val="000627B4"/>
    <w:rsid w:val="00062864"/>
    <w:rsid w:val="00064537"/>
    <w:rsid w:val="0006565C"/>
    <w:rsid w:val="00075A1C"/>
    <w:rsid w:val="00075F3E"/>
    <w:rsid w:val="00076800"/>
    <w:rsid w:val="00077102"/>
    <w:rsid w:val="00077C37"/>
    <w:rsid w:val="00082818"/>
    <w:rsid w:val="00083C71"/>
    <w:rsid w:val="000844E3"/>
    <w:rsid w:val="00085380"/>
    <w:rsid w:val="0008574E"/>
    <w:rsid w:val="00087669"/>
    <w:rsid w:val="00087F32"/>
    <w:rsid w:val="00090960"/>
    <w:rsid w:val="00092E31"/>
    <w:rsid w:val="00095A07"/>
    <w:rsid w:val="00096908"/>
    <w:rsid w:val="000A3D9D"/>
    <w:rsid w:val="000A49F3"/>
    <w:rsid w:val="000A56ED"/>
    <w:rsid w:val="000A633F"/>
    <w:rsid w:val="000A64DB"/>
    <w:rsid w:val="000A7035"/>
    <w:rsid w:val="000B1237"/>
    <w:rsid w:val="000B2139"/>
    <w:rsid w:val="000B3BFF"/>
    <w:rsid w:val="000B72EE"/>
    <w:rsid w:val="000B7C6D"/>
    <w:rsid w:val="000C16F1"/>
    <w:rsid w:val="000C3A23"/>
    <w:rsid w:val="000C4FAD"/>
    <w:rsid w:val="000C616D"/>
    <w:rsid w:val="000C63B0"/>
    <w:rsid w:val="000C719E"/>
    <w:rsid w:val="000C758D"/>
    <w:rsid w:val="000C7F14"/>
    <w:rsid w:val="000D0394"/>
    <w:rsid w:val="000D21B3"/>
    <w:rsid w:val="000D4E4B"/>
    <w:rsid w:val="000D54E4"/>
    <w:rsid w:val="000D5AA5"/>
    <w:rsid w:val="000D6982"/>
    <w:rsid w:val="000E059A"/>
    <w:rsid w:val="000E14B2"/>
    <w:rsid w:val="000E4FDE"/>
    <w:rsid w:val="000E7230"/>
    <w:rsid w:val="000E7433"/>
    <w:rsid w:val="000F09C4"/>
    <w:rsid w:val="000F1183"/>
    <w:rsid w:val="000F26F1"/>
    <w:rsid w:val="000F324A"/>
    <w:rsid w:val="000F3297"/>
    <w:rsid w:val="000F3D95"/>
    <w:rsid w:val="000F4041"/>
    <w:rsid w:val="000F4E44"/>
    <w:rsid w:val="000F693C"/>
    <w:rsid w:val="000F6B27"/>
    <w:rsid w:val="00100460"/>
    <w:rsid w:val="00100CE1"/>
    <w:rsid w:val="00102556"/>
    <w:rsid w:val="001025E3"/>
    <w:rsid w:val="00106CBC"/>
    <w:rsid w:val="00106EF0"/>
    <w:rsid w:val="0010738F"/>
    <w:rsid w:val="0010783C"/>
    <w:rsid w:val="00110262"/>
    <w:rsid w:val="0011090D"/>
    <w:rsid w:val="00112285"/>
    <w:rsid w:val="00112C1C"/>
    <w:rsid w:val="00112DAC"/>
    <w:rsid w:val="001130A2"/>
    <w:rsid w:val="00114563"/>
    <w:rsid w:val="00115322"/>
    <w:rsid w:val="00115374"/>
    <w:rsid w:val="001159C9"/>
    <w:rsid w:val="001164A4"/>
    <w:rsid w:val="001167AA"/>
    <w:rsid w:val="0012100F"/>
    <w:rsid w:val="0012168C"/>
    <w:rsid w:val="0012320E"/>
    <w:rsid w:val="00123727"/>
    <w:rsid w:val="00126152"/>
    <w:rsid w:val="00131AC5"/>
    <w:rsid w:val="00133109"/>
    <w:rsid w:val="00133B43"/>
    <w:rsid w:val="00134752"/>
    <w:rsid w:val="001356D3"/>
    <w:rsid w:val="00140A30"/>
    <w:rsid w:val="0014186D"/>
    <w:rsid w:val="00141FC6"/>
    <w:rsid w:val="00144C4D"/>
    <w:rsid w:val="00145D75"/>
    <w:rsid w:val="0015010C"/>
    <w:rsid w:val="001515B3"/>
    <w:rsid w:val="00153232"/>
    <w:rsid w:val="00153E5C"/>
    <w:rsid w:val="00154DD4"/>
    <w:rsid w:val="00154E53"/>
    <w:rsid w:val="00155BF2"/>
    <w:rsid w:val="00156CE6"/>
    <w:rsid w:val="001577DF"/>
    <w:rsid w:val="0016114B"/>
    <w:rsid w:val="00161B1F"/>
    <w:rsid w:val="00162B33"/>
    <w:rsid w:val="00164DC3"/>
    <w:rsid w:val="00165A51"/>
    <w:rsid w:val="00165FBB"/>
    <w:rsid w:val="00166F51"/>
    <w:rsid w:val="00167ABD"/>
    <w:rsid w:val="00171F75"/>
    <w:rsid w:val="001761B7"/>
    <w:rsid w:val="00176AF3"/>
    <w:rsid w:val="0017710D"/>
    <w:rsid w:val="00177BDC"/>
    <w:rsid w:val="0018016A"/>
    <w:rsid w:val="001804B2"/>
    <w:rsid w:val="00180D96"/>
    <w:rsid w:val="00183079"/>
    <w:rsid w:val="00185287"/>
    <w:rsid w:val="0018592D"/>
    <w:rsid w:val="00185DD3"/>
    <w:rsid w:val="00186736"/>
    <w:rsid w:val="0018735D"/>
    <w:rsid w:val="0018752B"/>
    <w:rsid w:val="00191207"/>
    <w:rsid w:val="0019130A"/>
    <w:rsid w:val="0019234A"/>
    <w:rsid w:val="00192A3C"/>
    <w:rsid w:val="00194751"/>
    <w:rsid w:val="00194914"/>
    <w:rsid w:val="00194D8A"/>
    <w:rsid w:val="001A1463"/>
    <w:rsid w:val="001A193A"/>
    <w:rsid w:val="001A1E48"/>
    <w:rsid w:val="001A267E"/>
    <w:rsid w:val="001A2F1A"/>
    <w:rsid w:val="001A42DF"/>
    <w:rsid w:val="001A4F58"/>
    <w:rsid w:val="001A522E"/>
    <w:rsid w:val="001A5F07"/>
    <w:rsid w:val="001A61E9"/>
    <w:rsid w:val="001A6F63"/>
    <w:rsid w:val="001A707A"/>
    <w:rsid w:val="001A78DE"/>
    <w:rsid w:val="001B10FA"/>
    <w:rsid w:val="001B17F1"/>
    <w:rsid w:val="001B2F6B"/>
    <w:rsid w:val="001B3BD9"/>
    <w:rsid w:val="001B660C"/>
    <w:rsid w:val="001B798B"/>
    <w:rsid w:val="001C02AD"/>
    <w:rsid w:val="001C0918"/>
    <w:rsid w:val="001C10FA"/>
    <w:rsid w:val="001C1322"/>
    <w:rsid w:val="001C5847"/>
    <w:rsid w:val="001C6BF3"/>
    <w:rsid w:val="001C7EFF"/>
    <w:rsid w:val="001D0FC4"/>
    <w:rsid w:val="001D1ACD"/>
    <w:rsid w:val="001D1F1E"/>
    <w:rsid w:val="001D583C"/>
    <w:rsid w:val="001D5C03"/>
    <w:rsid w:val="001D5CCE"/>
    <w:rsid w:val="001D6EE9"/>
    <w:rsid w:val="001D7D33"/>
    <w:rsid w:val="001E12D3"/>
    <w:rsid w:val="001E1D4A"/>
    <w:rsid w:val="001E39F5"/>
    <w:rsid w:val="001F0460"/>
    <w:rsid w:val="001F0896"/>
    <w:rsid w:val="001F1734"/>
    <w:rsid w:val="001F1D12"/>
    <w:rsid w:val="001F2858"/>
    <w:rsid w:val="001F3A3D"/>
    <w:rsid w:val="001F50B3"/>
    <w:rsid w:val="001F5541"/>
    <w:rsid w:val="001F57FA"/>
    <w:rsid w:val="001F5E72"/>
    <w:rsid w:val="00202CDE"/>
    <w:rsid w:val="002058E7"/>
    <w:rsid w:val="00206409"/>
    <w:rsid w:val="00207DA1"/>
    <w:rsid w:val="002105FB"/>
    <w:rsid w:val="00210677"/>
    <w:rsid w:val="00210FE4"/>
    <w:rsid w:val="002149DD"/>
    <w:rsid w:val="00216A88"/>
    <w:rsid w:val="00216B4C"/>
    <w:rsid w:val="00216E8B"/>
    <w:rsid w:val="0022151D"/>
    <w:rsid w:val="00221CB2"/>
    <w:rsid w:val="00223ED3"/>
    <w:rsid w:val="00224553"/>
    <w:rsid w:val="00230B5E"/>
    <w:rsid w:val="00231DD6"/>
    <w:rsid w:val="002337F3"/>
    <w:rsid w:val="00233F6F"/>
    <w:rsid w:val="00234047"/>
    <w:rsid w:val="002347CE"/>
    <w:rsid w:val="002350E7"/>
    <w:rsid w:val="00235330"/>
    <w:rsid w:val="00236532"/>
    <w:rsid w:val="00236E73"/>
    <w:rsid w:val="00236F58"/>
    <w:rsid w:val="00237141"/>
    <w:rsid w:val="00237215"/>
    <w:rsid w:val="002379DD"/>
    <w:rsid w:val="0024034B"/>
    <w:rsid w:val="00240589"/>
    <w:rsid w:val="00240D4B"/>
    <w:rsid w:val="002413C7"/>
    <w:rsid w:val="00241529"/>
    <w:rsid w:val="0024158D"/>
    <w:rsid w:val="00241B0B"/>
    <w:rsid w:val="00241E63"/>
    <w:rsid w:val="00242A38"/>
    <w:rsid w:val="00242B06"/>
    <w:rsid w:val="0024381D"/>
    <w:rsid w:val="0024424F"/>
    <w:rsid w:val="00246437"/>
    <w:rsid w:val="0025187E"/>
    <w:rsid w:val="00251B57"/>
    <w:rsid w:val="002542F6"/>
    <w:rsid w:val="0025547A"/>
    <w:rsid w:val="002569F5"/>
    <w:rsid w:val="00256B10"/>
    <w:rsid w:val="00257E9D"/>
    <w:rsid w:val="002603F8"/>
    <w:rsid w:val="00262BFC"/>
    <w:rsid w:val="002633FE"/>
    <w:rsid w:val="002657DC"/>
    <w:rsid w:val="002659FE"/>
    <w:rsid w:val="00265EBE"/>
    <w:rsid w:val="00267879"/>
    <w:rsid w:val="00267C18"/>
    <w:rsid w:val="00271888"/>
    <w:rsid w:val="00273756"/>
    <w:rsid w:val="00275E2B"/>
    <w:rsid w:val="00277492"/>
    <w:rsid w:val="00277D12"/>
    <w:rsid w:val="00282E6D"/>
    <w:rsid w:val="00283419"/>
    <w:rsid w:val="00283539"/>
    <w:rsid w:val="0028364D"/>
    <w:rsid w:val="00283AB1"/>
    <w:rsid w:val="0028507E"/>
    <w:rsid w:val="00291AF0"/>
    <w:rsid w:val="00294BDD"/>
    <w:rsid w:val="0029546D"/>
    <w:rsid w:val="00295C0D"/>
    <w:rsid w:val="002A025A"/>
    <w:rsid w:val="002A047E"/>
    <w:rsid w:val="002A1E81"/>
    <w:rsid w:val="002A36BA"/>
    <w:rsid w:val="002B2776"/>
    <w:rsid w:val="002B3348"/>
    <w:rsid w:val="002B552B"/>
    <w:rsid w:val="002B6F0A"/>
    <w:rsid w:val="002B78D9"/>
    <w:rsid w:val="002B7F3C"/>
    <w:rsid w:val="002C1092"/>
    <w:rsid w:val="002C6F40"/>
    <w:rsid w:val="002D0A19"/>
    <w:rsid w:val="002D1327"/>
    <w:rsid w:val="002D13F4"/>
    <w:rsid w:val="002D4194"/>
    <w:rsid w:val="002D4B4B"/>
    <w:rsid w:val="002D4C17"/>
    <w:rsid w:val="002D5814"/>
    <w:rsid w:val="002D5B65"/>
    <w:rsid w:val="002D69D4"/>
    <w:rsid w:val="002D6E12"/>
    <w:rsid w:val="002D7D20"/>
    <w:rsid w:val="002E1C22"/>
    <w:rsid w:val="002E2569"/>
    <w:rsid w:val="002E2C98"/>
    <w:rsid w:val="002E2CCC"/>
    <w:rsid w:val="002E3EBE"/>
    <w:rsid w:val="002E4FC8"/>
    <w:rsid w:val="002E553F"/>
    <w:rsid w:val="002E72E6"/>
    <w:rsid w:val="002E731C"/>
    <w:rsid w:val="002E7F7F"/>
    <w:rsid w:val="002F0B0C"/>
    <w:rsid w:val="002F1FF5"/>
    <w:rsid w:val="002F26DD"/>
    <w:rsid w:val="002F3006"/>
    <w:rsid w:val="002F3DBB"/>
    <w:rsid w:val="00300259"/>
    <w:rsid w:val="00302CAF"/>
    <w:rsid w:val="00303104"/>
    <w:rsid w:val="00304D35"/>
    <w:rsid w:val="003100E2"/>
    <w:rsid w:val="0031146C"/>
    <w:rsid w:val="00314138"/>
    <w:rsid w:val="00316DD3"/>
    <w:rsid w:val="00321DCD"/>
    <w:rsid w:val="003221CF"/>
    <w:rsid w:val="003228EA"/>
    <w:rsid w:val="00322CCD"/>
    <w:rsid w:val="003230C4"/>
    <w:rsid w:val="0032334D"/>
    <w:rsid w:val="00323E88"/>
    <w:rsid w:val="00325C51"/>
    <w:rsid w:val="00325F79"/>
    <w:rsid w:val="00327765"/>
    <w:rsid w:val="0032785D"/>
    <w:rsid w:val="00327D03"/>
    <w:rsid w:val="00330679"/>
    <w:rsid w:val="00334BE4"/>
    <w:rsid w:val="00335CB9"/>
    <w:rsid w:val="003365BF"/>
    <w:rsid w:val="00336D15"/>
    <w:rsid w:val="00340DDE"/>
    <w:rsid w:val="0034139A"/>
    <w:rsid w:val="00341C71"/>
    <w:rsid w:val="003425FA"/>
    <w:rsid w:val="00342ECE"/>
    <w:rsid w:val="003435EB"/>
    <w:rsid w:val="0034497E"/>
    <w:rsid w:val="003509C3"/>
    <w:rsid w:val="00351C1F"/>
    <w:rsid w:val="00353A1C"/>
    <w:rsid w:val="00353AA0"/>
    <w:rsid w:val="0036010C"/>
    <w:rsid w:val="00361762"/>
    <w:rsid w:val="00362127"/>
    <w:rsid w:val="00362174"/>
    <w:rsid w:val="00362E22"/>
    <w:rsid w:val="003638FA"/>
    <w:rsid w:val="00363B59"/>
    <w:rsid w:val="003663F5"/>
    <w:rsid w:val="003672C2"/>
    <w:rsid w:val="00372E0B"/>
    <w:rsid w:val="00374D93"/>
    <w:rsid w:val="00377802"/>
    <w:rsid w:val="00377E7B"/>
    <w:rsid w:val="00377F53"/>
    <w:rsid w:val="00380650"/>
    <w:rsid w:val="00380FE3"/>
    <w:rsid w:val="003819FA"/>
    <w:rsid w:val="003820A9"/>
    <w:rsid w:val="003830D9"/>
    <w:rsid w:val="00386FA9"/>
    <w:rsid w:val="00387D94"/>
    <w:rsid w:val="003910B5"/>
    <w:rsid w:val="003913C7"/>
    <w:rsid w:val="00392BFC"/>
    <w:rsid w:val="00393CBF"/>
    <w:rsid w:val="00394BEF"/>
    <w:rsid w:val="00394DD8"/>
    <w:rsid w:val="00395E9E"/>
    <w:rsid w:val="003A0B6F"/>
    <w:rsid w:val="003A197D"/>
    <w:rsid w:val="003A207F"/>
    <w:rsid w:val="003A2D93"/>
    <w:rsid w:val="003A3936"/>
    <w:rsid w:val="003A3A35"/>
    <w:rsid w:val="003A3DD4"/>
    <w:rsid w:val="003A4F87"/>
    <w:rsid w:val="003A54B7"/>
    <w:rsid w:val="003A5DA8"/>
    <w:rsid w:val="003A74E0"/>
    <w:rsid w:val="003B33B4"/>
    <w:rsid w:val="003B371F"/>
    <w:rsid w:val="003B49A6"/>
    <w:rsid w:val="003B4BB5"/>
    <w:rsid w:val="003B5B7F"/>
    <w:rsid w:val="003C13A2"/>
    <w:rsid w:val="003C163C"/>
    <w:rsid w:val="003C21FB"/>
    <w:rsid w:val="003C22B4"/>
    <w:rsid w:val="003C2DD1"/>
    <w:rsid w:val="003C3B26"/>
    <w:rsid w:val="003C51E5"/>
    <w:rsid w:val="003C5586"/>
    <w:rsid w:val="003C7398"/>
    <w:rsid w:val="003C7A60"/>
    <w:rsid w:val="003D00CA"/>
    <w:rsid w:val="003D0E5A"/>
    <w:rsid w:val="003D1DCA"/>
    <w:rsid w:val="003D50EE"/>
    <w:rsid w:val="003D61A4"/>
    <w:rsid w:val="003D670C"/>
    <w:rsid w:val="003D6F50"/>
    <w:rsid w:val="003D74B8"/>
    <w:rsid w:val="003D7DA4"/>
    <w:rsid w:val="003E175B"/>
    <w:rsid w:val="003E3306"/>
    <w:rsid w:val="003E4B12"/>
    <w:rsid w:val="003E583E"/>
    <w:rsid w:val="003E5D96"/>
    <w:rsid w:val="003E5E1F"/>
    <w:rsid w:val="003E634D"/>
    <w:rsid w:val="003E7600"/>
    <w:rsid w:val="003F0158"/>
    <w:rsid w:val="003F09AB"/>
    <w:rsid w:val="003F18F7"/>
    <w:rsid w:val="003F298A"/>
    <w:rsid w:val="003F3256"/>
    <w:rsid w:val="003F46D1"/>
    <w:rsid w:val="003F4ADE"/>
    <w:rsid w:val="003F4C2C"/>
    <w:rsid w:val="00400327"/>
    <w:rsid w:val="0040510E"/>
    <w:rsid w:val="00411BB5"/>
    <w:rsid w:val="00414107"/>
    <w:rsid w:val="00414E6C"/>
    <w:rsid w:val="0041694B"/>
    <w:rsid w:val="00420782"/>
    <w:rsid w:val="00422B7F"/>
    <w:rsid w:val="00425B22"/>
    <w:rsid w:val="00426727"/>
    <w:rsid w:val="004274BF"/>
    <w:rsid w:val="004308AC"/>
    <w:rsid w:val="0043329C"/>
    <w:rsid w:val="00434AA0"/>
    <w:rsid w:val="004353DF"/>
    <w:rsid w:val="00435471"/>
    <w:rsid w:val="00435A00"/>
    <w:rsid w:val="00441EDB"/>
    <w:rsid w:val="00443726"/>
    <w:rsid w:val="00444053"/>
    <w:rsid w:val="00444768"/>
    <w:rsid w:val="00446D6F"/>
    <w:rsid w:val="0044711C"/>
    <w:rsid w:val="00447A5A"/>
    <w:rsid w:val="00447F12"/>
    <w:rsid w:val="004530A3"/>
    <w:rsid w:val="004533C9"/>
    <w:rsid w:val="004540F6"/>
    <w:rsid w:val="004545A2"/>
    <w:rsid w:val="0045478E"/>
    <w:rsid w:val="00454C2D"/>
    <w:rsid w:val="0045540A"/>
    <w:rsid w:val="0045577D"/>
    <w:rsid w:val="00456715"/>
    <w:rsid w:val="0045789D"/>
    <w:rsid w:val="0046128B"/>
    <w:rsid w:val="00463427"/>
    <w:rsid w:val="0046430E"/>
    <w:rsid w:val="00466AA0"/>
    <w:rsid w:val="00467F93"/>
    <w:rsid w:val="00471100"/>
    <w:rsid w:val="00473251"/>
    <w:rsid w:val="00473967"/>
    <w:rsid w:val="00475487"/>
    <w:rsid w:val="00475B6A"/>
    <w:rsid w:val="00481CEC"/>
    <w:rsid w:val="00481F63"/>
    <w:rsid w:val="00482159"/>
    <w:rsid w:val="00482623"/>
    <w:rsid w:val="00482CF5"/>
    <w:rsid w:val="00484596"/>
    <w:rsid w:val="00485606"/>
    <w:rsid w:val="00487D5C"/>
    <w:rsid w:val="00493697"/>
    <w:rsid w:val="00493F1B"/>
    <w:rsid w:val="0049408A"/>
    <w:rsid w:val="004942D3"/>
    <w:rsid w:val="00494551"/>
    <w:rsid w:val="00494747"/>
    <w:rsid w:val="0049516F"/>
    <w:rsid w:val="00496B03"/>
    <w:rsid w:val="004A36D0"/>
    <w:rsid w:val="004A7A2E"/>
    <w:rsid w:val="004A7DAC"/>
    <w:rsid w:val="004B026C"/>
    <w:rsid w:val="004B111E"/>
    <w:rsid w:val="004B19E6"/>
    <w:rsid w:val="004B290E"/>
    <w:rsid w:val="004B29EE"/>
    <w:rsid w:val="004B3566"/>
    <w:rsid w:val="004B35E0"/>
    <w:rsid w:val="004B3C44"/>
    <w:rsid w:val="004B64BA"/>
    <w:rsid w:val="004C353B"/>
    <w:rsid w:val="004C3B26"/>
    <w:rsid w:val="004C6BF3"/>
    <w:rsid w:val="004C6F79"/>
    <w:rsid w:val="004D0CDD"/>
    <w:rsid w:val="004D16BC"/>
    <w:rsid w:val="004D1752"/>
    <w:rsid w:val="004D1DCF"/>
    <w:rsid w:val="004D1FC7"/>
    <w:rsid w:val="004D7627"/>
    <w:rsid w:val="004E1CC4"/>
    <w:rsid w:val="004E259E"/>
    <w:rsid w:val="004E3665"/>
    <w:rsid w:val="004E3DAB"/>
    <w:rsid w:val="004E566A"/>
    <w:rsid w:val="004F0D79"/>
    <w:rsid w:val="004F2757"/>
    <w:rsid w:val="004F43CA"/>
    <w:rsid w:val="004F5C83"/>
    <w:rsid w:val="004F7253"/>
    <w:rsid w:val="005007EE"/>
    <w:rsid w:val="0050109F"/>
    <w:rsid w:val="00502302"/>
    <w:rsid w:val="0050270D"/>
    <w:rsid w:val="00503119"/>
    <w:rsid w:val="005034AF"/>
    <w:rsid w:val="00503D30"/>
    <w:rsid w:val="00505862"/>
    <w:rsid w:val="005074F1"/>
    <w:rsid w:val="0051011C"/>
    <w:rsid w:val="0051133F"/>
    <w:rsid w:val="00511939"/>
    <w:rsid w:val="00511A91"/>
    <w:rsid w:val="00511E3B"/>
    <w:rsid w:val="005135AE"/>
    <w:rsid w:val="00515D40"/>
    <w:rsid w:val="00516796"/>
    <w:rsid w:val="00520E16"/>
    <w:rsid w:val="0052126E"/>
    <w:rsid w:val="00521AB3"/>
    <w:rsid w:val="00522A3E"/>
    <w:rsid w:val="005230D7"/>
    <w:rsid w:val="00523BEC"/>
    <w:rsid w:val="00535AED"/>
    <w:rsid w:val="00537C66"/>
    <w:rsid w:val="0054041B"/>
    <w:rsid w:val="00541191"/>
    <w:rsid w:val="005421E8"/>
    <w:rsid w:val="005422D8"/>
    <w:rsid w:val="00543720"/>
    <w:rsid w:val="00543BDC"/>
    <w:rsid w:val="00545EFF"/>
    <w:rsid w:val="0054705F"/>
    <w:rsid w:val="005529DD"/>
    <w:rsid w:val="00552E3E"/>
    <w:rsid w:val="00562F08"/>
    <w:rsid w:val="0056375B"/>
    <w:rsid w:val="00564D42"/>
    <w:rsid w:val="005655FF"/>
    <w:rsid w:val="00567597"/>
    <w:rsid w:val="00570876"/>
    <w:rsid w:val="0057146E"/>
    <w:rsid w:val="0057525E"/>
    <w:rsid w:val="00576C24"/>
    <w:rsid w:val="00581EC4"/>
    <w:rsid w:val="00585352"/>
    <w:rsid w:val="00586673"/>
    <w:rsid w:val="00586C2D"/>
    <w:rsid w:val="0059106A"/>
    <w:rsid w:val="00591296"/>
    <w:rsid w:val="00591DA2"/>
    <w:rsid w:val="00593195"/>
    <w:rsid w:val="005933DD"/>
    <w:rsid w:val="00593B5F"/>
    <w:rsid w:val="00593CF2"/>
    <w:rsid w:val="005941D5"/>
    <w:rsid w:val="00595724"/>
    <w:rsid w:val="0059773A"/>
    <w:rsid w:val="00597782"/>
    <w:rsid w:val="00597B18"/>
    <w:rsid w:val="005A42FA"/>
    <w:rsid w:val="005A76DF"/>
    <w:rsid w:val="005A7FF2"/>
    <w:rsid w:val="005B0628"/>
    <w:rsid w:val="005B0D08"/>
    <w:rsid w:val="005B5E41"/>
    <w:rsid w:val="005B692B"/>
    <w:rsid w:val="005B6F4F"/>
    <w:rsid w:val="005B72AB"/>
    <w:rsid w:val="005B784B"/>
    <w:rsid w:val="005C604C"/>
    <w:rsid w:val="005C676B"/>
    <w:rsid w:val="005C7001"/>
    <w:rsid w:val="005C7697"/>
    <w:rsid w:val="005C76CF"/>
    <w:rsid w:val="005D116A"/>
    <w:rsid w:val="005D2C46"/>
    <w:rsid w:val="005D47C1"/>
    <w:rsid w:val="005D5B5A"/>
    <w:rsid w:val="005D7810"/>
    <w:rsid w:val="005E07AC"/>
    <w:rsid w:val="005E15CC"/>
    <w:rsid w:val="005E1B5B"/>
    <w:rsid w:val="005E2041"/>
    <w:rsid w:val="005E3240"/>
    <w:rsid w:val="005E3342"/>
    <w:rsid w:val="005E4C31"/>
    <w:rsid w:val="005E4EBA"/>
    <w:rsid w:val="005F0950"/>
    <w:rsid w:val="005F25E0"/>
    <w:rsid w:val="005F31E0"/>
    <w:rsid w:val="005F4B04"/>
    <w:rsid w:val="005F7C36"/>
    <w:rsid w:val="00601453"/>
    <w:rsid w:val="00603BD4"/>
    <w:rsid w:val="00604CDB"/>
    <w:rsid w:val="006062B4"/>
    <w:rsid w:val="0061252D"/>
    <w:rsid w:val="00613658"/>
    <w:rsid w:val="006148F0"/>
    <w:rsid w:val="00616EB1"/>
    <w:rsid w:val="0062051E"/>
    <w:rsid w:val="0062103E"/>
    <w:rsid w:val="006216A6"/>
    <w:rsid w:val="0062179E"/>
    <w:rsid w:val="0063189D"/>
    <w:rsid w:val="006336D9"/>
    <w:rsid w:val="00633BA5"/>
    <w:rsid w:val="00633DD7"/>
    <w:rsid w:val="006341B9"/>
    <w:rsid w:val="0063707C"/>
    <w:rsid w:val="00640632"/>
    <w:rsid w:val="00644A1A"/>
    <w:rsid w:val="0065038E"/>
    <w:rsid w:val="00650F4A"/>
    <w:rsid w:val="00651536"/>
    <w:rsid w:val="006521C8"/>
    <w:rsid w:val="00654464"/>
    <w:rsid w:val="006551BF"/>
    <w:rsid w:val="006601C5"/>
    <w:rsid w:val="00660AF0"/>
    <w:rsid w:val="0066360F"/>
    <w:rsid w:val="006655A6"/>
    <w:rsid w:val="00665BAB"/>
    <w:rsid w:val="00666C15"/>
    <w:rsid w:val="0067128B"/>
    <w:rsid w:val="006718B9"/>
    <w:rsid w:val="00671980"/>
    <w:rsid w:val="00671D72"/>
    <w:rsid w:val="00672999"/>
    <w:rsid w:val="00672A8E"/>
    <w:rsid w:val="00672D5D"/>
    <w:rsid w:val="006752C1"/>
    <w:rsid w:val="00676493"/>
    <w:rsid w:val="00676F42"/>
    <w:rsid w:val="006773B7"/>
    <w:rsid w:val="00680D10"/>
    <w:rsid w:val="0068226E"/>
    <w:rsid w:val="006832CA"/>
    <w:rsid w:val="00683958"/>
    <w:rsid w:val="00683E1C"/>
    <w:rsid w:val="00683E6B"/>
    <w:rsid w:val="0068582A"/>
    <w:rsid w:val="00685D42"/>
    <w:rsid w:val="006865E1"/>
    <w:rsid w:val="00686F48"/>
    <w:rsid w:val="00687662"/>
    <w:rsid w:val="00690949"/>
    <w:rsid w:val="00696094"/>
    <w:rsid w:val="006970B7"/>
    <w:rsid w:val="006A1198"/>
    <w:rsid w:val="006A231C"/>
    <w:rsid w:val="006A254E"/>
    <w:rsid w:val="006A3E8D"/>
    <w:rsid w:val="006A3FBE"/>
    <w:rsid w:val="006A5DBE"/>
    <w:rsid w:val="006A6027"/>
    <w:rsid w:val="006A6F55"/>
    <w:rsid w:val="006A77D3"/>
    <w:rsid w:val="006B07B0"/>
    <w:rsid w:val="006B1DC3"/>
    <w:rsid w:val="006B2414"/>
    <w:rsid w:val="006B2521"/>
    <w:rsid w:val="006B27D1"/>
    <w:rsid w:val="006B41CF"/>
    <w:rsid w:val="006B571A"/>
    <w:rsid w:val="006B5C18"/>
    <w:rsid w:val="006B5FBA"/>
    <w:rsid w:val="006B60CF"/>
    <w:rsid w:val="006C00E6"/>
    <w:rsid w:val="006C6408"/>
    <w:rsid w:val="006D08F5"/>
    <w:rsid w:val="006D227A"/>
    <w:rsid w:val="006D514B"/>
    <w:rsid w:val="006D6B87"/>
    <w:rsid w:val="006E14D2"/>
    <w:rsid w:val="006E38E7"/>
    <w:rsid w:val="006E499D"/>
    <w:rsid w:val="006E5C48"/>
    <w:rsid w:val="006E61D7"/>
    <w:rsid w:val="006E7EC7"/>
    <w:rsid w:val="006F05C5"/>
    <w:rsid w:val="006F07A1"/>
    <w:rsid w:val="006F0FCC"/>
    <w:rsid w:val="006F392C"/>
    <w:rsid w:val="006F7876"/>
    <w:rsid w:val="007000E5"/>
    <w:rsid w:val="0070015D"/>
    <w:rsid w:val="00702425"/>
    <w:rsid w:val="0070293D"/>
    <w:rsid w:val="00703C39"/>
    <w:rsid w:val="00710179"/>
    <w:rsid w:val="00710989"/>
    <w:rsid w:val="00714592"/>
    <w:rsid w:val="00714CF0"/>
    <w:rsid w:val="00715018"/>
    <w:rsid w:val="00716155"/>
    <w:rsid w:val="00716B77"/>
    <w:rsid w:val="00716D11"/>
    <w:rsid w:val="007179A1"/>
    <w:rsid w:val="00722374"/>
    <w:rsid w:val="0072543C"/>
    <w:rsid w:val="0072590C"/>
    <w:rsid w:val="00726A70"/>
    <w:rsid w:val="007314DE"/>
    <w:rsid w:val="00731C8B"/>
    <w:rsid w:val="00731E8E"/>
    <w:rsid w:val="00733D4B"/>
    <w:rsid w:val="00736857"/>
    <w:rsid w:val="00742754"/>
    <w:rsid w:val="007437E6"/>
    <w:rsid w:val="00745F60"/>
    <w:rsid w:val="00747C44"/>
    <w:rsid w:val="00750C4F"/>
    <w:rsid w:val="00750EFA"/>
    <w:rsid w:val="00751532"/>
    <w:rsid w:val="00754EB2"/>
    <w:rsid w:val="00756C9A"/>
    <w:rsid w:val="00757109"/>
    <w:rsid w:val="00760215"/>
    <w:rsid w:val="00762245"/>
    <w:rsid w:val="00762DD8"/>
    <w:rsid w:val="0076447C"/>
    <w:rsid w:val="00764FC4"/>
    <w:rsid w:val="007675A7"/>
    <w:rsid w:val="007678F7"/>
    <w:rsid w:val="00767BDC"/>
    <w:rsid w:val="00767E5F"/>
    <w:rsid w:val="0077191D"/>
    <w:rsid w:val="00774DF4"/>
    <w:rsid w:val="007769A0"/>
    <w:rsid w:val="00780AF7"/>
    <w:rsid w:val="00781E7D"/>
    <w:rsid w:val="0078264C"/>
    <w:rsid w:val="007827FA"/>
    <w:rsid w:val="007830A4"/>
    <w:rsid w:val="007833CD"/>
    <w:rsid w:val="007837E2"/>
    <w:rsid w:val="007840D0"/>
    <w:rsid w:val="00784634"/>
    <w:rsid w:val="0078527D"/>
    <w:rsid w:val="0079060E"/>
    <w:rsid w:val="007931E4"/>
    <w:rsid w:val="00794DE9"/>
    <w:rsid w:val="007A1DA2"/>
    <w:rsid w:val="007A4425"/>
    <w:rsid w:val="007A5A7C"/>
    <w:rsid w:val="007B30DC"/>
    <w:rsid w:val="007B567A"/>
    <w:rsid w:val="007B5B8A"/>
    <w:rsid w:val="007B5DC4"/>
    <w:rsid w:val="007B67A9"/>
    <w:rsid w:val="007B7812"/>
    <w:rsid w:val="007C14AB"/>
    <w:rsid w:val="007C1567"/>
    <w:rsid w:val="007C215A"/>
    <w:rsid w:val="007C47C9"/>
    <w:rsid w:val="007C5338"/>
    <w:rsid w:val="007C56D9"/>
    <w:rsid w:val="007C56DE"/>
    <w:rsid w:val="007C598D"/>
    <w:rsid w:val="007C79CD"/>
    <w:rsid w:val="007C7D08"/>
    <w:rsid w:val="007D15AD"/>
    <w:rsid w:val="007D19DC"/>
    <w:rsid w:val="007D1D47"/>
    <w:rsid w:val="007D3ECA"/>
    <w:rsid w:val="007D4626"/>
    <w:rsid w:val="007D4E95"/>
    <w:rsid w:val="007D58D0"/>
    <w:rsid w:val="007D5E4C"/>
    <w:rsid w:val="007E0E45"/>
    <w:rsid w:val="007E1F37"/>
    <w:rsid w:val="007E3BC4"/>
    <w:rsid w:val="007E539E"/>
    <w:rsid w:val="007E5A5D"/>
    <w:rsid w:val="007E6CE3"/>
    <w:rsid w:val="007F0FA9"/>
    <w:rsid w:val="007F36DA"/>
    <w:rsid w:val="007F47C1"/>
    <w:rsid w:val="007F53EB"/>
    <w:rsid w:val="007F6E2F"/>
    <w:rsid w:val="0080070E"/>
    <w:rsid w:val="00801C88"/>
    <w:rsid w:val="008022E1"/>
    <w:rsid w:val="008036FD"/>
    <w:rsid w:val="00804CBC"/>
    <w:rsid w:val="00807732"/>
    <w:rsid w:val="00810AF1"/>
    <w:rsid w:val="008168E7"/>
    <w:rsid w:val="00817A11"/>
    <w:rsid w:val="008209B5"/>
    <w:rsid w:val="00820CF1"/>
    <w:rsid w:val="008213C5"/>
    <w:rsid w:val="00822C96"/>
    <w:rsid w:val="008244FF"/>
    <w:rsid w:val="00825110"/>
    <w:rsid w:val="00825774"/>
    <w:rsid w:val="00826B74"/>
    <w:rsid w:val="008314A1"/>
    <w:rsid w:val="0083456F"/>
    <w:rsid w:val="008362CE"/>
    <w:rsid w:val="00836512"/>
    <w:rsid w:val="00836D71"/>
    <w:rsid w:val="00836DD9"/>
    <w:rsid w:val="008370BC"/>
    <w:rsid w:val="00837720"/>
    <w:rsid w:val="008409B5"/>
    <w:rsid w:val="00841538"/>
    <w:rsid w:val="00841CCB"/>
    <w:rsid w:val="00843AC8"/>
    <w:rsid w:val="00843F31"/>
    <w:rsid w:val="0084632E"/>
    <w:rsid w:val="00846A2A"/>
    <w:rsid w:val="00846D00"/>
    <w:rsid w:val="008522EC"/>
    <w:rsid w:val="008528E6"/>
    <w:rsid w:val="00853338"/>
    <w:rsid w:val="008548FB"/>
    <w:rsid w:val="0085787A"/>
    <w:rsid w:val="00857BCB"/>
    <w:rsid w:val="00860888"/>
    <w:rsid w:val="00860C0B"/>
    <w:rsid w:val="00861DA2"/>
    <w:rsid w:val="008649A0"/>
    <w:rsid w:val="00866823"/>
    <w:rsid w:val="008670E3"/>
    <w:rsid w:val="0087009E"/>
    <w:rsid w:val="00873C7D"/>
    <w:rsid w:val="008741E1"/>
    <w:rsid w:val="00874505"/>
    <w:rsid w:val="008758DF"/>
    <w:rsid w:val="00875FCE"/>
    <w:rsid w:val="00884C2D"/>
    <w:rsid w:val="0088608C"/>
    <w:rsid w:val="00887555"/>
    <w:rsid w:val="00887803"/>
    <w:rsid w:val="00887EF1"/>
    <w:rsid w:val="00890771"/>
    <w:rsid w:val="00891225"/>
    <w:rsid w:val="00891E91"/>
    <w:rsid w:val="008952BC"/>
    <w:rsid w:val="00895A87"/>
    <w:rsid w:val="00895BF3"/>
    <w:rsid w:val="008A0576"/>
    <w:rsid w:val="008A0B21"/>
    <w:rsid w:val="008A0C98"/>
    <w:rsid w:val="008A19DA"/>
    <w:rsid w:val="008A1C5F"/>
    <w:rsid w:val="008A2866"/>
    <w:rsid w:val="008A36A7"/>
    <w:rsid w:val="008A57C3"/>
    <w:rsid w:val="008A60E2"/>
    <w:rsid w:val="008A6A7B"/>
    <w:rsid w:val="008B157C"/>
    <w:rsid w:val="008B33EA"/>
    <w:rsid w:val="008B40E7"/>
    <w:rsid w:val="008B515B"/>
    <w:rsid w:val="008B67D9"/>
    <w:rsid w:val="008C0E07"/>
    <w:rsid w:val="008C139F"/>
    <w:rsid w:val="008C2106"/>
    <w:rsid w:val="008C26AF"/>
    <w:rsid w:val="008C4A6A"/>
    <w:rsid w:val="008C550F"/>
    <w:rsid w:val="008C6162"/>
    <w:rsid w:val="008D027C"/>
    <w:rsid w:val="008D0512"/>
    <w:rsid w:val="008D0838"/>
    <w:rsid w:val="008D2680"/>
    <w:rsid w:val="008D285D"/>
    <w:rsid w:val="008D47ED"/>
    <w:rsid w:val="008D4CAC"/>
    <w:rsid w:val="008D5E86"/>
    <w:rsid w:val="008E2449"/>
    <w:rsid w:val="008E3CE1"/>
    <w:rsid w:val="008E5594"/>
    <w:rsid w:val="008E76FA"/>
    <w:rsid w:val="008F0396"/>
    <w:rsid w:val="008F10F5"/>
    <w:rsid w:val="008F1B26"/>
    <w:rsid w:val="008F1EA6"/>
    <w:rsid w:val="008F2212"/>
    <w:rsid w:val="00900359"/>
    <w:rsid w:val="00901BE4"/>
    <w:rsid w:val="00901F5C"/>
    <w:rsid w:val="0090537C"/>
    <w:rsid w:val="009066F4"/>
    <w:rsid w:val="00906932"/>
    <w:rsid w:val="009069DB"/>
    <w:rsid w:val="009072DB"/>
    <w:rsid w:val="00910008"/>
    <w:rsid w:val="0091068C"/>
    <w:rsid w:val="009109B9"/>
    <w:rsid w:val="00910CC6"/>
    <w:rsid w:val="00912314"/>
    <w:rsid w:val="00913F85"/>
    <w:rsid w:val="009152A1"/>
    <w:rsid w:val="0091536C"/>
    <w:rsid w:val="00915C93"/>
    <w:rsid w:val="00915E82"/>
    <w:rsid w:val="009248C1"/>
    <w:rsid w:val="00924A15"/>
    <w:rsid w:val="009256CD"/>
    <w:rsid w:val="00925B5F"/>
    <w:rsid w:val="00930AFD"/>
    <w:rsid w:val="00933F35"/>
    <w:rsid w:val="00933FCD"/>
    <w:rsid w:val="009343DF"/>
    <w:rsid w:val="00936FE4"/>
    <w:rsid w:val="00940391"/>
    <w:rsid w:val="00941C1B"/>
    <w:rsid w:val="00942753"/>
    <w:rsid w:val="00943D0F"/>
    <w:rsid w:val="00944373"/>
    <w:rsid w:val="00944E43"/>
    <w:rsid w:val="0094583A"/>
    <w:rsid w:val="00947316"/>
    <w:rsid w:val="0095082D"/>
    <w:rsid w:val="00950BA9"/>
    <w:rsid w:val="00954A37"/>
    <w:rsid w:val="009562A4"/>
    <w:rsid w:val="00956FFD"/>
    <w:rsid w:val="00957AA5"/>
    <w:rsid w:val="00960CBC"/>
    <w:rsid w:val="00961C57"/>
    <w:rsid w:val="0096471F"/>
    <w:rsid w:val="009651F5"/>
    <w:rsid w:val="00965216"/>
    <w:rsid w:val="00965988"/>
    <w:rsid w:val="00966083"/>
    <w:rsid w:val="00967A9A"/>
    <w:rsid w:val="00967DEB"/>
    <w:rsid w:val="00971CF8"/>
    <w:rsid w:val="009729B2"/>
    <w:rsid w:val="00972C2F"/>
    <w:rsid w:val="009748C0"/>
    <w:rsid w:val="00974FE9"/>
    <w:rsid w:val="00977363"/>
    <w:rsid w:val="00977A29"/>
    <w:rsid w:val="009829CC"/>
    <w:rsid w:val="00982C30"/>
    <w:rsid w:val="00984CB3"/>
    <w:rsid w:val="00986896"/>
    <w:rsid w:val="0099093D"/>
    <w:rsid w:val="00991DFE"/>
    <w:rsid w:val="009937EB"/>
    <w:rsid w:val="009946D2"/>
    <w:rsid w:val="00994CB0"/>
    <w:rsid w:val="00996E12"/>
    <w:rsid w:val="00997D4A"/>
    <w:rsid w:val="009A2A03"/>
    <w:rsid w:val="009A3608"/>
    <w:rsid w:val="009A482F"/>
    <w:rsid w:val="009A506C"/>
    <w:rsid w:val="009A60F4"/>
    <w:rsid w:val="009A6132"/>
    <w:rsid w:val="009A6731"/>
    <w:rsid w:val="009A7987"/>
    <w:rsid w:val="009B0E16"/>
    <w:rsid w:val="009B25A5"/>
    <w:rsid w:val="009B4856"/>
    <w:rsid w:val="009B7C2B"/>
    <w:rsid w:val="009B7D4B"/>
    <w:rsid w:val="009C2929"/>
    <w:rsid w:val="009C3B58"/>
    <w:rsid w:val="009C515B"/>
    <w:rsid w:val="009C522C"/>
    <w:rsid w:val="009C59F7"/>
    <w:rsid w:val="009C67A8"/>
    <w:rsid w:val="009C79CE"/>
    <w:rsid w:val="009D10D9"/>
    <w:rsid w:val="009D3D46"/>
    <w:rsid w:val="009D530F"/>
    <w:rsid w:val="009D578C"/>
    <w:rsid w:val="009D66D2"/>
    <w:rsid w:val="009E0A85"/>
    <w:rsid w:val="009E4A3A"/>
    <w:rsid w:val="009E702D"/>
    <w:rsid w:val="009E777B"/>
    <w:rsid w:val="009F01B9"/>
    <w:rsid w:val="009F1664"/>
    <w:rsid w:val="009F1B8C"/>
    <w:rsid w:val="009F2206"/>
    <w:rsid w:val="009F3938"/>
    <w:rsid w:val="009F45D8"/>
    <w:rsid w:val="009F52D3"/>
    <w:rsid w:val="009F587E"/>
    <w:rsid w:val="00A0089B"/>
    <w:rsid w:val="00A00AEB"/>
    <w:rsid w:val="00A0331E"/>
    <w:rsid w:val="00A05E12"/>
    <w:rsid w:val="00A0654B"/>
    <w:rsid w:val="00A068A9"/>
    <w:rsid w:val="00A075FA"/>
    <w:rsid w:val="00A103F9"/>
    <w:rsid w:val="00A10B40"/>
    <w:rsid w:val="00A1165B"/>
    <w:rsid w:val="00A12AB6"/>
    <w:rsid w:val="00A13CBB"/>
    <w:rsid w:val="00A142D8"/>
    <w:rsid w:val="00A16971"/>
    <w:rsid w:val="00A211B8"/>
    <w:rsid w:val="00A22A71"/>
    <w:rsid w:val="00A22D87"/>
    <w:rsid w:val="00A24C61"/>
    <w:rsid w:val="00A24CCB"/>
    <w:rsid w:val="00A26F9C"/>
    <w:rsid w:val="00A27744"/>
    <w:rsid w:val="00A27BCC"/>
    <w:rsid w:val="00A30003"/>
    <w:rsid w:val="00A30AAD"/>
    <w:rsid w:val="00A31307"/>
    <w:rsid w:val="00A329BF"/>
    <w:rsid w:val="00A34878"/>
    <w:rsid w:val="00A37C5C"/>
    <w:rsid w:val="00A419FF"/>
    <w:rsid w:val="00A41E52"/>
    <w:rsid w:val="00A42C1E"/>
    <w:rsid w:val="00A44A23"/>
    <w:rsid w:val="00A45467"/>
    <w:rsid w:val="00A45B6C"/>
    <w:rsid w:val="00A4682E"/>
    <w:rsid w:val="00A5023E"/>
    <w:rsid w:val="00A54B76"/>
    <w:rsid w:val="00A573EF"/>
    <w:rsid w:val="00A5788D"/>
    <w:rsid w:val="00A635E7"/>
    <w:rsid w:val="00A636AB"/>
    <w:rsid w:val="00A638BF"/>
    <w:rsid w:val="00A64652"/>
    <w:rsid w:val="00A65E68"/>
    <w:rsid w:val="00A66136"/>
    <w:rsid w:val="00A67AA7"/>
    <w:rsid w:val="00A70E15"/>
    <w:rsid w:val="00A718CA"/>
    <w:rsid w:val="00A71911"/>
    <w:rsid w:val="00A71E4B"/>
    <w:rsid w:val="00A7236D"/>
    <w:rsid w:val="00A74318"/>
    <w:rsid w:val="00A748B2"/>
    <w:rsid w:val="00A75B0B"/>
    <w:rsid w:val="00A7672E"/>
    <w:rsid w:val="00A77F0E"/>
    <w:rsid w:val="00A800AD"/>
    <w:rsid w:val="00A810D8"/>
    <w:rsid w:val="00A817C9"/>
    <w:rsid w:val="00A83A77"/>
    <w:rsid w:val="00A84538"/>
    <w:rsid w:val="00A846DE"/>
    <w:rsid w:val="00A84929"/>
    <w:rsid w:val="00A856DB"/>
    <w:rsid w:val="00A86317"/>
    <w:rsid w:val="00A86AAE"/>
    <w:rsid w:val="00A87058"/>
    <w:rsid w:val="00A90A62"/>
    <w:rsid w:val="00A90A88"/>
    <w:rsid w:val="00A91D27"/>
    <w:rsid w:val="00A92854"/>
    <w:rsid w:val="00A93CD6"/>
    <w:rsid w:val="00A9463A"/>
    <w:rsid w:val="00A95A50"/>
    <w:rsid w:val="00A967FB"/>
    <w:rsid w:val="00A97112"/>
    <w:rsid w:val="00A97869"/>
    <w:rsid w:val="00A97A04"/>
    <w:rsid w:val="00AA01FD"/>
    <w:rsid w:val="00AA0229"/>
    <w:rsid w:val="00AA0DBF"/>
    <w:rsid w:val="00AA2F9E"/>
    <w:rsid w:val="00AA3811"/>
    <w:rsid w:val="00AA585E"/>
    <w:rsid w:val="00AA58A7"/>
    <w:rsid w:val="00AA7945"/>
    <w:rsid w:val="00AB1C95"/>
    <w:rsid w:val="00AB2901"/>
    <w:rsid w:val="00AB47F3"/>
    <w:rsid w:val="00AB52EF"/>
    <w:rsid w:val="00AB70E2"/>
    <w:rsid w:val="00AB71AA"/>
    <w:rsid w:val="00AC46A1"/>
    <w:rsid w:val="00AC4D17"/>
    <w:rsid w:val="00AC4E09"/>
    <w:rsid w:val="00AC4EFA"/>
    <w:rsid w:val="00AD0CA0"/>
    <w:rsid w:val="00AD1C9A"/>
    <w:rsid w:val="00AD5071"/>
    <w:rsid w:val="00AD5AB6"/>
    <w:rsid w:val="00AD6955"/>
    <w:rsid w:val="00AD739B"/>
    <w:rsid w:val="00AE0048"/>
    <w:rsid w:val="00AE42CC"/>
    <w:rsid w:val="00AE4A06"/>
    <w:rsid w:val="00AE572D"/>
    <w:rsid w:val="00AE60A9"/>
    <w:rsid w:val="00AF17C1"/>
    <w:rsid w:val="00AF4C43"/>
    <w:rsid w:val="00AF604A"/>
    <w:rsid w:val="00AF6259"/>
    <w:rsid w:val="00AF78C4"/>
    <w:rsid w:val="00B0195D"/>
    <w:rsid w:val="00B021FC"/>
    <w:rsid w:val="00B02482"/>
    <w:rsid w:val="00B02CBD"/>
    <w:rsid w:val="00B02F44"/>
    <w:rsid w:val="00B04476"/>
    <w:rsid w:val="00B05ACA"/>
    <w:rsid w:val="00B05BCB"/>
    <w:rsid w:val="00B05E90"/>
    <w:rsid w:val="00B06000"/>
    <w:rsid w:val="00B06960"/>
    <w:rsid w:val="00B114C0"/>
    <w:rsid w:val="00B12656"/>
    <w:rsid w:val="00B13223"/>
    <w:rsid w:val="00B1485D"/>
    <w:rsid w:val="00B16920"/>
    <w:rsid w:val="00B17CA1"/>
    <w:rsid w:val="00B20515"/>
    <w:rsid w:val="00B20807"/>
    <w:rsid w:val="00B2262F"/>
    <w:rsid w:val="00B228A1"/>
    <w:rsid w:val="00B24053"/>
    <w:rsid w:val="00B3022D"/>
    <w:rsid w:val="00B30B49"/>
    <w:rsid w:val="00B31B0C"/>
    <w:rsid w:val="00B329FA"/>
    <w:rsid w:val="00B32EED"/>
    <w:rsid w:val="00B33CF2"/>
    <w:rsid w:val="00B3402D"/>
    <w:rsid w:val="00B340BE"/>
    <w:rsid w:val="00B34222"/>
    <w:rsid w:val="00B3452C"/>
    <w:rsid w:val="00B40D11"/>
    <w:rsid w:val="00B426F0"/>
    <w:rsid w:val="00B437A2"/>
    <w:rsid w:val="00B43F15"/>
    <w:rsid w:val="00B44204"/>
    <w:rsid w:val="00B44230"/>
    <w:rsid w:val="00B458A5"/>
    <w:rsid w:val="00B45F9C"/>
    <w:rsid w:val="00B46BF2"/>
    <w:rsid w:val="00B47334"/>
    <w:rsid w:val="00B47452"/>
    <w:rsid w:val="00B51918"/>
    <w:rsid w:val="00B519E4"/>
    <w:rsid w:val="00B51D74"/>
    <w:rsid w:val="00B51EED"/>
    <w:rsid w:val="00B534F1"/>
    <w:rsid w:val="00B5528D"/>
    <w:rsid w:val="00B569CF"/>
    <w:rsid w:val="00B60E4F"/>
    <w:rsid w:val="00B61F24"/>
    <w:rsid w:val="00B62F9E"/>
    <w:rsid w:val="00B63782"/>
    <w:rsid w:val="00B63787"/>
    <w:rsid w:val="00B65F5A"/>
    <w:rsid w:val="00B66080"/>
    <w:rsid w:val="00B705C7"/>
    <w:rsid w:val="00B70CCA"/>
    <w:rsid w:val="00B71AE3"/>
    <w:rsid w:val="00B72164"/>
    <w:rsid w:val="00B729E3"/>
    <w:rsid w:val="00B72DE9"/>
    <w:rsid w:val="00B7318E"/>
    <w:rsid w:val="00B742F6"/>
    <w:rsid w:val="00B74D6B"/>
    <w:rsid w:val="00B756E7"/>
    <w:rsid w:val="00B76FFA"/>
    <w:rsid w:val="00B8154D"/>
    <w:rsid w:val="00B817DA"/>
    <w:rsid w:val="00B8330A"/>
    <w:rsid w:val="00B83C7E"/>
    <w:rsid w:val="00B848F4"/>
    <w:rsid w:val="00B84B25"/>
    <w:rsid w:val="00B85C00"/>
    <w:rsid w:val="00B87082"/>
    <w:rsid w:val="00B9008B"/>
    <w:rsid w:val="00B93277"/>
    <w:rsid w:val="00B936D5"/>
    <w:rsid w:val="00B95242"/>
    <w:rsid w:val="00B963E8"/>
    <w:rsid w:val="00B96A6E"/>
    <w:rsid w:val="00B97790"/>
    <w:rsid w:val="00BA3496"/>
    <w:rsid w:val="00BA3976"/>
    <w:rsid w:val="00BA4910"/>
    <w:rsid w:val="00BA57DD"/>
    <w:rsid w:val="00BA6887"/>
    <w:rsid w:val="00BB05D9"/>
    <w:rsid w:val="00BB4722"/>
    <w:rsid w:val="00BB54B8"/>
    <w:rsid w:val="00BB6554"/>
    <w:rsid w:val="00BB6F1A"/>
    <w:rsid w:val="00BC3DA6"/>
    <w:rsid w:val="00BC3F72"/>
    <w:rsid w:val="00BC4547"/>
    <w:rsid w:val="00BC4B5B"/>
    <w:rsid w:val="00BC529C"/>
    <w:rsid w:val="00BC7587"/>
    <w:rsid w:val="00BC79AF"/>
    <w:rsid w:val="00BC7B94"/>
    <w:rsid w:val="00BD1474"/>
    <w:rsid w:val="00BD207B"/>
    <w:rsid w:val="00BD214D"/>
    <w:rsid w:val="00BD396F"/>
    <w:rsid w:val="00BD4967"/>
    <w:rsid w:val="00BD59A4"/>
    <w:rsid w:val="00BD646D"/>
    <w:rsid w:val="00BD6F27"/>
    <w:rsid w:val="00BE0DE0"/>
    <w:rsid w:val="00BE1774"/>
    <w:rsid w:val="00BE1ABC"/>
    <w:rsid w:val="00BE2B81"/>
    <w:rsid w:val="00BE5362"/>
    <w:rsid w:val="00BE54C2"/>
    <w:rsid w:val="00BF10BC"/>
    <w:rsid w:val="00BF38A8"/>
    <w:rsid w:val="00BF6341"/>
    <w:rsid w:val="00BF6E63"/>
    <w:rsid w:val="00BF7727"/>
    <w:rsid w:val="00BF773E"/>
    <w:rsid w:val="00BF7997"/>
    <w:rsid w:val="00BF7CEE"/>
    <w:rsid w:val="00C00BE5"/>
    <w:rsid w:val="00C01673"/>
    <w:rsid w:val="00C018BA"/>
    <w:rsid w:val="00C01C25"/>
    <w:rsid w:val="00C020E0"/>
    <w:rsid w:val="00C07CF8"/>
    <w:rsid w:val="00C11A3F"/>
    <w:rsid w:val="00C14858"/>
    <w:rsid w:val="00C15CC9"/>
    <w:rsid w:val="00C166FA"/>
    <w:rsid w:val="00C17610"/>
    <w:rsid w:val="00C205E6"/>
    <w:rsid w:val="00C206D9"/>
    <w:rsid w:val="00C21D97"/>
    <w:rsid w:val="00C21D9E"/>
    <w:rsid w:val="00C21FF9"/>
    <w:rsid w:val="00C222FE"/>
    <w:rsid w:val="00C247A4"/>
    <w:rsid w:val="00C24DA5"/>
    <w:rsid w:val="00C2769B"/>
    <w:rsid w:val="00C31066"/>
    <w:rsid w:val="00C3443F"/>
    <w:rsid w:val="00C35CCD"/>
    <w:rsid w:val="00C35D8A"/>
    <w:rsid w:val="00C361A7"/>
    <w:rsid w:val="00C36CC1"/>
    <w:rsid w:val="00C3761B"/>
    <w:rsid w:val="00C40E2B"/>
    <w:rsid w:val="00C42F08"/>
    <w:rsid w:val="00C43313"/>
    <w:rsid w:val="00C55A17"/>
    <w:rsid w:val="00C6057E"/>
    <w:rsid w:val="00C611B9"/>
    <w:rsid w:val="00C612CE"/>
    <w:rsid w:val="00C61B91"/>
    <w:rsid w:val="00C61B98"/>
    <w:rsid w:val="00C63420"/>
    <w:rsid w:val="00C63D04"/>
    <w:rsid w:val="00C6410A"/>
    <w:rsid w:val="00C6416D"/>
    <w:rsid w:val="00C642E5"/>
    <w:rsid w:val="00C64D07"/>
    <w:rsid w:val="00C6596F"/>
    <w:rsid w:val="00C73C41"/>
    <w:rsid w:val="00C757DB"/>
    <w:rsid w:val="00C77507"/>
    <w:rsid w:val="00C77FAD"/>
    <w:rsid w:val="00C80A2E"/>
    <w:rsid w:val="00C850F5"/>
    <w:rsid w:val="00C85F2C"/>
    <w:rsid w:val="00C867C6"/>
    <w:rsid w:val="00C9223C"/>
    <w:rsid w:val="00C922C6"/>
    <w:rsid w:val="00C9421E"/>
    <w:rsid w:val="00C94A15"/>
    <w:rsid w:val="00C94F02"/>
    <w:rsid w:val="00C97B9E"/>
    <w:rsid w:val="00CA0322"/>
    <w:rsid w:val="00CA45A8"/>
    <w:rsid w:val="00CA4E09"/>
    <w:rsid w:val="00CA6244"/>
    <w:rsid w:val="00CA66C3"/>
    <w:rsid w:val="00CA752B"/>
    <w:rsid w:val="00CB098F"/>
    <w:rsid w:val="00CB11E0"/>
    <w:rsid w:val="00CB277F"/>
    <w:rsid w:val="00CB29A8"/>
    <w:rsid w:val="00CB3E2B"/>
    <w:rsid w:val="00CB4EA6"/>
    <w:rsid w:val="00CB52E0"/>
    <w:rsid w:val="00CB56E5"/>
    <w:rsid w:val="00CB6A92"/>
    <w:rsid w:val="00CB7BAC"/>
    <w:rsid w:val="00CC35D2"/>
    <w:rsid w:val="00CC3FEC"/>
    <w:rsid w:val="00CC4193"/>
    <w:rsid w:val="00CC5CF2"/>
    <w:rsid w:val="00CC7065"/>
    <w:rsid w:val="00CD0C41"/>
    <w:rsid w:val="00CD148A"/>
    <w:rsid w:val="00CD1C07"/>
    <w:rsid w:val="00CD7E91"/>
    <w:rsid w:val="00CE0777"/>
    <w:rsid w:val="00CE0FFD"/>
    <w:rsid w:val="00CE1BA1"/>
    <w:rsid w:val="00CE56D5"/>
    <w:rsid w:val="00CE5FDC"/>
    <w:rsid w:val="00CE6463"/>
    <w:rsid w:val="00CE6503"/>
    <w:rsid w:val="00CE7909"/>
    <w:rsid w:val="00CF0121"/>
    <w:rsid w:val="00CF0B33"/>
    <w:rsid w:val="00CF1847"/>
    <w:rsid w:val="00CF26D9"/>
    <w:rsid w:val="00CF29CF"/>
    <w:rsid w:val="00CF3240"/>
    <w:rsid w:val="00CF39CE"/>
    <w:rsid w:val="00CF3DEB"/>
    <w:rsid w:val="00CF4ACE"/>
    <w:rsid w:val="00CF4DAD"/>
    <w:rsid w:val="00CF54E2"/>
    <w:rsid w:val="00CF5BB7"/>
    <w:rsid w:val="00CF6457"/>
    <w:rsid w:val="00D00093"/>
    <w:rsid w:val="00D00680"/>
    <w:rsid w:val="00D0199B"/>
    <w:rsid w:val="00D04E14"/>
    <w:rsid w:val="00D064D6"/>
    <w:rsid w:val="00D06D73"/>
    <w:rsid w:val="00D11166"/>
    <w:rsid w:val="00D1276A"/>
    <w:rsid w:val="00D12773"/>
    <w:rsid w:val="00D13C6E"/>
    <w:rsid w:val="00D13D58"/>
    <w:rsid w:val="00D1536C"/>
    <w:rsid w:val="00D1581F"/>
    <w:rsid w:val="00D206CE"/>
    <w:rsid w:val="00D20B94"/>
    <w:rsid w:val="00D2244F"/>
    <w:rsid w:val="00D231E2"/>
    <w:rsid w:val="00D277A8"/>
    <w:rsid w:val="00D27B5E"/>
    <w:rsid w:val="00D300CD"/>
    <w:rsid w:val="00D31EAC"/>
    <w:rsid w:val="00D32C62"/>
    <w:rsid w:val="00D32EE9"/>
    <w:rsid w:val="00D35C7F"/>
    <w:rsid w:val="00D3617E"/>
    <w:rsid w:val="00D369EA"/>
    <w:rsid w:val="00D36C8B"/>
    <w:rsid w:val="00D36FEE"/>
    <w:rsid w:val="00D403B5"/>
    <w:rsid w:val="00D46F08"/>
    <w:rsid w:val="00D4787B"/>
    <w:rsid w:val="00D5154A"/>
    <w:rsid w:val="00D52088"/>
    <w:rsid w:val="00D5256B"/>
    <w:rsid w:val="00D53DBC"/>
    <w:rsid w:val="00D57B98"/>
    <w:rsid w:val="00D60DD9"/>
    <w:rsid w:val="00D612CD"/>
    <w:rsid w:val="00D6192D"/>
    <w:rsid w:val="00D64268"/>
    <w:rsid w:val="00D66D48"/>
    <w:rsid w:val="00D67D34"/>
    <w:rsid w:val="00D7156F"/>
    <w:rsid w:val="00D727AD"/>
    <w:rsid w:val="00D731D0"/>
    <w:rsid w:val="00D73D6E"/>
    <w:rsid w:val="00D74B25"/>
    <w:rsid w:val="00D7525F"/>
    <w:rsid w:val="00D7536A"/>
    <w:rsid w:val="00D759E2"/>
    <w:rsid w:val="00D76696"/>
    <w:rsid w:val="00D767CA"/>
    <w:rsid w:val="00D823BB"/>
    <w:rsid w:val="00D828AD"/>
    <w:rsid w:val="00D836F5"/>
    <w:rsid w:val="00D857E5"/>
    <w:rsid w:val="00D869BE"/>
    <w:rsid w:val="00D907E4"/>
    <w:rsid w:val="00D92711"/>
    <w:rsid w:val="00D950E3"/>
    <w:rsid w:val="00D955AB"/>
    <w:rsid w:val="00D95C8E"/>
    <w:rsid w:val="00D97E29"/>
    <w:rsid w:val="00DA04E9"/>
    <w:rsid w:val="00DA2589"/>
    <w:rsid w:val="00DA361A"/>
    <w:rsid w:val="00DA3A94"/>
    <w:rsid w:val="00DA55ED"/>
    <w:rsid w:val="00DA566E"/>
    <w:rsid w:val="00DA7A93"/>
    <w:rsid w:val="00DA7B80"/>
    <w:rsid w:val="00DA7BDD"/>
    <w:rsid w:val="00DB284A"/>
    <w:rsid w:val="00DB2CA6"/>
    <w:rsid w:val="00DB3D37"/>
    <w:rsid w:val="00DB3F42"/>
    <w:rsid w:val="00DB43C8"/>
    <w:rsid w:val="00DB453D"/>
    <w:rsid w:val="00DC0ADF"/>
    <w:rsid w:val="00DC58CD"/>
    <w:rsid w:val="00DC7DBA"/>
    <w:rsid w:val="00DD3A05"/>
    <w:rsid w:val="00DD4A5A"/>
    <w:rsid w:val="00DD5CB9"/>
    <w:rsid w:val="00DD70FB"/>
    <w:rsid w:val="00DE1F8B"/>
    <w:rsid w:val="00DE2884"/>
    <w:rsid w:val="00DE29E5"/>
    <w:rsid w:val="00DE39A1"/>
    <w:rsid w:val="00DE3F11"/>
    <w:rsid w:val="00DE5629"/>
    <w:rsid w:val="00DE698B"/>
    <w:rsid w:val="00DE79DC"/>
    <w:rsid w:val="00DF026E"/>
    <w:rsid w:val="00DF10DD"/>
    <w:rsid w:val="00DF1787"/>
    <w:rsid w:val="00DF2F76"/>
    <w:rsid w:val="00DF6371"/>
    <w:rsid w:val="00DF7844"/>
    <w:rsid w:val="00DF7AE4"/>
    <w:rsid w:val="00E007DF"/>
    <w:rsid w:val="00E01402"/>
    <w:rsid w:val="00E02A98"/>
    <w:rsid w:val="00E0499F"/>
    <w:rsid w:val="00E04B84"/>
    <w:rsid w:val="00E05262"/>
    <w:rsid w:val="00E070EF"/>
    <w:rsid w:val="00E07F2C"/>
    <w:rsid w:val="00E101C6"/>
    <w:rsid w:val="00E10AA1"/>
    <w:rsid w:val="00E114AA"/>
    <w:rsid w:val="00E115C6"/>
    <w:rsid w:val="00E11B16"/>
    <w:rsid w:val="00E14AE9"/>
    <w:rsid w:val="00E14C2B"/>
    <w:rsid w:val="00E16804"/>
    <w:rsid w:val="00E2275C"/>
    <w:rsid w:val="00E22CF7"/>
    <w:rsid w:val="00E233C2"/>
    <w:rsid w:val="00E23C58"/>
    <w:rsid w:val="00E241DB"/>
    <w:rsid w:val="00E24D2C"/>
    <w:rsid w:val="00E25499"/>
    <w:rsid w:val="00E266FC"/>
    <w:rsid w:val="00E31564"/>
    <w:rsid w:val="00E319B0"/>
    <w:rsid w:val="00E32863"/>
    <w:rsid w:val="00E33AA9"/>
    <w:rsid w:val="00E3463F"/>
    <w:rsid w:val="00E35280"/>
    <w:rsid w:val="00E353FF"/>
    <w:rsid w:val="00E37E12"/>
    <w:rsid w:val="00E37EB3"/>
    <w:rsid w:val="00E40711"/>
    <w:rsid w:val="00E408A1"/>
    <w:rsid w:val="00E40DA5"/>
    <w:rsid w:val="00E41ED8"/>
    <w:rsid w:val="00E424AE"/>
    <w:rsid w:val="00E42BDE"/>
    <w:rsid w:val="00E45003"/>
    <w:rsid w:val="00E45B0B"/>
    <w:rsid w:val="00E470D2"/>
    <w:rsid w:val="00E4729E"/>
    <w:rsid w:val="00E4768B"/>
    <w:rsid w:val="00E5479A"/>
    <w:rsid w:val="00E55453"/>
    <w:rsid w:val="00E55E5F"/>
    <w:rsid w:val="00E615D9"/>
    <w:rsid w:val="00E61B41"/>
    <w:rsid w:val="00E62B19"/>
    <w:rsid w:val="00E751D1"/>
    <w:rsid w:val="00E81380"/>
    <w:rsid w:val="00E81BFE"/>
    <w:rsid w:val="00E84B9D"/>
    <w:rsid w:val="00E85397"/>
    <w:rsid w:val="00E911B0"/>
    <w:rsid w:val="00E91B92"/>
    <w:rsid w:val="00E93840"/>
    <w:rsid w:val="00E93AC9"/>
    <w:rsid w:val="00E93D5D"/>
    <w:rsid w:val="00E95926"/>
    <w:rsid w:val="00E95E69"/>
    <w:rsid w:val="00E962DC"/>
    <w:rsid w:val="00E969D9"/>
    <w:rsid w:val="00E96F60"/>
    <w:rsid w:val="00E979E8"/>
    <w:rsid w:val="00EA0C59"/>
    <w:rsid w:val="00EA6660"/>
    <w:rsid w:val="00EA7439"/>
    <w:rsid w:val="00EA7EEF"/>
    <w:rsid w:val="00EB09D5"/>
    <w:rsid w:val="00EB0CB9"/>
    <w:rsid w:val="00EB11F8"/>
    <w:rsid w:val="00EB4369"/>
    <w:rsid w:val="00EB5186"/>
    <w:rsid w:val="00EB6114"/>
    <w:rsid w:val="00EC0C6B"/>
    <w:rsid w:val="00EC134D"/>
    <w:rsid w:val="00EC3F41"/>
    <w:rsid w:val="00EC45E9"/>
    <w:rsid w:val="00EC4A1A"/>
    <w:rsid w:val="00EC5D87"/>
    <w:rsid w:val="00EC772A"/>
    <w:rsid w:val="00ED12EE"/>
    <w:rsid w:val="00ED1609"/>
    <w:rsid w:val="00ED311A"/>
    <w:rsid w:val="00ED399D"/>
    <w:rsid w:val="00ED51DC"/>
    <w:rsid w:val="00ED549F"/>
    <w:rsid w:val="00ED5F12"/>
    <w:rsid w:val="00ED74F0"/>
    <w:rsid w:val="00EE14EA"/>
    <w:rsid w:val="00EE1717"/>
    <w:rsid w:val="00EE21FC"/>
    <w:rsid w:val="00EE28F1"/>
    <w:rsid w:val="00EE3CC9"/>
    <w:rsid w:val="00EE6495"/>
    <w:rsid w:val="00EE6530"/>
    <w:rsid w:val="00EF1AE3"/>
    <w:rsid w:val="00EF2C15"/>
    <w:rsid w:val="00EF386E"/>
    <w:rsid w:val="00EF6A54"/>
    <w:rsid w:val="00EF7AAC"/>
    <w:rsid w:val="00EF7C67"/>
    <w:rsid w:val="00F01C69"/>
    <w:rsid w:val="00F02410"/>
    <w:rsid w:val="00F03DA9"/>
    <w:rsid w:val="00F0418D"/>
    <w:rsid w:val="00F04CE1"/>
    <w:rsid w:val="00F056FD"/>
    <w:rsid w:val="00F06934"/>
    <w:rsid w:val="00F07F37"/>
    <w:rsid w:val="00F10A68"/>
    <w:rsid w:val="00F118CD"/>
    <w:rsid w:val="00F11E8F"/>
    <w:rsid w:val="00F134CB"/>
    <w:rsid w:val="00F25274"/>
    <w:rsid w:val="00F268F3"/>
    <w:rsid w:val="00F30A5A"/>
    <w:rsid w:val="00F31143"/>
    <w:rsid w:val="00F33FCF"/>
    <w:rsid w:val="00F36278"/>
    <w:rsid w:val="00F37379"/>
    <w:rsid w:val="00F40340"/>
    <w:rsid w:val="00F42B9E"/>
    <w:rsid w:val="00F4621B"/>
    <w:rsid w:val="00F4667D"/>
    <w:rsid w:val="00F51003"/>
    <w:rsid w:val="00F55454"/>
    <w:rsid w:val="00F57241"/>
    <w:rsid w:val="00F57265"/>
    <w:rsid w:val="00F60E1E"/>
    <w:rsid w:val="00F614B7"/>
    <w:rsid w:val="00F61CFF"/>
    <w:rsid w:val="00F624D4"/>
    <w:rsid w:val="00F6267E"/>
    <w:rsid w:val="00F65EE8"/>
    <w:rsid w:val="00F71180"/>
    <w:rsid w:val="00F749B0"/>
    <w:rsid w:val="00F75D20"/>
    <w:rsid w:val="00F76802"/>
    <w:rsid w:val="00F83DD4"/>
    <w:rsid w:val="00F8553B"/>
    <w:rsid w:val="00F85D9A"/>
    <w:rsid w:val="00F90C69"/>
    <w:rsid w:val="00F92096"/>
    <w:rsid w:val="00F92C58"/>
    <w:rsid w:val="00F92C8B"/>
    <w:rsid w:val="00F94BEE"/>
    <w:rsid w:val="00F94C17"/>
    <w:rsid w:val="00F94FD1"/>
    <w:rsid w:val="00F96A4E"/>
    <w:rsid w:val="00F96E23"/>
    <w:rsid w:val="00F97323"/>
    <w:rsid w:val="00F974AE"/>
    <w:rsid w:val="00F978C6"/>
    <w:rsid w:val="00FA13A8"/>
    <w:rsid w:val="00FA206F"/>
    <w:rsid w:val="00FB1786"/>
    <w:rsid w:val="00FB1A61"/>
    <w:rsid w:val="00FB222C"/>
    <w:rsid w:val="00FB4AF9"/>
    <w:rsid w:val="00FB57CF"/>
    <w:rsid w:val="00FB7FC2"/>
    <w:rsid w:val="00FC0480"/>
    <w:rsid w:val="00FC0485"/>
    <w:rsid w:val="00FC0BEF"/>
    <w:rsid w:val="00FC3473"/>
    <w:rsid w:val="00FD0261"/>
    <w:rsid w:val="00FD2426"/>
    <w:rsid w:val="00FD25D7"/>
    <w:rsid w:val="00FD2D16"/>
    <w:rsid w:val="00FD39E8"/>
    <w:rsid w:val="00FD3BBA"/>
    <w:rsid w:val="00FD43EF"/>
    <w:rsid w:val="00FD4CD6"/>
    <w:rsid w:val="00FD524C"/>
    <w:rsid w:val="00FD7D57"/>
    <w:rsid w:val="00FE2F0E"/>
    <w:rsid w:val="00FE38DB"/>
    <w:rsid w:val="00FE61D1"/>
    <w:rsid w:val="00FF0311"/>
    <w:rsid w:val="00FF30F5"/>
    <w:rsid w:val="00FF3DEF"/>
    <w:rsid w:val="00FF4801"/>
    <w:rsid w:val="00FF4E97"/>
    <w:rsid w:val="00FF5EA9"/>
    <w:rsid w:val="00FF7B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C23ED"/>
  <w15:chartTrackingRefBased/>
  <w15:docId w15:val="{955B6C09-983E-F54E-A7E4-27469D138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1E8"/>
    <w:rPr>
      <w:rFonts w:ascii="Times New Roman" w:eastAsia="Times New Roman" w:hAnsi="Times New Roman" w:cs="Times New Roman"/>
    </w:rPr>
  </w:style>
  <w:style w:type="paragraph" w:styleId="Heading1">
    <w:name w:val="heading 1"/>
    <w:basedOn w:val="Normal"/>
    <w:link w:val="Heading1Char"/>
    <w:uiPriority w:val="9"/>
    <w:qFormat/>
    <w:rsid w:val="00836512"/>
    <w:pPr>
      <w:spacing w:before="100" w:beforeAutospacing="1" w:after="100" w:afterAutospacing="1"/>
      <w:outlineLvl w:val="0"/>
    </w:pPr>
    <w:rPr>
      <w:b/>
      <w:bCs/>
      <w:kern w:val="36"/>
      <w:sz w:val="48"/>
      <w:szCs w:val="48"/>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B7F"/>
    <w:pPr>
      <w:ind w:left="720"/>
      <w:contextualSpacing/>
    </w:pPr>
    <w:rPr>
      <w:rFonts w:asciiTheme="minorHAnsi" w:eastAsiaTheme="minorHAnsi" w:hAnsiTheme="minorHAnsi" w:cstheme="minorBidi"/>
      <w:lang w:val="en-US"/>
    </w:rPr>
  </w:style>
  <w:style w:type="character" w:styleId="CommentReference">
    <w:name w:val="annotation reference"/>
    <w:basedOn w:val="DefaultParagraphFont"/>
    <w:uiPriority w:val="99"/>
    <w:semiHidden/>
    <w:unhideWhenUsed/>
    <w:rsid w:val="003B5B7F"/>
    <w:rPr>
      <w:sz w:val="18"/>
      <w:szCs w:val="18"/>
    </w:rPr>
  </w:style>
  <w:style w:type="paragraph" w:styleId="CommentText">
    <w:name w:val="annotation text"/>
    <w:basedOn w:val="Normal"/>
    <w:link w:val="CommentTextChar"/>
    <w:uiPriority w:val="99"/>
    <w:semiHidden/>
    <w:unhideWhenUsed/>
    <w:rsid w:val="003B5B7F"/>
    <w:rPr>
      <w:rFonts w:asciiTheme="minorHAnsi" w:eastAsiaTheme="minorHAnsi" w:hAnsiTheme="minorHAnsi" w:cstheme="minorBidi"/>
      <w:lang w:val="en-US"/>
    </w:rPr>
  </w:style>
  <w:style w:type="character" w:customStyle="1" w:styleId="CommentTextChar">
    <w:name w:val="Comment Text Char"/>
    <w:basedOn w:val="DefaultParagraphFont"/>
    <w:link w:val="CommentText"/>
    <w:uiPriority w:val="99"/>
    <w:semiHidden/>
    <w:rsid w:val="003B5B7F"/>
    <w:rPr>
      <w:lang w:val="en-US"/>
    </w:rPr>
  </w:style>
  <w:style w:type="paragraph" w:styleId="BalloonText">
    <w:name w:val="Balloon Text"/>
    <w:basedOn w:val="Normal"/>
    <w:link w:val="BalloonTextChar"/>
    <w:uiPriority w:val="99"/>
    <w:semiHidden/>
    <w:unhideWhenUsed/>
    <w:rsid w:val="003B5B7F"/>
    <w:rPr>
      <w:rFonts w:eastAsiaTheme="minorHAnsi"/>
      <w:sz w:val="18"/>
      <w:szCs w:val="18"/>
      <w:lang w:val="en-US"/>
    </w:rPr>
  </w:style>
  <w:style w:type="character" w:customStyle="1" w:styleId="BalloonTextChar">
    <w:name w:val="Balloon Text Char"/>
    <w:basedOn w:val="DefaultParagraphFont"/>
    <w:link w:val="BalloonText"/>
    <w:uiPriority w:val="99"/>
    <w:semiHidden/>
    <w:rsid w:val="003B5B7F"/>
    <w:rPr>
      <w:rFonts w:ascii="Times New Roman" w:hAnsi="Times New Roman" w:cs="Times New Roman"/>
      <w:sz w:val="18"/>
      <w:szCs w:val="18"/>
      <w:lang w:val="en-US"/>
    </w:rPr>
  </w:style>
  <w:style w:type="paragraph" w:styleId="NormalWeb">
    <w:name w:val="Normal (Web)"/>
    <w:basedOn w:val="Normal"/>
    <w:uiPriority w:val="99"/>
    <w:unhideWhenUsed/>
    <w:rsid w:val="003B5B7F"/>
  </w:style>
  <w:style w:type="paragraph" w:styleId="CommentSubject">
    <w:name w:val="annotation subject"/>
    <w:basedOn w:val="CommentText"/>
    <w:next w:val="CommentText"/>
    <w:link w:val="CommentSubjectChar"/>
    <w:uiPriority w:val="99"/>
    <w:semiHidden/>
    <w:unhideWhenUsed/>
    <w:rsid w:val="003B5B7F"/>
    <w:rPr>
      <w:rFonts w:ascii="Times New Roman" w:eastAsia="Times New Roman" w:hAnsi="Times New Roman" w:cs="Times New Roman"/>
      <w:b/>
      <w:bCs/>
      <w:sz w:val="20"/>
      <w:szCs w:val="20"/>
      <w:lang w:val="en-CA"/>
    </w:rPr>
  </w:style>
  <w:style w:type="character" w:customStyle="1" w:styleId="CommentSubjectChar">
    <w:name w:val="Comment Subject Char"/>
    <w:basedOn w:val="CommentTextChar"/>
    <w:link w:val="CommentSubject"/>
    <w:uiPriority w:val="99"/>
    <w:semiHidden/>
    <w:rsid w:val="003B5B7F"/>
    <w:rPr>
      <w:rFonts w:ascii="Times New Roman" w:eastAsia="Times New Roman" w:hAnsi="Times New Roman" w:cs="Times New Roman"/>
      <w:b/>
      <w:bCs/>
      <w:sz w:val="20"/>
      <w:szCs w:val="20"/>
      <w:lang w:val="en-US"/>
    </w:rPr>
  </w:style>
  <w:style w:type="paragraph" w:styleId="Revision">
    <w:name w:val="Revision"/>
    <w:hidden/>
    <w:uiPriority w:val="99"/>
    <w:semiHidden/>
    <w:rsid w:val="003B5B7F"/>
    <w:rPr>
      <w:rFonts w:ascii="Times New Roman" w:eastAsia="Times New Roman" w:hAnsi="Times New Roman" w:cs="Times New Roman"/>
    </w:rPr>
  </w:style>
  <w:style w:type="paragraph" w:styleId="Footer">
    <w:name w:val="footer"/>
    <w:basedOn w:val="Normal"/>
    <w:link w:val="FooterChar"/>
    <w:uiPriority w:val="99"/>
    <w:unhideWhenUsed/>
    <w:rsid w:val="003B5B7F"/>
    <w:pPr>
      <w:tabs>
        <w:tab w:val="center" w:pos="4680"/>
        <w:tab w:val="right" w:pos="9360"/>
      </w:tabs>
    </w:pPr>
  </w:style>
  <w:style w:type="character" w:customStyle="1" w:styleId="FooterChar">
    <w:name w:val="Footer Char"/>
    <w:basedOn w:val="DefaultParagraphFont"/>
    <w:link w:val="Footer"/>
    <w:uiPriority w:val="99"/>
    <w:rsid w:val="003B5B7F"/>
    <w:rPr>
      <w:rFonts w:ascii="Times New Roman" w:eastAsia="Times New Roman" w:hAnsi="Times New Roman" w:cs="Times New Roman"/>
    </w:rPr>
  </w:style>
  <w:style w:type="character" w:styleId="PageNumber">
    <w:name w:val="page number"/>
    <w:basedOn w:val="DefaultParagraphFont"/>
    <w:uiPriority w:val="99"/>
    <w:semiHidden/>
    <w:unhideWhenUsed/>
    <w:rsid w:val="003B5B7F"/>
  </w:style>
  <w:style w:type="character" w:styleId="PlaceholderText">
    <w:name w:val="Placeholder Text"/>
    <w:basedOn w:val="DefaultParagraphFont"/>
    <w:uiPriority w:val="99"/>
    <w:semiHidden/>
    <w:rsid w:val="00CF5BB7"/>
    <w:rPr>
      <w:color w:val="808080"/>
    </w:rPr>
  </w:style>
  <w:style w:type="table" w:styleId="TableGrid">
    <w:name w:val="Table Grid"/>
    <w:basedOn w:val="TableNormal"/>
    <w:uiPriority w:val="39"/>
    <w:rsid w:val="00CF5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5BB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F5BB7"/>
  </w:style>
  <w:style w:type="numbering" w:customStyle="1" w:styleId="NoList1">
    <w:name w:val="No List1"/>
    <w:next w:val="NoList"/>
    <w:uiPriority w:val="99"/>
    <w:semiHidden/>
    <w:unhideWhenUsed/>
    <w:rsid w:val="00576C24"/>
  </w:style>
  <w:style w:type="table" w:customStyle="1" w:styleId="TableGrid1">
    <w:name w:val="Table Grid1"/>
    <w:basedOn w:val="TableNormal"/>
    <w:next w:val="TableGrid"/>
    <w:uiPriority w:val="39"/>
    <w:rsid w:val="00576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421E8"/>
  </w:style>
  <w:style w:type="character" w:styleId="Emphasis">
    <w:name w:val="Emphasis"/>
    <w:basedOn w:val="DefaultParagraphFont"/>
    <w:uiPriority w:val="20"/>
    <w:qFormat/>
    <w:rsid w:val="005421E8"/>
    <w:rPr>
      <w:i/>
      <w:iCs/>
    </w:rPr>
  </w:style>
  <w:style w:type="character" w:styleId="Hyperlink">
    <w:name w:val="Hyperlink"/>
    <w:basedOn w:val="DefaultParagraphFont"/>
    <w:uiPriority w:val="99"/>
    <w:unhideWhenUsed/>
    <w:rsid w:val="0016114B"/>
    <w:rPr>
      <w:color w:val="0563C1" w:themeColor="hyperlink"/>
      <w:u w:val="single"/>
    </w:rPr>
  </w:style>
  <w:style w:type="character" w:customStyle="1" w:styleId="UnresolvedMention1">
    <w:name w:val="Unresolved Mention1"/>
    <w:basedOn w:val="DefaultParagraphFont"/>
    <w:uiPriority w:val="99"/>
    <w:semiHidden/>
    <w:unhideWhenUsed/>
    <w:rsid w:val="0016114B"/>
    <w:rPr>
      <w:color w:val="605E5C"/>
      <w:shd w:val="clear" w:color="auto" w:fill="E1DFDD"/>
    </w:rPr>
  </w:style>
  <w:style w:type="character" w:styleId="FollowedHyperlink">
    <w:name w:val="FollowedHyperlink"/>
    <w:basedOn w:val="DefaultParagraphFont"/>
    <w:uiPriority w:val="99"/>
    <w:semiHidden/>
    <w:unhideWhenUsed/>
    <w:rsid w:val="0016114B"/>
    <w:rPr>
      <w:color w:val="954F72" w:themeColor="followedHyperlink"/>
      <w:u w:val="single"/>
    </w:rPr>
  </w:style>
  <w:style w:type="character" w:customStyle="1" w:styleId="Heading1Char">
    <w:name w:val="Heading 1 Char"/>
    <w:basedOn w:val="DefaultParagraphFont"/>
    <w:link w:val="Heading1"/>
    <w:uiPriority w:val="9"/>
    <w:rsid w:val="00836512"/>
    <w:rPr>
      <w:rFonts w:ascii="Times New Roman" w:eastAsia="Times New Roman" w:hAnsi="Times New Roman" w:cs="Times New Roman"/>
      <w:b/>
      <w:bCs/>
      <w:kern w:val="36"/>
      <w:sz w:val="48"/>
      <w:szCs w:val="48"/>
      <w:lang w:val="es-ES"/>
    </w:rPr>
  </w:style>
  <w:style w:type="paragraph" w:customStyle="1" w:styleId="msonormal0">
    <w:name w:val="msonormal"/>
    <w:basedOn w:val="Normal"/>
    <w:uiPriority w:val="99"/>
    <w:rsid w:val="00836512"/>
  </w:style>
  <w:style w:type="character" w:customStyle="1" w:styleId="UnresolvedMention10">
    <w:name w:val="Unresolved Mention1"/>
    <w:basedOn w:val="DefaultParagraphFont"/>
    <w:uiPriority w:val="99"/>
    <w:semiHidden/>
    <w:rsid w:val="00836512"/>
    <w:rPr>
      <w:color w:val="605E5C"/>
      <w:shd w:val="clear" w:color="auto" w:fill="E1DFDD"/>
    </w:rPr>
  </w:style>
  <w:style w:type="character" w:styleId="SubtleEmphasis">
    <w:name w:val="Subtle Emphasis"/>
    <w:basedOn w:val="DefaultParagraphFont"/>
    <w:uiPriority w:val="19"/>
    <w:qFormat/>
    <w:rsid w:val="004E566A"/>
    <w:rPr>
      <w:i/>
      <w:iCs/>
      <w:color w:val="404040" w:themeColor="text1" w:themeTint="BF"/>
    </w:rPr>
  </w:style>
  <w:style w:type="character" w:styleId="UnresolvedMention">
    <w:name w:val="Unresolved Mention"/>
    <w:basedOn w:val="DefaultParagraphFont"/>
    <w:uiPriority w:val="99"/>
    <w:semiHidden/>
    <w:unhideWhenUsed/>
    <w:rsid w:val="00234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743">
      <w:bodyDiv w:val="1"/>
      <w:marLeft w:val="0"/>
      <w:marRight w:val="0"/>
      <w:marTop w:val="0"/>
      <w:marBottom w:val="0"/>
      <w:divBdr>
        <w:top w:val="none" w:sz="0" w:space="0" w:color="auto"/>
        <w:left w:val="none" w:sz="0" w:space="0" w:color="auto"/>
        <w:bottom w:val="none" w:sz="0" w:space="0" w:color="auto"/>
        <w:right w:val="none" w:sz="0" w:space="0" w:color="auto"/>
      </w:divBdr>
      <w:divsChild>
        <w:div w:id="1941446284">
          <w:marLeft w:val="0"/>
          <w:marRight w:val="0"/>
          <w:marTop w:val="0"/>
          <w:marBottom w:val="0"/>
          <w:divBdr>
            <w:top w:val="none" w:sz="0" w:space="0" w:color="auto"/>
            <w:left w:val="none" w:sz="0" w:space="0" w:color="auto"/>
            <w:bottom w:val="none" w:sz="0" w:space="0" w:color="auto"/>
            <w:right w:val="none" w:sz="0" w:space="0" w:color="auto"/>
          </w:divBdr>
          <w:divsChild>
            <w:div w:id="2108694156">
              <w:marLeft w:val="0"/>
              <w:marRight w:val="0"/>
              <w:marTop w:val="0"/>
              <w:marBottom w:val="0"/>
              <w:divBdr>
                <w:top w:val="none" w:sz="0" w:space="0" w:color="auto"/>
                <w:left w:val="none" w:sz="0" w:space="0" w:color="auto"/>
                <w:bottom w:val="none" w:sz="0" w:space="0" w:color="auto"/>
                <w:right w:val="none" w:sz="0" w:space="0" w:color="auto"/>
              </w:divBdr>
              <w:divsChild>
                <w:div w:id="893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7204">
      <w:bodyDiv w:val="1"/>
      <w:marLeft w:val="0"/>
      <w:marRight w:val="0"/>
      <w:marTop w:val="0"/>
      <w:marBottom w:val="0"/>
      <w:divBdr>
        <w:top w:val="none" w:sz="0" w:space="0" w:color="auto"/>
        <w:left w:val="none" w:sz="0" w:space="0" w:color="auto"/>
        <w:bottom w:val="none" w:sz="0" w:space="0" w:color="auto"/>
        <w:right w:val="none" w:sz="0" w:space="0" w:color="auto"/>
      </w:divBdr>
      <w:divsChild>
        <w:div w:id="415518288">
          <w:marLeft w:val="0"/>
          <w:marRight w:val="0"/>
          <w:marTop w:val="0"/>
          <w:marBottom w:val="0"/>
          <w:divBdr>
            <w:top w:val="none" w:sz="0" w:space="0" w:color="auto"/>
            <w:left w:val="none" w:sz="0" w:space="0" w:color="auto"/>
            <w:bottom w:val="none" w:sz="0" w:space="0" w:color="auto"/>
            <w:right w:val="none" w:sz="0" w:space="0" w:color="auto"/>
          </w:divBdr>
          <w:divsChild>
            <w:div w:id="223876141">
              <w:marLeft w:val="0"/>
              <w:marRight w:val="0"/>
              <w:marTop w:val="0"/>
              <w:marBottom w:val="0"/>
              <w:divBdr>
                <w:top w:val="none" w:sz="0" w:space="0" w:color="auto"/>
                <w:left w:val="none" w:sz="0" w:space="0" w:color="auto"/>
                <w:bottom w:val="none" w:sz="0" w:space="0" w:color="auto"/>
                <w:right w:val="none" w:sz="0" w:space="0" w:color="auto"/>
              </w:divBdr>
              <w:divsChild>
                <w:div w:id="1978872629">
                  <w:marLeft w:val="0"/>
                  <w:marRight w:val="0"/>
                  <w:marTop w:val="0"/>
                  <w:marBottom w:val="0"/>
                  <w:divBdr>
                    <w:top w:val="none" w:sz="0" w:space="0" w:color="auto"/>
                    <w:left w:val="none" w:sz="0" w:space="0" w:color="auto"/>
                    <w:bottom w:val="none" w:sz="0" w:space="0" w:color="auto"/>
                    <w:right w:val="none" w:sz="0" w:space="0" w:color="auto"/>
                  </w:divBdr>
                </w:div>
              </w:divsChild>
            </w:div>
            <w:div w:id="1469279381">
              <w:marLeft w:val="0"/>
              <w:marRight w:val="0"/>
              <w:marTop w:val="0"/>
              <w:marBottom w:val="0"/>
              <w:divBdr>
                <w:top w:val="none" w:sz="0" w:space="0" w:color="auto"/>
                <w:left w:val="none" w:sz="0" w:space="0" w:color="auto"/>
                <w:bottom w:val="none" w:sz="0" w:space="0" w:color="auto"/>
                <w:right w:val="none" w:sz="0" w:space="0" w:color="auto"/>
              </w:divBdr>
              <w:divsChild>
                <w:div w:id="335427213">
                  <w:marLeft w:val="0"/>
                  <w:marRight w:val="0"/>
                  <w:marTop w:val="0"/>
                  <w:marBottom w:val="0"/>
                  <w:divBdr>
                    <w:top w:val="none" w:sz="0" w:space="0" w:color="auto"/>
                    <w:left w:val="none" w:sz="0" w:space="0" w:color="auto"/>
                    <w:bottom w:val="none" w:sz="0" w:space="0" w:color="auto"/>
                    <w:right w:val="none" w:sz="0" w:space="0" w:color="auto"/>
                  </w:divBdr>
                </w:div>
              </w:divsChild>
            </w:div>
            <w:div w:id="182791138">
              <w:marLeft w:val="0"/>
              <w:marRight w:val="0"/>
              <w:marTop w:val="0"/>
              <w:marBottom w:val="0"/>
              <w:divBdr>
                <w:top w:val="none" w:sz="0" w:space="0" w:color="auto"/>
                <w:left w:val="none" w:sz="0" w:space="0" w:color="auto"/>
                <w:bottom w:val="none" w:sz="0" w:space="0" w:color="auto"/>
                <w:right w:val="none" w:sz="0" w:space="0" w:color="auto"/>
              </w:divBdr>
              <w:divsChild>
                <w:div w:id="1146052168">
                  <w:marLeft w:val="0"/>
                  <w:marRight w:val="0"/>
                  <w:marTop w:val="0"/>
                  <w:marBottom w:val="0"/>
                  <w:divBdr>
                    <w:top w:val="none" w:sz="0" w:space="0" w:color="auto"/>
                    <w:left w:val="none" w:sz="0" w:space="0" w:color="auto"/>
                    <w:bottom w:val="none" w:sz="0" w:space="0" w:color="auto"/>
                    <w:right w:val="none" w:sz="0" w:space="0" w:color="auto"/>
                  </w:divBdr>
                </w:div>
              </w:divsChild>
            </w:div>
            <w:div w:id="1891452703">
              <w:marLeft w:val="0"/>
              <w:marRight w:val="0"/>
              <w:marTop w:val="0"/>
              <w:marBottom w:val="0"/>
              <w:divBdr>
                <w:top w:val="none" w:sz="0" w:space="0" w:color="auto"/>
                <w:left w:val="none" w:sz="0" w:space="0" w:color="auto"/>
                <w:bottom w:val="none" w:sz="0" w:space="0" w:color="auto"/>
                <w:right w:val="none" w:sz="0" w:space="0" w:color="auto"/>
              </w:divBdr>
              <w:divsChild>
                <w:div w:id="2339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672">
      <w:bodyDiv w:val="1"/>
      <w:marLeft w:val="0"/>
      <w:marRight w:val="0"/>
      <w:marTop w:val="0"/>
      <w:marBottom w:val="0"/>
      <w:divBdr>
        <w:top w:val="none" w:sz="0" w:space="0" w:color="auto"/>
        <w:left w:val="none" w:sz="0" w:space="0" w:color="auto"/>
        <w:bottom w:val="none" w:sz="0" w:space="0" w:color="auto"/>
        <w:right w:val="none" w:sz="0" w:space="0" w:color="auto"/>
      </w:divBdr>
      <w:divsChild>
        <w:div w:id="1799640097">
          <w:marLeft w:val="0"/>
          <w:marRight w:val="0"/>
          <w:marTop w:val="0"/>
          <w:marBottom w:val="0"/>
          <w:divBdr>
            <w:top w:val="none" w:sz="0" w:space="0" w:color="auto"/>
            <w:left w:val="none" w:sz="0" w:space="0" w:color="auto"/>
            <w:bottom w:val="none" w:sz="0" w:space="0" w:color="auto"/>
            <w:right w:val="none" w:sz="0" w:space="0" w:color="auto"/>
          </w:divBdr>
          <w:divsChild>
            <w:div w:id="1637100316">
              <w:marLeft w:val="0"/>
              <w:marRight w:val="0"/>
              <w:marTop w:val="0"/>
              <w:marBottom w:val="0"/>
              <w:divBdr>
                <w:top w:val="none" w:sz="0" w:space="0" w:color="auto"/>
                <w:left w:val="none" w:sz="0" w:space="0" w:color="auto"/>
                <w:bottom w:val="none" w:sz="0" w:space="0" w:color="auto"/>
                <w:right w:val="none" w:sz="0" w:space="0" w:color="auto"/>
              </w:divBdr>
              <w:divsChild>
                <w:div w:id="11376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904">
      <w:bodyDiv w:val="1"/>
      <w:marLeft w:val="0"/>
      <w:marRight w:val="0"/>
      <w:marTop w:val="0"/>
      <w:marBottom w:val="0"/>
      <w:divBdr>
        <w:top w:val="none" w:sz="0" w:space="0" w:color="auto"/>
        <w:left w:val="none" w:sz="0" w:space="0" w:color="auto"/>
        <w:bottom w:val="none" w:sz="0" w:space="0" w:color="auto"/>
        <w:right w:val="none" w:sz="0" w:space="0" w:color="auto"/>
      </w:divBdr>
    </w:div>
    <w:div w:id="197086890">
      <w:bodyDiv w:val="1"/>
      <w:marLeft w:val="0"/>
      <w:marRight w:val="0"/>
      <w:marTop w:val="0"/>
      <w:marBottom w:val="0"/>
      <w:divBdr>
        <w:top w:val="none" w:sz="0" w:space="0" w:color="auto"/>
        <w:left w:val="none" w:sz="0" w:space="0" w:color="auto"/>
        <w:bottom w:val="none" w:sz="0" w:space="0" w:color="auto"/>
        <w:right w:val="none" w:sz="0" w:space="0" w:color="auto"/>
      </w:divBdr>
      <w:divsChild>
        <w:div w:id="1733581837">
          <w:marLeft w:val="0"/>
          <w:marRight w:val="0"/>
          <w:marTop w:val="0"/>
          <w:marBottom w:val="0"/>
          <w:divBdr>
            <w:top w:val="none" w:sz="0" w:space="0" w:color="auto"/>
            <w:left w:val="none" w:sz="0" w:space="0" w:color="auto"/>
            <w:bottom w:val="none" w:sz="0" w:space="0" w:color="auto"/>
            <w:right w:val="none" w:sz="0" w:space="0" w:color="auto"/>
          </w:divBdr>
          <w:divsChild>
            <w:div w:id="447893058">
              <w:marLeft w:val="0"/>
              <w:marRight w:val="0"/>
              <w:marTop w:val="0"/>
              <w:marBottom w:val="0"/>
              <w:divBdr>
                <w:top w:val="none" w:sz="0" w:space="0" w:color="auto"/>
                <w:left w:val="none" w:sz="0" w:space="0" w:color="auto"/>
                <w:bottom w:val="none" w:sz="0" w:space="0" w:color="auto"/>
                <w:right w:val="none" w:sz="0" w:space="0" w:color="auto"/>
              </w:divBdr>
              <w:divsChild>
                <w:div w:id="12937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5771">
      <w:bodyDiv w:val="1"/>
      <w:marLeft w:val="0"/>
      <w:marRight w:val="0"/>
      <w:marTop w:val="0"/>
      <w:marBottom w:val="0"/>
      <w:divBdr>
        <w:top w:val="none" w:sz="0" w:space="0" w:color="auto"/>
        <w:left w:val="none" w:sz="0" w:space="0" w:color="auto"/>
        <w:bottom w:val="none" w:sz="0" w:space="0" w:color="auto"/>
        <w:right w:val="none" w:sz="0" w:space="0" w:color="auto"/>
      </w:divBdr>
      <w:divsChild>
        <w:div w:id="296569858">
          <w:marLeft w:val="0"/>
          <w:marRight w:val="0"/>
          <w:marTop w:val="0"/>
          <w:marBottom w:val="0"/>
          <w:divBdr>
            <w:top w:val="none" w:sz="0" w:space="0" w:color="auto"/>
            <w:left w:val="none" w:sz="0" w:space="0" w:color="auto"/>
            <w:bottom w:val="none" w:sz="0" w:space="0" w:color="auto"/>
            <w:right w:val="none" w:sz="0" w:space="0" w:color="auto"/>
          </w:divBdr>
          <w:divsChild>
            <w:div w:id="1808082453">
              <w:marLeft w:val="0"/>
              <w:marRight w:val="0"/>
              <w:marTop w:val="0"/>
              <w:marBottom w:val="0"/>
              <w:divBdr>
                <w:top w:val="none" w:sz="0" w:space="0" w:color="auto"/>
                <w:left w:val="none" w:sz="0" w:space="0" w:color="auto"/>
                <w:bottom w:val="none" w:sz="0" w:space="0" w:color="auto"/>
                <w:right w:val="none" w:sz="0" w:space="0" w:color="auto"/>
              </w:divBdr>
              <w:divsChild>
                <w:div w:id="6928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30485">
      <w:bodyDiv w:val="1"/>
      <w:marLeft w:val="0"/>
      <w:marRight w:val="0"/>
      <w:marTop w:val="0"/>
      <w:marBottom w:val="0"/>
      <w:divBdr>
        <w:top w:val="none" w:sz="0" w:space="0" w:color="auto"/>
        <w:left w:val="none" w:sz="0" w:space="0" w:color="auto"/>
        <w:bottom w:val="none" w:sz="0" w:space="0" w:color="auto"/>
        <w:right w:val="none" w:sz="0" w:space="0" w:color="auto"/>
      </w:divBdr>
      <w:divsChild>
        <w:div w:id="302277866">
          <w:marLeft w:val="0"/>
          <w:marRight w:val="0"/>
          <w:marTop w:val="0"/>
          <w:marBottom w:val="0"/>
          <w:divBdr>
            <w:top w:val="none" w:sz="0" w:space="0" w:color="auto"/>
            <w:left w:val="none" w:sz="0" w:space="0" w:color="auto"/>
            <w:bottom w:val="none" w:sz="0" w:space="0" w:color="auto"/>
            <w:right w:val="none" w:sz="0" w:space="0" w:color="auto"/>
          </w:divBdr>
          <w:divsChild>
            <w:div w:id="867762670">
              <w:marLeft w:val="0"/>
              <w:marRight w:val="0"/>
              <w:marTop w:val="0"/>
              <w:marBottom w:val="0"/>
              <w:divBdr>
                <w:top w:val="none" w:sz="0" w:space="0" w:color="auto"/>
                <w:left w:val="none" w:sz="0" w:space="0" w:color="auto"/>
                <w:bottom w:val="none" w:sz="0" w:space="0" w:color="auto"/>
                <w:right w:val="none" w:sz="0" w:space="0" w:color="auto"/>
              </w:divBdr>
              <w:divsChild>
                <w:div w:id="1750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5411">
      <w:bodyDiv w:val="1"/>
      <w:marLeft w:val="0"/>
      <w:marRight w:val="0"/>
      <w:marTop w:val="0"/>
      <w:marBottom w:val="0"/>
      <w:divBdr>
        <w:top w:val="none" w:sz="0" w:space="0" w:color="auto"/>
        <w:left w:val="none" w:sz="0" w:space="0" w:color="auto"/>
        <w:bottom w:val="none" w:sz="0" w:space="0" w:color="auto"/>
        <w:right w:val="none" w:sz="0" w:space="0" w:color="auto"/>
      </w:divBdr>
      <w:divsChild>
        <w:div w:id="562836484">
          <w:marLeft w:val="0"/>
          <w:marRight w:val="0"/>
          <w:marTop w:val="0"/>
          <w:marBottom w:val="0"/>
          <w:divBdr>
            <w:top w:val="none" w:sz="0" w:space="0" w:color="auto"/>
            <w:left w:val="none" w:sz="0" w:space="0" w:color="auto"/>
            <w:bottom w:val="none" w:sz="0" w:space="0" w:color="auto"/>
            <w:right w:val="none" w:sz="0" w:space="0" w:color="auto"/>
          </w:divBdr>
          <w:divsChild>
            <w:div w:id="1281037931">
              <w:marLeft w:val="0"/>
              <w:marRight w:val="0"/>
              <w:marTop w:val="0"/>
              <w:marBottom w:val="0"/>
              <w:divBdr>
                <w:top w:val="none" w:sz="0" w:space="0" w:color="auto"/>
                <w:left w:val="none" w:sz="0" w:space="0" w:color="auto"/>
                <w:bottom w:val="none" w:sz="0" w:space="0" w:color="auto"/>
                <w:right w:val="none" w:sz="0" w:space="0" w:color="auto"/>
              </w:divBdr>
              <w:divsChild>
                <w:div w:id="7498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29978">
      <w:bodyDiv w:val="1"/>
      <w:marLeft w:val="0"/>
      <w:marRight w:val="0"/>
      <w:marTop w:val="0"/>
      <w:marBottom w:val="0"/>
      <w:divBdr>
        <w:top w:val="none" w:sz="0" w:space="0" w:color="auto"/>
        <w:left w:val="none" w:sz="0" w:space="0" w:color="auto"/>
        <w:bottom w:val="none" w:sz="0" w:space="0" w:color="auto"/>
        <w:right w:val="none" w:sz="0" w:space="0" w:color="auto"/>
      </w:divBdr>
    </w:div>
    <w:div w:id="309402124">
      <w:bodyDiv w:val="1"/>
      <w:marLeft w:val="0"/>
      <w:marRight w:val="0"/>
      <w:marTop w:val="0"/>
      <w:marBottom w:val="0"/>
      <w:divBdr>
        <w:top w:val="none" w:sz="0" w:space="0" w:color="auto"/>
        <w:left w:val="none" w:sz="0" w:space="0" w:color="auto"/>
        <w:bottom w:val="none" w:sz="0" w:space="0" w:color="auto"/>
        <w:right w:val="none" w:sz="0" w:space="0" w:color="auto"/>
      </w:divBdr>
      <w:divsChild>
        <w:div w:id="314724381">
          <w:marLeft w:val="0"/>
          <w:marRight w:val="0"/>
          <w:marTop w:val="0"/>
          <w:marBottom w:val="0"/>
          <w:divBdr>
            <w:top w:val="none" w:sz="0" w:space="0" w:color="auto"/>
            <w:left w:val="none" w:sz="0" w:space="0" w:color="auto"/>
            <w:bottom w:val="none" w:sz="0" w:space="0" w:color="auto"/>
            <w:right w:val="none" w:sz="0" w:space="0" w:color="auto"/>
          </w:divBdr>
          <w:divsChild>
            <w:div w:id="700595008">
              <w:marLeft w:val="0"/>
              <w:marRight w:val="0"/>
              <w:marTop w:val="0"/>
              <w:marBottom w:val="0"/>
              <w:divBdr>
                <w:top w:val="none" w:sz="0" w:space="0" w:color="auto"/>
                <w:left w:val="none" w:sz="0" w:space="0" w:color="auto"/>
                <w:bottom w:val="none" w:sz="0" w:space="0" w:color="auto"/>
                <w:right w:val="none" w:sz="0" w:space="0" w:color="auto"/>
              </w:divBdr>
              <w:divsChild>
                <w:div w:id="9960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1314">
      <w:bodyDiv w:val="1"/>
      <w:marLeft w:val="0"/>
      <w:marRight w:val="0"/>
      <w:marTop w:val="0"/>
      <w:marBottom w:val="0"/>
      <w:divBdr>
        <w:top w:val="none" w:sz="0" w:space="0" w:color="auto"/>
        <w:left w:val="none" w:sz="0" w:space="0" w:color="auto"/>
        <w:bottom w:val="none" w:sz="0" w:space="0" w:color="auto"/>
        <w:right w:val="none" w:sz="0" w:space="0" w:color="auto"/>
      </w:divBdr>
    </w:div>
    <w:div w:id="375128671">
      <w:bodyDiv w:val="1"/>
      <w:marLeft w:val="0"/>
      <w:marRight w:val="0"/>
      <w:marTop w:val="0"/>
      <w:marBottom w:val="0"/>
      <w:divBdr>
        <w:top w:val="none" w:sz="0" w:space="0" w:color="auto"/>
        <w:left w:val="none" w:sz="0" w:space="0" w:color="auto"/>
        <w:bottom w:val="none" w:sz="0" w:space="0" w:color="auto"/>
        <w:right w:val="none" w:sz="0" w:space="0" w:color="auto"/>
      </w:divBdr>
    </w:div>
    <w:div w:id="379329141">
      <w:bodyDiv w:val="1"/>
      <w:marLeft w:val="0"/>
      <w:marRight w:val="0"/>
      <w:marTop w:val="0"/>
      <w:marBottom w:val="0"/>
      <w:divBdr>
        <w:top w:val="none" w:sz="0" w:space="0" w:color="auto"/>
        <w:left w:val="none" w:sz="0" w:space="0" w:color="auto"/>
        <w:bottom w:val="none" w:sz="0" w:space="0" w:color="auto"/>
        <w:right w:val="none" w:sz="0" w:space="0" w:color="auto"/>
      </w:divBdr>
    </w:div>
    <w:div w:id="391461426">
      <w:bodyDiv w:val="1"/>
      <w:marLeft w:val="0"/>
      <w:marRight w:val="0"/>
      <w:marTop w:val="0"/>
      <w:marBottom w:val="0"/>
      <w:divBdr>
        <w:top w:val="none" w:sz="0" w:space="0" w:color="auto"/>
        <w:left w:val="none" w:sz="0" w:space="0" w:color="auto"/>
        <w:bottom w:val="none" w:sz="0" w:space="0" w:color="auto"/>
        <w:right w:val="none" w:sz="0" w:space="0" w:color="auto"/>
      </w:divBdr>
    </w:div>
    <w:div w:id="392312608">
      <w:bodyDiv w:val="1"/>
      <w:marLeft w:val="0"/>
      <w:marRight w:val="0"/>
      <w:marTop w:val="0"/>
      <w:marBottom w:val="0"/>
      <w:divBdr>
        <w:top w:val="none" w:sz="0" w:space="0" w:color="auto"/>
        <w:left w:val="none" w:sz="0" w:space="0" w:color="auto"/>
        <w:bottom w:val="none" w:sz="0" w:space="0" w:color="auto"/>
        <w:right w:val="none" w:sz="0" w:space="0" w:color="auto"/>
      </w:divBdr>
    </w:div>
    <w:div w:id="425425510">
      <w:bodyDiv w:val="1"/>
      <w:marLeft w:val="0"/>
      <w:marRight w:val="0"/>
      <w:marTop w:val="0"/>
      <w:marBottom w:val="0"/>
      <w:divBdr>
        <w:top w:val="none" w:sz="0" w:space="0" w:color="auto"/>
        <w:left w:val="none" w:sz="0" w:space="0" w:color="auto"/>
        <w:bottom w:val="none" w:sz="0" w:space="0" w:color="auto"/>
        <w:right w:val="none" w:sz="0" w:space="0" w:color="auto"/>
      </w:divBdr>
      <w:divsChild>
        <w:div w:id="1502889299">
          <w:marLeft w:val="0"/>
          <w:marRight w:val="0"/>
          <w:marTop w:val="0"/>
          <w:marBottom w:val="0"/>
          <w:divBdr>
            <w:top w:val="none" w:sz="0" w:space="0" w:color="auto"/>
            <w:left w:val="none" w:sz="0" w:space="0" w:color="auto"/>
            <w:bottom w:val="none" w:sz="0" w:space="0" w:color="auto"/>
            <w:right w:val="none" w:sz="0" w:space="0" w:color="auto"/>
          </w:divBdr>
          <w:divsChild>
            <w:div w:id="594637227">
              <w:marLeft w:val="0"/>
              <w:marRight w:val="0"/>
              <w:marTop w:val="0"/>
              <w:marBottom w:val="0"/>
              <w:divBdr>
                <w:top w:val="none" w:sz="0" w:space="0" w:color="auto"/>
                <w:left w:val="none" w:sz="0" w:space="0" w:color="auto"/>
                <w:bottom w:val="none" w:sz="0" w:space="0" w:color="auto"/>
                <w:right w:val="none" w:sz="0" w:space="0" w:color="auto"/>
              </w:divBdr>
              <w:divsChild>
                <w:div w:id="7933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2736">
      <w:bodyDiv w:val="1"/>
      <w:marLeft w:val="0"/>
      <w:marRight w:val="0"/>
      <w:marTop w:val="0"/>
      <w:marBottom w:val="0"/>
      <w:divBdr>
        <w:top w:val="none" w:sz="0" w:space="0" w:color="auto"/>
        <w:left w:val="none" w:sz="0" w:space="0" w:color="auto"/>
        <w:bottom w:val="none" w:sz="0" w:space="0" w:color="auto"/>
        <w:right w:val="none" w:sz="0" w:space="0" w:color="auto"/>
      </w:divBdr>
      <w:divsChild>
        <w:div w:id="2135249353">
          <w:marLeft w:val="0"/>
          <w:marRight w:val="0"/>
          <w:marTop w:val="0"/>
          <w:marBottom w:val="0"/>
          <w:divBdr>
            <w:top w:val="none" w:sz="0" w:space="0" w:color="auto"/>
            <w:left w:val="none" w:sz="0" w:space="0" w:color="auto"/>
            <w:bottom w:val="none" w:sz="0" w:space="0" w:color="auto"/>
            <w:right w:val="none" w:sz="0" w:space="0" w:color="auto"/>
          </w:divBdr>
        </w:div>
      </w:divsChild>
    </w:div>
    <w:div w:id="588465306">
      <w:bodyDiv w:val="1"/>
      <w:marLeft w:val="0"/>
      <w:marRight w:val="0"/>
      <w:marTop w:val="0"/>
      <w:marBottom w:val="0"/>
      <w:divBdr>
        <w:top w:val="none" w:sz="0" w:space="0" w:color="auto"/>
        <w:left w:val="none" w:sz="0" w:space="0" w:color="auto"/>
        <w:bottom w:val="none" w:sz="0" w:space="0" w:color="auto"/>
        <w:right w:val="none" w:sz="0" w:space="0" w:color="auto"/>
      </w:divBdr>
    </w:div>
    <w:div w:id="671958409">
      <w:bodyDiv w:val="1"/>
      <w:marLeft w:val="0"/>
      <w:marRight w:val="0"/>
      <w:marTop w:val="0"/>
      <w:marBottom w:val="0"/>
      <w:divBdr>
        <w:top w:val="none" w:sz="0" w:space="0" w:color="auto"/>
        <w:left w:val="none" w:sz="0" w:space="0" w:color="auto"/>
        <w:bottom w:val="none" w:sz="0" w:space="0" w:color="auto"/>
        <w:right w:val="none" w:sz="0" w:space="0" w:color="auto"/>
      </w:divBdr>
    </w:div>
    <w:div w:id="678505969">
      <w:bodyDiv w:val="1"/>
      <w:marLeft w:val="0"/>
      <w:marRight w:val="0"/>
      <w:marTop w:val="0"/>
      <w:marBottom w:val="0"/>
      <w:divBdr>
        <w:top w:val="none" w:sz="0" w:space="0" w:color="auto"/>
        <w:left w:val="none" w:sz="0" w:space="0" w:color="auto"/>
        <w:bottom w:val="none" w:sz="0" w:space="0" w:color="auto"/>
        <w:right w:val="none" w:sz="0" w:space="0" w:color="auto"/>
      </w:divBdr>
      <w:divsChild>
        <w:div w:id="855996132">
          <w:marLeft w:val="0"/>
          <w:marRight w:val="0"/>
          <w:marTop w:val="0"/>
          <w:marBottom w:val="0"/>
          <w:divBdr>
            <w:top w:val="none" w:sz="0" w:space="0" w:color="auto"/>
            <w:left w:val="none" w:sz="0" w:space="0" w:color="auto"/>
            <w:bottom w:val="none" w:sz="0" w:space="0" w:color="auto"/>
            <w:right w:val="none" w:sz="0" w:space="0" w:color="auto"/>
          </w:divBdr>
          <w:divsChild>
            <w:div w:id="2090342333">
              <w:marLeft w:val="0"/>
              <w:marRight w:val="0"/>
              <w:marTop w:val="0"/>
              <w:marBottom w:val="0"/>
              <w:divBdr>
                <w:top w:val="none" w:sz="0" w:space="0" w:color="auto"/>
                <w:left w:val="none" w:sz="0" w:space="0" w:color="auto"/>
                <w:bottom w:val="none" w:sz="0" w:space="0" w:color="auto"/>
                <w:right w:val="none" w:sz="0" w:space="0" w:color="auto"/>
              </w:divBdr>
              <w:divsChild>
                <w:div w:id="12891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8418">
      <w:bodyDiv w:val="1"/>
      <w:marLeft w:val="0"/>
      <w:marRight w:val="0"/>
      <w:marTop w:val="0"/>
      <w:marBottom w:val="0"/>
      <w:divBdr>
        <w:top w:val="none" w:sz="0" w:space="0" w:color="auto"/>
        <w:left w:val="none" w:sz="0" w:space="0" w:color="auto"/>
        <w:bottom w:val="none" w:sz="0" w:space="0" w:color="auto"/>
        <w:right w:val="none" w:sz="0" w:space="0" w:color="auto"/>
      </w:divBdr>
      <w:divsChild>
        <w:div w:id="860436168">
          <w:marLeft w:val="0"/>
          <w:marRight w:val="0"/>
          <w:marTop w:val="0"/>
          <w:marBottom w:val="0"/>
          <w:divBdr>
            <w:top w:val="none" w:sz="0" w:space="0" w:color="auto"/>
            <w:left w:val="none" w:sz="0" w:space="0" w:color="auto"/>
            <w:bottom w:val="none" w:sz="0" w:space="0" w:color="auto"/>
            <w:right w:val="none" w:sz="0" w:space="0" w:color="auto"/>
          </w:divBdr>
          <w:divsChild>
            <w:div w:id="533276389">
              <w:marLeft w:val="0"/>
              <w:marRight w:val="0"/>
              <w:marTop w:val="0"/>
              <w:marBottom w:val="0"/>
              <w:divBdr>
                <w:top w:val="none" w:sz="0" w:space="0" w:color="auto"/>
                <w:left w:val="none" w:sz="0" w:space="0" w:color="auto"/>
                <w:bottom w:val="none" w:sz="0" w:space="0" w:color="auto"/>
                <w:right w:val="none" w:sz="0" w:space="0" w:color="auto"/>
              </w:divBdr>
              <w:divsChild>
                <w:div w:id="12655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4177">
      <w:bodyDiv w:val="1"/>
      <w:marLeft w:val="0"/>
      <w:marRight w:val="0"/>
      <w:marTop w:val="0"/>
      <w:marBottom w:val="0"/>
      <w:divBdr>
        <w:top w:val="none" w:sz="0" w:space="0" w:color="auto"/>
        <w:left w:val="none" w:sz="0" w:space="0" w:color="auto"/>
        <w:bottom w:val="none" w:sz="0" w:space="0" w:color="auto"/>
        <w:right w:val="none" w:sz="0" w:space="0" w:color="auto"/>
      </w:divBdr>
    </w:div>
    <w:div w:id="793140726">
      <w:bodyDiv w:val="1"/>
      <w:marLeft w:val="0"/>
      <w:marRight w:val="0"/>
      <w:marTop w:val="0"/>
      <w:marBottom w:val="0"/>
      <w:divBdr>
        <w:top w:val="none" w:sz="0" w:space="0" w:color="auto"/>
        <w:left w:val="none" w:sz="0" w:space="0" w:color="auto"/>
        <w:bottom w:val="none" w:sz="0" w:space="0" w:color="auto"/>
        <w:right w:val="none" w:sz="0" w:space="0" w:color="auto"/>
      </w:divBdr>
    </w:div>
    <w:div w:id="798375834">
      <w:bodyDiv w:val="1"/>
      <w:marLeft w:val="0"/>
      <w:marRight w:val="0"/>
      <w:marTop w:val="0"/>
      <w:marBottom w:val="0"/>
      <w:divBdr>
        <w:top w:val="none" w:sz="0" w:space="0" w:color="auto"/>
        <w:left w:val="none" w:sz="0" w:space="0" w:color="auto"/>
        <w:bottom w:val="none" w:sz="0" w:space="0" w:color="auto"/>
        <w:right w:val="none" w:sz="0" w:space="0" w:color="auto"/>
      </w:divBdr>
      <w:divsChild>
        <w:div w:id="1748916628">
          <w:marLeft w:val="0"/>
          <w:marRight w:val="0"/>
          <w:marTop w:val="0"/>
          <w:marBottom w:val="0"/>
          <w:divBdr>
            <w:top w:val="none" w:sz="0" w:space="0" w:color="auto"/>
            <w:left w:val="none" w:sz="0" w:space="0" w:color="auto"/>
            <w:bottom w:val="none" w:sz="0" w:space="0" w:color="auto"/>
            <w:right w:val="none" w:sz="0" w:space="0" w:color="auto"/>
          </w:divBdr>
          <w:divsChild>
            <w:div w:id="2013877593">
              <w:marLeft w:val="0"/>
              <w:marRight w:val="0"/>
              <w:marTop w:val="0"/>
              <w:marBottom w:val="0"/>
              <w:divBdr>
                <w:top w:val="none" w:sz="0" w:space="0" w:color="auto"/>
                <w:left w:val="none" w:sz="0" w:space="0" w:color="auto"/>
                <w:bottom w:val="none" w:sz="0" w:space="0" w:color="auto"/>
                <w:right w:val="none" w:sz="0" w:space="0" w:color="auto"/>
              </w:divBdr>
              <w:divsChild>
                <w:div w:id="47808377">
                  <w:marLeft w:val="0"/>
                  <w:marRight w:val="0"/>
                  <w:marTop w:val="0"/>
                  <w:marBottom w:val="0"/>
                  <w:divBdr>
                    <w:top w:val="none" w:sz="0" w:space="0" w:color="auto"/>
                    <w:left w:val="none" w:sz="0" w:space="0" w:color="auto"/>
                    <w:bottom w:val="none" w:sz="0" w:space="0" w:color="auto"/>
                    <w:right w:val="none" w:sz="0" w:space="0" w:color="auto"/>
                  </w:divBdr>
                  <w:divsChild>
                    <w:div w:id="13979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86004">
      <w:bodyDiv w:val="1"/>
      <w:marLeft w:val="0"/>
      <w:marRight w:val="0"/>
      <w:marTop w:val="0"/>
      <w:marBottom w:val="0"/>
      <w:divBdr>
        <w:top w:val="none" w:sz="0" w:space="0" w:color="auto"/>
        <w:left w:val="none" w:sz="0" w:space="0" w:color="auto"/>
        <w:bottom w:val="none" w:sz="0" w:space="0" w:color="auto"/>
        <w:right w:val="none" w:sz="0" w:space="0" w:color="auto"/>
      </w:divBdr>
      <w:divsChild>
        <w:div w:id="1029454600">
          <w:marLeft w:val="0"/>
          <w:marRight w:val="0"/>
          <w:marTop w:val="0"/>
          <w:marBottom w:val="0"/>
          <w:divBdr>
            <w:top w:val="none" w:sz="0" w:space="0" w:color="auto"/>
            <w:left w:val="none" w:sz="0" w:space="0" w:color="auto"/>
            <w:bottom w:val="none" w:sz="0" w:space="0" w:color="auto"/>
            <w:right w:val="none" w:sz="0" w:space="0" w:color="auto"/>
          </w:divBdr>
          <w:divsChild>
            <w:div w:id="747069545">
              <w:marLeft w:val="0"/>
              <w:marRight w:val="0"/>
              <w:marTop w:val="0"/>
              <w:marBottom w:val="0"/>
              <w:divBdr>
                <w:top w:val="none" w:sz="0" w:space="0" w:color="auto"/>
                <w:left w:val="none" w:sz="0" w:space="0" w:color="auto"/>
                <w:bottom w:val="none" w:sz="0" w:space="0" w:color="auto"/>
                <w:right w:val="none" w:sz="0" w:space="0" w:color="auto"/>
              </w:divBdr>
              <w:divsChild>
                <w:div w:id="1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50337">
      <w:bodyDiv w:val="1"/>
      <w:marLeft w:val="0"/>
      <w:marRight w:val="0"/>
      <w:marTop w:val="0"/>
      <w:marBottom w:val="0"/>
      <w:divBdr>
        <w:top w:val="none" w:sz="0" w:space="0" w:color="auto"/>
        <w:left w:val="none" w:sz="0" w:space="0" w:color="auto"/>
        <w:bottom w:val="none" w:sz="0" w:space="0" w:color="auto"/>
        <w:right w:val="none" w:sz="0" w:space="0" w:color="auto"/>
      </w:divBdr>
    </w:div>
    <w:div w:id="830294374">
      <w:bodyDiv w:val="1"/>
      <w:marLeft w:val="0"/>
      <w:marRight w:val="0"/>
      <w:marTop w:val="0"/>
      <w:marBottom w:val="0"/>
      <w:divBdr>
        <w:top w:val="none" w:sz="0" w:space="0" w:color="auto"/>
        <w:left w:val="none" w:sz="0" w:space="0" w:color="auto"/>
        <w:bottom w:val="none" w:sz="0" w:space="0" w:color="auto"/>
        <w:right w:val="none" w:sz="0" w:space="0" w:color="auto"/>
      </w:divBdr>
    </w:div>
    <w:div w:id="841552339">
      <w:bodyDiv w:val="1"/>
      <w:marLeft w:val="0"/>
      <w:marRight w:val="0"/>
      <w:marTop w:val="0"/>
      <w:marBottom w:val="0"/>
      <w:divBdr>
        <w:top w:val="none" w:sz="0" w:space="0" w:color="auto"/>
        <w:left w:val="none" w:sz="0" w:space="0" w:color="auto"/>
        <w:bottom w:val="none" w:sz="0" w:space="0" w:color="auto"/>
        <w:right w:val="none" w:sz="0" w:space="0" w:color="auto"/>
      </w:divBdr>
      <w:divsChild>
        <w:div w:id="109319594">
          <w:marLeft w:val="0"/>
          <w:marRight w:val="0"/>
          <w:marTop w:val="0"/>
          <w:marBottom w:val="0"/>
          <w:divBdr>
            <w:top w:val="none" w:sz="0" w:space="0" w:color="auto"/>
            <w:left w:val="none" w:sz="0" w:space="0" w:color="auto"/>
            <w:bottom w:val="none" w:sz="0" w:space="0" w:color="auto"/>
            <w:right w:val="none" w:sz="0" w:space="0" w:color="auto"/>
          </w:divBdr>
          <w:divsChild>
            <w:div w:id="1072045702">
              <w:marLeft w:val="0"/>
              <w:marRight w:val="0"/>
              <w:marTop w:val="0"/>
              <w:marBottom w:val="0"/>
              <w:divBdr>
                <w:top w:val="none" w:sz="0" w:space="0" w:color="auto"/>
                <w:left w:val="none" w:sz="0" w:space="0" w:color="auto"/>
                <w:bottom w:val="none" w:sz="0" w:space="0" w:color="auto"/>
                <w:right w:val="none" w:sz="0" w:space="0" w:color="auto"/>
              </w:divBdr>
              <w:divsChild>
                <w:div w:id="20628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29981">
      <w:bodyDiv w:val="1"/>
      <w:marLeft w:val="0"/>
      <w:marRight w:val="0"/>
      <w:marTop w:val="0"/>
      <w:marBottom w:val="0"/>
      <w:divBdr>
        <w:top w:val="none" w:sz="0" w:space="0" w:color="auto"/>
        <w:left w:val="none" w:sz="0" w:space="0" w:color="auto"/>
        <w:bottom w:val="none" w:sz="0" w:space="0" w:color="auto"/>
        <w:right w:val="none" w:sz="0" w:space="0" w:color="auto"/>
      </w:divBdr>
    </w:div>
    <w:div w:id="864489285">
      <w:bodyDiv w:val="1"/>
      <w:marLeft w:val="0"/>
      <w:marRight w:val="0"/>
      <w:marTop w:val="0"/>
      <w:marBottom w:val="0"/>
      <w:divBdr>
        <w:top w:val="none" w:sz="0" w:space="0" w:color="auto"/>
        <w:left w:val="none" w:sz="0" w:space="0" w:color="auto"/>
        <w:bottom w:val="none" w:sz="0" w:space="0" w:color="auto"/>
        <w:right w:val="none" w:sz="0" w:space="0" w:color="auto"/>
      </w:divBdr>
      <w:divsChild>
        <w:div w:id="1781414630">
          <w:marLeft w:val="0"/>
          <w:marRight w:val="0"/>
          <w:marTop w:val="0"/>
          <w:marBottom w:val="0"/>
          <w:divBdr>
            <w:top w:val="none" w:sz="0" w:space="0" w:color="auto"/>
            <w:left w:val="none" w:sz="0" w:space="0" w:color="auto"/>
            <w:bottom w:val="none" w:sz="0" w:space="0" w:color="auto"/>
            <w:right w:val="none" w:sz="0" w:space="0" w:color="auto"/>
          </w:divBdr>
          <w:divsChild>
            <w:div w:id="486289104">
              <w:marLeft w:val="0"/>
              <w:marRight w:val="0"/>
              <w:marTop w:val="0"/>
              <w:marBottom w:val="0"/>
              <w:divBdr>
                <w:top w:val="none" w:sz="0" w:space="0" w:color="auto"/>
                <w:left w:val="none" w:sz="0" w:space="0" w:color="auto"/>
                <w:bottom w:val="none" w:sz="0" w:space="0" w:color="auto"/>
                <w:right w:val="none" w:sz="0" w:space="0" w:color="auto"/>
              </w:divBdr>
              <w:divsChild>
                <w:div w:id="15792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4947">
      <w:bodyDiv w:val="1"/>
      <w:marLeft w:val="0"/>
      <w:marRight w:val="0"/>
      <w:marTop w:val="0"/>
      <w:marBottom w:val="0"/>
      <w:divBdr>
        <w:top w:val="none" w:sz="0" w:space="0" w:color="auto"/>
        <w:left w:val="none" w:sz="0" w:space="0" w:color="auto"/>
        <w:bottom w:val="none" w:sz="0" w:space="0" w:color="auto"/>
        <w:right w:val="none" w:sz="0" w:space="0" w:color="auto"/>
      </w:divBdr>
    </w:div>
    <w:div w:id="943461500">
      <w:bodyDiv w:val="1"/>
      <w:marLeft w:val="0"/>
      <w:marRight w:val="0"/>
      <w:marTop w:val="0"/>
      <w:marBottom w:val="0"/>
      <w:divBdr>
        <w:top w:val="none" w:sz="0" w:space="0" w:color="auto"/>
        <w:left w:val="none" w:sz="0" w:space="0" w:color="auto"/>
        <w:bottom w:val="none" w:sz="0" w:space="0" w:color="auto"/>
        <w:right w:val="none" w:sz="0" w:space="0" w:color="auto"/>
      </w:divBdr>
      <w:divsChild>
        <w:div w:id="1915312139">
          <w:marLeft w:val="0"/>
          <w:marRight w:val="0"/>
          <w:marTop w:val="0"/>
          <w:marBottom w:val="0"/>
          <w:divBdr>
            <w:top w:val="none" w:sz="0" w:space="0" w:color="auto"/>
            <w:left w:val="none" w:sz="0" w:space="0" w:color="auto"/>
            <w:bottom w:val="none" w:sz="0" w:space="0" w:color="auto"/>
            <w:right w:val="none" w:sz="0" w:space="0" w:color="auto"/>
          </w:divBdr>
          <w:divsChild>
            <w:div w:id="1239555694">
              <w:marLeft w:val="0"/>
              <w:marRight w:val="0"/>
              <w:marTop w:val="0"/>
              <w:marBottom w:val="0"/>
              <w:divBdr>
                <w:top w:val="none" w:sz="0" w:space="0" w:color="auto"/>
                <w:left w:val="none" w:sz="0" w:space="0" w:color="auto"/>
                <w:bottom w:val="none" w:sz="0" w:space="0" w:color="auto"/>
                <w:right w:val="none" w:sz="0" w:space="0" w:color="auto"/>
              </w:divBdr>
              <w:divsChild>
                <w:div w:id="13164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6527">
      <w:bodyDiv w:val="1"/>
      <w:marLeft w:val="0"/>
      <w:marRight w:val="0"/>
      <w:marTop w:val="0"/>
      <w:marBottom w:val="0"/>
      <w:divBdr>
        <w:top w:val="none" w:sz="0" w:space="0" w:color="auto"/>
        <w:left w:val="none" w:sz="0" w:space="0" w:color="auto"/>
        <w:bottom w:val="none" w:sz="0" w:space="0" w:color="auto"/>
        <w:right w:val="none" w:sz="0" w:space="0" w:color="auto"/>
      </w:divBdr>
    </w:div>
    <w:div w:id="967470211">
      <w:bodyDiv w:val="1"/>
      <w:marLeft w:val="0"/>
      <w:marRight w:val="0"/>
      <w:marTop w:val="0"/>
      <w:marBottom w:val="0"/>
      <w:divBdr>
        <w:top w:val="none" w:sz="0" w:space="0" w:color="auto"/>
        <w:left w:val="none" w:sz="0" w:space="0" w:color="auto"/>
        <w:bottom w:val="none" w:sz="0" w:space="0" w:color="auto"/>
        <w:right w:val="none" w:sz="0" w:space="0" w:color="auto"/>
      </w:divBdr>
      <w:divsChild>
        <w:div w:id="284505080">
          <w:marLeft w:val="0"/>
          <w:marRight w:val="0"/>
          <w:marTop w:val="0"/>
          <w:marBottom w:val="0"/>
          <w:divBdr>
            <w:top w:val="none" w:sz="0" w:space="0" w:color="auto"/>
            <w:left w:val="none" w:sz="0" w:space="0" w:color="auto"/>
            <w:bottom w:val="none" w:sz="0" w:space="0" w:color="auto"/>
            <w:right w:val="none" w:sz="0" w:space="0" w:color="auto"/>
          </w:divBdr>
        </w:div>
      </w:divsChild>
    </w:div>
    <w:div w:id="97533562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50">
          <w:marLeft w:val="0"/>
          <w:marRight w:val="0"/>
          <w:marTop w:val="0"/>
          <w:marBottom w:val="0"/>
          <w:divBdr>
            <w:top w:val="none" w:sz="0" w:space="0" w:color="auto"/>
            <w:left w:val="none" w:sz="0" w:space="0" w:color="auto"/>
            <w:bottom w:val="none" w:sz="0" w:space="0" w:color="auto"/>
            <w:right w:val="none" w:sz="0" w:space="0" w:color="auto"/>
          </w:divBdr>
        </w:div>
      </w:divsChild>
    </w:div>
    <w:div w:id="977223319">
      <w:bodyDiv w:val="1"/>
      <w:marLeft w:val="0"/>
      <w:marRight w:val="0"/>
      <w:marTop w:val="0"/>
      <w:marBottom w:val="0"/>
      <w:divBdr>
        <w:top w:val="none" w:sz="0" w:space="0" w:color="auto"/>
        <w:left w:val="none" w:sz="0" w:space="0" w:color="auto"/>
        <w:bottom w:val="none" w:sz="0" w:space="0" w:color="auto"/>
        <w:right w:val="none" w:sz="0" w:space="0" w:color="auto"/>
      </w:divBdr>
    </w:div>
    <w:div w:id="981545685">
      <w:bodyDiv w:val="1"/>
      <w:marLeft w:val="0"/>
      <w:marRight w:val="0"/>
      <w:marTop w:val="0"/>
      <w:marBottom w:val="0"/>
      <w:divBdr>
        <w:top w:val="none" w:sz="0" w:space="0" w:color="auto"/>
        <w:left w:val="none" w:sz="0" w:space="0" w:color="auto"/>
        <w:bottom w:val="none" w:sz="0" w:space="0" w:color="auto"/>
        <w:right w:val="none" w:sz="0" w:space="0" w:color="auto"/>
      </w:divBdr>
      <w:divsChild>
        <w:div w:id="116877094">
          <w:marLeft w:val="0"/>
          <w:marRight w:val="0"/>
          <w:marTop w:val="0"/>
          <w:marBottom w:val="0"/>
          <w:divBdr>
            <w:top w:val="none" w:sz="0" w:space="0" w:color="auto"/>
            <w:left w:val="none" w:sz="0" w:space="0" w:color="auto"/>
            <w:bottom w:val="none" w:sz="0" w:space="0" w:color="auto"/>
            <w:right w:val="none" w:sz="0" w:space="0" w:color="auto"/>
          </w:divBdr>
          <w:divsChild>
            <w:div w:id="926885931">
              <w:marLeft w:val="0"/>
              <w:marRight w:val="0"/>
              <w:marTop w:val="0"/>
              <w:marBottom w:val="0"/>
              <w:divBdr>
                <w:top w:val="none" w:sz="0" w:space="0" w:color="auto"/>
                <w:left w:val="none" w:sz="0" w:space="0" w:color="auto"/>
                <w:bottom w:val="none" w:sz="0" w:space="0" w:color="auto"/>
                <w:right w:val="none" w:sz="0" w:space="0" w:color="auto"/>
              </w:divBdr>
              <w:divsChild>
                <w:div w:id="16680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33202">
      <w:bodyDiv w:val="1"/>
      <w:marLeft w:val="0"/>
      <w:marRight w:val="0"/>
      <w:marTop w:val="0"/>
      <w:marBottom w:val="0"/>
      <w:divBdr>
        <w:top w:val="none" w:sz="0" w:space="0" w:color="auto"/>
        <w:left w:val="none" w:sz="0" w:space="0" w:color="auto"/>
        <w:bottom w:val="none" w:sz="0" w:space="0" w:color="auto"/>
        <w:right w:val="none" w:sz="0" w:space="0" w:color="auto"/>
      </w:divBdr>
      <w:divsChild>
        <w:div w:id="245042522">
          <w:marLeft w:val="0"/>
          <w:marRight w:val="0"/>
          <w:marTop w:val="0"/>
          <w:marBottom w:val="0"/>
          <w:divBdr>
            <w:top w:val="none" w:sz="0" w:space="0" w:color="auto"/>
            <w:left w:val="none" w:sz="0" w:space="0" w:color="auto"/>
            <w:bottom w:val="none" w:sz="0" w:space="0" w:color="auto"/>
            <w:right w:val="none" w:sz="0" w:space="0" w:color="auto"/>
          </w:divBdr>
          <w:divsChild>
            <w:div w:id="2070493108">
              <w:marLeft w:val="0"/>
              <w:marRight w:val="0"/>
              <w:marTop w:val="0"/>
              <w:marBottom w:val="0"/>
              <w:divBdr>
                <w:top w:val="none" w:sz="0" w:space="0" w:color="auto"/>
                <w:left w:val="none" w:sz="0" w:space="0" w:color="auto"/>
                <w:bottom w:val="none" w:sz="0" w:space="0" w:color="auto"/>
                <w:right w:val="none" w:sz="0" w:space="0" w:color="auto"/>
              </w:divBdr>
              <w:divsChild>
                <w:div w:id="8980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50989">
      <w:bodyDiv w:val="1"/>
      <w:marLeft w:val="0"/>
      <w:marRight w:val="0"/>
      <w:marTop w:val="0"/>
      <w:marBottom w:val="0"/>
      <w:divBdr>
        <w:top w:val="none" w:sz="0" w:space="0" w:color="auto"/>
        <w:left w:val="none" w:sz="0" w:space="0" w:color="auto"/>
        <w:bottom w:val="none" w:sz="0" w:space="0" w:color="auto"/>
        <w:right w:val="none" w:sz="0" w:space="0" w:color="auto"/>
      </w:divBdr>
    </w:div>
    <w:div w:id="1060328062">
      <w:bodyDiv w:val="1"/>
      <w:marLeft w:val="0"/>
      <w:marRight w:val="0"/>
      <w:marTop w:val="0"/>
      <w:marBottom w:val="0"/>
      <w:divBdr>
        <w:top w:val="none" w:sz="0" w:space="0" w:color="auto"/>
        <w:left w:val="none" w:sz="0" w:space="0" w:color="auto"/>
        <w:bottom w:val="none" w:sz="0" w:space="0" w:color="auto"/>
        <w:right w:val="none" w:sz="0" w:space="0" w:color="auto"/>
      </w:divBdr>
      <w:divsChild>
        <w:div w:id="383988841">
          <w:marLeft w:val="0"/>
          <w:marRight w:val="0"/>
          <w:marTop w:val="0"/>
          <w:marBottom w:val="0"/>
          <w:divBdr>
            <w:top w:val="none" w:sz="0" w:space="0" w:color="auto"/>
            <w:left w:val="none" w:sz="0" w:space="0" w:color="auto"/>
            <w:bottom w:val="none" w:sz="0" w:space="0" w:color="auto"/>
            <w:right w:val="none" w:sz="0" w:space="0" w:color="auto"/>
          </w:divBdr>
          <w:divsChild>
            <w:div w:id="2049254293">
              <w:marLeft w:val="0"/>
              <w:marRight w:val="0"/>
              <w:marTop w:val="0"/>
              <w:marBottom w:val="0"/>
              <w:divBdr>
                <w:top w:val="none" w:sz="0" w:space="0" w:color="auto"/>
                <w:left w:val="none" w:sz="0" w:space="0" w:color="auto"/>
                <w:bottom w:val="none" w:sz="0" w:space="0" w:color="auto"/>
                <w:right w:val="none" w:sz="0" w:space="0" w:color="auto"/>
              </w:divBdr>
              <w:divsChild>
                <w:div w:id="1593394020">
                  <w:marLeft w:val="0"/>
                  <w:marRight w:val="0"/>
                  <w:marTop w:val="0"/>
                  <w:marBottom w:val="0"/>
                  <w:divBdr>
                    <w:top w:val="none" w:sz="0" w:space="0" w:color="auto"/>
                    <w:left w:val="none" w:sz="0" w:space="0" w:color="auto"/>
                    <w:bottom w:val="none" w:sz="0" w:space="0" w:color="auto"/>
                    <w:right w:val="none" w:sz="0" w:space="0" w:color="auto"/>
                  </w:divBdr>
                  <w:divsChild>
                    <w:div w:id="17037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91614">
      <w:bodyDiv w:val="1"/>
      <w:marLeft w:val="0"/>
      <w:marRight w:val="0"/>
      <w:marTop w:val="0"/>
      <w:marBottom w:val="0"/>
      <w:divBdr>
        <w:top w:val="none" w:sz="0" w:space="0" w:color="auto"/>
        <w:left w:val="none" w:sz="0" w:space="0" w:color="auto"/>
        <w:bottom w:val="none" w:sz="0" w:space="0" w:color="auto"/>
        <w:right w:val="none" w:sz="0" w:space="0" w:color="auto"/>
      </w:divBdr>
    </w:div>
    <w:div w:id="1147668606">
      <w:bodyDiv w:val="1"/>
      <w:marLeft w:val="0"/>
      <w:marRight w:val="0"/>
      <w:marTop w:val="0"/>
      <w:marBottom w:val="0"/>
      <w:divBdr>
        <w:top w:val="none" w:sz="0" w:space="0" w:color="auto"/>
        <w:left w:val="none" w:sz="0" w:space="0" w:color="auto"/>
        <w:bottom w:val="none" w:sz="0" w:space="0" w:color="auto"/>
        <w:right w:val="none" w:sz="0" w:space="0" w:color="auto"/>
      </w:divBdr>
    </w:div>
    <w:div w:id="1151827237">
      <w:bodyDiv w:val="1"/>
      <w:marLeft w:val="0"/>
      <w:marRight w:val="0"/>
      <w:marTop w:val="0"/>
      <w:marBottom w:val="0"/>
      <w:divBdr>
        <w:top w:val="none" w:sz="0" w:space="0" w:color="auto"/>
        <w:left w:val="none" w:sz="0" w:space="0" w:color="auto"/>
        <w:bottom w:val="none" w:sz="0" w:space="0" w:color="auto"/>
        <w:right w:val="none" w:sz="0" w:space="0" w:color="auto"/>
      </w:divBdr>
    </w:div>
    <w:div w:id="1193807525">
      <w:bodyDiv w:val="1"/>
      <w:marLeft w:val="0"/>
      <w:marRight w:val="0"/>
      <w:marTop w:val="0"/>
      <w:marBottom w:val="0"/>
      <w:divBdr>
        <w:top w:val="none" w:sz="0" w:space="0" w:color="auto"/>
        <w:left w:val="none" w:sz="0" w:space="0" w:color="auto"/>
        <w:bottom w:val="none" w:sz="0" w:space="0" w:color="auto"/>
        <w:right w:val="none" w:sz="0" w:space="0" w:color="auto"/>
      </w:divBdr>
    </w:div>
    <w:div w:id="1200703529">
      <w:bodyDiv w:val="1"/>
      <w:marLeft w:val="0"/>
      <w:marRight w:val="0"/>
      <w:marTop w:val="0"/>
      <w:marBottom w:val="0"/>
      <w:divBdr>
        <w:top w:val="none" w:sz="0" w:space="0" w:color="auto"/>
        <w:left w:val="none" w:sz="0" w:space="0" w:color="auto"/>
        <w:bottom w:val="none" w:sz="0" w:space="0" w:color="auto"/>
        <w:right w:val="none" w:sz="0" w:space="0" w:color="auto"/>
      </w:divBdr>
    </w:div>
    <w:div w:id="1223904612">
      <w:bodyDiv w:val="1"/>
      <w:marLeft w:val="0"/>
      <w:marRight w:val="0"/>
      <w:marTop w:val="0"/>
      <w:marBottom w:val="0"/>
      <w:divBdr>
        <w:top w:val="none" w:sz="0" w:space="0" w:color="auto"/>
        <w:left w:val="none" w:sz="0" w:space="0" w:color="auto"/>
        <w:bottom w:val="none" w:sz="0" w:space="0" w:color="auto"/>
        <w:right w:val="none" w:sz="0" w:space="0" w:color="auto"/>
      </w:divBdr>
      <w:divsChild>
        <w:div w:id="1633823659">
          <w:marLeft w:val="0"/>
          <w:marRight w:val="0"/>
          <w:marTop w:val="0"/>
          <w:marBottom w:val="0"/>
          <w:divBdr>
            <w:top w:val="none" w:sz="0" w:space="0" w:color="auto"/>
            <w:left w:val="none" w:sz="0" w:space="0" w:color="auto"/>
            <w:bottom w:val="none" w:sz="0" w:space="0" w:color="auto"/>
            <w:right w:val="none" w:sz="0" w:space="0" w:color="auto"/>
          </w:divBdr>
          <w:divsChild>
            <w:div w:id="1209604203">
              <w:marLeft w:val="0"/>
              <w:marRight w:val="0"/>
              <w:marTop w:val="0"/>
              <w:marBottom w:val="0"/>
              <w:divBdr>
                <w:top w:val="none" w:sz="0" w:space="0" w:color="auto"/>
                <w:left w:val="none" w:sz="0" w:space="0" w:color="auto"/>
                <w:bottom w:val="none" w:sz="0" w:space="0" w:color="auto"/>
                <w:right w:val="none" w:sz="0" w:space="0" w:color="auto"/>
              </w:divBdr>
              <w:divsChild>
                <w:div w:id="19380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2983">
      <w:bodyDiv w:val="1"/>
      <w:marLeft w:val="0"/>
      <w:marRight w:val="0"/>
      <w:marTop w:val="0"/>
      <w:marBottom w:val="0"/>
      <w:divBdr>
        <w:top w:val="none" w:sz="0" w:space="0" w:color="auto"/>
        <w:left w:val="none" w:sz="0" w:space="0" w:color="auto"/>
        <w:bottom w:val="none" w:sz="0" w:space="0" w:color="auto"/>
        <w:right w:val="none" w:sz="0" w:space="0" w:color="auto"/>
      </w:divBdr>
      <w:divsChild>
        <w:div w:id="846481895">
          <w:marLeft w:val="0"/>
          <w:marRight w:val="0"/>
          <w:marTop w:val="0"/>
          <w:marBottom w:val="0"/>
          <w:divBdr>
            <w:top w:val="none" w:sz="0" w:space="0" w:color="auto"/>
            <w:left w:val="none" w:sz="0" w:space="0" w:color="auto"/>
            <w:bottom w:val="none" w:sz="0" w:space="0" w:color="auto"/>
            <w:right w:val="none" w:sz="0" w:space="0" w:color="auto"/>
          </w:divBdr>
          <w:divsChild>
            <w:div w:id="396781500">
              <w:marLeft w:val="0"/>
              <w:marRight w:val="0"/>
              <w:marTop w:val="0"/>
              <w:marBottom w:val="0"/>
              <w:divBdr>
                <w:top w:val="none" w:sz="0" w:space="0" w:color="auto"/>
                <w:left w:val="none" w:sz="0" w:space="0" w:color="auto"/>
                <w:bottom w:val="none" w:sz="0" w:space="0" w:color="auto"/>
                <w:right w:val="none" w:sz="0" w:space="0" w:color="auto"/>
              </w:divBdr>
              <w:divsChild>
                <w:div w:id="1355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3654">
      <w:bodyDiv w:val="1"/>
      <w:marLeft w:val="0"/>
      <w:marRight w:val="0"/>
      <w:marTop w:val="0"/>
      <w:marBottom w:val="0"/>
      <w:divBdr>
        <w:top w:val="none" w:sz="0" w:space="0" w:color="auto"/>
        <w:left w:val="none" w:sz="0" w:space="0" w:color="auto"/>
        <w:bottom w:val="none" w:sz="0" w:space="0" w:color="auto"/>
        <w:right w:val="none" w:sz="0" w:space="0" w:color="auto"/>
      </w:divBdr>
    </w:div>
    <w:div w:id="1301232967">
      <w:bodyDiv w:val="1"/>
      <w:marLeft w:val="0"/>
      <w:marRight w:val="0"/>
      <w:marTop w:val="0"/>
      <w:marBottom w:val="0"/>
      <w:divBdr>
        <w:top w:val="none" w:sz="0" w:space="0" w:color="auto"/>
        <w:left w:val="none" w:sz="0" w:space="0" w:color="auto"/>
        <w:bottom w:val="none" w:sz="0" w:space="0" w:color="auto"/>
        <w:right w:val="none" w:sz="0" w:space="0" w:color="auto"/>
      </w:divBdr>
      <w:divsChild>
        <w:div w:id="393551372">
          <w:marLeft w:val="0"/>
          <w:marRight w:val="0"/>
          <w:marTop w:val="0"/>
          <w:marBottom w:val="0"/>
          <w:divBdr>
            <w:top w:val="none" w:sz="0" w:space="0" w:color="auto"/>
            <w:left w:val="none" w:sz="0" w:space="0" w:color="auto"/>
            <w:bottom w:val="none" w:sz="0" w:space="0" w:color="auto"/>
            <w:right w:val="none" w:sz="0" w:space="0" w:color="auto"/>
          </w:divBdr>
        </w:div>
        <w:div w:id="1333292281">
          <w:marLeft w:val="0"/>
          <w:marRight w:val="0"/>
          <w:marTop w:val="0"/>
          <w:marBottom w:val="0"/>
          <w:divBdr>
            <w:top w:val="none" w:sz="0" w:space="0" w:color="auto"/>
            <w:left w:val="none" w:sz="0" w:space="0" w:color="auto"/>
            <w:bottom w:val="none" w:sz="0" w:space="0" w:color="auto"/>
            <w:right w:val="none" w:sz="0" w:space="0" w:color="auto"/>
          </w:divBdr>
        </w:div>
        <w:div w:id="613830313">
          <w:marLeft w:val="0"/>
          <w:marRight w:val="0"/>
          <w:marTop w:val="0"/>
          <w:marBottom w:val="0"/>
          <w:divBdr>
            <w:top w:val="none" w:sz="0" w:space="0" w:color="auto"/>
            <w:left w:val="none" w:sz="0" w:space="0" w:color="auto"/>
            <w:bottom w:val="none" w:sz="0" w:space="0" w:color="auto"/>
            <w:right w:val="none" w:sz="0" w:space="0" w:color="auto"/>
          </w:divBdr>
        </w:div>
      </w:divsChild>
    </w:div>
    <w:div w:id="1330057967">
      <w:bodyDiv w:val="1"/>
      <w:marLeft w:val="0"/>
      <w:marRight w:val="0"/>
      <w:marTop w:val="0"/>
      <w:marBottom w:val="0"/>
      <w:divBdr>
        <w:top w:val="none" w:sz="0" w:space="0" w:color="auto"/>
        <w:left w:val="none" w:sz="0" w:space="0" w:color="auto"/>
        <w:bottom w:val="none" w:sz="0" w:space="0" w:color="auto"/>
        <w:right w:val="none" w:sz="0" w:space="0" w:color="auto"/>
      </w:divBdr>
    </w:div>
    <w:div w:id="1335300747">
      <w:bodyDiv w:val="1"/>
      <w:marLeft w:val="0"/>
      <w:marRight w:val="0"/>
      <w:marTop w:val="0"/>
      <w:marBottom w:val="0"/>
      <w:divBdr>
        <w:top w:val="none" w:sz="0" w:space="0" w:color="auto"/>
        <w:left w:val="none" w:sz="0" w:space="0" w:color="auto"/>
        <w:bottom w:val="none" w:sz="0" w:space="0" w:color="auto"/>
        <w:right w:val="none" w:sz="0" w:space="0" w:color="auto"/>
      </w:divBdr>
    </w:div>
    <w:div w:id="1337031213">
      <w:bodyDiv w:val="1"/>
      <w:marLeft w:val="0"/>
      <w:marRight w:val="0"/>
      <w:marTop w:val="0"/>
      <w:marBottom w:val="0"/>
      <w:divBdr>
        <w:top w:val="none" w:sz="0" w:space="0" w:color="auto"/>
        <w:left w:val="none" w:sz="0" w:space="0" w:color="auto"/>
        <w:bottom w:val="none" w:sz="0" w:space="0" w:color="auto"/>
        <w:right w:val="none" w:sz="0" w:space="0" w:color="auto"/>
      </w:divBdr>
    </w:div>
    <w:div w:id="1367412342">
      <w:bodyDiv w:val="1"/>
      <w:marLeft w:val="0"/>
      <w:marRight w:val="0"/>
      <w:marTop w:val="0"/>
      <w:marBottom w:val="0"/>
      <w:divBdr>
        <w:top w:val="none" w:sz="0" w:space="0" w:color="auto"/>
        <w:left w:val="none" w:sz="0" w:space="0" w:color="auto"/>
        <w:bottom w:val="none" w:sz="0" w:space="0" w:color="auto"/>
        <w:right w:val="none" w:sz="0" w:space="0" w:color="auto"/>
      </w:divBdr>
      <w:divsChild>
        <w:div w:id="1110977461">
          <w:marLeft w:val="0"/>
          <w:marRight w:val="0"/>
          <w:marTop w:val="0"/>
          <w:marBottom w:val="0"/>
          <w:divBdr>
            <w:top w:val="none" w:sz="0" w:space="0" w:color="auto"/>
            <w:left w:val="none" w:sz="0" w:space="0" w:color="auto"/>
            <w:bottom w:val="none" w:sz="0" w:space="0" w:color="auto"/>
            <w:right w:val="none" w:sz="0" w:space="0" w:color="auto"/>
          </w:divBdr>
          <w:divsChild>
            <w:div w:id="1784685662">
              <w:marLeft w:val="0"/>
              <w:marRight w:val="0"/>
              <w:marTop w:val="0"/>
              <w:marBottom w:val="0"/>
              <w:divBdr>
                <w:top w:val="none" w:sz="0" w:space="0" w:color="auto"/>
                <w:left w:val="none" w:sz="0" w:space="0" w:color="auto"/>
                <w:bottom w:val="none" w:sz="0" w:space="0" w:color="auto"/>
                <w:right w:val="none" w:sz="0" w:space="0" w:color="auto"/>
              </w:divBdr>
              <w:divsChild>
                <w:div w:id="2145347621">
                  <w:marLeft w:val="0"/>
                  <w:marRight w:val="0"/>
                  <w:marTop w:val="0"/>
                  <w:marBottom w:val="0"/>
                  <w:divBdr>
                    <w:top w:val="none" w:sz="0" w:space="0" w:color="auto"/>
                    <w:left w:val="none" w:sz="0" w:space="0" w:color="auto"/>
                    <w:bottom w:val="none" w:sz="0" w:space="0" w:color="auto"/>
                    <w:right w:val="none" w:sz="0" w:space="0" w:color="auto"/>
                  </w:divBdr>
                  <w:divsChild>
                    <w:div w:id="137010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16038">
      <w:bodyDiv w:val="1"/>
      <w:marLeft w:val="0"/>
      <w:marRight w:val="0"/>
      <w:marTop w:val="0"/>
      <w:marBottom w:val="0"/>
      <w:divBdr>
        <w:top w:val="none" w:sz="0" w:space="0" w:color="auto"/>
        <w:left w:val="none" w:sz="0" w:space="0" w:color="auto"/>
        <w:bottom w:val="none" w:sz="0" w:space="0" w:color="auto"/>
        <w:right w:val="none" w:sz="0" w:space="0" w:color="auto"/>
      </w:divBdr>
    </w:div>
    <w:div w:id="1399598083">
      <w:bodyDiv w:val="1"/>
      <w:marLeft w:val="0"/>
      <w:marRight w:val="0"/>
      <w:marTop w:val="0"/>
      <w:marBottom w:val="0"/>
      <w:divBdr>
        <w:top w:val="none" w:sz="0" w:space="0" w:color="auto"/>
        <w:left w:val="none" w:sz="0" w:space="0" w:color="auto"/>
        <w:bottom w:val="none" w:sz="0" w:space="0" w:color="auto"/>
        <w:right w:val="none" w:sz="0" w:space="0" w:color="auto"/>
      </w:divBdr>
      <w:divsChild>
        <w:div w:id="2066757484">
          <w:marLeft w:val="0"/>
          <w:marRight w:val="0"/>
          <w:marTop w:val="0"/>
          <w:marBottom w:val="0"/>
          <w:divBdr>
            <w:top w:val="none" w:sz="0" w:space="0" w:color="auto"/>
            <w:left w:val="none" w:sz="0" w:space="0" w:color="auto"/>
            <w:bottom w:val="none" w:sz="0" w:space="0" w:color="auto"/>
            <w:right w:val="none" w:sz="0" w:space="0" w:color="auto"/>
          </w:divBdr>
          <w:divsChild>
            <w:div w:id="751126953">
              <w:marLeft w:val="0"/>
              <w:marRight w:val="0"/>
              <w:marTop w:val="0"/>
              <w:marBottom w:val="0"/>
              <w:divBdr>
                <w:top w:val="none" w:sz="0" w:space="0" w:color="auto"/>
                <w:left w:val="none" w:sz="0" w:space="0" w:color="auto"/>
                <w:bottom w:val="none" w:sz="0" w:space="0" w:color="auto"/>
                <w:right w:val="none" w:sz="0" w:space="0" w:color="auto"/>
              </w:divBdr>
              <w:divsChild>
                <w:div w:id="10460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59603">
      <w:bodyDiv w:val="1"/>
      <w:marLeft w:val="0"/>
      <w:marRight w:val="0"/>
      <w:marTop w:val="0"/>
      <w:marBottom w:val="0"/>
      <w:divBdr>
        <w:top w:val="none" w:sz="0" w:space="0" w:color="auto"/>
        <w:left w:val="none" w:sz="0" w:space="0" w:color="auto"/>
        <w:bottom w:val="none" w:sz="0" w:space="0" w:color="auto"/>
        <w:right w:val="none" w:sz="0" w:space="0" w:color="auto"/>
      </w:divBdr>
      <w:divsChild>
        <w:div w:id="1576814309">
          <w:marLeft w:val="0"/>
          <w:marRight w:val="0"/>
          <w:marTop w:val="0"/>
          <w:marBottom w:val="0"/>
          <w:divBdr>
            <w:top w:val="none" w:sz="0" w:space="0" w:color="auto"/>
            <w:left w:val="none" w:sz="0" w:space="0" w:color="auto"/>
            <w:bottom w:val="none" w:sz="0" w:space="0" w:color="auto"/>
            <w:right w:val="none" w:sz="0" w:space="0" w:color="auto"/>
          </w:divBdr>
          <w:divsChild>
            <w:div w:id="628828185">
              <w:marLeft w:val="0"/>
              <w:marRight w:val="0"/>
              <w:marTop w:val="0"/>
              <w:marBottom w:val="0"/>
              <w:divBdr>
                <w:top w:val="none" w:sz="0" w:space="0" w:color="auto"/>
                <w:left w:val="none" w:sz="0" w:space="0" w:color="auto"/>
                <w:bottom w:val="none" w:sz="0" w:space="0" w:color="auto"/>
                <w:right w:val="none" w:sz="0" w:space="0" w:color="auto"/>
              </w:divBdr>
              <w:divsChild>
                <w:div w:id="1358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32238">
      <w:bodyDiv w:val="1"/>
      <w:marLeft w:val="0"/>
      <w:marRight w:val="0"/>
      <w:marTop w:val="0"/>
      <w:marBottom w:val="0"/>
      <w:divBdr>
        <w:top w:val="none" w:sz="0" w:space="0" w:color="auto"/>
        <w:left w:val="none" w:sz="0" w:space="0" w:color="auto"/>
        <w:bottom w:val="none" w:sz="0" w:space="0" w:color="auto"/>
        <w:right w:val="none" w:sz="0" w:space="0" w:color="auto"/>
      </w:divBdr>
    </w:div>
    <w:div w:id="1430158852">
      <w:bodyDiv w:val="1"/>
      <w:marLeft w:val="0"/>
      <w:marRight w:val="0"/>
      <w:marTop w:val="0"/>
      <w:marBottom w:val="0"/>
      <w:divBdr>
        <w:top w:val="none" w:sz="0" w:space="0" w:color="auto"/>
        <w:left w:val="none" w:sz="0" w:space="0" w:color="auto"/>
        <w:bottom w:val="none" w:sz="0" w:space="0" w:color="auto"/>
        <w:right w:val="none" w:sz="0" w:space="0" w:color="auto"/>
      </w:divBdr>
    </w:div>
    <w:div w:id="1443647121">
      <w:bodyDiv w:val="1"/>
      <w:marLeft w:val="0"/>
      <w:marRight w:val="0"/>
      <w:marTop w:val="0"/>
      <w:marBottom w:val="0"/>
      <w:divBdr>
        <w:top w:val="none" w:sz="0" w:space="0" w:color="auto"/>
        <w:left w:val="none" w:sz="0" w:space="0" w:color="auto"/>
        <w:bottom w:val="none" w:sz="0" w:space="0" w:color="auto"/>
        <w:right w:val="none" w:sz="0" w:space="0" w:color="auto"/>
      </w:divBdr>
      <w:divsChild>
        <w:div w:id="2036032788">
          <w:marLeft w:val="0"/>
          <w:marRight w:val="0"/>
          <w:marTop w:val="0"/>
          <w:marBottom w:val="0"/>
          <w:divBdr>
            <w:top w:val="none" w:sz="0" w:space="0" w:color="auto"/>
            <w:left w:val="none" w:sz="0" w:space="0" w:color="auto"/>
            <w:bottom w:val="none" w:sz="0" w:space="0" w:color="auto"/>
            <w:right w:val="none" w:sz="0" w:space="0" w:color="auto"/>
          </w:divBdr>
          <w:divsChild>
            <w:div w:id="148179325">
              <w:marLeft w:val="0"/>
              <w:marRight w:val="0"/>
              <w:marTop w:val="0"/>
              <w:marBottom w:val="0"/>
              <w:divBdr>
                <w:top w:val="none" w:sz="0" w:space="0" w:color="auto"/>
                <w:left w:val="none" w:sz="0" w:space="0" w:color="auto"/>
                <w:bottom w:val="none" w:sz="0" w:space="0" w:color="auto"/>
                <w:right w:val="none" w:sz="0" w:space="0" w:color="auto"/>
              </w:divBdr>
              <w:divsChild>
                <w:div w:id="20622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79342">
      <w:bodyDiv w:val="1"/>
      <w:marLeft w:val="0"/>
      <w:marRight w:val="0"/>
      <w:marTop w:val="0"/>
      <w:marBottom w:val="0"/>
      <w:divBdr>
        <w:top w:val="none" w:sz="0" w:space="0" w:color="auto"/>
        <w:left w:val="none" w:sz="0" w:space="0" w:color="auto"/>
        <w:bottom w:val="none" w:sz="0" w:space="0" w:color="auto"/>
        <w:right w:val="none" w:sz="0" w:space="0" w:color="auto"/>
      </w:divBdr>
    </w:div>
    <w:div w:id="1511025030">
      <w:bodyDiv w:val="1"/>
      <w:marLeft w:val="0"/>
      <w:marRight w:val="0"/>
      <w:marTop w:val="0"/>
      <w:marBottom w:val="0"/>
      <w:divBdr>
        <w:top w:val="none" w:sz="0" w:space="0" w:color="auto"/>
        <w:left w:val="none" w:sz="0" w:space="0" w:color="auto"/>
        <w:bottom w:val="none" w:sz="0" w:space="0" w:color="auto"/>
        <w:right w:val="none" w:sz="0" w:space="0" w:color="auto"/>
      </w:divBdr>
    </w:div>
    <w:div w:id="1513640187">
      <w:bodyDiv w:val="1"/>
      <w:marLeft w:val="0"/>
      <w:marRight w:val="0"/>
      <w:marTop w:val="0"/>
      <w:marBottom w:val="0"/>
      <w:divBdr>
        <w:top w:val="none" w:sz="0" w:space="0" w:color="auto"/>
        <w:left w:val="none" w:sz="0" w:space="0" w:color="auto"/>
        <w:bottom w:val="none" w:sz="0" w:space="0" w:color="auto"/>
        <w:right w:val="none" w:sz="0" w:space="0" w:color="auto"/>
      </w:divBdr>
    </w:div>
    <w:div w:id="1520851850">
      <w:bodyDiv w:val="1"/>
      <w:marLeft w:val="0"/>
      <w:marRight w:val="0"/>
      <w:marTop w:val="0"/>
      <w:marBottom w:val="0"/>
      <w:divBdr>
        <w:top w:val="none" w:sz="0" w:space="0" w:color="auto"/>
        <w:left w:val="none" w:sz="0" w:space="0" w:color="auto"/>
        <w:bottom w:val="none" w:sz="0" w:space="0" w:color="auto"/>
        <w:right w:val="none" w:sz="0" w:space="0" w:color="auto"/>
      </w:divBdr>
      <w:divsChild>
        <w:div w:id="477459269">
          <w:marLeft w:val="0"/>
          <w:marRight w:val="0"/>
          <w:marTop w:val="0"/>
          <w:marBottom w:val="0"/>
          <w:divBdr>
            <w:top w:val="none" w:sz="0" w:space="0" w:color="auto"/>
            <w:left w:val="none" w:sz="0" w:space="0" w:color="auto"/>
            <w:bottom w:val="none" w:sz="0" w:space="0" w:color="auto"/>
            <w:right w:val="none" w:sz="0" w:space="0" w:color="auto"/>
          </w:divBdr>
          <w:divsChild>
            <w:div w:id="616453727">
              <w:marLeft w:val="0"/>
              <w:marRight w:val="0"/>
              <w:marTop w:val="0"/>
              <w:marBottom w:val="0"/>
              <w:divBdr>
                <w:top w:val="none" w:sz="0" w:space="0" w:color="auto"/>
                <w:left w:val="none" w:sz="0" w:space="0" w:color="auto"/>
                <w:bottom w:val="none" w:sz="0" w:space="0" w:color="auto"/>
                <w:right w:val="none" w:sz="0" w:space="0" w:color="auto"/>
              </w:divBdr>
              <w:divsChild>
                <w:div w:id="20711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49108">
      <w:bodyDiv w:val="1"/>
      <w:marLeft w:val="0"/>
      <w:marRight w:val="0"/>
      <w:marTop w:val="0"/>
      <w:marBottom w:val="0"/>
      <w:divBdr>
        <w:top w:val="none" w:sz="0" w:space="0" w:color="auto"/>
        <w:left w:val="none" w:sz="0" w:space="0" w:color="auto"/>
        <w:bottom w:val="none" w:sz="0" w:space="0" w:color="auto"/>
        <w:right w:val="none" w:sz="0" w:space="0" w:color="auto"/>
      </w:divBdr>
    </w:div>
    <w:div w:id="1556232033">
      <w:bodyDiv w:val="1"/>
      <w:marLeft w:val="0"/>
      <w:marRight w:val="0"/>
      <w:marTop w:val="0"/>
      <w:marBottom w:val="0"/>
      <w:divBdr>
        <w:top w:val="none" w:sz="0" w:space="0" w:color="auto"/>
        <w:left w:val="none" w:sz="0" w:space="0" w:color="auto"/>
        <w:bottom w:val="none" w:sz="0" w:space="0" w:color="auto"/>
        <w:right w:val="none" w:sz="0" w:space="0" w:color="auto"/>
      </w:divBdr>
    </w:div>
    <w:div w:id="1669743788">
      <w:bodyDiv w:val="1"/>
      <w:marLeft w:val="0"/>
      <w:marRight w:val="0"/>
      <w:marTop w:val="0"/>
      <w:marBottom w:val="0"/>
      <w:divBdr>
        <w:top w:val="none" w:sz="0" w:space="0" w:color="auto"/>
        <w:left w:val="none" w:sz="0" w:space="0" w:color="auto"/>
        <w:bottom w:val="none" w:sz="0" w:space="0" w:color="auto"/>
        <w:right w:val="none" w:sz="0" w:space="0" w:color="auto"/>
      </w:divBdr>
    </w:div>
    <w:div w:id="1687292721">
      <w:bodyDiv w:val="1"/>
      <w:marLeft w:val="0"/>
      <w:marRight w:val="0"/>
      <w:marTop w:val="0"/>
      <w:marBottom w:val="0"/>
      <w:divBdr>
        <w:top w:val="none" w:sz="0" w:space="0" w:color="auto"/>
        <w:left w:val="none" w:sz="0" w:space="0" w:color="auto"/>
        <w:bottom w:val="none" w:sz="0" w:space="0" w:color="auto"/>
        <w:right w:val="none" w:sz="0" w:space="0" w:color="auto"/>
      </w:divBdr>
      <w:divsChild>
        <w:div w:id="1117527131">
          <w:marLeft w:val="0"/>
          <w:marRight w:val="0"/>
          <w:marTop w:val="0"/>
          <w:marBottom w:val="0"/>
          <w:divBdr>
            <w:top w:val="none" w:sz="0" w:space="0" w:color="auto"/>
            <w:left w:val="none" w:sz="0" w:space="0" w:color="auto"/>
            <w:bottom w:val="none" w:sz="0" w:space="0" w:color="auto"/>
            <w:right w:val="none" w:sz="0" w:space="0" w:color="auto"/>
          </w:divBdr>
        </w:div>
        <w:div w:id="1560360178">
          <w:marLeft w:val="0"/>
          <w:marRight w:val="0"/>
          <w:marTop w:val="0"/>
          <w:marBottom w:val="0"/>
          <w:divBdr>
            <w:top w:val="none" w:sz="0" w:space="0" w:color="auto"/>
            <w:left w:val="none" w:sz="0" w:space="0" w:color="auto"/>
            <w:bottom w:val="none" w:sz="0" w:space="0" w:color="auto"/>
            <w:right w:val="none" w:sz="0" w:space="0" w:color="auto"/>
          </w:divBdr>
        </w:div>
        <w:div w:id="1148353984">
          <w:marLeft w:val="0"/>
          <w:marRight w:val="0"/>
          <w:marTop w:val="0"/>
          <w:marBottom w:val="0"/>
          <w:divBdr>
            <w:top w:val="none" w:sz="0" w:space="0" w:color="auto"/>
            <w:left w:val="none" w:sz="0" w:space="0" w:color="auto"/>
            <w:bottom w:val="none" w:sz="0" w:space="0" w:color="auto"/>
            <w:right w:val="none" w:sz="0" w:space="0" w:color="auto"/>
          </w:divBdr>
        </w:div>
      </w:divsChild>
    </w:div>
    <w:div w:id="1721661815">
      <w:bodyDiv w:val="1"/>
      <w:marLeft w:val="0"/>
      <w:marRight w:val="0"/>
      <w:marTop w:val="0"/>
      <w:marBottom w:val="0"/>
      <w:divBdr>
        <w:top w:val="none" w:sz="0" w:space="0" w:color="auto"/>
        <w:left w:val="none" w:sz="0" w:space="0" w:color="auto"/>
        <w:bottom w:val="none" w:sz="0" w:space="0" w:color="auto"/>
        <w:right w:val="none" w:sz="0" w:space="0" w:color="auto"/>
      </w:divBdr>
      <w:divsChild>
        <w:div w:id="1865247874">
          <w:marLeft w:val="0"/>
          <w:marRight w:val="0"/>
          <w:marTop w:val="0"/>
          <w:marBottom w:val="0"/>
          <w:divBdr>
            <w:top w:val="none" w:sz="0" w:space="0" w:color="auto"/>
            <w:left w:val="none" w:sz="0" w:space="0" w:color="auto"/>
            <w:bottom w:val="none" w:sz="0" w:space="0" w:color="auto"/>
            <w:right w:val="none" w:sz="0" w:space="0" w:color="auto"/>
          </w:divBdr>
        </w:div>
      </w:divsChild>
    </w:div>
    <w:div w:id="1728794454">
      <w:bodyDiv w:val="1"/>
      <w:marLeft w:val="0"/>
      <w:marRight w:val="0"/>
      <w:marTop w:val="0"/>
      <w:marBottom w:val="0"/>
      <w:divBdr>
        <w:top w:val="none" w:sz="0" w:space="0" w:color="auto"/>
        <w:left w:val="none" w:sz="0" w:space="0" w:color="auto"/>
        <w:bottom w:val="none" w:sz="0" w:space="0" w:color="auto"/>
        <w:right w:val="none" w:sz="0" w:space="0" w:color="auto"/>
      </w:divBdr>
    </w:div>
    <w:div w:id="1764915840">
      <w:bodyDiv w:val="1"/>
      <w:marLeft w:val="0"/>
      <w:marRight w:val="0"/>
      <w:marTop w:val="0"/>
      <w:marBottom w:val="0"/>
      <w:divBdr>
        <w:top w:val="none" w:sz="0" w:space="0" w:color="auto"/>
        <w:left w:val="none" w:sz="0" w:space="0" w:color="auto"/>
        <w:bottom w:val="none" w:sz="0" w:space="0" w:color="auto"/>
        <w:right w:val="none" w:sz="0" w:space="0" w:color="auto"/>
      </w:divBdr>
      <w:divsChild>
        <w:div w:id="475032089">
          <w:marLeft w:val="0"/>
          <w:marRight w:val="0"/>
          <w:marTop w:val="0"/>
          <w:marBottom w:val="0"/>
          <w:divBdr>
            <w:top w:val="none" w:sz="0" w:space="0" w:color="auto"/>
            <w:left w:val="none" w:sz="0" w:space="0" w:color="auto"/>
            <w:bottom w:val="none" w:sz="0" w:space="0" w:color="auto"/>
            <w:right w:val="none" w:sz="0" w:space="0" w:color="auto"/>
          </w:divBdr>
          <w:divsChild>
            <w:div w:id="624892003">
              <w:marLeft w:val="0"/>
              <w:marRight w:val="0"/>
              <w:marTop w:val="0"/>
              <w:marBottom w:val="0"/>
              <w:divBdr>
                <w:top w:val="none" w:sz="0" w:space="0" w:color="auto"/>
                <w:left w:val="none" w:sz="0" w:space="0" w:color="auto"/>
                <w:bottom w:val="none" w:sz="0" w:space="0" w:color="auto"/>
                <w:right w:val="none" w:sz="0" w:space="0" w:color="auto"/>
              </w:divBdr>
              <w:divsChild>
                <w:div w:id="47592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4207">
      <w:bodyDiv w:val="1"/>
      <w:marLeft w:val="0"/>
      <w:marRight w:val="0"/>
      <w:marTop w:val="0"/>
      <w:marBottom w:val="0"/>
      <w:divBdr>
        <w:top w:val="none" w:sz="0" w:space="0" w:color="auto"/>
        <w:left w:val="none" w:sz="0" w:space="0" w:color="auto"/>
        <w:bottom w:val="none" w:sz="0" w:space="0" w:color="auto"/>
        <w:right w:val="none" w:sz="0" w:space="0" w:color="auto"/>
      </w:divBdr>
    </w:div>
    <w:div w:id="1804804847">
      <w:bodyDiv w:val="1"/>
      <w:marLeft w:val="0"/>
      <w:marRight w:val="0"/>
      <w:marTop w:val="0"/>
      <w:marBottom w:val="0"/>
      <w:divBdr>
        <w:top w:val="none" w:sz="0" w:space="0" w:color="auto"/>
        <w:left w:val="none" w:sz="0" w:space="0" w:color="auto"/>
        <w:bottom w:val="none" w:sz="0" w:space="0" w:color="auto"/>
        <w:right w:val="none" w:sz="0" w:space="0" w:color="auto"/>
      </w:divBdr>
    </w:div>
    <w:div w:id="1810975629">
      <w:bodyDiv w:val="1"/>
      <w:marLeft w:val="0"/>
      <w:marRight w:val="0"/>
      <w:marTop w:val="0"/>
      <w:marBottom w:val="0"/>
      <w:divBdr>
        <w:top w:val="none" w:sz="0" w:space="0" w:color="auto"/>
        <w:left w:val="none" w:sz="0" w:space="0" w:color="auto"/>
        <w:bottom w:val="none" w:sz="0" w:space="0" w:color="auto"/>
        <w:right w:val="none" w:sz="0" w:space="0" w:color="auto"/>
      </w:divBdr>
      <w:divsChild>
        <w:div w:id="2136631656">
          <w:marLeft w:val="0"/>
          <w:marRight w:val="0"/>
          <w:marTop w:val="0"/>
          <w:marBottom w:val="0"/>
          <w:divBdr>
            <w:top w:val="none" w:sz="0" w:space="0" w:color="auto"/>
            <w:left w:val="none" w:sz="0" w:space="0" w:color="auto"/>
            <w:bottom w:val="none" w:sz="0" w:space="0" w:color="auto"/>
            <w:right w:val="none" w:sz="0" w:space="0" w:color="auto"/>
          </w:divBdr>
          <w:divsChild>
            <w:div w:id="668870111">
              <w:marLeft w:val="0"/>
              <w:marRight w:val="0"/>
              <w:marTop w:val="0"/>
              <w:marBottom w:val="0"/>
              <w:divBdr>
                <w:top w:val="none" w:sz="0" w:space="0" w:color="auto"/>
                <w:left w:val="none" w:sz="0" w:space="0" w:color="auto"/>
                <w:bottom w:val="none" w:sz="0" w:space="0" w:color="auto"/>
                <w:right w:val="none" w:sz="0" w:space="0" w:color="auto"/>
              </w:divBdr>
              <w:divsChild>
                <w:div w:id="1624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3119">
      <w:bodyDiv w:val="1"/>
      <w:marLeft w:val="0"/>
      <w:marRight w:val="0"/>
      <w:marTop w:val="0"/>
      <w:marBottom w:val="0"/>
      <w:divBdr>
        <w:top w:val="none" w:sz="0" w:space="0" w:color="auto"/>
        <w:left w:val="none" w:sz="0" w:space="0" w:color="auto"/>
        <w:bottom w:val="none" w:sz="0" w:space="0" w:color="auto"/>
        <w:right w:val="none" w:sz="0" w:space="0" w:color="auto"/>
      </w:divBdr>
      <w:divsChild>
        <w:div w:id="44379008">
          <w:marLeft w:val="0"/>
          <w:marRight w:val="0"/>
          <w:marTop w:val="0"/>
          <w:marBottom w:val="0"/>
          <w:divBdr>
            <w:top w:val="none" w:sz="0" w:space="0" w:color="auto"/>
            <w:left w:val="none" w:sz="0" w:space="0" w:color="auto"/>
            <w:bottom w:val="none" w:sz="0" w:space="0" w:color="auto"/>
            <w:right w:val="none" w:sz="0" w:space="0" w:color="auto"/>
          </w:divBdr>
          <w:divsChild>
            <w:div w:id="1125663175">
              <w:marLeft w:val="0"/>
              <w:marRight w:val="0"/>
              <w:marTop w:val="0"/>
              <w:marBottom w:val="0"/>
              <w:divBdr>
                <w:top w:val="none" w:sz="0" w:space="0" w:color="auto"/>
                <w:left w:val="none" w:sz="0" w:space="0" w:color="auto"/>
                <w:bottom w:val="none" w:sz="0" w:space="0" w:color="auto"/>
                <w:right w:val="none" w:sz="0" w:space="0" w:color="auto"/>
              </w:divBdr>
              <w:divsChild>
                <w:div w:id="14734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20362">
      <w:bodyDiv w:val="1"/>
      <w:marLeft w:val="0"/>
      <w:marRight w:val="0"/>
      <w:marTop w:val="0"/>
      <w:marBottom w:val="0"/>
      <w:divBdr>
        <w:top w:val="none" w:sz="0" w:space="0" w:color="auto"/>
        <w:left w:val="none" w:sz="0" w:space="0" w:color="auto"/>
        <w:bottom w:val="none" w:sz="0" w:space="0" w:color="auto"/>
        <w:right w:val="none" w:sz="0" w:space="0" w:color="auto"/>
      </w:divBdr>
    </w:div>
    <w:div w:id="1870216776">
      <w:bodyDiv w:val="1"/>
      <w:marLeft w:val="0"/>
      <w:marRight w:val="0"/>
      <w:marTop w:val="0"/>
      <w:marBottom w:val="0"/>
      <w:divBdr>
        <w:top w:val="none" w:sz="0" w:space="0" w:color="auto"/>
        <w:left w:val="none" w:sz="0" w:space="0" w:color="auto"/>
        <w:bottom w:val="none" w:sz="0" w:space="0" w:color="auto"/>
        <w:right w:val="none" w:sz="0" w:space="0" w:color="auto"/>
      </w:divBdr>
      <w:divsChild>
        <w:div w:id="73017193">
          <w:marLeft w:val="0"/>
          <w:marRight w:val="0"/>
          <w:marTop w:val="0"/>
          <w:marBottom w:val="0"/>
          <w:divBdr>
            <w:top w:val="none" w:sz="0" w:space="0" w:color="auto"/>
            <w:left w:val="none" w:sz="0" w:space="0" w:color="auto"/>
            <w:bottom w:val="none" w:sz="0" w:space="0" w:color="auto"/>
            <w:right w:val="none" w:sz="0" w:space="0" w:color="auto"/>
          </w:divBdr>
          <w:divsChild>
            <w:div w:id="785005636">
              <w:marLeft w:val="0"/>
              <w:marRight w:val="0"/>
              <w:marTop w:val="0"/>
              <w:marBottom w:val="0"/>
              <w:divBdr>
                <w:top w:val="none" w:sz="0" w:space="0" w:color="auto"/>
                <w:left w:val="none" w:sz="0" w:space="0" w:color="auto"/>
                <w:bottom w:val="none" w:sz="0" w:space="0" w:color="auto"/>
                <w:right w:val="none" w:sz="0" w:space="0" w:color="auto"/>
              </w:divBdr>
              <w:divsChild>
                <w:div w:id="13886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94561">
      <w:bodyDiv w:val="1"/>
      <w:marLeft w:val="0"/>
      <w:marRight w:val="0"/>
      <w:marTop w:val="0"/>
      <w:marBottom w:val="0"/>
      <w:divBdr>
        <w:top w:val="none" w:sz="0" w:space="0" w:color="auto"/>
        <w:left w:val="none" w:sz="0" w:space="0" w:color="auto"/>
        <w:bottom w:val="none" w:sz="0" w:space="0" w:color="auto"/>
        <w:right w:val="none" w:sz="0" w:space="0" w:color="auto"/>
      </w:divBdr>
      <w:divsChild>
        <w:div w:id="414978813">
          <w:marLeft w:val="0"/>
          <w:marRight w:val="0"/>
          <w:marTop w:val="0"/>
          <w:marBottom w:val="0"/>
          <w:divBdr>
            <w:top w:val="none" w:sz="0" w:space="0" w:color="auto"/>
            <w:left w:val="none" w:sz="0" w:space="0" w:color="auto"/>
            <w:bottom w:val="none" w:sz="0" w:space="0" w:color="auto"/>
            <w:right w:val="none" w:sz="0" w:space="0" w:color="auto"/>
          </w:divBdr>
          <w:divsChild>
            <w:div w:id="623318398">
              <w:marLeft w:val="0"/>
              <w:marRight w:val="0"/>
              <w:marTop w:val="0"/>
              <w:marBottom w:val="0"/>
              <w:divBdr>
                <w:top w:val="none" w:sz="0" w:space="0" w:color="auto"/>
                <w:left w:val="none" w:sz="0" w:space="0" w:color="auto"/>
                <w:bottom w:val="none" w:sz="0" w:space="0" w:color="auto"/>
                <w:right w:val="none" w:sz="0" w:space="0" w:color="auto"/>
              </w:divBdr>
              <w:divsChild>
                <w:div w:id="91705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10593">
      <w:bodyDiv w:val="1"/>
      <w:marLeft w:val="0"/>
      <w:marRight w:val="0"/>
      <w:marTop w:val="0"/>
      <w:marBottom w:val="0"/>
      <w:divBdr>
        <w:top w:val="none" w:sz="0" w:space="0" w:color="auto"/>
        <w:left w:val="none" w:sz="0" w:space="0" w:color="auto"/>
        <w:bottom w:val="none" w:sz="0" w:space="0" w:color="auto"/>
        <w:right w:val="none" w:sz="0" w:space="0" w:color="auto"/>
      </w:divBdr>
      <w:divsChild>
        <w:div w:id="771631977">
          <w:marLeft w:val="0"/>
          <w:marRight w:val="0"/>
          <w:marTop w:val="0"/>
          <w:marBottom w:val="0"/>
          <w:divBdr>
            <w:top w:val="none" w:sz="0" w:space="0" w:color="auto"/>
            <w:left w:val="none" w:sz="0" w:space="0" w:color="auto"/>
            <w:bottom w:val="none" w:sz="0" w:space="0" w:color="auto"/>
            <w:right w:val="none" w:sz="0" w:space="0" w:color="auto"/>
          </w:divBdr>
          <w:divsChild>
            <w:div w:id="1102215376">
              <w:marLeft w:val="0"/>
              <w:marRight w:val="0"/>
              <w:marTop w:val="0"/>
              <w:marBottom w:val="0"/>
              <w:divBdr>
                <w:top w:val="none" w:sz="0" w:space="0" w:color="auto"/>
                <w:left w:val="none" w:sz="0" w:space="0" w:color="auto"/>
                <w:bottom w:val="none" w:sz="0" w:space="0" w:color="auto"/>
                <w:right w:val="none" w:sz="0" w:space="0" w:color="auto"/>
              </w:divBdr>
              <w:divsChild>
                <w:div w:id="822432101">
                  <w:marLeft w:val="0"/>
                  <w:marRight w:val="0"/>
                  <w:marTop w:val="0"/>
                  <w:marBottom w:val="0"/>
                  <w:divBdr>
                    <w:top w:val="none" w:sz="0" w:space="0" w:color="auto"/>
                    <w:left w:val="none" w:sz="0" w:space="0" w:color="auto"/>
                    <w:bottom w:val="none" w:sz="0" w:space="0" w:color="auto"/>
                    <w:right w:val="none" w:sz="0" w:space="0" w:color="auto"/>
                  </w:divBdr>
                </w:div>
              </w:divsChild>
            </w:div>
            <w:div w:id="1824465226">
              <w:marLeft w:val="0"/>
              <w:marRight w:val="0"/>
              <w:marTop w:val="0"/>
              <w:marBottom w:val="0"/>
              <w:divBdr>
                <w:top w:val="none" w:sz="0" w:space="0" w:color="auto"/>
                <w:left w:val="none" w:sz="0" w:space="0" w:color="auto"/>
                <w:bottom w:val="none" w:sz="0" w:space="0" w:color="auto"/>
                <w:right w:val="none" w:sz="0" w:space="0" w:color="auto"/>
              </w:divBdr>
              <w:divsChild>
                <w:div w:id="1835146078">
                  <w:marLeft w:val="0"/>
                  <w:marRight w:val="0"/>
                  <w:marTop w:val="0"/>
                  <w:marBottom w:val="0"/>
                  <w:divBdr>
                    <w:top w:val="none" w:sz="0" w:space="0" w:color="auto"/>
                    <w:left w:val="none" w:sz="0" w:space="0" w:color="auto"/>
                    <w:bottom w:val="none" w:sz="0" w:space="0" w:color="auto"/>
                    <w:right w:val="none" w:sz="0" w:space="0" w:color="auto"/>
                  </w:divBdr>
                </w:div>
              </w:divsChild>
            </w:div>
            <w:div w:id="1959994663">
              <w:marLeft w:val="0"/>
              <w:marRight w:val="0"/>
              <w:marTop w:val="0"/>
              <w:marBottom w:val="0"/>
              <w:divBdr>
                <w:top w:val="none" w:sz="0" w:space="0" w:color="auto"/>
                <w:left w:val="none" w:sz="0" w:space="0" w:color="auto"/>
                <w:bottom w:val="none" w:sz="0" w:space="0" w:color="auto"/>
                <w:right w:val="none" w:sz="0" w:space="0" w:color="auto"/>
              </w:divBdr>
              <w:divsChild>
                <w:div w:id="878513793">
                  <w:marLeft w:val="0"/>
                  <w:marRight w:val="0"/>
                  <w:marTop w:val="0"/>
                  <w:marBottom w:val="0"/>
                  <w:divBdr>
                    <w:top w:val="none" w:sz="0" w:space="0" w:color="auto"/>
                    <w:left w:val="none" w:sz="0" w:space="0" w:color="auto"/>
                    <w:bottom w:val="none" w:sz="0" w:space="0" w:color="auto"/>
                    <w:right w:val="none" w:sz="0" w:space="0" w:color="auto"/>
                  </w:divBdr>
                </w:div>
              </w:divsChild>
            </w:div>
            <w:div w:id="782850075">
              <w:marLeft w:val="0"/>
              <w:marRight w:val="0"/>
              <w:marTop w:val="0"/>
              <w:marBottom w:val="0"/>
              <w:divBdr>
                <w:top w:val="none" w:sz="0" w:space="0" w:color="auto"/>
                <w:left w:val="none" w:sz="0" w:space="0" w:color="auto"/>
                <w:bottom w:val="none" w:sz="0" w:space="0" w:color="auto"/>
                <w:right w:val="none" w:sz="0" w:space="0" w:color="auto"/>
              </w:divBdr>
              <w:divsChild>
                <w:div w:id="16026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6976">
      <w:bodyDiv w:val="1"/>
      <w:marLeft w:val="0"/>
      <w:marRight w:val="0"/>
      <w:marTop w:val="0"/>
      <w:marBottom w:val="0"/>
      <w:divBdr>
        <w:top w:val="none" w:sz="0" w:space="0" w:color="auto"/>
        <w:left w:val="none" w:sz="0" w:space="0" w:color="auto"/>
        <w:bottom w:val="none" w:sz="0" w:space="0" w:color="auto"/>
        <w:right w:val="none" w:sz="0" w:space="0" w:color="auto"/>
      </w:divBdr>
    </w:div>
    <w:div w:id="1913344484">
      <w:bodyDiv w:val="1"/>
      <w:marLeft w:val="0"/>
      <w:marRight w:val="0"/>
      <w:marTop w:val="0"/>
      <w:marBottom w:val="0"/>
      <w:divBdr>
        <w:top w:val="none" w:sz="0" w:space="0" w:color="auto"/>
        <w:left w:val="none" w:sz="0" w:space="0" w:color="auto"/>
        <w:bottom w:val="none" w:sz="0" w:space="0" w:color="auto"/>
        <w:right w:val="none" w:sz="0" w:space="0" w:color="auto"/>
      </w:divBdr>
    </w:div>
    <w:div w:id="1917858445">
      <w:bodyDiv w:val="1"/>
      <w:marLeft w:val="0"/>
      <w:marRight w:val="0"/>
      <w:marTop w:val="0"/>
      <w:marBottom w:val="0"/>
      <w:divBdr>
        <w:top w:val="none" w:sz="0" w:space="0" w:color="auto"/>
        <w:left w:val="none" w:sz="0" w:space="0" w:color="auto"/>
        <w:bottom w:val="none" w:sz="0" w:space="0" w:color="auto"/>
        <w:right w:val="none" w:sz="0" w:space="0" w:color="auto"/>
      </w:divBdr>
    </w:div>
    <w:div w:id="1942177180">
      <w:bodyDiv w:val="1"/>
      <w:marLeft w:val="0"/>
      <w:marRight w:val="0"/>
      <w:marTop w:val="0"/>
      <w:marBottom w:val="0"/>
      <w:divBdr>
        <w:top w:val="none" w:sz="0" w:space="0" w:color="auto"/>
        <w:left w:val="none" w:sz="0" w:space="0" w:color="auto"/>
        <w:bottom w:val="none" w:sz="0" w:space="0" w:color="auto"/>
        <w:right w:val="none" w:sz="0" w:space="0" w:color="auto"/>
      </w:divBdr>
    </w:div>
    <w:div w:id="1957441060">
      <w:bodyDiv w:val="1"/>
      <w:marLeft w:val="0"/>
      <w:marRight w:val="0"/>
      <w:marTop w:val="0"/>
      <w:marBottom w:val="0"/>
      <w:divBdr>
        <w:top w:val="none" w:sz="0" w:space="0" w:color="auto"/>
        <w:left w:val="none" w:sz="0" w:space="0" w:color="auto"/>
        <w:bottom w:val="none" w:sz="0" w:space="0" w:color="auto"/>
        <w:right w:val="none" w:sz="0" w:space="0" w:color="auto"/>
      </w:divBdr>
    </w:div>
    <w:div w:id="1958026962">
      <w:bodyDiv w:val="1"/>
      <w:marLeft w:val="0"/>
      <w:marRight w:val="0"/>
      <w:marTop w:val="0"/>
      <w:marBottom w:val="0"/>
      <w:divBdr>
        <w:top w:val="none" w:sz="0" w:space="0" w:color="auto"/>
        <w:left w:val="none" w:sz="0" w:space="0" w:color="auto"/>
        <w:bottom w:val="none" w:sz="0" w:space="0" w:color="auto"/>
        <w:right w:val="none" w:sz="0" w:space="0" w:color="auto"/>
      </w:divBdr>
      <w:divsChild>
        <w:div w:id="1188327131">
          <w:marLeft w:val="0"/>
          <w:marRight w:val="0"/>
          <w:marTop w:val="0"/>
          <w:marBottom w:val="0"/>
          <w:divBdr>
            <w:top w:val="none" w:sz="0" w:space="0" w:color="auto"/>
            <w:left w:val="none" w:sz="0" w:space="0" w:color="auto"/>
            <w:bottom w:val="none" w:sz="0" w:space="0" w:color="auto"/>
            <w:right w:val="none" w:sz="0" w:space="0" w:color="auto"/>
          </w:divBdr>
          <w:divsChild>
            <w:div w:id="2012678140">
              <w:marLeft w:val="0"/>
              <w:marRight w:val="0"/>
              <w:marTop w:val="0"/>
              <w:marBottom w:val="0"/>
              <w:divBdr>
                <w:top w:val="none" w:sz="0" w:space="0" w:color="auto"/>
                <w:left w:val="none" w:sz="0" w:space="0" w:color="auto"/>
                <w:bottom w:val="none" w:sz="0" w:space="0" w:color="auto"/>
                <w:right w:val="none" w:sz="0" w:space="0" w:color="auto"/>
              </w:divBdr>
              <w:divsChild>
                <w:div w:id="9636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65589">
      <w:bodyDiv w:val="1"/>
      <w:marLeft w:val="0"/>
      <w:marRight w:val="0"/>
      <w:marTop w:val="0"/>
      <w:marBottom w:val="0"/>
      <w:divBdr>
        <w:top w:val="none" w:sz="0" w:space="0" w:color="auto"/>
        <w:left w:val="none" w:sz="0" w:space="0" w:color="auto"/>
        <w:bottom w:val="none" w:sz="0" w:space="0" w:color="auto"/>
        <w:right w:val="none" w:sz="0" w:space="0" w:color="auto"/>
      </w:divBdr>
    </w:div>
    <w:div w:id="2030593865">
      <w:bodyDiv w:val="1"/>
      <w:marLeft w:val="0"/>
      <w:marRight w:val="0"/>
      <w:marTop w:val="0"/>
      <w:marBottom w:val="0"/>
      <w:divBdr>
        <w:top w:val="none" w:sz="0" w:space="0" w:color="auto"/>
        <w:left w:val="none" w:sz="0" w:space="0" w:color="auto"/>
        <w:bottom w:val="none" w:sz="0" w:space="0" w:color="auto"/>
        <w:right w:val="none" w:sz="0" w:space="0" w:color="auto"/>
      </w:divBdr>
    </w:div>
    <w:div w:id="2061397082">
      <w:bodyDiv w:val="1"/>
      <w:marLeft w:val="0"/>
      <w:marRight w:val="0"/>
      <w:marTop w:val="0"/>
      <w:marBottom w:val="0"/>
      <w:divBdr>
        <w:top w:val="none" w:sz="0" w:space="0" w:color="auto"/>
        <w:left w:val="none" w:sz="0" w:space="0" w:color="auto"/>
        <w:bottom w:val="none" w:sz="0" w:space="0" w:color="auto"/>
        <w:right w:val="none" w:sz="0" w:space="0" w:color="auto"/>
      </w:divBdr>
      <w:divsChild>
        <w:div w:id="909194010">
          <w:marLeft w:val="0"/>
          <w:marRight w:val="0"/>
          <w:marTop w:val="0"/>
          <w:marBottom w:val="0"/>
          <w:divBdr>
            <w:top w:val="none" w:sz="0" w:space="0" w:color="auto"/>
            <w:left w:val="none" w:sz="0" w:space="0" w:color="auto"/>
            <w:bottom w:val="none" w:sz="0" w:space="0" w:color="auto"/>
            <w:right w:val="none" w:sz="0" w:space="0" w:color="auto"/>
          </w:divBdr>
          <w:divsChild>
            <w:div w:id="15667636">
              <w:marLeft w:val="0"/>
              <w:marRight w:val="0"/>
              <w:marTop w:val="0"/>
              <w:marBottom w:val="0"/>
              <w:divBdr>
                <w:top w:val="none" w:sz="0" w:space="0" w:color="auto"/>
                <w:left w:val="none" w:sz="0" w:space="0" w:color="auto"/>
                <w:bottom w:val="none" w:sz="0" w:space="0" w:color="auto"/>
                <w:right w:val="none" w:sz="0" w:space="0" w:color="auto"/>
              </w:divBdr>
              <w:divsChild>
                <w:div w:id="17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44716">
      <w:bodyDiv w:val="1"/>
      <w:marLeft w:val="0"/>
      <w:marRight w:val="0"/>
      <w:marTop w:val="0"/>
      <w:marBottom w:val="0"/>
      <w:divBdr>
        <w:top w:val="none" w:sz="0" w:space="0" w:color="auto"/>
        <w:left w:val="none" w:sz="0" w:space="0" w:color="auto"/>
        <w:bottom w:val="none" w:sz="0" w:space="0" w:color="auto"/>
        <w:right w:val="none" w:sz="0" w:space="0" w:color="auto"/>
      </w:divBdr>
      <w:divsChild>
        <w:div w:id="245309789">
          <w:marLeft w:val="0"/>
          <w:marRight w:val="0"/>
          <w:marTop w:val="0"/>
          <w:marBottom w:val="0"/>
          <w:divBdr>
            <w:top w:val="none" w:sz="0" w:space="0" w:color="auto"/>
            <w:left w:val="none" w:sz="0" w:space="0" w:color="auto"/>
            <w:bottom w:val="none" w:sz="0" w:space="0" w:color="auto"/>
            <w:right w:val="none" w:sz="0" w:space="0" w:color="auto"/>
          </w:divBdr>
          <w:divsChild>
            <w:div w:id="1042825918">
              <w:marLeft w:val="0"/>
              <w:marRight w:val="0"/>
              <w:marTop w:val="0"/>
              <w:marBottom w:val="0"/>
              <w:divBdr>
                <w:top w:val="none" w:sz="0" w:space="0" w:color="auto"/>
                <w:left w:val="none" w:sz="0" w:space="0" w:color="auto"/>
                <w:bottom w:val="none" w:sz="0" w:space="0" w:color="auto"/>
                <w:right w:val="none" w:sz="0" w:space="0" w:color="auto"/>
              </w:divBdr>
              <w:divsChild>
                <w:div w:id="10282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2872">
      <w:bodyDiv w:val="1"/>
      <w:marLeft w:val="0"/>
      <w:marRight w:val="0"/>
      <w:marTop w:val="0"/>
      <w:marBottom w:val="0"/>
      <w:divBdr>
        <w:top w:val="none" w:sz="0" w:space="0" w:color="auto"/>
        <w:left w:val="none" w:sz="0" w:space="0" w:color="auto"/>
        <w:bottom w:val="none" w:sz="0" w:space="0" w:color="auto"/>
        <w:right w:val="none" w:sz="0" w:space="0" w:color="auto"/>
      </w:divBdr>
      <w:divsChild>
        <w:div w:id="1644390637">
          <w:marLeft w:val="0"/>
          <w:marRight w:val="0"/>
          <w:marTop w:val="0"/>
          <w:marBottom w:val="0"/>
          <w:divBdr>
            <w:top w:val="none" w:sz="0" w:space="0" w:color="auto"/>
            <w:left w:val="none" w:sz="0" w:space="0" w:color="auto"/>
            <w:bottom w:val="none" w:sz="0" w:space="0" w:color="auto"/>
            <w:right w:val="none" w:sz="0" w:space="0" w:color="auto"/>
          </w:divBdr>
          <w:divsChild>
            <w:div w:id="841361256">
              <w:marLeft w:val="0"/>
              <w:marRight w:val="0"/>
              <w:marTop w:val="0"/>
              <w:marBottom w:val="0"/>
              <w:divBdr>
                <w:top w:val="none" w:sz="0" w:space="0" w:color="auto"/>
                <w:left w:val="none" w:sz="0" w:space="0" w:color="auto"/>
                <w:bottom w:val="none" w:sz="0" w:space="0" w:color="auto"/>
                <w:right w:val="none" w:sz="0" w:space="0" w:color="auto"/>
              </w:divBdr>
              <w:divsChild>
                <w:div w:id="1200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6649">
      <w:bodyDiv w:val="1"/>
      <w:marLeft w:val="0"/>
      <w:marRight w:val="0"/>
      <w:marTop w:val="0"/>
      <w:marBottom w:val="0"/>
      <w:divBdr>
        <w:top w:val="none" w:sz="0" w:space="0" w:color="auto"/>
        <w:left w:val="none" w:sz="0" w:space="0" w:color="auto"/>
        <w:bottom w:val="none" w:sz="0" w:space="0" w:color="auto"/>
        <w:right w:val="none" w:sz="0" w:space="0" w:color="auto"/>
      </w:divBdr>
      <w:divsChild>
        <w:div w:id="1262294267">
          <w:marLeft w:val="0"/>
          <w:marRight w:val="0"/>
          <w:marTop w:val="0"/>
          <w:marBottom w:val="0"/>
          <w:divBdr>
            <w:top w:val="none" w:sz="0" w:space="0" w:color="auto"/>
            <w:left w:val="none" w:sz="0" w:space="0" w:color="auto"/>
            <w:bottom w:val="none" w:sz="0" w:space="0" w:color="auto"/>
            <w:right w:val="none" w:sz="0" w:space="0" w:color="auto"/>
          </w:divBdr>
          <w:divsChild>
            <w:div w:id="631209474">
              <w:marLeft w:val="0"/>
              <w:marRight w:val="0"/>
              <w:marTop w:val="0"/>
              <w:marBottom w:val="0"/>
              <w:divBdr>
                <w:top w:val="none" w:sz="0" w:space="0" w:color="auto"/>
                <w:left w:val="none" w:sz="0" w:space="0" w:color="auto"/>
                <w:bottom w:val="none" w:sz="0" w:space="0" w:color="auto"/>
                <w:right w:val="none" w:sz="0" w:space="0" w:color="auto"/>
              </w:divBdr>
              <w:divsChild>
                <w:div w:id="1722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680">
      <w:bodyDiv w:val="1"/>
      <w:marLeft w:val="0"/>
      <w:marRight w:val="0"/>
      <w:marTop w:val="0"/>
      <w:marBottom w:val="0"/>
      <w:divBdr>
        <w:top w:val="none" w:sz="0" w:space="0" w:color="auto"/>
        <w:left w:val="none" w:sz="0" w:space="0" w:color="auto"/>
        <w:bottom w:val="none" w:sz="0" w:space="0" w:color="auto"/>
        <w:right w:val="none" w:sz="0" w:space="0" w:color="auto"/>
      </w:divBdr>
    </w:div>
    <w:div w:id="2143498908">
      <w:bodyDiv w:val="1"/>
      <w:marLeft w:val="0"/>
      <w:marRight w:val="0"/>
      <w:marTop w:val="0"/>
      <w:marBottom w:val="0"/>
      <w:divBdr>
        <w:top w:val="none" w:sz="0" w:space="0" w:color="auto"/>
        <w:left w:val="none" w:sz="0" w:space="0" w:color="auto"/>
        <w:bottom w:val="none" w:sz="0" w:space="0" w:color="auto"/>
        <w:right w:val="none" w:sz="0" w:space="0" w:color="auto"/>
      </w:divBdr>
    </w:div>
    <w:div w:id="214669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25.xml"/><Relationship Id="rId68" Type="http://schemas.openxmlformats.org/officeDocument/2006/relationships/chart" Target="charts/chart30.xml"/><Relationship Id="rId84" Type="http://schemas.openxmlformats.org/officeDocument/2006/relationships/chart" Target="charts/chart46.xml"/><Relationship Id="rId89" Type="http://schemas.openxmlformats.org/officeDocument/2006/relationships/image" Target="media/image18.png"/><Relationship Id="rId16" Type="http://schemas.microsoft.com/office/2007/relationships/hdphoto" Target="media/hdphoto1.wdp"/><Relationship Id="rId11" Type="http://schemas.openxmlformats.org/officeDocument/2006/relationships/footer" Target="footer3.xml"/><Relationship Id="rId32" Type="http://schemas.openxmlformats.org/officeDocument/2006/relationships/chart" Target="charts/chart6.xml"/><Relationship Id="rId37" Type="http://schemas.openxmlformats.org/officeDocument/2006/relationships/chart" Target="charts/chart11.xml"/><Relationship Id="rId58" Type="http://schemas.openxmlformats.org/officeDocument/2006/relationships/image" Target="media/image16.png"/><Relationship Id="rId74" Type="http://schemas.openxmlformats.org/officeDocument/2006/relationships/chart" Target="charts/chart36.xml"/><Relationship Id="rId79" Type="http://schemas.openxmlformats.org/officeDocument/2006/relationships/chart" Target="charts/chart41.xml"/><Relationship Id="rId5" Type="http://schemas.openxmlformats.org/officeDocument/2006/relationships/webSettings" Target="webSettings.xml"/><Relationship Id="rId61" Type="http://schemas.openxmlformats.org/officeDocument/2006/relationships/image" Target="media/image10.emf"/><Relationship Id="rId82" Type="http://schemas.openxmlformats.org/officeDocument/2006/relationships/chart" Target="charts/chart44.xml"/><Relationship Id="rId90" Type="http://schemas.openxmlformats.org/officeDocument/2006/relationships/image" Target="media/image12.png"/><Relationship Id="rId1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64" Type="http://schemas.openxmlformats.org/officeDocument/2006/relationships/chart" Target="charts/chart26.xml"/><Relationship Id="rId69" Type="http://schemas.openxmlformats.org/officeDocument/2006/relationships/chart" Target="charts/chart31.xml"/><Relationship Id="rId77" Type="http://schemas.openxmlformats.org/officeDocument/2006/relationships/chart" Target="charts/chart39.xml"/><Relationship Id="rId8" Type="http://schemas.openxmlformats.org/officeDocument/2006/relationships/footer" Target="footer1.xml"/><Relationship Id="rId51" Type="http://schemas.microsoft.com/office/2014/relationships/chartEx" Target="charts/chartEx1.xml"/><Relationship Id="rId72" Type="http://schemas.openxmlformats.org/officeDocument/2006/relationships/chart" Target="charts/chart34.xml"/><Relationship Id="rId80" Type="http://schemas.openxmlformats.org/officeDocument/2006/relationships/chart" Target="charts/chart42.xml"/><Relationship Id="rId85" Type="http://schemas.microsoft.com/office/2014/relationships/chartEx" Target="charts/chartEx3.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microsoft.com/office/2007/relationships/hdphoto" Target="media/hdphoto3.wdp"/><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microsoft.com/office/2014/relationships/chartEx" Target="charts/chartEx2.xml"/><Relationship Id="rId67" Type="http://schemas.openxmlformats.org/officeDocument/2006/relationships/chart" Target="charts/chart29.xml"/><Relationship Id="rId20" Type="http://schemas.openxmlformats.org/officeDocument/2006/relationships/image" Target="media/image4.png"/><Relationship Id="rId41" Type="http://schemas.openxmlformats.org/officeDocument/2006/relationships/chart" Target="charts/chart15.xml"/><Relationship Id="rId62" Type="http://schemas.openxmlformats.org/officeDocument/2006/relationships/image" Target="media/image11.emf"/><Relationship Id="rId70" Type="http://schemas.openxmlformats.org/officeDocument/2006/relationships/chart" Target="charts/chart32.xml"/><Relationship Id="rId75" Type="http://schemas.openxmlformats.org/officeDocument/2006/relationships/chart" Target="charts/chart37.xml"/><Relationship Id="rId83" Type="http://schemas.openxmlformats.org/officeDocument/2006/relationships/chart" Target="charts/chart45.xm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chart" Target="charts/chart23.xml"/><Relationship Id="rId10" Type="http://schemas.openxmlformats.org/officeDocument/2006/relationships/header" Target="header1.xml"/><Relationship Id="rId31" Type="http://schemas.openxmlformats.org/officeDocument/2006/relationships/chart" Target="charts/chart5.xml"/><Relationship Id="rId44" Type="http://schemas.openxmlformats.org/officeDocument/2006/relationships/chart" Target="charts/chart18.xml"/><Relationship Id="rId60" Type="http://schemas.openxmlformats.org/officeDocument/2006/relationships/image" Target="media/image17.png"/><Relationship Id="rId65" Type="http://schemas.openxmlformats.org/officeDocument/2006/relationships/chart" Target="charts/chart27.xml"/><Relationship Id="rId73" Type="http://schemas.openxmlformats.org/officeDocument/2006/relationships/chart" Target="charts/chart35.xml"/><Relationship Id="rId78" Type="http://schemas.openxmlformats.org/officeDocument/2006/relationships/chart" Target="charts/chart40.xml"/><Relationship Id="rId81" Type="http://schemas.openxmlformats.org/officeDocument/2006/relationships/chart" Target="charts/chart4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3.xml"/><Relationship Id="rId18" Type="http://schemas.microsoft.com/office/2007/relationships/hdphoto" Target="media/hdphoto2.wdp"/><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76" Type="http://schemas.openxmlformats.org/officeDocument/2006/relationships/chart" Target="charts/chart38.xml"/><Relationship Id="rId7" Type="http://schemas.openxmlformats.org/officeDocument/2006/relationships/endnotes" Target="endnotes.xml"/><Relationship Id="rId71" Type="http://schemas.openxmlformats.org/officeDocument/2006/relationships/chart" Target="charts/chart33.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tiff"/><Relationship Id="rId24" Type="http://schemas.openxmlformats.org/officeDocument/2006/relationships/image" Target="media/image7.pn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28.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Users\salah\Desktop\Results%20graph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salah\Desktop\Results%20graph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Users\salah\Documents\Thesis\CompleteIronAgeData-Jan201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sers\salah\Desktop\Results%20graph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Users\salah\Desktop\Results%20graph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sers\salah\Desktop\Results%20graph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Users\salah\Desktop\Results%20graph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Users\salah\Desktop\Results%20graph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Users\salah\Desktop\Results%20graph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Users\salah\Desktop\Results%20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salah\Documents\Thesis\CompleteIronAgeData-Jan2019.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Users\salah\Desktop\Results%20graph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Users\salah\Desktop\Results%20graph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Users\salah\Desktop\Results%20graph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Users\salah\Desktop\Results%20graphs.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Users/salah/Desktop/Excel%20Sheets/Results%20graph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Users\salah\Desktop\Results%20graphs.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Users\salah\Desktop\Results%20graphs.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Users\salah\Desktop\Results%20graphs.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Users\salah\Desktop\Results%20graphs.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Users\salah\Desktop\Results%20graph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salah\Documents\Thesis\CompleteIronAgeData-Jan2019.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Users\salah\Desktop\Results%20graphs.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Users\salah\Desktop\Results%20graphs.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Users\salah\Desktop\Results%20graphs.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Users\salah\Desktop\Results%20graphs.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Users\salah\Desktop\Results%20graphs.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Users\salah\Desktop\Results%20graphs.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Users\salah\Desktop\Results%20graphs.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Users\salah\Desktop\Results%20graphs.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Users\salah\Desktop\Results%20graphs.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Users\salah\Desktop\Results%20graph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salah\Documents\Thesis\CompleteIronAgeData-Jan2019.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Users\salah\Desktop\Results%20graphs.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Users\salah\Desktop\Results%20graphs.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Users\salah\Desktop\Results%20graphs.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Users\salah\Desktop\Results%20graphs.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Users\salah\Desktop\Results%20graphs.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Users\salah\Desktop\Results%20graphs.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Users\salah\Desktop\Results%20graph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salah\Desktop\Results%20graph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salah\Desktop\Results%20graph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salah\Desktop\Results%20graph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salah\Documents\Thesis\CompleteIronAgeData-Jan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salah\Documents\Thesis\CompleteIronAgeData-Jan2019.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Users/salah/Documents/Thesis/CompleteIronAgeData-Jan2019.xlsx" TargetMode="External"/><Relationship Id="rId4" Type="http://schemas.openxmlformats.org/officeDocument/2006/relationships/themeOverride" Target="../theme/themeOverride23.xml"/></Relationships>
</file>

<file path=word/charts/_rels/chartEx2.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Users/salah/Documents/Thesis/Excel%20File/CompleteIronAgeData-Jan2019.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file:////Users/salah/Documents/Thesis/Excel%20File/CompleteIronAgeData-Jan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strCache>
            </c:strRef>
          </c:tx>
          <c:spPr>
            <a:solidFill>
              <a:schemeClr val="accent1"/>
            </a:solidFill>
            <a:ln>
              <a:noFill/>
            </a:ln>
            <a:effectLst/>
          </c:spPr>
          <c:invertIfNegative val="0"/>
          <c:val>
            <c:numRef>
              <c:f>Sheet1!$A$2:$A$22</c:f>
              <c:numCache>
                <c:formatCode>General</c:formatCode>
                <c:ptCount val="21"/>
              </c:numCache>
            </c:numRef>
          </c:val>
          <c:extLst>
            <c:ext xmlns:c16="http://schemas.microsoft.com/office/drawing/2014/chart" uri="{C3380CC4-5D6E-409C-BE32-E72D297353CC}">
              <c16:uniqueId val="{00000000-AE61-2C4E-86AE-5ED2E8726E1E}"/>
            </c:ext>
          </c:extLst>
        </c:ser>
        <c:dLbls>
          <c:showLegendKey val="0"/>
          <c:showVal val="0"/>
          <c:showCatName val="0"/>
          <c:showSerName val="0"/>
          <c:showPercent val="0"/>
          <c:showBubbleSize val="0"/>
        </c:dLbls>
        <c:gapWidth val="219"/>
        <c:overlap val="-27"/>
        <c:axId val="2072755695"/>
        <c:axId val="2072768831"/>
      </c:barChart>
      <c:catAx>
        <c:axId val="2072755695"/>
        <c:scaling>
          <c:orientation val="minMax"/>
        </c:scaling>
        <c:delete val="1"/>
        <c:axPos val="b"/>
        <c:majorTickMark val="none"/>
        <c:minorTickMark val="none"/>
        <c:tickLblPos val="nextTo"/>
        <c:crossAx val="2072768831"/>
        <c:crossesAt val="0"/>
        <c:auto val="1"/>
        <c:lblAlgn val="ctr"/>
        <c:lblOffset val="100"/>
        <c:noMultiLvlLbl val="0"/>
      </c:catAx>
      <c:valAx>
        <c:axId val="2072768831"/>
        <c:scaling>
          <c:orientation val="minMax"/>
          <c:max val="10"/>
          <c:min val="-0.5"/>
        </c:scaling>
        <c:delete val="0"/>
        <c:axPos val="l"/>
        <c:majorGridlines>
          <c:spPr>
            <a:ln w="9525" cap="flat" cmpd="sng" algn="ctr">
              <a:solidFill>
                <a:schemeClr val="accent2">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Approximate</a:t>
                </a:r>
                <a:r>
                  <a:rPr lang="en-US" baseline="0">
                    <a:solidFill>
                      <a:schemeClr val="tx1"/>
                    </a:solidFill>
                    <a:latin typeface="Times New Roman" panose="02020603050405020304" pitchFamily="18" charset="0"/>
                    <a:cs typeface="Times New Roman" panose="02020603050405020304" pitchFamily="18" charset="0"/>
                  </a:rPr>
                  <a:t> Age in Years</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72755695"/>
        <c:crosses val="autoZero"/>
        <c:crossBetween val="between"/>
        <c:majorUnit val="0.5"/>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955314020148"/>
          <c:y val="8.2297682392195134E-2"/>
          <c:w val="0.7449296373785691"/>
          <c:h val="0.76720700331620229"/>
        </c:manualLayout>
      </c:layout>
      <c:scatterChart>
        <c:scatterStyle val="lineMarker"/>
        <c:varyColors val="0"/>
        <c:ser>
          <c:idx val="0"/>
          <c:order val="0"/>
          <c:tx>
            <c:strRef>
              <c:f>'T4'!$C$153</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'T4'!$B$154:$B$158</c:f>
              <c:numCache>
                <c:formatCode>General</c:formatCode>
                <c:ptCount val="5"/>
                <c:pt idx="0">
                  <c:v>0.48</c:v>
                </c:pt>
                <c:pt idx="1">
                  <c:v>0.69</c:v>
                </c:pt>
                <c:pt idx="2">
                  <c:v>0.89</c:v>
                </c:pt>
                <c:pt idx="3">
                  <c:v>1.0900000000000001</c:v>
                </c:pt>
                <c:pt idx="4">
                  <c:v>1.35</c:v>
                </c:pt>
              </c:numCache>
            </c:numRef>
          </c:xVal>
          <c:yVal>
            <c:numRef>
              <c:f>'T4'!$C$154:$C$158</c:f>
              <c:numCache>
                <c:formatCode>General</c:formatCode>
                <c:ptCount val="5"/>
                <c:pt idx="0">
                  <c:v>11.91</c:v>
                </c:pt>
                <c:pt idx="1">
                  <c:v>10.48</c:v>
                </c:pt>
                <c:pt idx="2">
                  <c:v>9.52</c:v>
                </c:pt>
                <c:pt idx="3">
                  <c:v>9.17</c:v>
                </c:pt>
                <c:pt idx="4">
                  <c:v>10.1</c:v>
                </c:pt>
              </c:numCache>
            </c:numRef>
          </c:yVal>
          <c:smooth val="0"/>
          <c:extLst>
            <c:ext xmlns:c16="http://schemas.microsoft.com/office/drawing/2014/chart" uri="{C3380CC4-5D6E-409C-BE32-E72D297353CC}">
              <c16:uniqueId val="{00000000-DF5C-F84C-B179-E58BDE05795B}"/>
            </c:ext>
          </c:extLst>
        </c:ser>
        <c:dLbls>
          <c:showLegendKey val="0"/>
          <c:showVal val="0"/>
          <c:showCatName val="0"/>
          <c:showSerName val="0"/>
          <c:showPercent val="0"/>
          <c:showBubbleSize val="0"/>
        </c:dLbls>
        <c:axId val="376406367"/>
        <c:axId val="906867711"/>
      </c:scatterChart>
      <c:scatterChart>
        <c:scatterStyle val="lineMarker"/>
        <c:varyColors val="0"/>
        <c:ser>
          <c:idx val="1"/>
          <c:order val="1"/>
          <c:tx>
            <c:strRef>
              <c:f>'T4'!$D$153</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'T4'!$B$154:$B$158</c:f>
              <c:numCache>
                <c:formatCode>General</c:formatCode>
                <c:ptCount val="5"/>
                <c:pt idx="0">
                  <c:v>0.48</c:v>
                </c:pt>
                <c:pt idx="1">
                  <c:v>0.69</c:v>
                </c:pt>
                <c:pt idx="2">
                  <c:v>0.89</c:v>
                </c:pt>
                <c:pt idx="3">
                  <c:v>1.0900000000000001</c:v>
                </c:pt>
                <c:pt idx="4">
                  <c:v>1.35</c:v>
                </c:pt>
              </c:numCache>
            </c:numRef>
          </c:xVal>
          <c:yVal>
            <c:numRef>
              <c:f>'T4'!$D$154:$D$158</c:f>
              <c:numCache>
                <c:formatCode>General</c:formatCode>
                <c:ptCount val="5"/>
                <c:pt idx="0">
                  <c:v>-18.34</c:v>
                </c:pt>
                <c:pt idx="1">
                  <c:v>-18.84</c:v>
                </c:pt>
                <c:pt idx="2">
                  <c:v>-19.02</c:v>
                </c:pt>
                <c:pt idx="3">
                  <c:v>-18.989999999999998</c:v>
                </c:pt>
                <c:pt idx="4">
                  <c:v>-18.920000000000002</c:v>
                </c:pt>
              </c:numCache>
            </c:numRef>
          </c:yVal>
          <c:smooth val="0"/>
          <c:extLst>
            <c:ext xmlns:c16="http://schemas.microsoft.com/office/drawing/2014/chart" uri="{C3380CC4-5D6E-409C-BE32-E72D297353CC}">
              <c16:uniqueId val="{00000001-DF5C-F84C-B179-E58BDE05795B}"/>
            </c:ext>
          </c:extLst>
        </c:ser>
        <c:dLbls>
          <c:showLegendKey val="0"/>
          <c:showVal val="0"/>
          <c:showCatName val="0"/>
          <c:showSerName val="0"/>
          <c:showPercent val="0"/>
          <c:showBubbleSize val="0"/>
        </c:dLbls>
        <c:axId val="907854943"/>
        <c:axId val="907787247"/>
      </c:scatterChart>
      <c:valAx>
        <c:axId val="37640636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06867711"/>
        <c:crosses val="autoZero"/>
        <c:crossBetween val="midCat"/>
        <c:majorUnit val="0.2"/>
      </c:valAx>
      <c:valAx>
        <c:axId val="906867711"/>
        <c:scaling>
          <c:orientation val="minMax"/>
          <c:min val="8.5"/>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aseline="30000"/>
                  <a:t>15</a:t>
                </a:r>
                <a:r>
                  <a:rPr lang="en-US" sz="700"/>
                  <a:t>N (AIR)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76406367"/>
        <c:crosses val="autoZero"/>
        <c:crossBetween val="midCat"/>
      </c:valAx>
      <c:valAx>
        <c:axId val="907787247"/>
        <c:scaling>
          <c:orientation val="minMax"/>
          <c:max val="-16"/>
          <c:min val="-20"/>
        </c:scaling>
        <c:delete val="0"/>
        <c:axPos val="r"/>
        <c:title>
          <c:tx>
            <c:rich>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aseline="30000"/>
                  <a:t>13</a:t>
                </a:r>
                <a:r>
                  <a:rPr lang="en-US" sz="700"/>
                  <a:t>C (VPBD)</a:t>
                </a:r>
                <a:endParaRPr lang="en-CA" sz="700"/>
              </a:p>
              <a:p>
                <a:pPr algn="ctr" rtl="0">
                  <a:defRPr sz="700"/>
                </a:pPr>
                <a:endParaRPr lang="en-US" sz="700"/>
              </a:p>
            </c:rich>
          </c:tx>
          <c:layout>
            <c:manualLayout>
              <c:xMode val="edge"/>
              <c:yMode val="edge"/>
              <c:x val="0.92090280393411061"/>
              <c:y val="0.34148542865588899"/>
            </c:manualLayout>
          </c:layout>
          <c:overlay val="0"/>
          <c:spPr>
            <a:noFill/>
            <a:ln>
              <a:noFill/>
            </a:ln>
            <a:effectLst/>
          </c:spPr>
          <c:txPr>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07854943"/>
        <c:crosses val="max"/>
        <c:crossBetween val="midCat"/>
      </c:valAx>
      <c:valAx>
        <c:axId val="907854943"/>
        <c:scaling>
          <c:orientation val="minMax"/>
        </c:scaling>
        <c:delete val="1"/>
        <c:axPos val="b"/>
        <c:numFmt formatCode="General" sourceLinked="1"/>
        <c:majorTickMark val="out"/>
        <c:minorTickMark val="none"/>
        <c:tickLblPos val="nextTo"/>
        <c:crossAx val="90778724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46660619446345"/>
          <c:y val="7.3702342156567915E-2"/>
          <c:w val="0.75882392825896761"/>
          <c:h val="0.7537124889786283"/>
        </c:manualLayout>
      </c:layout>
      <c:scatterChart>
        <c:scatterStyle val="lineMarker"/>
        <c:varyColors val="0"/>
        <c:ser>
          <c:idx val="0"/>
          <c:order val="0"/>
          <c:tx>
            <c:strRef>
              <c:f>'T4'!$C$169</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'T4'!$B$170:$B$173</c:f>
              <c:numCache>
                <c:formatCode>General</c:formatCode>
                <c:ptCount val="4"/>
                <c:pt idx="0">
                  <c:v>0.67</c:v>
                </c:pt>
                <c:pt idx="1">
                  <c:v>1.25</c:v>
                </c:pt>
                <c:pt idx="2">
                  <c:v>1.82</c:v>
                </c:pt>
                <c:pt idx="3">
                  <c:v>2.8</c:v>
                </c:pt>
              </c:numCache>
            </c:numRef>
          </c:xVal>
          <c:yVal>
            <c:numRef>
              <c:f>'T4'!$C$170:$C$173</c:f>
              <c:numCache>
                <c:formatCode>General</c:formatCode>
                <c:ptCount val="4"/>
                <c:pt idx="0">
                  <c:v>13.66</c:v>
                </c:pt>
                <c:pt idx="1">
                  <c:v>11.13</c:v>
                </c:pt>
                <c:pt idx="2">
                  <c:v>10.97</c:v>
                </c:pt>
                <c:pt idx="3">
                  <c:v>10.029999999999999</c:v>
                </c:pt>
              </c:numCache>
            </c:numRef>
          </c:yVal>
          <c:smooth val="0"/>
          <c:extLst>
            <c:ext xmlns:c16="http://schemas.microsoft.com/office/drawing/2014/chart" uri="{C3380CC4-5D6E-409C-BE32-E72D297353CC}">
              <c16:uniqueId val="{00000000-1BE0-6449-80E0-11C87E436850}"/>
            </c:ext>
          </c:extLst>
        </c:ser>
        <c:dLbls>
          <c:showLegendKey val="0"/>
          <c:showVal val="0"/>
          <c:showCatName val="0"/>
          <c:showSerName val="0"/>
          <c:showPercent val="0"/>
          <c:showBubbleSize val="0"/>
        </c:dLbls>
        <c:axId val="386300927"/>
        <c:axId val="869780991"/>
      </c:scatterChart>
      <c:scatterChart>
        <c:scatterStyle val="lineMarker"/>
        <c:varyColors val="0"/>
        <c:ser>
          <c:idx val="1"/>
          <c:order val="1"/>
          <c:tx>
            <c:strRef>
              <c:f>'T4'!$D$169</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'T4'!$B$170:$B$173</c:f>
              <c:numCache>
                <c:formatCode>General</c:formatCode>
                <c:ptCount val="4"/>
                <c:pt idx="0">
                  <c:v>0.67</c:v>
                </c:pt>
                <c:pt idx="1">
                  <c:v>1.25</c:v>
                </c:pt>
                <c:pt idx="2">
                  <c:v>1.82</c:v>
                </c:pt>
                <c:pt idx="3">
                  <c:v>2.8</c:v>
                </c:pt>
              </c:numCache>
            </c:numRef>
          </c:xVal>
          <c:yVal>
            <c:numRef>
              <c:f>'T4'!$D$170:$D$173</c:f>
              <c:numCache>
                <c:formatCode>General</c:formatCode>
                <c:ptCount val="4"/>
                <c:pt idx="0">
                  <c:v>-18.41</c:v>
                </c:pt>
                <c:pt idx="1">
                  <c:v>-19.309999999999999</c:v>
                </c:pt>
                <c:pt idx="2">
                  <c:v>-19.23</c:v>
                </c:pt>
                <c:pt idx="3">
                  <c:v>-19.62</c:v>
                </c:pt>
              </c:numCache>
            </c:numRef>
          </c:yVal>
          <c:smooth val="0"/>
          <c:extLst>
            <c:ext xmlns:c16="http://schemas.microsoft.com/office/drawing/2014/chart" uri="{C3380CC4-5D6E-409C-BE32-E72D297353CC}">
              <c16:uniqueId val="{00000001-1BE0-6449-80E0-11C87E436850}"/>
            </c:ext>
          </c:extLst>
        </c:ser>
        <c:dLbls>
          <c:showLegendKey val="0"/>
          <c:showVal val="0"/>
          <c:showCatName val="0"/>
          <c:showSerName val="0"/>
          <c:showPercent val="0"/>
          <c:showBubbleSize val="0"/>
        </c:dLbls>
        <c:axId val="373860879"/>
        <c:axId val="685120671"/>
      </c:scatterChart>
      <c:valAx>
        <c:axId val="38630092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9780991"/>
        <c:crosses val="autoZero"/>
        <c:crossBetween val="midCat"/>
        <c:majorUnit val="0.5"/>
      </c:valAx>
      <c:valAx>
        <c:axId val="869780991"/>
        <c:scaling>
          <c:orientation val="minMax"/>
          <c:min val="8"/>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86300927"/>
        <c:crosses val="autoZero"/>
        <c:crossBetween val="midCat"/>
      </c:valAx>
      <c:valAx>
        <c:axId val="685120671"/>
        <c:scaling>
          <c:orientation val="minMax"/>
          <c:max val="-14"/>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73860879"/>
        <c:crosses val="max"/>
        <c:crossBetween val="midCat"/>
      </c:valAx>
      <c:valAx>
        <c:axId val="373860879"/>
        <c:scaling>
          <c:orientation val="minMax"/>
        </c:scaling>
        <c:delete val="1"/>
        <c:axPos val="b"/>
        <c:numFmt formatCode="General" sourceLinked="1"/>
        <c:majorTickMark val="out"/>
        <c:minorTickMark val="none"/>
        <c:tickLblPos val="nextTo"/>
        <c:crossAx val="6851206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26322754223969"/>
          <c:y val="4.5649243182092493E-2"/>
          <c:w val="0.74406061359321729"/>
          <c:h val="0.77127549235612902"/>
        </c:manualLayout>
      </c:layout>
      <c:scatterChart>
        <c:scatterStyle val="lineMarker"/>
        <c:varyColors val="0"/>
        <c:ser>
          <c:idx val="0"/>
          <c:order val="0"/>
          <c:tx>
            <c:strRef>
              <c:f>Sheet4!$B$79</c:f>
              <c:strCache>
                <c:ptCount val="1"/>
                <c:pt idx="0">
                  <c:v>Delta 15N (‰)</c:v>
                </c:pt>
              </c:strCache>
            </c:strRef>
          </c:tx>
          <c:spPr>
            <a:ln w="19050" cap="rnd">
              <a:noFill/>
              <a:round/>
            </a:ln>
            <a:effectLst/>
          </c:spPr>
          <c:marker>
            <c:symbol val="diamond"/>
            <c:size val="7"/>
            <c:spPr>
              <a:solidFill>
                <a:srgbClr val="7030A0"/>
              </a:solidFill>
              <a:ln w="9525">
                <a:solidFill>
                  <a:srgbClr val="7030A0"/>
                </a:solidFill>
              </a:ln>
              <a:effectLst/>
            </c:spPr>
          </c:marker>
          <c:xVal>
            <c:numRef>
              <c:f>Sheet4!$A$80:$A$83</c:f>
              <c:numCache>
                <c:formatCode>General</c:formatCode>
                <c:ptCount val="4"/>
                <c:pt idx="0">
                  <c:v>0.52</c:v>
                </c:pt>
                <c:pt idx="1">
                  <c:v>1.2</c:v>
                </c:pt>
                <c:pt idx="2">
                  <c:v>2.04</c:v>
                </c:pt>
                <c:pt idx="3">
                  <c:v>3.01</c:v>
                </c:pt>
              </c:numCache>
            </c:numRef>
          </c:xVal>
          <c:yVal>
            <c:numRef>
              <c:f>Sheet4!$B$80:$B$83</c:f>
              <c:numCache>
                <c:formatCode>General</c:formatCode>
                <c:ptCount val="4"/>
                <c:pt idx="0">
                  <c:v>12.72</c:v>
                </c:pt>
                <c:pt idx="1">
                  <c:v>14.02</c:v>
                </c:pt>
                <c:pt idx="2">
                  <c:v>13.28</c:v>
                </c:pt>
                <c:pt idx="3">
                  <c:v>12.25</c:v>
                </c:pt>
              </c:numCache>
            </c:numRef>
          </c:yVal>
          <c:smooth val="0"/>
          <c:extLst>
            <c:ext xmlns:c16="http://schemas.microsoft.com/office/drawing/2014/chart" uri="{C3380CC4-5D6E-409C-BE32-E72D297353CC}">
              <c16:uniqueId val="{00000000-32C0-6C41-91D3-26292ADB5C5E}"/>
            </c:ext>
          </c:extLst>
        </c:ser>
        <c:dLbls>
          <c:showLegendKey val="0"/>
          <c:showVal val="0"/>
          <c:showCatName val="0"/>
          <c:showSerName val="0"/>
          <c:showPercent val="0"/>
          <c:showBubbleSize val="0"/>
        </c:dLbls>
        <c:axId val="1983014591"/>
        <c:axId val="2005297071"/>
      </c:scatterChart>
      <c:scatterChart>
        <c:scatterStyle val="lineMarker"/>
        <c:varyColors val="0"/>
        <c:ser>
          <c:idx val="1"/>
          <c:order val="1"/>
          <c:tx>
            <c:strRef>
              <c:f>Sheet4!$C$79</c:f>
              <c:strCache>
                <c:ptCount val="1"/>
                <c:pt idx="0">
                  <c:v>Delta 13C (‰)</c:v>
                </c:pt>
              </c:strCache>
            </c:strRef>
          </c:tx>
          <c:spPr>
            <a:ln w="19050" cap="rnd">
              <a:noFill/>
              <a:round/>
            </a:ln>
            <a:effectLst/>
          </c:spPr>
          <c:marker>
            <c:symbol val="square"/>
            <c:size val="7"/>
            <c:spPr>
              <a:noFill/>
              <a:ln w="22225">
                <a:solidFill>
                  <a:srgbClr val="92D050"/>
                </a:solidFill>
              </a:ln>
              <a:effectLst/>
            </c:spPr>
          </c:marker>
          <c:xVal>
            <c:numRef>
              <c:f>Sheet4!$A$80:$A$83</c:f>
              <c:numCache>
                <c:formatCode>General</c:formatCode>
                <c:ptCount val="4"/>
                <c:pt idx="0">
                  <c:v>0.52</c:v>
                </c:pt>
                <c:pt idx="1">
                  <c:v>1.2</c:v>
                </c:pt>
                <c:pt idx="2">
                  <c:v>2.04</c:v>
                </c:pt>
                <c:pt idx="3">
                  <c:v>3.01</c:v>
                </c:pt>
              </c:numCache>
            </c:numRef>
          </c:xVal>
          <c:yVal>
            <c:numRef>
              <c:f>Sheet4!$C$80:$C$83</c:f>
              <c:numCache>
                <c:formatCode>General</c:formatCode>
                <c:ptCount val="4"/>
                <c:pt idx="0">
                  <c:v>-17.53</c:v>
                </c:pt>
                <c:pt idx="1">
                  <c:v>-17.399999999999999</c:v>
                </c:pt>
                <c:pt idx="2">
                  <c:v>-17.98</c:v>
                </c:pt>
                <c:pt idx="3">
                  <c:v>-19.38</c:v>
                </c:pt>
              </c:numCache>
            </c:numRef>
          </c:yVal>
          <c:smooth val="0"/>
          <c:extLst>
            <c:ext xmlns:c16="http://schemas.microsoft.com/office/drawing/2014/chart" uri="{C3380CC4-5D6E-409C-BE32-E72D297353CC}">
              <c16:uniqueId val="{00000001-32C0-6C41-91D3-26292ADB5C5E}"/>
            </c:ext>
          </c:extLst>
        </c:ser>
        <c:dLbls>
          <c:showLegendKey val="0"/>
          <c:showVal val="0"/>
          <c:showCatName val="0"/>
          <c:showSerName val="0"/>
          <c:showPercent val="0"/>
          <c:showBubbleSize val="0"/>
        </c:dLbls>
        <c:axId val="1973354719"/>
        <c:axId val="1973352223"/>
      </c:scatterChart>
      <c:valAx>
        <c:axId val="198301459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05297071"/>
        <c:crosses val="autoZero"/>
        <c:crossBetween val="midCat"/>
      </c:valAx>
      <c:valAx>
        <c:axId val="2005297071"/>
        <c:scaling>
          <c:orientation val="minMax"/>
          <c:max val="15"/>
          <c:min val="1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83014591"/>
        <c:crosses val="autoZero"/>
        <c:crossBetween val="midCat"/>
      </c:valAx>
      <c:valAx>
        <c:axId val="1973352223"/>
        <c:scaling>
          <c:orientation val="minMax"/>
          <c:max val="-15"/>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73354719"/>
        <c:crosses val="max"/>
        <c:crossBetween val="midCat"/>
      </c:valAx>
      <c:valAx>
        <c:axId val="1973354719"/>
        <c:scaling>
          <c:orientation val="minMax"/>
        </c:scaling>
        <c:delete val="1"/>
        <c:axPos val="b"/>
        <c:numFmt formatCode="General" sourceLinked="1"/>
        <c:majorTickMark val="out"/>
        <c:minorTickMark val="none"/>
        <c:tickLblPos val="nextTo"/>
        <c:crossAx val="1973352223"/>
        <c:crosses val="autoZero"/>
        <c:crossBetween val="midCat"/>
      </c:valAx>
      <c:spPr>
        <a:noFill/>
        <a:ln>
          <a:noFill/>
        </a:ln>
        <a:effectLst/>
      </c:spPr>
    </c:plotArea>
    <c:legend>
      <c:legendPos val="b"/>
      <c:layout>
        <c:manualLayout>
          <c:xMode val="edge"/>
          <c:yMode val="edge"/>
          <c:x val="0.44501373261489946"/>
          <c:y val="5.4629180705490533E-2"/>
          <c:w val="0.41727690288713909"/>
          <c:h val="7.812554680664918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2406335095654"/>
          <c:y val="7.5968602132060067E-2"/>
          <c:w val="0.76216187882448128"/>
          <c:h val="0.7879344292081083"/>
        </c:manualLayout>
      </c:layout>
      <c:scatterChart>
        <c:scatterStyle val="lineMarker"/>
        <c:varyColors val="0"/>
        <c:ser>
          <c:idx val="0"/>
          <c:order val="0"/>
          <c:tx>
            <c:strRef>
              <c:f>'T4'!$C$186</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'T4'!$B$187:$B$193</c:f>
              <c:numCache>
                <c:formatCode>General</c:formatCode>
                <c:ptCount val="7"/>
                <c:pt idx="0">
                  <c:v>1.95</c:v>
                </c:pt>
                <c:pt idx="1">
                  <c:v>2.8</c:v>
                </c:pt>
                <c:pt idx="2">
                  <c:v>3.6</c:v>
                </c:pt>
                <c:pt idx="3">
                  <c:v>4.63</c:v>
                </c:pt>
                <c:pt idx="4">
                  <c:v>5.88</c:v>
                </c:pt>
                <c:pt idx="5">
                  <c:v>7.13</c:v>
                </c:pt>
                <c:pt idx="6">
                  <c:v>8.3800000000000008</c:v>
                </c:pt>
              </c:numCache>
            </c:numRef>
          </c:xVal>
          <c:yVal>
            <c:numRef>
              <c:f>'T4'!$C$187:$C$193</c:f>
              <c:numCache>
                <c:formatCode>General</c:formatCode>
                <c:ptCount val="7"/>
                <c:pt idx="0">
                  <c:v>11.94</c:v>
                </c:pt>
                <c:pt idx="1">
                  <c:v>10.050000000000001</c:v>
                </c:pt>
                <c:pt idx="2">
                  <c:v>9.7799999999999994</c:v>
                </c:pt>
                <c:pt idx="3">
                  <c:v>9.64</c:v>
                </c:pt>
                <c:pt idx="4">
                  <c:v>9.44</c:v>
                </c:pt>
                <c:pt idx="5">
                  <c:v>10.19</c:v>
                </c:pt>
                <c:pt idx="6">
                  <c:v>10.23</c:v>
                </c:pt>
              </c:numCache>
            </c:numRef>
          </c:yVal>
          <c:smooth val="0"/>
          <c:extLst>
            <c:ext xmlns:c16="http://schemas.microsoft.com/office/drawing/2014/chart" uri="{C3380CC4-5D6E-409C-BE32-E72D297353CC}">
              <c16:uniqueId val="{00000000-08C0-A647-B18A-004B9F1B721D}"/>
            </c:ext>
          </c:extLst>
        </c:ser>
        <c:dLbls>
          <c:showLegendKey val="0"/>
          <c:showVal val="0"/>
          <c:showCatName val="0"/>
          <c:showSerName val="0"/>
          <c:showPercent val="0"/>
          <c:showBubbleSize val="0"/>
        </c:dLbls>
        <c:axId val="907999167"/>
        <c:axId val="852452223"/>
      </c:scatterChart>
      <c:scatterChart>
        <c:scatterStyle val="lineMarker"/>
        <c:varyColors val="0"/>
        <c:ser>
          <c:idx val="1"/>
          <c:order val="1"/>
          <c:tx>
            <c:strRef>
              <c:f>'T4'!$D$186</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'T4'!$B$187:$B$193</c:f>
              <c:numCache>
                <c:formatCode>General</c:formatCode>
                <c:ptCount val="7"/>
                <c:pt idx="0">
                  <c:v>1.95</c:v>
                </c:pt>
                <c:pt idx="1">
                  <c:v>2.8</c:v>
                </c:pt>
                <c:pt idx="2">
                  <c:v>3.6</c:v>
                </c:pt>
                <c:pt idx="3">
                  <c:v>4.63</c:v>
                </c:pt>
                <c:pt idx="4">
                  <c:v>5.88</c:v>
                </c:pt>
                <c:pt idx="5">
                  <c:v>7.13</c:v>
                </c:pt>
                <c:pt idx="6">
                  <c:v>8.3800000000000008</c:v>
                </c:pt>
              </c:numCache>
            </c:numRef>
          </c:xVal>
          <c:yVal>
            <c:numRef>
              <c:f>'T4'!$D$187:$D$193</c:f>
              <c:numCache>
                <c:formatCode>General</c:formatCode>
                <c:ptCount val="7"/>
                <c:pt idx="0">
                  <c:v>-18.96</c:v>
                </c:pt>
                <c:pt idx="1">
                  <c:v>-19.71</c:v>
                </c:pt>
                <c:pt idx="2">
                  <c:v>-19.7</c:v>
                </c:pt>
                <c:pt idx="3">
                  <c:v>-19.64</c:v>
                </c:pt>
                <c:pt idx="4">
                  <c:v>-19.55</c:v>
                </c:pt>
                <c:pt idx="5">
                  <c:v>-19.989999999999998</c:v>
                </c:pt>
                <c:pt idx="6">
                  <c:v>-19.84</c:v>
                </c:pt>
              </c:numCache>
            </c:numRef>
          </c:yVal>
          <c:smooth val="0"/>
          <c:extLst>
            <c:ext xmlns:c16="http://schemas.microsoft.com/office/drawing/2014/chart" uri="{C3380CC4-5D6E-409C-BE32-E72D297353CC}">
              <c16:uniqueId val="{00000001-08C0-A647-B18A-004B9F1B721D}"/>
            </c:ext>
          </c:extLst>
        </c:ser>
        <c:dLbls>
          <c:showLegendKey val="0"/>
          <c:showVal val="0"/>
          <c:showCatName val="0"/>
          <c:showSerName val="0"/>
          <c:showPercent val="0"/>
          <c:showBubbleSize val="0"/>
        </c:dLbls>
        <c:axId val="906290991"/>
        <c:axId val="391485263"/>
      </c:scatterChart>
      <c:valAx>
        <c:axId val="90799916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52452223"/>
        <c:crosses val="autoZero"/>
        <c:crossBetween val="midCat"/>
        <c:majorUnit val="1"/>
      </c:valAx>
      <c:valAx>
        <c:axId val="852452223"/>
        <c:scaling>
          <c:orientation val="minMax"/>
          <c:max val="13"/>
          <c:min val="8"/>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07999167"/>
        <c:crosses val="autoZero"/>
        <c:crossBetween val="midCat"/>
        <c:majorUnit val="1"/>
      </c:valAx>
      <c:valAx>
        <c:axId val="391485263"/>
        <c:scaling>
          <c:orientation val="minMax"/>
          <c:max val="-16"/>
          <c:min val="-21"/>
        </c:scaling>
        <c:delete val="0"/>
        <c:axPos val="r"/>
        <c:title>
          <c:tx>
            <c:rich>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endParaRPr lang="en-CA" sz="700"/>
              </a:p>
              <a:p>
                <a:pPr algn="ctr" rtl="0">
                  <a:defRPr sz="700"/>
                </a:pPr>
                <a:endParaRPr lang="en-US" sz="700"/>
              </a:p>
            </c:rich>
          </c:tx>
          <c:overlay val="0"/>
          <c:spPr>
            <a:noFill/>
            <a:ln>
              <a:noFill/>
            </a:ln>
            <a:effectLst/>
          </c:spPr>
          <c:txPr>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06290991"/>
        <c:crosses val="max"/>
        <c:crossBetween val="midCat"/>
        <c:majorUnit val="1"/>
      </c:valAx>
      <c:valAx>
        <c:axId val="906290991"/>
        <c:scaling>
          <c:orientation val="minMax"/>
        </c:scaling>
        <c:delete val="1"/>
        <c:axPos val="b"/>
        <c:numFmt formatCode="General" sourceLinked="1"/>
        <c:majorTickMark val="out"/>
        <c:minorTickMark val="none"/>
        <c:tickLblPos val="nextTo"/>
        <c:crossAx val="39148526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07426849421596E-2"/>
          <c:y val="1.533764367816092E-2"/>
          <c:w val="0.8838165483944137"/>
          <c:h val="0.84309948864150597"/>
        </c:manualLayout>
      </c:layout>
      <c:scatterChart>
        <c:scatterStyle val="lineMarker"/>
        <c:varyColors val="0"/>
        <c:ser>
          <c:idx val="0"/>
          <c:order val="0"/>
          <c:tx>
            <c:strRef>
              <c:f>subadult!$B$158</c:f>
              <c:strCache>
                <c:ptCount val="1"/>
                <c:pt idx="0">
                  <c:v>T1</c:v>
                </c:pt>
              </c:strCache>
            </c:strRef>
          </c:tx>
          <c:spPr>
            <a:ln w="15875" cap="rnd">
              <a:solidFill>
                <a:schemeClr val="accent1"/>
              </a:solidFill>
              <a:round/>
            </a:ln>
            <a:effectLst/>
          </c:spPr>
          <c:marker>
            <c:symbol val="triangle"/>
            <c:size val="5"/>
            <c:spPr>
              <a:noFill/>
              <a:ln w="12700">
                <a:solidFill>
                  <a:schemeClr val="accent1"/>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subadult!$B$159:$B$219</c:f>
              <c:numCache>
                <c:formatCode>General</c:formatCode>
                <c:ptCount val="61"/>
                <c:pt idx="0">
                  <c:v>12.75</c:v>
                </c:pt>
                <c:pt idx="1">
                  <c:v>12.91</c:v>
                </c:pt>
                <c:pt idx="2">
                  <c:v>12.18</c:v>
                </c:pt>
                <c:pt idx="3">
                  <c:v>11.67</c:v>
                </c:pt>
                <c:pt idx="4">
                  <c:v>10.58</c:v>
                </c:pt>
              </c:numCache>
            </c:numRef>
          </c:yVal>
          <c:smooth val="0"/>
          <c:extLst>
            <c:ext xmlns:c16="http://schemas.microsoft.com/office/drawing/2014/chart" uri="{C3380CC4-5D6E-409C-BE32-E72D297353CC}">
              <c16:uniqueId val="{00000000-CB4D-954E-B140-B07DB7CB5315}"/>
            </c:ext>
          </c:extLst>
        </c:ser>
        <c:ser>
          <c:idx val="1"/>
          <c:order val="1"/>
          <c:tx>
            <c:strRef>
              <c:f>subadult!$C$158</c:f>
              <c:strCache>
                <c:ptCount val="1"/>
                <c:pt idx="0">
                  <c:v>T2</c:v>
                </c:pt>
              </c:strCache>
            </c:strRef>
          </c:tx>
          <c:spPr>
            <a:ln w="12700" cap="rnd">
              <a:solidFill>
                <a:schemeClr val="accent2"/>
              </a:solidFill>
              <a:round/>
            </a:ln>
            <a:effectLst/>
          </c:spPr>
          <c:marker>
            <c:symbol val="x"/>
            <c:size val="5"/>
            <c:spPr>
              <a:noFill/>
              <a:ln w="15875">
                <a:solidFill>
                  <a:schemeClr val="accent2"/>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subadult!$C$159:$C$219</c:f>
              <c:numCache>
                <c:formatCode>General</c:formatCode>
                <c:ptCount val="61"/>
                <c:pt idx="5">
                  <c:v>12.59</c:v>
                </c:pt>
                <c:pt idx="6">
                  <c:v>12.37</c:v>
                </c:pt>
                <c:pt idx="7">
                  <c:v>12.45</c:v>
                </c:pt>
                <c:pt idx="8">
                  <c:v>12.02</c:v>
                </c:pt>
              </c:numCache>
            </c:numRef>
          </c:yVal>
          <c:smooth val="0"/>
          <c:extLst>
            <c:ext xmlns:c16="http://schemas.microsoft.com/office/drawing/2014/chart" uri="{C3380CC4-5D6E-409C-BE32-E72D297353CC}">
              <c16:uniqueId val="{00000001-CB4D-954E-B140-B07DB7CB5315}"/>
            </c:ext>
          </c:extLst>
        </c:ser>
        <c:ser>
          <c:idx val="2"/>
          <c:order val="2"/>
          <c:tx>
            <c:strRef>
              <c:f>subadult!$D$158</c:f>
              <c:strCache>
                <c:ptCount val="1"/>
                <c:pt idx="0">
                  <c:v>T3</c:v>
                </c:pt>
              </c:strCache>
            </c:strRef>
          </c:tx>
          <c:spPr>
            <a:ln w="19050" cap="rnd">
              <a:solidFill>
                <a:schemeClr val="accent3"/>
              </a:solidFill>
              <a:round/>
            </a:ln>
            <a:effectLst/>
          </c:spPr>
          <c:marker>
            <c:symbol val="square"/>
            <c:size val="6"/>
            <c:spPr>
              <a:noFill/>
              <a:ln w="15875">
                <a:solidFill>
                  <a:schemeClr val="accent3"/>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subadult!$D$159:$D$219</c:f>
              <c:numCache>
                <c:formatCode>General</c:formatCode>
                <c:ptCount val="61"/>
                <c:pt idx="9">
                  <c:v>11.42</c:v>
                </c:pt>
                <c:pt idx="10">
                  <c:v>10.57</c:v>
                </c:pt>
                <c:pt idx="11">
                  <c:v>10.41</c:v>
                </c:pt>
                <c:pt idx="12">
                  <c:v>10.33</c:v>
                </c:pt>
              </c:numCache>
            </c:numRef>
          </c:yVal>
          <c:smooth val="0"/>
          <c:extLst>
            <c:ext xmlns:c16="http://schemas.microsoft.com/office/drawing/2014/chart" uri="{C3380CC4-5D6E-409C-BE32-E72D297353CC}">
              <c16:uniqueId val="{00000002-CB4D-954E-B140-B07DB7CB5315}"/>
            </c:ext>
          </c:extLst>
        </c:ser>
        <c:ser>
          <c:idx val="3"/>
          <c:order val="3"/>
          <c:tx>
            <c:strRef>
              <c:f>subadult!$E$158</c:f>
              <c:strCache>
                <c:ptCount val="1"/>
                <c:pt idx="0">
                  <c:v>T4</c:v>
                </c:pt>
              </c:strCache>
            </c:strRef>
          </c:tx>
          <c:spPr>
            <a:ln w="12700" cap="rnd">
              <a:solidFill>
                <a:schemeClr val="accent4"/>
              </a:solidFill>
              <a:round/>
            </a:ln>
            <a:effectLst/>
          </c:spPr>
          <c:marker>
            <c:symbol val="diamond"/>
            <c:size val="7"/>
            <c:spPr>
              <a:noFill/>
              <a:ln w="15875">
                <a:solidFill>
                  <a:schemeClr val="accent4"/>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subadult!$E$159:$E$219</c:f>
              <c:numCache>
                <c:formatCode>General</c:formatCode>
                <c:ptCount val="61"/>
                <c:pt idx="13">
                  <c:v>13.45</c:v>
                </c:pt>
                <c:pt idx="14">
                  <c:v>13.42</c:v>
                </c:pt>
                <c:pt idx="15">
                  <c:v>12.14</c:v>
                </c:pt>
                <c:pt idx="16">
                  <c:v>11.46</c:v>
                </c:pt>
                <c:pt idx="17">
                  <c:v>10.91</c:v>
                </c:pt>
              </c:numCache>
            </c:numRef>
          </c:yVal>
          <c:smooth val="0"/>
          <c:extLst>
            <c:ext xmlns:c16="http://schemas.microsoft.com/office/drawing/2014/chart" uri="{C3380CC4-5D6E-409C-BE32-E72D297353CC}">
              <c16:uniqueId val="{00000003-CB4D-954E-B140-B07DB7CB5315}"/>
            </c:ext>
          </c:extLst>
        </c:ser>
        <c:ser>
          <c:idx val="4"/>
          <c:order val="4"/>
          <c:tx>
            <c:strRef>
              <c:f>subadult!$F$158</c:f>
              <c:strCache>
                <c:ptCount val="1"/>
                <c:pt idx="0">
                  <c:v>T5</c:v>
                </c:pt>
              </c:strCache>
            </c:strRef>
          </c:tx>
          <c:spPr>
            <a:ln w="19050" cap="rnd">
              <a:solidFill>
                <a:schemeClr val="accent5"/>
              </a:solidFill>
              <a:round/>
            </a:ln>
            <a:effectLst/>
          </c:spPr>
          <c:marker>
            <c:symbol val="diamond"/>
            <c:size val="7"/>
            <c:spPr>
              <a:solidFill>
                <a:schemeClr val="accent5"/>
              </a:solidFill>
              <a:ln w="9525">
                <a:solidFill>
                  <a:schemeClr val="accent5"/>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subadult!$F$159:$F$219</c:f>
              <c:numCache>
                <c:formatCode>General</c:formatCode>
                <c:ptCount val="61"/>
                <c:pt idx="18">
                  <c:v>14.43</c:v>
                </c:pt>
                <c:pt idx="19">
                  <c:v>13.12</c:v>
                </c:pt>
                <c:pt idx="20">
                  <c:v>12.18</c:v>
                </c:pt>
                <c:pt idx="21">
                  <c:v>11.99</c:v>
                </c:pt>
                <c:pt idx="22">
                  <c:v>12.22</c:v>
                </c:pt>
                <c:pt idx="23">
                  <c:v>11.49</c:v>
                </c:pt>
                <c:pt idx="24">
                  <c:v>11.09</c:v>
                </c:pt>
              </c:numCache>
            </c:numRef>
          </c:yVal>
          <c:smooth val="0"/>
          <c:extLst>
            <c:ext xmlns:c16="http://schemas.microsoft.com/office/drawing/2014/chart" uri="{C3380CC4-5D6E-409C-BE32-E72D297353CC}">
              <c16:uniqueId val="{00000004-CB4D-954E-B140-B07DB7CB5315}"/>
            </c:ext>
          </c:extLst>
        </c:ser>
        <c:ser>
          <c:idx val="5"/>
          <c:order val="5"/>
          <c:tx>
            <c:strRef>
              <c:f>subadult!$G$158</c:f>
              <c:strCache>
                <c:ptCount val="1"/>
                <c:pt idx="0">
                  <c:v>T6</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subadult!$G$159:$G$219</c:f>
              <c:numCache>
                <c:formatCode>General</c:formatCode>
                <c:ptCount val="61"/>
                <c:pt idx="25">
                  <c:v>15.56</c:v>
                </c:pt>
                <c:pt idx="26">
                  <c:v>14.9</c:v>
                </c:pt>
                <c:pt idx="27">
                  <c:v>14.15</c:v>
                </c:pt>
                <c:pt idx="28">
                  <c:v>13.79</c:v>
                </c:pt>
                <c:pt idx="29">
                  <c:v>13.23</c:v>
                </c:pt>
              </c:numCache>
            </c:numRef>
          </c:yVal>
          <c:smooth val="0"/>
          <c:extLst>
            <c:ext xmlns:c16="http://schemas.microsoft.com/office/drawing/2014/chart" uri="{C3380CC4-5D6E-409C-BE32-E72D297353CC}">
              <c16:uniqueId val="{00000005-CB4D-954E-B140-B07DB7CB5315}"/>
            </c:ext>
          </c:extLst>
        </c:ser>
        <c:ser>
          <c:idx val="6"/>
          <c:order val="6"/>
          <c:tx>
            <c:strRef>
              <c:f>subadult!$H$158</c:f>
              <c:strCache>
                <c:ptCount val="1"/>
                <c:pt idx="0">
                  <c:v>T7</c:v>
                </c:pt>
              </c:strCache>
            </c:strRef>
          </c:tx>
          <c:spPr>
            <a:ln w="15875" cap="rnd">
              <a:solidFill>
                <a:schemeClr val="accent1">
                  <a:lumMod val="60000"/>
                </a:schemeClr>
              </a:solidFill>
              <a:round/>
            </a:ln>
            <a:effectLst/>
          </c:spPr>
          <c:marker>
            <c:symbol val="circle"/>
            <c:size val="5"/>
            <c:spPr>
              <a:noFill/>
              <a:ln w="12700">
                <a:solidFill>
                  <a:schemeClr val="accent3">
                    <a:lumMod val="60000"/>
                  </a:schemeClr>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subadult!$H$159:$H$219</c:f>
              <c:numCache>
                <c:formatCode>General</c:formatCode>
                <c:ptCount val="61"/>
                <c:pt idx="30">
                  <c:v>14.23</c:v>
                </c:pt>
                <c:pt idx="31">
                  <c:v>14.43</c:v>
                </c:pt>
                <c:pt idx="32">
                  <c:v>13.29</c:v>
                </c:pt>
                <c:pt idx="33">
                  <c:v>12.7</c:v>
                </c:pt>
                <c:pt idx="34">
                  <c:v>12.07</c:v>
                </c:pt>
              </c:numCache>
            </c:numRef>
          </c:yVal>
          <c:smooth val="0"/>
          <c:extLst>
            <c:ext xmlns:c16="http://schemas.microsoft.com/office/drawing/2014/chart" uri="{C3380CC4-5D6E-409C-BE32-E72D297353CC}">
              <c16:uniqueId val="{00000006-CB4D-954E-B140-B07DB7CB5315}"/>
            </c:ext>
          </c:extLst>
        </c:ser>
        <c:ser>
          <c:idx val="7"/>
          <c:order val="7"/>
          <c:tx>
            <c:strRef>
              <c:f>subadult!$I$158</c:f>
              <c:strCache>
                <c:ptCount val="1"/>
                <c:pt idx="0">
                  <c:v>T8</c:v>
                </c:pt>
              </c:strCache>
            </c:strRef>
          </c:tx>
          <c:spPr>
            <a:ln w="1270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Pt>
            <c:idx val="35"/>
            <c:marker>
              <c:symbol val="plus"/>
              <c:size val="5"/>
              <c:spPr>
                <a:noFill/>
                <a:ln w="9525">
                  <a:solidFill>
                    <a:schemeClr val="accent2">
                      <a:lumMod val="60000"/>
                    </a:schemeClr>
                  </a:solidFill>
                </a:ln>
                <a:effectLst/>
              </c:spPr>
            </c:marker>
            <c:bubble3D val="0"/>
            <c:extLst>
              <c:ext xmlns:c16="http://schemas.microsoft.com/office/drawing/2014/chart" uri="{C3380CC4-5D6E-409C-BE32-E72D297353CC}">
                <c16:uniqueId val="{00000007-CB4D-954E-B140-B07DB7CB5315}"/>
              </c:ext>
            </c:extLst>
          </c:dPt>
          <c:dPt>
            <c:idx val="36"/>
            <c:marker>
              <c:symbol val="plus"/>
              <c:size val="5"/>
              <c:spPr>
                <a:noFill/>
                <a:ln w="9525">
                  <a:solidFill>
                    <a:schemeClr val="accent2">
                      <a:lumMod val="60000"/>
                    </a:schemeClr>
                  </a:solidFill>
                </a:ln>
                <a:effectLst/>
              </c:spPr>
            </c:marker>
            <c:bubble3D val="0"/>
            <c:extLst>
              <c:ext xmlns:c16="http://schemas.microsoft.com/office/drawing/2014/chart" uri="{C3380CC4-5D6E-409C-BE32-E72D297353CC}">
                <c16:uniqueId val="{00000008-CB4D-954E-B140-B07DB7CB5315}"/>
              </c:ext>
            </c:extLst>
          </c:dPt>
          <c:dPt>
            <c:idx val="38"/>
            <c:marker>
              <c:symbol val="plus"/>
              <c:size val="5"/>
              <c:spPr>
                <a:noFill/>
                <a:ln w="9525">
                  <a:solidFill>
                    <a:schemeClr val="accent2">
                      <a:lumMod val="60000"/>
                    </a:schemeClr>
                  </a:solidFill>
                </a:ln>
                <a:effectLst/>
              </c:spPr>
            </c:marker>
            <c:bubble3D val="0"/>
            <c:extLst>
              <c:ext xmlns:c16="http://schemas.microsoft.com/office/drawing/2014/chart" uri="{C3380CC4-5D6E-409C-BE32-E72D297353CC}">
                <c16:uniqueId val="{00000009-CB4D-954E-B140-B07DB7CB5315}"/>
              </c:ext>
            </c:extLst>
          </c:dPt>
          <c:dPt>
            <c:idx val="39"/>
            <c:marker>
              <c:symbol val="plus"/>
              <c:size val="5"/>
              <c:spPr>
                <a:noFill/>
                <a:ln w="9525">
                  <a:solidFill>
                    <a:schemeClr val="accent2">
                      <a:lumMod val="60000"/>
                    </a:schemeClr>
                  </a:solidFill>
                </a:ln>
                <a:effectLst/>
              </c:spPr>
            </c:marker>
            <c:bubble3D val="0"/>
            <c:extLst>
              <c:ext xmlns:c16="http://schemas.microsoft.com/office/drawing/2014/chart" uri="{C3380CC4-5D6E-409C-BE32-E72D297353CC}">
                <c16:uniqueId val="{0000000A-CB4D-954E-B140-B07DB7CB5315}"/>
              </c:ext>
            </c:extLst>
          </c:dPt>
          <c:dPt>
            <c:idx val="40"/>
            <c:marker>
              <c:symbol val="plus"/>
              <c:size val="5"/>
              <c:spPr>
                <a:noFill/>
                <a:ln w="9525">
                  <a:solidFill>
                    <a:schemeClr val="accent2">
                      <a:lumMod val="60000"/>
                    </a:schemeClr>
                  </a:solidFill>
                </a:ln>
                <a:effectLst/>
              </c:spPr>
            </c:marker>
            <c:bubble3D val="0"/>
            <c:extLst>
              <c:ext xmlns:c16="http://schemas.microsoft.com/office/drawing/2014/chart" uri="{C3380CC4-5D6E-409C-BE32-E72D297353CC}">
                <c16:uniqueId val="{0000000B-CB4D-954E-B140-B07DB7CB5315}"/>
              </c:ext>
            </c:extLst>
          </c:dPt>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subadult!$I$159:$I$219</c:f>
              <c:numCache>
                <c:formatCode>General</c:formatCode>
                <c:ptCount val="61"/>
                <c:pt idx="35">
                  <c:v>16.05</c:v>
                </c:pt>
                <c:pt idx="36">
                  <c:v>15.31</c:v>
                </c:pt>
                <c:pt idx="37">
                  <c:v>13.91</c:v>
                </c:pt>
                <c:pt idx="38">
                  <c:v>13.54</c:v>
                </c:pt>
                <c:pt idx="39">
                  <c:v>13.4</c:v>
                </c:pt>
                <c:pt idx="40">
                  <c:v>12.81</c:v>
                </c:pt>
              </c:numCache>
            </c:numRef>
          </c:yVal>
          <c:smooth val="0"/>
          <c:extLst>
            <c:ext xmlns:c16="http://schemas.microsoft.com/office/drawing/2014/chart" uri="{C3380CC4-5D6E-409C-BE32-E72D297353CC}">
              <c16:uniqueId val="{0000000C-CB4D-954E-B140-B07DB7CB5315}"/>
            </c:ext>
          </c:extLst>
        </c:ser>
        <c:ser>
          <c:idx val="8"/>
          <c:order val="8"/>
          <c:tx>
            <c:strRef>
              <c:f>subadult!$J$158</c:f>
              <c:strCache>
                <c:ptCount val="1"/>
                <c:pt idx="0">
                  <c:v>T9</c:v>
                </c:pt>
              </c:strCache>
            </c:strRef>
          </c:tx>
          <c:spPr>
            <a:ln w="1270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subadult!$J$159:$J$219</c:f>
              <c:numCache>
                <c:formatCode>General</c:formatCode>
                <c:ptCount val="61"/>
                <c:pt idx="41">
                  <c:v>11.91</c:v>
                </c:pt>
                <c:pt idx="42">
                  <c:v>10.48</c:v>
                </c:pt>
                <c:pt idx="43">
                  <c:v>9.52</c:v>
                </c:pt>
                <c:pt idx="44">
                  <c:v>9.17</c:v>
                </c:pt>
                <c:pt idx="45">
                  <c:v>10.1</c:v>
                </c:pt>
              </c:numCache>
            </c:numRef>
          </c:yVal>
          <c:smooth val="0"/>
          <c:extLst>
            <c:ext xmlns:c16="http://schemas.microsoft.com/office/drawing/2014/chart" uri="{C3380CC4-5D6E-409C-BE32-E72D297353CC}">
              <c16:uniqueId val="{0000000D-CB4D-954E-B140-B07DB7CB5315}"/>
            </c:ext>
          </c:extLst>
        </c:ser>
        <c:ser>
          <c:idx val="9"/>
          <c:order val="9"/>
          <c:tx>
            <c:strRef>
              <c:f>subadult!$K$158</c:f>
              <c:strCache>
                <c:ptCount val="1"/>
                <c:pt idx="0">
                  <c:v>T10</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subadult!$K$159:$K$219</c:f>
              <c:numCache>
                <c:formatCode>General</c:formatCode>
                <c:ptCount val="61"/>
                <c:pt idx="46">
                  <c:v>13.66</c:v>
                </c:pt>
                <c:pt idx="47">
                  <c:v>11.13</c:v>
                </c:pt>
                <c:pt idx="48">
                  <c:v>10.97</c:v>
                </c:pt>
                <c:pt idx="49">
                  <c:v>10.029999999999999</c:v>
                </c:pt>
              </c:numCache>
            </c:numRef>
          </c:yVal>
          <c:smooth val="0"/>
          <c:extLst>
            <c:ext xmlns:c16="http://schemas.microsoft.com/office/drawing/2014/chart" uri="{C3380CC4-5D6E-409C-BE32-E72D297353CC}">
              <c16:uniqueId val="{0000000E-CB4D-954E-B140-B07DB7CB5315}"/>
            </c:ext>
          </c:extLst>
        </c:ser>
        <c:ser>
          <c:idx val="10"/>
          <c:order val="10"/>
          <c:tx>
            <c:strRef>
              <c:f>subadult!$L$158</c:f>
              <c:strCache>
                <c:ptCount val="1"/>
                <c:pt idx="0">
                  <c:v>T11</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subadult!$L$159:$L$219</c:f>
              <c:numCache>
                <c:formatCode>General</c:formatCode>
                <c:ptCount val="61"/>
                <c:pt idx="50">
                  <c:v>12.72</c:v>
                </c:pt>
                <c:pt idx="51">
                  <c:v>14.02</c:v>
                </c:pt>
                <c:pt idx="52">
                  <c:v>13.28</c:v>
                </c:pt>
                <c:pt idx="53">
                  <c:v>12.25</c:v>
                </c:pt>
              </c:numCache>
            </c:numRef>
          </c:yVal>
          <c:smooth val="0"/>
          <c:extLst>
            <c:ext xmlns:c16="http://schemas.microsoft.com/office/drawing/2014/chart" uri="{C3380CC4-5D6E-409C-BE32-E72D297353CC}">
              <c16:uniqueId val="{0000000F-CB4D-954E-B140-B07DB7CB5315}"/>
            </c:ext>
          </c:extLst>
        </c:ser>
        <c:ser>
          <c:idx val="11"/>
          <c:order val="11"/>
          <c:tx>
            <c:strRef>
              <c:f>subadult!$M$158</c:f>
              <c:strCache>
                <c:ptCount val="1"/>
                <c:pt idx="0">
                  <c:v>T12</c:v>
                </c:pt>
              </c:strCache>
            </c:strRef>
          </c:tx>
          <c:spPr>
            <a:ln w="19050" cap="rnd">
              <a:solidFill>
                <a:schemeClr val="accent6">
                  <a:lumMod val="60000"/>
                </a:schemeClr>
              </a:solidFill>
              <a:round/>
            </a:ln>
            <a:effectLst/>
          </c:spPr>
          <c:marker>
            <c:symbol val="square"/>
            <c:size val="5"/>
            <c:spPr>
              <a:solidFill>
                <a:schemeClr val="accent6">
                  <a:lumMod val="60000"/>
                </a:schemeClr>
              </a:solidFill>
              <a:ln w="9525">
                <a:solidFill>
                  <a:schemeClr val="accent6">
                    <a:lumMod val="60000"/>
                  </a:schemeClr>
                </a:solidFill>
              </a:ln>
              <a:effectLst/>
            </c:spPr>
          </c:marker>
          <c:xVal>
            <c:numRef>
              <c:f>subadult!$A$159:$A$219</c:f>
              <c:numCache>
                <c:formatCode>General</c:formatCode>
                <c:ptCount val="61"/>
                <c:pt idx="0">
                  <c:v>0.57999999999999996</c:v>
                </c:pt>
                <c:pt idx="1">
                  <c:v>1.35</c:v>
                </c:pt>
                <c:pt idx="2">
                  <c:v>1.98</c:v>
                </c:pt>
                <c:pt idx="3">
                  <c:v>2.48</c:v>
                </c:pt>
                <c:pt idx="4">
                  <c:v>3.12</c:v>
                </c:pt>
                <c:pt idx="5">
                  <c:v>1.73</c:v>
                </c:pt>
                <c:pt idx="6">
                  <c:v>2.1800000000000002</c:v>
                </c:pt>
                <c:pt idx="7">
                  <c:v>2.68</c:v>
                </c:pt>
                <c:pt idx="8">
                  <c:v>3.23</c:v>
                </c:pt>
                <c:pt idx="9">
                  <c:v>2.81</c:v>
                </c:pt>
                <c:pt idx="10">
                  <c:v>4.0599999999999996</c:v>
                </c:pt>
                <c:pt idx="11">
                  <c:v>4.63</c:v>
                </c:pt>
                <c:pt idx="12">
                  <c:v>5.88</c:v>
                </c:pt>
                <c:pt idx="13">
                  <c:v>0.34</c:v>
                </c:pt>
                <c:pt idx="14">
                  <c:v>0.64</c:v>
                </c:pt>
                <c:pt idx="15">
                  <c:v>0.9</c:v>
                </c:pt>
                <c:pt idx="16">
                  <c:v>1.1399999999999999</c:v>
                </c:pt>
                <c:pt idx="17">
                  <c:v>1.38</c:v>
                </c:pt>
                <c:pt idx="18">
                  <c:v>0.41</c:v>
                </c:pt>
                <c:pt idx="19">
                  <c:v>0.92</c:v>
                </c:pt>
                <c:pt idx="20">
                  <c:v>1.41</c:v>
                </c:pt>
                <c:pt idx="21">
                  <c:v>1.85</c:v>
                </c:pt>
                <c:pt idx="22">
                  <c:v>2.29</c:v>
                </c:pt>
                <c:pt idx="23">
                  <c:v>2.73</c:v>
                </c:pt>
                <c:pt idx="24">
                  <c:v>3.22</c:v>
                </c:pt>
                <c:pt idx="25">
                  <c:v>0.41</c:v>
                </c:pt>
                <c:pt idx="26">
                  <c:v>0.85</c:v>
                </c:pt>
                <c:pt idx="27">
                  <c:v>1.29</c:v>
                </c:pt>
                <c:pt idx="28">
                  <c:v>1.73</c:v>
                </c:pt>
                <c:pt idx="29">
                  <c:v>2.1800000000000002</c:v>
                </c:pt>
                <c:pt idx="30">
                  <c:v>0.34</c:v>
                </c:pt>
                <c:pt idx="31">
                  <c:v>0.64</c:v>
                </c:pt>
                <c:pt idx="32">
                  <c:v>0.9</c:v>
                </c:pt>
                <c:pt idx="33">
                  <c:v>1.1399999999999999</c:v>
                </c:pt>
                <c:pt idx="34">
                  <c:v>1.38</c:v>
                </c:pt>
                <c:pt idx="35">
                  <c:v>0.42</c:v>
                </c:pt>
                <c:pt idx="36">
                  <c:v>0.9</c:v>
                </c:pt>
                <c:pt idx="37">
                  <c:v>1.37</c:v>
                </c:pt>
                <c:pt idx="38">
                  <c:v>1.84</c:v>
                </c:pt>
                <c:pt idx="39">
                  <c:v>2.3199999999999998</c:v>
                </c:pt>
                <c:pt idx="40">
                  <c:v>3.03</c:v>
                </c:pt>
                <c:pt idx="41">
                  <c:v>0.48</c:v>
                </c:pt>
                <c:pt idx="42">
                  <c:v>0.69</c:v>
                </c:pt>
                <c:pt idx="43">
                  <c:v>0.89</c:v>
                </c:pt>
                <c:pt idx="44">
                  <c:v>1.0900000000000001</c:v>
                </c:pt>
                <c:pt idx="45">
                  <c:v>1.35</c:v>
                </c:pt>
                <c:pt idx="46">
                  <c:v>0.67</c:v>
                </c:pt>
                <c:pt idx="47">
                  <c:v>1.25</c:v>
                </c:pt>
                <c:pt idx="48">
                  <c:v>1.82</c:v>
                </c:pt>
                <c:pt idx="49">
                  <c:v>2.8</c:v>
                </c:pt>
                <c:pt idx="50">
                  <c:v>0.52</c:v>
                </c:pt>
                <c:pt idx="51">
                  <c:v>1.2</c:v>
                </c:pt>
                <c:pt idx="52">
                  <c:v>2.04</c:v>
                </c:pt>
                <c:pt idx="53">
                  <c:v>3.01</c:v>
                </c:pt>
                <c:pt idx="54">
                  <c:v>1.95</c:v>
                </c:pt>
                <c:pt idx="55">
                  <c:v>2.8</c:v>
                </c:pt>
                <c:pt idx="56">
                  <c:v>3.6</c:v>
                </c:pt>
                <c:pt idx="57">
                  <c:v>4.63</c:v>
                </c:pt>
                <c:pt idx="58">
                  <c:v>5.88</c:v>
                </c:pt>
                <c:pt idx="59">
                  <c:v>7.13</c:v>
                </c:pt>
                <c:pt idx="60">
                  <c:v>8.3800000000000008</c:v>
                </c:pt>
              </c:numCache>
            </c:numRef>
          </c:xVal>
          <c:yVal>
            <c:numRef>
              <c:f>subadult!$M$159:$M$219</c:f>
              <c:numCache>
                <c:formatCode>General</c:formatCode>
                <c:ptCount val="61"/>
                <c:pt idx="54">
                  <c:v>11.94</c:v>
                </c:pt>
                <c:pt idx="55">
                  <c:v>10.050000000000001</c:v>
                </c:pt>
                <c:pt idx="56">
                  <c:v>9.7799999999999994</c:v>
                </c:pt>
                <c:pt idx="57">
                  <c:v>9.64</c:v>
                </c:pt>
                <c:pt idx="58">
                  <c:v>9.44</c:v>
                </c:pt>
                <c:pt idx="59">
                  <c:v>10.19</c:v>
                </c:pt>
                <c:pt idx="60">
                  <c:v>10.23</c:v>
                </c:pt>
              </c:numCache>
            </c:numRef>
          </c:yVal>
          <c:smooth val="0"/>
          <c:extLst>
            <c:ext xmlns:c16="http://schemas.microsoft.com/office/drawing/2014/chart" uri="{C3380CC4-5D6E-409C-BE32-E72D297353CC}">
              <c16:uniqueId val="{00000010-CB4D-954E-B140-B07DB7CB5315}"/>
            </c:ext>
          </c:extLst>
        </c:ser>
        <c:dLbls>
          <c:showLegendKey val="0"/>
          <c:showVal val="0"/>
          <c:showCatName val="0"/>
          <c:showSerName val="0"/>
          <c:showPercent val="0"/>
          <c:showBubbleSize val="0"/>
        </c:dLbls>
        <c:axId val="776037263"/>
        <c:axId val="749277775"/>
      </c:scatterChart>
      <c:valAx>
        <c:axId val="77603726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Age in Years</a:t>
                </a:r>
              </a:p>
            </c:rich>
          </c:tx>
          <c:layout>
            <c:manualLayout>
              <c:xMode val="edge"/>
              <c:yMode val="edge"/>
              <c:x val="0.46903324584426953"/>
              <c:y val="0.884674495315197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49277775"/>
        <c:crosses val="autoZero"/>
        <c:crossBetween val="midCat"/>
      </c:valAx>
      <c:valAx>
        <c:axId val="749277775"/>
        <c:scaling>
          <c:orientation val="minMax"/>
          <c:min val="8"/>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CA"/>
                  <a:t>(AIR)</a:t>
                </a:r>
                <a:endParaRPr lang="en-US"/>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6037263"/>
        <c:crosses val="autoZero"/>
        <c:crossBetween val="midCat"/>
      </c:valAx>
      <c:spPr>
        <a:noFill/>
        <a:ln>
          <a:noFill/>
        </a:ln>
        <a:effectLst/>
      </c:spPr>
    </c:plotArea>
    <c:legend>
      <c:legendPos val="b"/>
      <c:layout>
        <c:manualLayout>
          <c:xMode val="edge"/>
          <c:yMode val="edge"/>
          <c:x val="0.7447592340968564"/>
          <c:y val="8.974616897926406E-2"/>
          <c:w val="0.23498569460704585"/>
          <c:h val="0.281711656606526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99563461867141"/>
          <c:y val="0.1111111111111111"/>
          <c:w val="0.78257385687869496"/>
          <c:h val="0.72817388844358522"/>
        </c:manualLayout>
      </c:layout>
      <c:scatterChart>
        <c:scatterStyle val="lineMarker"/>
        <c:varyColors val="0"/>
        <c:ser>
          <c:idx val="0"/>
          <c:order val="0"/>
          <c:tx>
            <c:strRef>
              <c:f>Sheet1!$C$1</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Sheet1!$B$2:$B$9</c:f>
              <c:numCache>
                <c:formatCode>General</c:formatCode>
                <c:ptCount val="8"/>
                <c:pt idx="0">
                  <c:v>2.7</c:v>
                </c:pt>
                <c:pt idx="1">
                  <c:v>4.05</c:v>
                </c:pt>
                <c:pt idx="2">
                  <c:v>5.35</c:v>
                </c:pt>
                <c:pt idx="3">
                  <c:v>6.65</c:v>
                </c:pt>
                <c:pt idx="4">
                  <c:v>7.95</c:v>
                </c:pt>
                <c:pt idx="5">
                  <c:v>9.25</c:v>
                </c:pt>
                <c:pt idx="6">
                  <c:v>10.55</c:v>
                </c:pt>
                <c:pt idx="7">
                  <c:v>11.85</c:v>
                </c:pt>
              </c:numCache>
            </c:numRef>
          </c:xVal>
          <c:yVal>
            <c:numRef>
              <c:f>Sheet1!$C$2:$C$9</c:f>
              <c:numCache>
                <c:formatCode>General</c:formatCode>
                <c:ptCount val="8"/>
                <c:pt idx="0">
                  <c:v>9.6</c:v>
                </c:pt>
                <c:pt idx="1">
                  <c:v>8.14</c:v>
                </c:pt>
                <c:pt idx="2">
                  <c:v>7.56</c:v>
                </c:pt>
                <c:pt idx="3">
                  <c:v>7.42</c:v>
                </c:pt>
                <c:pt idx="4">
                  <c:v>7.53</c:v>
                </c:pt>
                <c:pt idx="5">
                  <c:v>8.5299999999999994</c:v>
                </c:pt>
                <c:pt idx="6">
                  <c:v>8.5</c:v>
                </c:pt>
                <c:pt idx="7">
                  <c:v>8.99</c:v>
                </c:pt>
              </c:numCache>
            </c:numRef>
          </c:yVal>
          <c:smooth val="0"/>
          <c:extLst>
            <c:ext xmlns:c16="http://schemas.microsoft.com/office/drawing/2014/chart" uri="{C3380CC4-5D6E-409C-BE32-E72D297353CC}">
              <c16:uniqueId val="{00000000-83AA-B44B-9BF8-651B870801AE}"/>
            </c:ext>
          </c:extLst>
        </c:ser>
        <c:dLbls>
          <c:showLegendKey val="0"/>
          <c:showVal val="0"/>
          <c:showCatName val="0"/>
          <c:showSerName val="0"/>
          <c:showPercent val="0"/>
          <c:showBubbleSize val="0"/>
        </c:dLbls>
        <c:axId val="865567087"/>
        <c:axId val="802788591"/>
      </c:scatterChart>
      <c:scatterChart>
        <c:scatterStyle val="lineMarker"/>
        <c:varyColors val="0"/>
        <c:ser>
          <c:idx val="1"/>
          <c:order val="1"/>
          <c:tx>
            <c:strRef>
              <c:f>Sheet1!$D$1</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Sheet1!$B$2:$B$9</c:f>
              <c:numCache>
                <c:formatCode>General</c:formatCode>
                <c:ptCount val="8"/>
                <c:pt idx="0">
                  <c:v>2.7</c:v>
                </c:pt>
                <c:pt idx="1">
                  <c:v>4.05</c:v>
                </c:pt>
                <c:pt idx="2">
                  <c:v>5.35</c:v>
                </c:pt>
                <c:pt idx="3">
                  <c:v>6.65</c:v>
                </c:pt>
                <c:pt idx="4">
                  <c:v>7.95</c:v>
                </c:pt>
                <c:pt idx="5">
                  <c:v>9.25</c:v>
                </c:pt>
                <c:pt idx="6">
                  <c:v>10.55</c:v>
                </c:pt>
                <c:pt idx="7">
                  <c:v>11.85</c:v>
                </c:pt>
              </c:numCache>
            </c:numRef>
          </c:xVal>
          <c:yVal>
            <c:numRef>
              <c:f>Sheet1!$D$2:$D$9</c:f>
              <c:numCache>
                <c:formatCode>General</c:formatCode>
                <c:ptCount val="8"/>
                <c:pt idx="0">
                  <c:v>-18.899999999999999</c:v>
                </c:pt>
                <c:pt idx="1">
                  <c:v>-19.22</c:v>
                </c:pt>
                <c:pt idx="2">
                  <c:v>-19.32</c:v>
                </c:pt>
                <c:pt idx="3">
                  <c:v>-19.34</c:v>
                </c:pt>
                <c:pt idx="4">
                  <c:v>-19.2</c:v>
                </c:pt>
                <c:pt idx="5">
                  <c:v>-19.12</c:v>
                </c:pt>
                <c:pt idx="6">
                  <c:v>-19.16</c:v>
                </c:pt>
                <c:pt idx="7">
                  <c:v>-19.23</c:v>
                </c:pt>
              </c:numCache>
            </c:numRef>
          </c:yVal>
          <c:smooth val="0"/>
          <c:extLst>
            <c:ext xmlns:c16="http://schemas.microsoft.com/office/drawing/2014/chart" uri="{C3380CC4-5D6E-409C-BE32-E72D297353CC}">
              <c16:uniqueId val="{00000001-83AA-B44B-9BF8-651B870801AE}"/>
            </c:ext>
          </c:extLst>
        </c:ser>
        <c:dLbls>
          <c:showLegendKey val="0"/>
          <c:showVal val="0"/>
          <c:showCatName val="0"/>
          <c:showSerName val="0"/>
          <c:showPercent val="0"/>
          <c:showBubbleSize val="0"/>
        </c:dLbls>
        <c:axId val="802793359"/>
        <c:axId val="728859087"/>
      </c:scatterChart>
      <c:valAx>
        <c:axId val="86556708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02788591"/>
        <c:crosses val="autoZero"/>
        <c:crossBetween val="midCat"/>
        <c:majorUnit val="1"/>
      </c:valAx>
      <c:valAx>
        <c:axId val="802788591"/>
        <c:scaling>
          <c:orientation val="minMax"/>
          <c:min val="6"/>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aseline="30000"/>
                  <a:t>15</a:t>
                </a:r>
                <a:r>
                  <a:rPr lang="en-US" sz="700"/>
                  <a:t>N (AIR)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5567087"/>
        <c:crosses val="autoZero"/>
        <c:crossBetween val="midCat"/>
      </c:valAx>
      <c:valAx>
        <c:axId val="728859087"/>
        <c:scaling>
          <c:orientation val="minMax"/>
          <c:max val="-16"/>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aseline="30000"/>
                  <a:t>13</a:t>
                </a:r>
                <a:r>
                  <a:rPr lang="en-US" sz="700"/>
                  <a:t>C (VPBD)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02793359"/>
        <c:crosses val="max"/>
        <c:crossBetween val="midCat"/>
      </c:valAx>
      <c:valAx>
        <c:axId val="802793359"/>
        <c:scaling>
          <c:orientation val="minMax"/>
        </c:scaling>
        <c:delete val="1"/>
        <c:axPos val="b"/>
        <c:numFmt formatCode="General" sourceLinked="1"/>
        <c:majorTickMark val="out"/>
        <c:minorTickMark val="none"/>
        <c:tickLblPos val="nextTo"/>
        <c:crossAx val="728859087"/>
        <c:crossesAt val="-19.399999999999999"/>
        <c:crossBetween val="midCat"/>
      </c:valAx>
      <c:spPr>
        <a:noFill/>
        <a:ln>
          <a:noFill/>
        </a:ln>
        <a:effectLst/>
      </c:spPr>
    </c:plotArea>
    <c:legend>
      <c:legendPos val="b"/>
      <c:layout>
        <c:manualLayout>
          <c:xMode val="edge"/>
          <c:yMode val="edge"/>
          <c:x val="0.53891864674578305"/>
          <c:y val="4.579376679711443E-2"/>
          <c:w val="0.30357579064201035"/>
          <c:h val="7.810294546515018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03937007874017"/>
          <c:y val="5.0925925925925923E-2"/>
          <c:w val="0.73382392825896758"/>
          <c:h val="0.748710994459026"/>
        </c:manualLayout>
      </c:layout>
      <c:scatterChart>
        <c:scatterStyle val="lineMarker"/>
        <c:varyColors val="0"/>
        <c:ser>
          <c:idx val="0"/>
          <c:order val="0"/>
          <c:tx>
            <c:strRef>
              <c:f>Sheet1!$C$11</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Sheet1!$B$12:$B$20</c:f>
              <c:numCache>
                <c:formatCode>General</c:formatCode>
                <c:ptCount val="9"/>
                <c:pt idx="0">
                  <c:v>2.4500000000000002</c:v>
                </c:pt>
                <c:pt idx="1">
                  <c:v>3.5</c:v>
                </c:pt>
                <c:pt idx="2">
                  <c:v>4.7</c:v>
                </c:pt>
                <c:pt idx="3">
                  <c:v>5.9</c:v>
                </c:pt>
                <c:pt idx="4">
                  <c:v>7.1</c:v>
                </c:pt>
                <c:pt idx="5">
                  <c:v>8.3000000000000007</c:v>
                </c:pt>
                <c:pt idx="6">
                  <c:v>9.5</c:v>
                </c:pt>
                <c:pt idx="7">
                  <c:v>10.7</c:v>
                </c:pt>
                <c:pt idx="8">
                  <c:v>11.9</c:v>
                </c:pt>
              </c:numCache>
            </c:numRef>
          </c:xVal>
          <c:yVal>
            <c:numRef>
              <c:f>Sheet1!$C$12:$C$20</c:f>
              <c:numCache>
                <c:formatCode>General</c:formatCode>
                <c:ptCount val="9"/>
                <c:pt idx="0">
                  <c:v>11.21</c:v>
                </c:pt>
                <c:pt idx="1">
                  <c:v>9.06</c:v>
                </c:pt>
                <c:pt idx="2">
                  <c:v>9.2799999999999994</c:v>
                </c:pt>
                <c:pt idx="3">
                  <c:v>9.36</c:v>
                </c:pt>
                <c:pt idx="4">
                  <c:v>9.4700000000000006</c:v>
                </c:pt>
                <c:pt idx="5">
                  <c:v>9.6300000000000008</c:v>
                </c:pt>
                <c:pt idx="6">
                  <c:v>10.1</c:v>
                </c:pt>
                <c:pt idx="7">
                  <c:v>10.45</c:v>
                </c:pt>
                <c:pt idx="8">
                  <c:v>10.77</c:v>
                </c:pt>
              </c:numCache>
            </c:numRef>
          </c:yVal>
          <c:smooth val="0"/>
          <c:extLst>
            <c:ext xmlns:c16="http://schemas.microsoft.com/office/drawing/2014/chart" uri="{C3380CC4-5D6E-409C-BE32-E72D297353CC}">
              <c16:uniqueId val="{00000000-39AF-1D4C-907D-C3A5B339702D}"/>
            </c:ext>
          </c:extLst>
        </c:ser>
        <c:dLbls>
          <c:showLegendKey val="0"/>
          <c:showVal val="0"/>
          <c:showCatName val="0"/>
          <c:showSerName val="0"/>
          <c:showPercent val="0"/>
          <c:showBubbleSize val="0"/>
        </c:dLbls>
        <c:axId val="387381759"/>
        <c:axId val="906874799"/>
      </c:scatterChart>
      <c:scatterChart>
        <c:scatterStyle val="lineMarker"/>
        <c:varyColors val="0"/>
        <c:ser>
          <c:idx val="1"/>
          <c:order val="1"/>
          <c:tx>
            <c:strRef>
              <c:f>Sheet1!$D$11</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Sheet1!$B$12:$B$20</c:f>
              <c:numCache>
                <c:formatCode>General</c:formatCode>
                <c:ptCount val="9"/>
                <c:pt idx="0">
                  <c:v>2.4500000000000002</c:v>
                </c:pt>
                <c:pt idx="1">
                  <c:v>3.5</c:v>
                </c:pt>
                <c:pt idx="2">
                  <c:v>4.7</c:v>
                </c:pt>
                <c:pt idx="3">
                  <c:v>5.9</c:v>
                </c:pt>
                <c:pt idx="4">
                  <c:v>7.1</c:v>
                </c:pt>
                <c:pt idx="5">
                  <c:v>8.3000000000000007</c:v>
                </c:pt>
                <c:pt idx="6">
                  <c:v>9.5</c:v>
                </c:pt>
                <c:pt idx="7">
                  <c:v>10.7</c:v>
                </c:pt>
                <c:pt idx="8">
                  <c:v>11.9</c:v>
                </c:pt>
              </c:numCache>
            </c:numRef>
          </c:xVal>
          <c:yVal>
            <c:numRef>
              <c:f>Sheet1!$D$12:$D$20</c:f>
              <c:numCache>
                <c:formatCode>General</c:formatCode>
                <c:ptCount val="9"/>
                <c:pt idx="0">
                  <c:v>-18.68</c:v>
                </c:pt>
                <c:pt idx="1">
                  <c:v>-19.23</c:v>
                </c:pt>
                <c:pt idx="2">
                  <c:v>-19.059999999999999</c:v>
                </c:pt>
                <c:pt idx="3">
                  <c:v>-18.89</c:v>
                </c:pt>
                <c:pt idx="4">
                  <c:v>-18.62</c:v>
                </c:pt>
                <c:pt idx="5">
                  <c:v>-18.64</c:v>
                </c:pt>
                <c:pt idx="6">
                  <c:v>-18.88</c:v>
                </c:pt>
                <c:pt idx="7">
                  <c:v>-18.760000000000002</c:v>
                </c:pt>
                <c:pt idx="8">
                  <c:v>-19.73</c:v>
                </c:pt>
              </c:numCache>
            </c:numRef>
          </c:yVal>
          <c:smooth val="0"/>
          <c:extLst>
            <c:ext xmlns:c16="http://schemas.microsoft.com/office/drawing/2014/chart" uri="{C3380CC4-5D6E-409C-BE32-E72D297353CC}">
              <c16:uniqueId val="{00000001-39AF-1D4C-907D-C3A5B339702D}"/>
            </c:ext>
          </c:extLst>
        </c:ser>
        <c:dLbls>
          <c:showLegendKey val="0"/>
          <c:showVal val="0"/>
          <c:showCatName val="0"/>
          <c:showSerName val="0"/>
          <c:showPercent val="0"/>
          <c:showBubbleSize val="0"/>
        </c:dLbls>
        <c:axId val="906705023"/>
        <c:axId val="818743631"/>
      </c:scatterChart>
      <c:valAx>
        <c:axId val="38738175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06874799"/>
        <c:crosses val="autoZero"/>
        <c:crossBetween val="midCat"/>
        <c:majorUnit val="1"/>
      </c:valAx>
      <c:valAx>
        <c:axId val="906874799"/>
        <c:scaling>
          <c:orientation val="minMax"/>
          <c:max val="12"/>
          <c:min val="8"/>
        </c:scaling>
        <c:delete val="0"/>
        <c:axPos val="l"/>
        <c:title>
          <c:tx>
            <c:rich>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aseline="30000"/>
                  <a:t>15</a:t>
                </a:r>
                <a:r>
                  <a:rPr lang="en-US" sz="700"/>
                  <a:t>N (AIR)</a:t>
                </a:r>
                <a:endParaRPr lang="en-CA" sz="700"/>
              </a:p>
            </c:rich>
          </c:tx>
          <c:overlay val="0"/>
          <c:spPr>
            <a:noFill/>
            <a:ln>
              <a:noFill/>
            </a:ln>
            <a:effectLst/>
          </c:spPr>
          <c:txPr>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87381759"/>
        <c:crosses val="autoZero"/>
        <c:crossBetween val="midCat"/>
      </c:valAx>
      <c:valAx>
        <c:axId val="818743631"/>
        <c:scaling>
          <c:orientation val="minMax"/>
          <c:max val="-16"/>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aseline="30000"/>
                  <a:t>13</a:t>
                </a:r>
                <a:r>
                  <a:rPr lang="en-US" sz="700"/>
                  <a:t>C (VPBD)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06705023"/>
        <c:crosses val="max"/>
        <c:crossBetween val="midCat"/>
      </c:valAx>
      <c:valAx>
        <c:axId val="906705023"/>
        <c:scaling>
          <c:orientation val="minMax"/>
        </c:scaling>
        <c:delete val="1"/>
        <c:axPos val="b"/>
        <c:numFmt formatCode="General" sourceLinked="1"/>
        <c:majorTickMark val="out"/>
        <c:minorTickMark val="none"/>
        <c:tickLblPos val="nextTo"/>
        <c:crossAx val="81874363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25"/>
          <c:y val="8.0921621324280574E-2"/>
          <c:w val="0.77330850457364275"/>
          <c:h val="0.7141465101293476"/>
        </c:manualLayout>
      </c:layout>
      <c:scatterChart>
        <c:scatterStyle val="lineMarker"/>
        <c:varyColors val="0"/>
        <c:ser>
          <c:idx val="0"/>
          <c:order val="0"/>
          <c:tx>
            <c:strRef>
              <c:f>Sheet1!$C$22</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Sheet1!$B$23:$B$30</c:f>
              <c:numCache>
                <c:formatCode>General</c:formatCode>
                <c:ptCount val="8"/>
                <c:pt idx="0">
                  <c:v>2.8</c:v>
                </c:pt>
                <c:pt idx="1">
                  <c:v>4.45</c:v>
                </c:pt>
                <c:pt idx="2">
                  <c:v>6.15</c:v>
                </c:pt>
                <c:pt idx="3">
                  <c:v>7.55</c:v>
                </c:pt>
                <c:pt idx="4">
                  <c:v>8.65</c:v>
                </c:pt>
                <c:pt idx="5">
                  <c:v>9.75</c:v>
                </c:pt>
                <c:pt idx="6">
                  <c:v>10.85</c:v>
                </c:pt>
                <c:pt idx="7">
                  <c:v>11.95</c:v>
                </c:pt>
              </c:numCache>
            </c:numRef>
          </c:xVal>
          <c:yVal>
            <c:numRef>
              <c:f>Sheet1!$C$23:$C$30</c:f>
              <c:numCache>
                <c:formatCode>General</c:formatCode>
                <c:ptCount val="8"/>
                <c:pt idx="0">
                  <c:v>8.9600000000000009</c:v>
                </c:pt>
                <c:pt idx="1">
                  <c:v>8.11</c:v>
                </c:pt>
                <c:pt idx="2">
                  <c:v>8.2100000000000009</c:v>
                </c:pt>
                <c:pt idx="3">
                  <c:v>8.57</c:v>
                </c:pt>
                <c:pt idx="4">
                  <c:v>8.52</c:v>
                </c:pt>
                <c:pt idx="5">
                  <c:v>8.84</c:v>
                </c:pt>
                <c:pt idx="6">
                  <c:v>8.83</c:v>
                </c:pt>
                <c:pt idx="7">
                  <c:v>9.08</c:v>
                </c:pt>
              </c:numCache>
            </c:numRef>
          </c:yVal>
          <c:smooth val="0"/>
          <c:extLst>
            <c:ext xmlns:c16="http://schemas.microsoft.com/office/drawing/2014/chart" uri="{C3380CC4-5D6E-409C-BE32-E72D297353CC}">
              <c16:uniqueId val="{00000000-A549-D146-A122-45F3DDC947AB}"/>
            </c:ext>
          </c:extLst>
        </c:ser>
        <c:dLbls>
          <c:showLegendKey val="0"/>
          <c:showVal val="0"/>
          <c:showCatName val="0"/>
          <c:showSerName val="0"/>
          <c:showPercent val="0"/>
          <c:showBubbleSize val="0"/>
        </c:dLbls>
        <c:axId val="374277599"/>
        <c:axId val="393473359"/>
      </c:scatterChart>
      <c:scatterChart>
        <c:scatterStyle val="lineMarker"/>
        <c:varyColors val="0"/>
        <c:ser>
          <c:idx val="1"/>
          <c:order val="1"/>
          <c:tx>
            <c:strRef>
              <c:f>Sheet1!$D$22</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Sheet1!$B$23:$B$30</c:f>
              <c:numCache>
                <c:formatCode>General</c:formatCode>
                <c:ptCount val="8"/>
                <c:pt idx="0">
                  <c:v>2.8</c:v>
                </c:pt>
                <c:pt idx="1">
                  <c:v>4.45</c:v>
                </c:pt>
                <c:pt idx="2">
                  <c:v>6.15</c:v>
                </c:pt>
                <c:pt idx="3">
                  <c:v>7.55</c:v>
                </c:pt>
                <c:pt idx="4">
                  <c:v>8.65</c:v>
                </c:pt>
                <c:pt idx="5">
                  <c:v>9.75</c:v>
                </c:pt>
                <c:pt idx="6">
                  <c:v>10.85</c:v>
                </c:pt>
                <c:pt idx="7">
                  <c:v>11.95</c:v>
                </c:pt>
              </c:numCache>
            </c:numRef>
          </c:xVal>
          <c:yVal>
            <c:numRef>
              <c:f>Sheet1!$D$23:$D$30</c:f>
              <c:numCache>
                <c:formatCode>General</c:formatCode>
                <c:ptCount val="8"/>
                <c:pt idx="0">
                  <c:v>-19.940000000000001</c:v>
                </c:pt>
                <c:pt idx="1">
                  <c:v>-20.18</c:v>
                </c:pt>
                <c:pt idx="2">
                  <c:v>-20.079999999999998</c:v>
                </c:pt>
                <c:pt idx="3">
                  <c:v>-19.97</c:v>
                </c:pt>
                <c:pt idx="4">
                  <c:v>-19.95</c:v>
                </c:pt>
                <c:pt idx="5">
                  <c:v>-19.84</c:v>
                </c:pt>
                <c:pt idx="6">
                  <c:v>-19.88</c:v>
                </c:pt>
                <c:pt idx="7">
                  <c:v>-20.43</c:v>
                </c:pt>
              </c:numCache>
            </c:numRef>
          </c:yVal>
          <c:smooth val="0"/>
          <c:extLst>
            <c:ext xmlns:c16="http://schemas.microsoft.com/office/drawing/2014/chart" uri="{C3380CC4-5D6E-409C-BE32-E72D297353CC}">
              <c16:uniqueId val="{00000001-A549-D146-A122-45F3DDC947AB}"/>
            </c:ext>
          </c:extLst>
        </c:ser>
        <c:dLbls>
          <c:showLegendKey val="0"/>
          <c:showVal val="0"/>
          <c:showCatName val="0"/>
          <c:showSerName val="0"/>
          <c:showPercent val="0"/>
          <c:showBubbleSize val="0"/>
        </c:dLbls>
        <c:axId val="869990303"/>
        <c:axId val="867667583"/>
      </c:scatterChart>
      <c:valAx>
        <c:axId val="37427759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93473359"/>
        <c:crosses val="autoZero"/>
        <c:crossBetween val="midCat"/>
        <c:majorUnit val="1"/>
      </c:valAx>
      <c:valAx>
        <c:axId val="393473359"/>
        <c:scaling>
          <c:orientation val="minMax"/>
          <c:max val="10"/>
          <c:min val="7"/>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74277599"/>
        <c:crosses val="autoZero"/>
        <c:crossBetween val="midCat"/>
      </c:valAx>
      <c:valAx>
        <c:axId val="867667583"/>
        <c:scaling>
          <c:orientation val="minMax"/>
          <c:max val="-18"/>
          <c:min val="-21"/>
        </c:scaling>
        <c:delete val="0"/>
        <c:axPos val="r"/>
        <c:title>
          <c:tx>
            <c:rich>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endParaRPr lang="en-CA" sz="700"/>
              </a:p>
            </c:rich>
          </c:tx>
          <c:overlay val="0"/>
          <c:spPr>
            <a:noFill/>
            <a:ln>
              <a:noFill/>
            </a:ln>
            <a:effectLst/>
          </c:spPr>
          <c:txPr>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9990303"/>
        <c:crosses val="max"/>
        <c:crossBetween val="midCat"/>
      </c:valAx>
      <c:valAx>
        <c:axId val="869990303"/>
        <c:scaling>
          <c:orientation val="minMax"/>
        </c:scaling>
        <c:delete val="1"/>
        <c:axPos val="b"/>
        <c:numFmt formatCode="General" sourceLinked="1"/>
        <c:majorTickMark val="out"/>
        <c:minorTickMark val="none"/>
        <c:tickLblPos val="nextTo"/>
        <c:crossAx val="86766758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48943909574703E-2"/>
          <c:y val="0.10822826787370142"/>
          <c:w val="0.78431563199032317"/>
          <c:h val="0.72803558237854982"/>
        </c:manualLayout>
      </c:layout>
      <c:scatterChart>
        <c:scatterStyle val="lineMarker"/>
        <c:varyColors val="0"/>
        <c:ser>
          <c:idx val="0"/>
          <c:order val="0"/>
          <c:tx>
            <c:strRef>
              <c:f>Sheet1!$C$32</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Sheet1!$B$33:$B$37</c:f>
              <c:numCache>
                <c:formatCode>General</c:formatCode>
                <c:ptCount val="5"/>
                <c:pt idx="1">
                  <c:v>4.63</c:v>
                </c:pt>
                <c:pt idx="2">
                  <c:v>6.38</c:v>
                </c:pt>
                <c:pt idx="3">
                  <c:v>8.1300000000000008</c:v>
                </c:pt>
                <c:pt idx="4">
                  <c:v>10.75</c:v>
                </c:pt>
              </c:numCache>
            </c:numRef>
          </c:xVal>
          <c:yVal>
            <c:numRef>
              <c:f>Sheet1!$C$33:$C$37</c:f>
              <c:numCache>
                <c:formatCode>General</c:formatCode>
                <c:ptCount val="5"/>
                <c:pt idx="1">
                  <c:v>9.66</c:v>
                </c:pt>
                <c:pt idx="2">
                  <c:v>9.6300000000000008</c:v>
                </c:pt>
                <c:pt idx="3">
                  <c:v>10.130000000000001</c:v>
                </c:pt>
                <c:pt idx="4">
                  <c:v>10.32</c:v>
                </c:pt>
              </c:numCache>
            </c:numRef>
          </c:yVal>
          <c:smooth val="0"/>
          <c:extLst>
            <c:ext xmlns:c16="http://schemas.microsoft.com/office/drawing/2014/chart" uri="{C3380CC4-5D6E-409C-BE32-E72D297353CC}">
              <c16:uniqueId val="{00000000-8FB4-4F4C-9506-2162F41036B3}"/>
            </c:ext>
          </c:extLst>
        </c:ser>
        <c:dLbls>
          <c:showLegendKey val="0"/>
          <c:showVal val="0"/>
          <c:showCatName val="0"/>
          <c:showSerName val="0"/>
          <c:showPercent val="0"/>
          <c:showBubbleSize val="0"/>
        </c:dLbls>
        <c:axId val="388681455"/>
        <c:axId val="803162639"/>
      </c:scatterChart>
      <c:scatterChart>
        <c:scatterStyle val="lineMarker"/>
        <c:varyColors val="0"/>
        <c:ser>
          <c:idx val="1"/>
          <c:order val="1"/>
          <c:tx>
            <c:strRef>
              <c:f>Sheet1!$D$32</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Sheet1!$B$33:$B$37</c:f>
              <c:numCache>
                <c:formatCode>General</c:formatCode>
                <c:ptCount val="5"/>
                <c:pt idx="1">
                  <c:v>4.63</c:v>
                </c:pt>
                <c:pt idx="2">
                  <c:v>6.38</c:v>
                </c:pt>
                <c:pt idx="3">
                  <c:v>8.1300000000000008</c:v>
                </c:pt>
                <c:pt idx="4">
                  <c:v>10.75</c:v>
                </c:pt>
              </c:numCache>
            </c:numRef>
          </c:xVal>
          <c:yVal>
            <c:numRef>
              <c:f>Sheet1!$D$33:$D$37</c:f>
              <c:numCache>
                <c:formatCode>General</c:formatCode>
                <c:ptCount val="5"/>
                <c:pt idx="1">
                  <c:v>-19.03</c:v>
                </c:pt>
                <c:pt idx="2">
                  <c:v>-18.920000000000002</c:v>
                </c:pt>
                <c:pt idx="3">
                  <c:v>-19.559999999999999</c:v>
                </c:pt>
                <c:pt idx="4">
                  <c:v>-19.149999999999999</c:v>
                </c:pt>
              </c:numCache>
            </c:numRef>
          </c:yVal>
          <c:smooth val="0"/>
          <c:extLst>
            <c:ext xmlns:c16="http://schemas.microsoft.com/office/drawing/2014/chart" uri="{C3380CC4-5D6E-409C-BE32-E72D297353CC}">
              <c16:uniqueId val="{00000001-8FB4-4F4C-9506-2162F41036B3}"/>
            </c:ext>
          </c:extLst>
        </c:ser>
        <c:dLbls>
          <c:showLegendKey val="0"/>
          <c:showVal val="0"/>
          <c:showCatName val="0"/>
          <c:showSerName val="0"/>
          <c:showPercent val="0"/>
          <c:showBubbleSize val="0"/>
        </c:dLbls>
        <c:axId val="817289791"/>
        <c:axId val="802961887"/>
      </c:scatterChart>
      <c:valAx>
        <c:axId val="388681455"/>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03162639"/>
        <c:crosses val="autoZero"/>
        <c:crossBetween val="midCat"/>
        <c:majorUnit val="1"/>
      </c:valAx>
      <c:valAx>
        <c:axId val="803162639"/>
        <c:scaling>
          <c:orientation val="minMax"/>
          <c:max val="12"/>
          <c:min val="9"/>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88681455"/>
        <c:crosses val="autoZero"/>
        <c:crossBetween val="midCat"/>
      </c:valAx>
      <c:valAx>
        <c:axId val="802961887"/>
        <c:scaling>
          <c:orientation val="minMax"/>
          <c:max val="-18"/>
          <c:min val="-21"/>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endParaRPr lang="en-CA" sz="700"/>
              </a:p>
            </c:rich>
          </c:tx>
          <c:layout>
            <c:manualLayout>
              <c:xMode val="edge"/>
              <c:yMode val="edge"/>
              <c:x val="0.95576377952755887"/>
              <c:y val="0.33266149023038788"/>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17289791"/>
        <c:crosses val="max"/>
        <c:crossBetween val="midCat"/>
        <c:majorUnit val="0.5"/>
      </c:valAx>
      <c:valAx>
        <c:axId val="817289791"/>
        <c:scaling>
          <c:orientation val="minMax"/>
        </c:scaling>
        <c:delete val="1"/>
        <c:axPos val="b"/>
        <c:numFmt formatCode="General" sourceLinked="1"/>
        <c:majorTickMark val="out"/>
        <c:minorTickMark val="none"/>
        <c:tickLblPos val="nextTo"/>
        <c:crossAx val="802961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1388888888889"/>
          <c:y val="0.14351851851851852"/>
          <c:w val="0.72273600174978114"/>
          <c:h val="0.69988882336064262"/>
        </c:manualLayout>
      </c:layout>
      <c:scatterChart>
        <c:scatterStyle val="lineMarker"/>
        <c:varyColors val="0"/>
        <c:ser>
          <c:idx val="0"/>
          <c:order val="0"/>
          <c:tx>
            <c:strRef>
              <c:f>Sheet1!$C$39</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Sheet1!$B$40:$B$47</c:f>
              <c:numCache>
                <c:formatCode>General</c:formatCode>
                <c:ptCount val="8"/>
                <c:pt idx="0">
                  <c:v>3.33</c:v>
                </c:pt>
                <c:pt idx="1">
                  <c:v>4.91</c:v>
                </c:pt>
                <c:pt idx="2">
                  <c:v>6.26</c:v>
                </c:pt>
                <c:pt idx="3">
                  <c:v>7.46</c:v>
                </c:pt>
                <c:pt idx="4">
                  <c:v>8.66</c:v>
                </c:pt>
                <c:pt idx="5">
                  <c:v>9.8800000000000008</c:v>
                </c:pt>
                <c:pt idx="6">
                  <c:v>11.08</c:v>
                </c:pt>
                <c:pt idx="7">
                  <c:v>12.58</c:v>
                </c:pt>
              </c:numCache>
            </c:numRef>
          </c:xVal>
          <c:yVal>
            <c:numRef>
              <c:f>Sheet1!$C$40:$C$47</c:f>
              <c:numCache>
                <c:formatCode>General</c:formatCode>
                <c:ptCount val="8"/>
                <c:pt idx="0">
                  <c:v>9.76</c:v>
                </c:pt>
                <c:pt idx="1">
                  <c:v>9.58</c:v>
                </c:pt>
                <c:pt idx="2">
                  <c:v>9.2799999999999994</c:v>
                </c:pt>
                <c:pt idx="3">
                  <c:v>9.48</c:v>
                </c:pt>
                <c:pt idx="4">
                  <c:v>9.8699999999999992</c:v>
                </c:pt>
                <c:pt idx="5">
                  <c:v>10.19</c:v>
                </c:pt>
                <c:pt idx="6">
                  <c:v>9.8000000000000007</c:v>
                </c:pt>
                <c:pt idx="7">
                  <c:v>10.18</c:v>
                </c:pt>
              </c:numCache>
            </c:numRef>
          </c:yVal>
          <c:smooth val="0"/>
          <c:extLst>
            <c:ext xmlns:c16="http://schemas.microsoft.com/office/drawing/2014/chart" uri="{C3380CC4-5D6E-409C-BE32-E72D297353CC}">
              <c16:uniqueId val="{00000000-7AE8-D54C-A0EA-69026307ACB6}"/>
            </c:ext>
          </c:extLst>
        </c:ser>
        <c:dLbls>
          <c:showLegendKey val="0"/>
          <c:showVal val="0"/>
          <c:showCatName val="0"/>
          <c:showSerName val="0"/>
          <c:showPercent val="0"/>
          <c:showBubbleSize val="0"/>
        </c:dLbls>
        <c:axId val="817791551"/>
        <c:axId val="869308047"/>
      </c:scatterChart>
      <c:scatterChart>
        <c:scatterStyle val="lineMarker"/>
        <c:varyColors val="0"/>
        <c:ser>
          <c:idx val="1"/>
          <c:order val="1"/>
          <c:tx>
            <c:strRef>
              <c:f>Sheet1!$D$39</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Sheet1!$B$40:$B$47</c:f>
              <c:numCache>
                <c:formatCode>General</c:formatCode>
                <c:ptCount val="8"/>
                <c:pt idx="0">
                  <c:v>3.33</c:v>
                </c:pt>
                <c:pt idx="1">
                  <c:v>4.91</c:v>
                </c:pt>
                <c:pt idx="2">
                  <c:v>6.26</c:v>
                </c:pt>
                <c:pt idx="3">
                  <c:v>7.46</c:v>
                </c:pt>
                <c:pt idx="4">
                  <c:v>8.66</c:v>
                </c:pt>
                <c:pt idx="5">
                  <c:v>9.8800000000000008</c:v>
                </c:pt>
                <c:pt idx="6">
                  <c:v>11.08</c:v>
                </c:pt>
                <c:pt idx="7">
                  <c:v>12.58</c:v>
                </c:pt>
              </c:numCache>
            </c:numRef>
          </c:xVal>
          <c:yVal>
            <c:numRef>
              <c:f>Sheet1!$D$40:$D$47</c:f>
              <c:numCache>
                <c:formatCode>General</c:formatCode>
                <c:ptCount val="8"/>
                <c:pt idx="0">
                  <c:v>-19.88</c:v>
                </c:pt>
                <c:pt idx="1">
                  <c:v>-19.260000000000002</c:v>
                </c:pt>
                <c:pt idx="2">
                  <c:v>-19</c:v>
                </c:pt>
                <c:pt idx="3">
                  <c:v>-18.79</c:v>
                </c:pt>
                <c:pt idx="4">
                  <c:v>-18.899999999999999</c:v>
                </c:pt>
                <c:pt idx="5">
                  <c:v>-19.02</c:v>
                </c:pt>
                <c:pt idx="6">
                  <c:v>-19.25</c:v>
                </c:pt>
                <c:pt idx="7">
                  <c:v>-19.45</c:v>
                </c:pt>
              </c:numCache>
            </c:numRef>
          </c:yVal>
          <c:smooth val="0"/>
          <c:extLst>
            <c:ext xmlns:c16="http://schemas.microsoft.com/office/drawing/2014/chart" uri="{C3380CC4-5D6E-409C-BE32-E72D297353CC}">
              <c16:uniqueId val="{00000001-7AE8-D54C-A0EA-69026307ACB6}"/>
            </c:ext>
          </c:extLst>
        </c:ser>
        <c:dLbls>
          <c:showLegendKey val="0"/>
          <c:showVal val="0"/>
          <c:showCatName val="0"/>
          <c:showSerName val="0"/>
          <c:showPercent val="0"/>
          <c:showBubbleSize val="0"/>
        </c:dLbls>
        <c:axId val="866452063"/>
        <c:axId val="850520943"/>
      </c:scatterChart>
      <c:valAx>
        <c:axId val="81779155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9308047"/>
        <c:crosses val="autoZero"/>
        <c:crossBetween val="midCat"/>
        <c:majorUnit val="1"/>
      </c:valAx>
      <c:valAx>
        <c:axId val="869308047"/>
        <c:scaling>
          <c:orientation val="minMax"/>
          <c:max val="11"/>
          <c:min val="8"/>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17791551"/>
        <c:crosses val="autoZero"/>
        <c:crossBetween val="midCat"/>
      </c:valAx>
      <c:valAx>
        <c:axId val="850520943"/>
        <c:scaling>
          <c:orientation val="minMax"/>
          <c:max val="-17"/>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6452063"/>
        <c:crosses val="max"/>
        <c:crossBetween val="midCat"/>
      </c:valAx>
      <c:valAx>
        <c:axId val="866452063"/>
        <c:scaling>
          <c:orientation val="minMax"/>
        </c:scaling>
        <c:delete val="1"/>
        <c:axPos val="b"/>
        <c:numFmt formatCode="General" sourceLinked="1"/>
        <c:majorTickMark val="out"/>
        <c:minorTickMark val="none"/>
        <c:tickLblPos val="nextTo"/>
        <c:crossAx val="850520943"/>
        <c:crosses val="autoZero"/>
        <c:crossBetween val="midCat"/>
      </c:valAx>
      <c:spPr>
        <a:noFill/>
        <a:ln>
          <a:noFill/>
        </a:ln>
        <a:effectLst/>
      </c:spPr>
    </c:plotArea>
    <c:legend>
      <c:legendPos val="b"/>
      <c:layout>
        <c:manualLayout>
          <c:xMode val="edge"/>
          <c:yMode val="edge"/>
          <c:x val="0.53362051618547668"/>
          <c:y val="0.11634149897929426"/>
          <c:w val="0.3049811898512686"/>
          <c:h val="7.810294546515018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9363974851981"/>
          <c:y val="4.1897923381338999E-2"/>
          <c:w val="0.76261390028196341"/>
          <c:h val="0.78690710293337696"/>
        </c:manualLayout>
      </c:layout>
      <c:scatterChart>
        <c:scatterStyle val="lineMarker"/>
        <c:varyColors val="0"/>
        <c:ser>
          <c:idx val="0"/>
          <c:order val="0"/>
          <c:tx>
            <c:strRef>
              <c:f>Sheet4!$B$1</c:f>
              <c:strCache>
                <c:ptCount val="1"/>
                <c:pt idx="0">
                  <c:v>Delta 15N (‰)</c:v>
                </c:pt>
              </c:strCache>
            </c:strRef>
          </c:tx>
          <c:spPr>
            <a:ln w="19050" cap="rnd">
              <a:noFill/>
              <a:round/>
            </a:ln>
            <a:effectLst/>
          </c:spPr>
          <c:marker>
            <c:symbol val="diamond"/>
            <c:size val="7"/>
            <c:spPr>
              <a:solidFill>
                <a:srgbClr val="7030A0"/>
              </a:solidFill>
              <a:ln w="9525">
                <a:solidFill>
                  <a:srgbClr val="7030A0"/>
                </a:solidFill>
              </a:ln>
              <a:effectLst/>
            </c:spPr>
          </c:marker>
          <c:xVal>
            <c:numRef>
              <c:f>Sheet4!$A$2:$A$6</c:f>
              <c:numCache>
                <c:formatCode>General</c:formatCode>
                <c:ptCount val="5"/>
                <c:pt idx="0">
                  <c:v>0.57999999999999996</c:v>
                </c:pt>
                <c:pt idx="1">
                  <c:v>1.35</c:v>
                </c:pt>
                <c:pt idx="2">
                  <c:v>1.98</c:v>
                </c:pt>
                <c:pt idx="3">
                  <c:v>2.48</c:v>
                </c:pt>
                <c:pt idx="4">
                  <c:v>3.12</c:v>
                </c:pt>
              </c:numCache>
            </c:numRef>
          </c:xVal>
          <c:yVal>
            <c:numRef>
              <c:f>Sheet4!$B$2:$B$6</c:f>
              <c:numCache>
                <c:formatCode>General</c:formatCode>
                <c:ptCount val="5"/>
                <c:pt idx="0">
                  <c:v>12.75</c:v>
                </c:pt>
                <c:pt idx="1">
                  <c:v>12.91</c:v>
                </c:pt>
                <c:pt idx="2">
                  <c:v>12.18</c:v>
                </c:pt>
                <c:pt idx="3">
                  <c:v>11.67</c:v>
                </c:pt>
                <c:pt idx="4">
                  <c:v>10.58</c:v>
                </c:pt>
              </c:numCache>
            </c:numRef>
          </c:yVal>
          <c:smooth val="0"/>
          <c:extLst>
            <c:ext xmlns:c16="http://schemas.microsoft.com/office/drawing/2014/chart" uri="{C3380CC4-5D6E-409C-BE32-E72D297353CC}">
              <c16:uniqueId val="{00000000-A5BE-454B-A968-A97226AB95F3}"/>
            </c:ext>
          </c:extLst>
        </c:ser>
        <c:dLbls>
          <c:showLegendKey val="0"/>
          <c:showVal val="0"/>
          <c:showCatName val="0"/>
          <c:showSerName val="0"/>
          <c:showPercent val="0"/>
          <c:showBubbleSize val="0"/>
        </c:dLbls>
        <c:axId val="1973534479"/>
        <c:axId val="1953216783"/>
      </c:scatterChart>
      <c:scatterChart>
        <c:scatterStyle val="lineMarker"/>
        <c:varyColors val="0"/>
        <c:ser>
          <c:idx val="1"/>
          <c:order val="1"/>
          <c:tx>
            <c:strRef>
              <c:f>Sheet4!$C$1</c:f>
              <c:strCache>
                <c:ptCount val="1"/>
                <c:pt idx="0">
                  <c:v>Delta 13C (‰)</c:v>
                </c:pt>
              </c:strCache>
            </c:strRef>
          </c:tx>
          <c:spPr>
            <a:ln w="19050" cap="rnd">
              <a:noFill/>
              <a:round/>
            </a:ln>
            <a:effectLst/>
          </c:spPr>
          <c:marker>
            <c:symbol val="square"/>
            <c:size val="7"/>
            <c:spPr>
              <a:noFill/>
              <a:ln w="22225">
                <a:solidFill>
                  <a:srgbClr val="92D050"/>
                </a:solidFill>
              </a:ln>
              <a:effectLst/>
            </c:spPr>
          </c:marker>
          <c:xVal>
            <c:numRef>
              <c:f>Sheet4!$A$2:$A$6</c:f>
              <c:numCache>
                <c:formatCode>General</c:formatCode>
                <c:ptCount val="5"/>
                <c:pt idx="0">
                  <c:v>0.57999999999999996</c:v>
                </c:pt>
                <c:pt idx="1">
                  <c:v>1.35</c:v>
                </c:pt>
                <c:pt idx="2">
                  <c:v>1.98</c:v>
                </c:pt>
                <c:pt idx="3">
                  <c:v>2.48</c:v>
                </c:pt>
                <c:pt idx="4">
                  <c:v>3.12</c:v>
                </c:pt>
              </c:numCache>
            </c:numRef>
          </c:xVal>
          <c:yVal>
            <c:numRef>
              <c:f>Sheet4!$C$2:$C$6</c:f>
              <c:numCache>
                <c:formatCode>General</c:formatCode>
                <c:ptCount val="5"/>
                <c:pt idx="0">
                  <c:v>-18.47</c:v>
                </c:pt>
                <c:pt idx="1">
                  <c:v>-18.440000000000001</c:v>
                </c:pt>
                <c:pt idx="2">
                  <c:v>-18.72</c:v>
                </c:pt>
                <c:pt idx="3">
                  <c:v>-18.829999999999998</c:v>
                </c:pt>
                <c:pt idx="4">
                  <c:v>-19.079999999999998</c:v>
                </c:pt>
              </c:numCache>
            </c:numRef>
          </c:yVal>
          <c:smooth val="0"/>
          <c:extLst>
            <c:ext xmlns:c16="http://schemas.microsoft.com/office/drawing/2014/chart" uri="{C3380CC4-5D6E-409C-BE32-E72D297353CC}">
              <c16:uniqueId val="{00000001-A5BE-454B-A968-A97226AB95F3}"/>
            </c:ext>
          </c:extLst>
        </c:ser>
        <c:dLbls>
          <c:showLegendKey val="0"/>
          <c:showVal val="0"/>
          <c:showCatName val="0"/>
          <c:showSerName val="0"/>
          <c:showPercent val="0"/>
          <c:showBubbleSize val="0"/>
        </c:dLbls>
        <c:axId val="1976798335"/>
        <c:axId val="1976830063"/>
      </c:scatterChart>
      <c:valAx>
        <c:axId val="197353447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Age</a:t>
                </a:r>
                <a:r>
                  <a:rPr lang="en-US" sz="800" baseline="0"/>
                  <a:t> in Years</a:t>
                </a:r>
                <a:endParaRPr lang="en-US"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53216783"/>
        <c:crosses val="autoZero"/>
        <c:crossBetween val="midCat"/>
      </c:valAx>
      <c:valAx>
        <c:axId val="1953216783"/>
        <c:scaling>
          <c:orientation val="minMax"/>
          <c:max val="14"/>
          <c:min val="1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(AIR)</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73534479"/>
        <c:crosses val="autoZero"/>
        <c:crossBetween val="midCat"/>
      </c:valAx>
      <c:valAx>
        <c:axId val="1976830063"/>
        <c:scaling>
          <c:orientation val="minMax"/>
          <c:max val="-16"/>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(VPBD)</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76798335"/>
        <c:crosses val="max"/>
        <c:crossBetween val="midCat"/>
      </c:valAx>
      <c:valAx>
        <c:axId val="1976798335"/>
        <c:scaling>
          <c:orientation val="minMax"/>
        </c:scaling>
        <c:delete val="1"/>
        <c:axPos val="b"/>
        <c:numFmt formatCode="General" sourceLinked="1"/>
        <c:majorTickMark val="out"/>
        <c:minorTickMark val="none"/>
        <c:tickLblPos val="nextTo"/>
        <c:crossAx val="1976830063"/>
        <c:crosses val="autoZero"/>
        <c:crossBetween val="midCat"/>
      </c:valAx>
      <c:spPr>
        <a:noFill/>
        <a:ln>
          <a:noFill/>
        </a:ln>
        <a:effectLst/>
      </c:spPr>
    </c:plotArea>
    <c:legend>
      <c:legendPos val="b"/>
      <c:layout>
        <c:manualLayout>
          <c:xMode val="edge"/>
          <c:yMode val="edge"/>
          <c:x val="0.4541099920649454"/>
          <c:y val="8.8962506629676461E-2"/>
          <c:w val="0.41172134733158361"/>
          <c:h val="0.1244218431029454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91666666666667"/>
          <c:y val="0.1388888888888889"/>
          <c:w val="0.73106933508311456"/>
          <c:h val="0.70710520559930012"/>
        </c:manualLayout>
      </c:layout>
      <c:scatterChart>
        <c:scatterStyle val="lineMarker"/>
        <c:varyColors val="0"/>
        <c:ser>
          <c:idx val="0"/>
          <c:order val="0"/>
          <c:tx>
            <c:strRef>
              <c:f>Sheet1!$C$49</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Sheet1!$B$50:$B$58</c:f>
              <c:numCache>
                <c:formatCode>General</c:formatCode>
                <c:ptCount val="9"/>
                <c:pt idx="0">
                  <c:v>2.4</c:v>
                </c:pt>
                <c:pt idx="1">
                  <c:v>3.9</c:v>
                </c:pt>
                <c:pt idx="2">
                  <c:v>5.0999999999999996</c:v>
                </c:pt>
                <c:pt idx="3">
                  <c:v>6.3</c:v>
                </c:pt>
                <c:pt idx="4">
                  <c:v>7.5</c:v>
                </c:pt>
                <c:pt idx="5">
                  <c:v>8.6999999999999993</c:v>
                </c:pt>
                <c:pt idx="6">
                  <c:v>9.9</c:v>
                </c:pt>
                <c:pt idx="7">
                  <c:v>11.1</c:v>
                </c:pt>
                <c:pt idx="8">
                  <c:v>12.6</c:v>
                </c:pt>
              </c:numCache>
            </c:numRef>
          </c:xVal>
          <c:yVal>
            <c:numRef>
              <c:f>Sheet1!$C$50:$C$58</c:f>
              <c:numCache>
                <c:formatCode>General</c:formatCode>
                <c:ptCount val="9"/>
                <c:pt idx="0">
                  <c:v>10.78</c:v>
                </c:pt>
                <c:pt idx="1">
                  <c:v>10.78</c:v>
                </c:pt>
                <c:pt idx="2">
                  <c:v>10.71</c:v>
                </c:pt>
                <c:pt idx="3">
                  <c:v>10.210000000000001</c:v>
                </c:pt>
                <c:pt idx="4">
                  <c:v>10.050000000000001</c:v>
                </c:pt>
                <c:pt idx="5">
                  <c:v>10.16</c:v>
                </c:pt>
                <c:pt idx="6">
                  <c:v>10.23</c:v>
                </c:pt>
                <c:pt idx="7">
                  <c:v>10.33</c:v>
                </c:pt>
                <c:pt idx="8">
                  <c:v>10.61</c:v>
                </c:pt>
              </c:numCache>
            </c:numRef>
          </c:yVal>
          <c:smooth val="0"/>
          <c:extLst>
            <c:ext xmlns:c16="http://schemas.microsoft.com/office/drawing/2014/chart" uri="{C3380CC4-5D6E-409C-BE32-E72D297353CC}">
              <c16:uniqueId val="{00000000-3EF2-0F45-BAB3-4075EB8159CC}"/>
            </c:ext>
          </c:extLst>
        </c:ser>
        <c:dLbls>
          <c:showLegendKey val="0"/>
          <c:showVal val="0"/>
          <c:showCatName val="0"/>
          <c:showSerName val="0"/>
          <c:showPercent val="0"/>
          <c:showBubbleSize val="0"/>
        </c:dLbls>
        <c:axId val="848706159"/>
        <c:axId val="776962543"/>
      </c:scatterChart>
      <c:scatterChart>
        <c:scatterStyle val="lineMarker"/>
        <c:varyColors val="0"/>
        <c:ser>
          <c:idx val="1"/>
          <c:order val="1"/>
          <c:tx>
            <c:strRef>
              <c:f>Sheet1!$D$49</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Sheet1!$B$50:$B$58</c:f>
              <c:numCache>
                <c:formatCode>General</c:formatCode>
                <c:ptCount val="9"/>
                <c:pt idx="0">
                  <c:v>2.4</c:v>
                </c:pt>
                <c:pt idx="1">
                  <c:v>3.9</c:v>
                </c:pt>
                <c:pt idx="2">
                  <c:v>5.0999999999999996</c:v>
                </c:pt>
                <c:pt idx="3">
                  <c:v>6.3</c:v>
                </c:pt>
                <c:pt idx="4">
                  <c:v>7.5</c:v>
                </c:pt>
                <c:pt idx="5">
                  <c:v>8.6999999999999993</c:v>
                </c:pt>
                <c:pt idx="6">
                  <c:v>9.9</c:v>
                </c:pt>
                <c:pt idx="7">
                  <c:v>11.1</c:v>
                </c:pt>
                <c:pt idx="8">
                  <c:v>12.6</c:v>
                </c:pt>
              </c:numCache>
            </c:numRef>
          </c:xVal>
          <c:yVal>
            <c:numRef>
              <c:f>Sheet1!$D$50:$D$58</c:f>
              <c:numCache>
                <c:formatCode>General</c:formatCode>
                <c:ptCount val="9"/>
                <c:pt idx="0">
                  <c:v>-18.98</c:v>
                </c:pt>
                <c:pt idx="1">
                  <c:v>-19.13</c:v>
                </c:pt>
                <c:pt idx="2">
                  <c:v>-19.04</c:v>
                </c:pt>
                <c:pt idx="3">
                  <c:v>-18.79</c:v>
                </c:pt>
                <c:pt idx="4">
                  <c:v>-18.78</c:v>
                </c:pt>
                <c:pt idx="5">
                  <c:v>-18.86</c:v>
                </c:pt>
                <c:pt idx="6">
                  <c:v>-19.23</c:v>
                </c:pt>
                <c:pt idx="7">
                  <c:v>-19.28</c:v>
                </c:pt>
                <c:pt idx="8">
                  <c:v>-19.22</c:v>
                </c:pt>
              </c:numCache>
            </c:numRef>
          </c:yVal>
          <c:smooth val="0"/>
          <c:extLst>
            <c:ext xmlns:c16="http://schemas.microsoft.com/office/drawing/2014/chart" uri="{C3380CC4-5D6E-409C-BE32-E72D297353CC}">
              <c16:uniqueId val="{00000001-3EF2-0F45-BAB3-4075EB8159CC}"/>
            </c:ext>
          </c:extLst>
        </c:ser>
        <c:dLbls>
          <c:showLegendKey val="0"/>
          <c:showVal val="0"/>
          <c:showCatName val="0"/>
          <c:showSerName val="0"/>
          <c:showPercent val="0"/>
          <c:showBubbleSize val="0"/>
        </c:dLbls>
        <c:axId val="386174511"/>
        <c:axId val="388938623"/>
      </c:scatterChart>
      <c:valAx>
        <c:axId val="84870615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776962543"/>
        <c:crosses val="autoZero"/>
        <c:crossBetween val="midCat"/>
        <c:majorUnit val="1"/>
      </c:valAx>
      <c:valAx>
        <c:axId val="776962543"/>
        <c:scaling>
          <c:orientation val="minMax"/>
          <c:max val="11"/>
          <c:min val="7"/>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48706159"/>
        <c:crosses val="autoZero"/>
        <c:crossBetween val="midCat"/>
      </c:valAx>
      <c:valAx>
        <c:axId val="388938623"/>
        <c:scaling>
          <c:orientation val="minMax"/>
          <c:max val="-16"/>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86174511"/>
        <c:crosses val="max"/>
        <c:crossBetween val="midCat"/>
      </c:valAx>
      <c:valAx>
        <c:axId val="386174511"/>
        <c:scaling>
          <c:orientation val="minMax"/>
        </c:scaling>
        <c:delete val="1"/>
        <c:axPos val="b"/>
        <c:numFmt formatCode="General" sourceLinked="1"/>
        <c:majorTickMark val="out"/>
        <c:minorTickMark val="none"/>
        <c:tickLblPos val="nextTo"/>
        <c:crossAx val="38893862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58333333333336"/>
          <c:y val="0.12962962962962962"/>
          <c:w val="0.74218044619422574"/>
          <c:h val="0.68858668708078163"/>
        </c:manualLayout>
      </c:layout>
      <c:scatterChart>
        <c:scatterStyle val="lineMarker"/>
        <c:varyColors val="0"/>
        <c:ser>
          <c:idx val="0"/>
          <c:order val="0"/>
          <c:tx>
            <c:strRef>
              <c:f>Sheet1!$C$60</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Sheet1!$B$61:$B$67</c:f>
              <c:numCache>
                <c:formatCode>General</c:formatCode>
                <c:ptCount val="7"/>
                <c:pt idx="0">
                  <c:v>2.4500000000000002</c:v>
                </c:pt>
                <c:pt idx="1">
                  <c:v>3.45</c:v>
                </c:pt>
                <c:pt idx="2">
                  <c:v>4.8499999999999996</c:v>
                </c:pt>
                <c:pt idx="3">
                  <c:v>6.55</c:v>
                </c:pt>
                <c:pt idx="4">
                  <c:v>8.25</c:v>
                </c:pt>
                <c:pt idx="5">
                  <c:v>9.9499999999999993</c:v>
                </c:pt>
                <c:pt idx="6">
                  <c:v>11.65</c:v>
                </c:pt>
              </c:numCache>
            </c:numRef>
          </c:xVal>
          <c:yVal>
            <c:numRef>
              <c:f>Sheet1!$C$61:$C$67</c:f>
              <c:numCache>
                <c:formatCode>General</c:formatCode>
                <c:ptCount val="7"/>
                <c:pt idx="0">
                  <c:v>12.25</c:v>
                </c:pt>
                <c:pt idx="1">
                  <c:v>10.59</c:v>
                </c:pt>
                <c:pt idx="2">
                  <c:v>9.58</c:v>
                </c:pt>
                <c:pt idx="3">
                  <c:v>9.67</c:v>
                </c:pt>
                <c:pt idx="4">
                  <c:v>10.65</c:v>
                </c:pt>
                <c:pt idx="5">
                  <c:v>10.87</c:v>
                </c:pt>
                <c:pt idx="6">
                  <c:v>10.11</c:v>
                </c:pt>
              </c:numCache>
            </c:numRef>
          </c:yVal>
          <c:smooth val="0"/>
          <c:extLst>
            <c:ext xmlns:c16="http://schemas.microsoft.com/office/drawing/2014/chart" uri="{C3380CC4-5D6E-409C-BE32-E72D297353CC}">
              <c16:uniqueId val="{00000000-00AA-5541-83AC-792AE257254B}"/>
            </c:ext>
          </c:extLst>
        </c:ser>
        <c:dLbls>
          <c:showLegendKey val="0"/>
          <c:showVal val="0"/>
          <c:showCatName val="0"/>
          <c:showSerName val="0"/>
          <c:showPercent val="0"/>
          <c:showBubbleSize val="0"/>
        </c:dLbls>
        <c:axId val="882478255"/>
        <c:axId val="774782991"/>
      </c:scatterChart>
      <c:scatterChart>
        <c:scatterStyle val="lineMarker"/>
        <c:varyColors val="0"/>
        <c:ser>
          <c:idx val="1"/>
          <c:order val="1"/>
          <c:tx>
            <c:strRef>
              <c:f>Sheet1!$D$60</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Sheet1!$B$61:$B$67</c:f>
              <c:numCache>
                <c:formatCode>General</c:formatCode>
                <c:ptCount val="7"/>
                <c:pt idx="0">
                  <c:v>2.4500000000000002</c:v>
                </c:pt>
                <c:pt idx="1">
                  <c:v>3.45</c:v>
                </c:pt>
                <c:pt idx="2">
                  <c:v>4.8499999999999996</c:v>
                </c:pt>
                <c:pt idx="3">
                  <c:v>6.55</c:v>
                </c:pt>
                <c:pt idx="4">
                  <c:v>8.25</c:v>
                </c:pt>
                <c:pt idx="5">
                  <c:v>9.9499999999999993</c:v>
                </c:pt>
                <c:pt idx="6">
                  <c:v>11.65</c:v>
                </c:pt>
              </c:numCache>
            </c:numRef>
          </c:xVal>
          <c:yVal>
            <c:numRef>
              <c:f>Sheet1!$D$61:$D$67</c:f>
              <c:numCache>
                <c:formatCode>General</c:formatCode>
                <c:ptCount val="7"/>
                <c:pt idx="0">
                  <c:v>-18.97</c:v>
                </c:pt>
                <c:pt idx="1">
                  <c:v>-19.309999999999999</c:v>
                </c:pt>
                <c:pt idx="2">
                  <c:v>-19.32</c:v>
                </c:pt>
                <c:pt idx="3">
                  <c:v>-19.260000000000002</c:v>
                </c:pt>
                <c:pt idx="4">
                  <c:v>-19.149999999999999</c:v>
                </c:pt>
                <c:pt idx="5">
                  <c:v>-20.18</c:v>
                </c:pt>
                <c:pt idx="6">
                  <c:v>-19.39</c:v>
                </c:pt>
              </c:numCache>
            </c:numRef>
          </c:yVal>
          <c:smooth val="0"/>
          <c:extLst>
            <c:ext xmlns:c16="http://schemas.microsoft.com/office/drawing/2014/chart" uri="{C3380CC4-5D6E-409C-BE32-E72D297353CC}">
              <c16:uniqueId val="{00000001-00AA-5541-83AC-792AE257254B}"/>
            </c:ext>
          </c:extLst>
        </c:ser>
        <c:dLbls>
          <c:showLegendKey val="0"/>
          <c:showVal val="0"/>
          <c:showCatName val="0"/>
          <c:showSerName val="0"/>
          <c:showPercent val="0"/>
          <c:showBubbleSize val="0"/>
        </c:dLbls>
        <c:axId val="869570479"/>
        <c:axId val="753105135"/>
      </c:scatterChart>
      <c:valAx>
        <c:axId val="882478255"/>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774782991"/>
        <c:crosses val="autoZero"/>
        <c:crossBetween val="midCat"/>
        <c:majorUnit val="1"/>
      </c:valAx>
      <c:valAx>
        <c:axId val="774782991"/>
        <c:scaling>
          <c:orientation val="minMax"/>
          <c:max val="13"/>
          <c:min val="8"/>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82478255"/>
        <c:crosses val="autoZero"/>
        <c:crossBetween val="midCat"/>
      </c:valAx>
      <c:valAx>
        <c:axId val="753105135"/>
        <c:scaling>
          <c:orientation val="minMax"/>
          <c:max val="-15.5"/>
          <c:min val="-20.5"/>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9570479"/>
        <c:crosses val="max"/>
        <c:crossBetween val="midCat"/>
      </c:valAx>
      <c:valAx>
        <c:axId val="869570479"/>
        <c:scaling>
          <c:orientation val="minMax"/>
        </c:scaling>
        <c:delete val="1"/>
        <c:axPos val="b"/>
        <c:numFmt formatCode="General" sourceLinked="1"/>
        <c:majorTickMark val="out"/>
        <c:minorTickMark val="none"/>
        <c:tickLblPos val="nextTo"/>
        <c:crossAx val="75310513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69444444444444"/>
          <c:y val="0.14351851851851852"/>
          <c:w val="0.76692305688911266"/>
          <c:h val="0.67342228927970826"/>
        </c:manualLayout>
      </c:layout>
      <c:scatterChart>
        <c:scatterStyle val="lineMarker"/>
        <c:varyColors val="0"/>
        <c:ser>
          <c:idx val="0"/>
          <c:order val="0"/>
          <c:tx>
            <c:strRef>
              <c:f>Sheet1!$C$69</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Sheet1!$B$70:$B$77</c:f>
              <c:numCache>
                <c:formatCode>General</c:formatCode>
                <c:ptCount val="8"/>
                <c:pt idx="0">
                  <c:v>2.58</c:v>
                </c:pt>
                <c:pt idx="1">
                  <c:v>3.74</c:v>
                </c:pt>
                <c:pt idx="2">
                  <c:v>4.9000000000000004</c:v>
                </c:pt>
                <c:pt idx="3">
                  <c:v>6.08</c:v>
                </c:pt>
                <c:pt idx="4">
                  <c:v>7.25</c:v>
                </c:pt>
                <c:pt idx="5">
                  <c:v>8.42</c:v>
                </c:pt>
                <c:pt idx="6">
                  <c:v>9.8800000000000008</c:v>
                </c:pt>
                <c:pt idx="7">
                  <c:v>11.63</c:v>
                </c:pt>
              </c:numCache>
            </c:numRef>
          </c:xVal>
          <c:yVal>
            <c:numRef>
              <c:f>Sheet1!$C$70:$C$77</c:f>
              <c:numCache>
                <c:formatCode>General</c:formatCode>
                <c:ptCount val="8"/>
                <c:pt idx="0">
                  <c:v>8.7899999999999991</c:v>
                </c:pt>
                <c:pt idx="1">
                  <c:v>7.73</c:v>
                </c:pt>
                <c:pt idx="2">
                  <c:v>8.2200000000000006</c:v>
                </c:pt>
                <c:pt idx="3">
                  <c:v>9.15</c:v>
                </c:pt>
                <c:pt idx="4">
                  <c:v>9.7200000000000006</c:v>
                </c:pt>
                <c:pt idx="5">
                  <c:v>10.93</c:v>
                </c:pt>
                <c:pt idx="6">
                  <c:v>10.39</c:v>
                </c:pt>
                <c:pt idx="7">
                  <c:v>10.77</c:v>
                </c:pt>
              </c:numCache>
            </c:numRef>
          </c:yVal>
          <c:smooth val="0"/>
          <c:extLst>
            <c:ext xmlns:c16="http://schemas.microsoft.com/office/drawing/2014/chart" uri="{C3380CC4-5D6E-409C-BE32-E72D297353CC}">
              <c16:uniqueId val="{00000000-B5F8-E044-89A6-DC8ACBFC3D44}"/>
            </c:ext>
          </c:extLst>
        </c:ser>
        <c:dLbls>
          <c:showLegendKey val="0"/>
          <c:showVal val="0"/>
          <c:showCatName val="0"/>
          <c:showSerName val="0"/>
          <c:showPercent val="0"/>
          <c:showBubbleSize val="0"/>
        </c:dLbls>
        <c:axId val="850520943"/>
        <c:axId val="864914799"/>
      </c:scatterChart>
      <c:scatterChart>
        <c:scatterStyle val="lineMarker"/>
        <c:varyColors val="0"/>
        <c:ser>
          <c:idx val="1"/>
          <c:order val="1"/>
          <c:tx>
            <c:strRef>
              <c:f>Sheet1!$D$69</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Sheet1!$B$70:$B$77</c:f>
              <c:numCache>
                <c:formatCode>General</c:formatCode>
                <c:ptCount val="8"/>
                <c:pt idx="0">
                  <c:v>2.58</c:v>
                </c:pt>
                <c:pt idx="1">
                  <c:v>3.74</c:v>
                </c:pt>
                <c:pt idx="2">
                  <c:v>4.9000000000000004</c:v>
                </c:pt>
                <c:pt idx="3">
                  <c:v>6.08</c:v>
                </c:pt>
                <c:pt idx="4">
                  <c:v>7.25</c:v>
                </c:pt>
                <c:pt idx="5">
                  <c:v>8.42</c:v>
                </c:pt>
                <c:pt idx="6">
                  <c:v>9.8800000000000008</c:v>
                </c:pt>
                <c:pt idx="7">
                  <c:v>11.63</c:v>
                </c:pt>
              </c:numCache>
            </c:numRef>
          </c:xVal>
          <c:yVal>
            <c:numRef>
              <c:f>Sheet1!$D$70:$D$77</c:f>
              <c:numCache>
                <c:formatCode>General</c:formatCode>
                <c:ptCount val="8"/>
                <c:pt idx="0">
                  <c:v>-20.07</c:v>
                </c:pt>
                <c:pt idx="1">
                  <c:v>-19.79</c:v>
                </c:pt>
                <c:pt idx="2">
                  <c:v>-19.53</c:v>
                </c:pt>
                <c:pt idx="3">
                  <c:v>-19.3</c:v>
                </c:pt>
                <c:pt idx="4">
                  <c:v>-19.149999999999999</c:v>
                </c:pt>
                <c:pt idx="5">
                  <c:v>-19.55</c:v>
                </c:pt>
                <c:pt idx="6">
                  <c:v>-20.100000000000001</c:v>
                </c:pt>
                <c:pt idx="7">
                  <c:v>-19.16</c:v>
                </c:pt>
              </c:numCache>
            </c:numRef>
          </c:yVal>
          <c:smooth val="0"/>
          <c:extLst>
            <c:ext xmlns:c16="http://schemas.microsoft.com/office/drawing/2014/chart" uri="{C3380CC4-5D6E-409C-BE32-E72D297353CC}">
              <c16:uniqueId val="{00000001-B5F8-E044-89A6-DC8ACBFC3D44}"/>
            </c:ext>
          </c:extLst>
        </c:ser>
        <c:dLbls>
          <c:showLegendKey val="0"/>
          <c:showVal val="0"/>
          <c:showCatName val="0"/>
          <c:showSerName val="0"/>
          <c:showPercent val="0"/>
          <c:showBubbleSize val="0"/>
        </c:dLbls>
        <c:axId val="887515343"/>
        <c:axId val="865839199"/>
      </c:scatterChart>
      <c:valAx>
        <c:axId val="85052094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4914799"/>
        <c:crosses val="autoZero"/>
        <c:crossBetween val="midCat"/>
        <c:majorUnit val="1"/>
      </c:valAx>
      <c:valAx>
        <c:axId val="864914799"/>
        <c:scaling>
          <c:orientation val="minMax"/>
          <c:min val="6"/>
        </c:scaling>
        <c:delete val="0"/>
        <c:axPos val="l"/>
        <c:title>
          <c:tx>
            <c:rich>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50520943"/>
        <c:crosses val="autoZero"/>
        <c:crossBetween val="midCat"/>
      </c:valAx>
      <c:valAx>
        <c:axId val="865839199"/>
        <c:scaling>
          <c:orientation val="minMax"/>
          <c:max val="-15"/>
          <c:min val="-21"/>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87515343"/>
        <c:crosses val="max"/>
        <c:crossBetween val="midCat"/>
      </c:valAx>
      <c:valAx>
        <c:axId val="887515343"/>
        <c:scaling>
          <c:orientation val="minMax"/>
        </c:scaling>
        <c:delete val="1"/>
        <c:axPos val="b"/>
        <c:numFmt formatCode="General" sourceLinked="1"/>
        <c:majorTickMark val="out"/>
        <c:minorTickMark val="none"/>
        <c:tickLblPos val="nextTo"/>
        <c:crossAx val="865839199"/>
        <c:crosses val="autoZero"/>
        <c:crossBetween val="midCat"/>
      </c:valAx>
      <c:spPr>
        <a:noFill/>
        <a:ln>
          <a:noFill/>
        </a:ln>
        <a:effectLst/>
      </c:spPr>
    </c:plotArea>
    <c:legend>
      <c:legendPos val="b"/>
      <c:layout>
        <c:manualLayout>
          <c:xMode val="edge"/>
          <c:yMode val="edge"/>
          <c:x val="0.55306496062992128"/>
          <c:y val="0.10688122175854298"/>
          <c:w val="0.3049811898512686"/>
          <c:h val="7.810294546515018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65075150700229"/>
          <c:y val="0.14814814814814814"/>
          <c:w val="0.74392903130234611"/>
          <c:h val="0.72197404212869221"/>
        </c:manualLayout>
      </c:layout>
      <c:scatterChart>
        <c:scatterStyle val="lineMarker"/>
        <c:varyColors val="0"/>
        <c:ser>
          <c:idx val="0"/>
          <c:order val="0"/>
          <c:tx>
            <c:strRef>
              <c:f>Sheet1!$C$79</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Sheet1!$B$80:$B$86</c:f>
              <c:numCache>
                <c:formatCode>General</c:formatCode>
                <c:ptCount val="7"/>
                <c:pt idx="0">
                  <c:v>2.09</c:v>
                </c:pt>
                <c:pt idx="1">
                  <c:v>3.26</c:v>
                </c:pt>
                <c:pt idx="2">
                  <c:v>4.43</c:v>
                </c:pt>
                <c:pt idx="3">
                  <c:v>5.89</c:v>
                </c:pt>
                <c:pt idx="4">
                  <c:v>7.64</c:v>
                </c:pt>
                <c:pt idx="5">
                  <c:v>9.39</c:v>
                </c:pt>
                <c:pt idx="6">
                  <c:v>11.14</c:v>
                </c:pt>
              </c:numCache>
            </c:numRef>
          </c:xVal>
          <c:yVal>
            <c:numRef>
              <c:f>Sheet1!$C$80:$C$86</c:f>
              <c:numCache>
                <c:formatCode>General</c:formatCode>
                <c:ptCount val="7"/>
                <c:pt idx="0">
                  <c:v>9.42</c:v>
                </c:pt>
                <c:pt idx="1">
                  <c:v>8.92</c:v>
                </c:pt>
                <c:pt idx="2">
                  <c:v>7.29</c:v>
                </c:pt>
                <c:pt idx="3">
                  <c:v>7.42</c:v>
                </c:pt>
                <c:pt idx="4">
                  <c:v>7.48</c:v>
                </c:pt>
                <c:pt idx="5">
                  <c:v>7.73</c:v>
                </c:pt>
                <c:pt idx="6">
                  <c:v>8.0299999999999994</c:v>
                </c:pt>
              </c:numCache>
            </c:numRef>
          </c:yVal>
          <c:smooth val="0"/>
          <c:extLst>
            <c:ext xmlns:c16="http://schemas.microsoft.com/office/drawing/2014/chart" uri="{C3380CC4-5D6E-409C-BE32-E72D297353CC}">
              <c16:uniqueId val="{00000000-D738-2D4B-86AC-78EF17002765}"/>
            </c:ext>
          </c:extLst>
        </c:ser>
        <c:dLbls>
          <c:showLegendKey val="0"/>
          <c:showVal val="0"/>
          <c:showCatName val="0"/>
          <c:showSerName val="0"/>
          <c:showPercent val="0"/>
          <c:showBubbleSize val="0"/>
        </c:dLbls>
        <c:axId val="386000159"/>
        <c:axId val="801902287"/>
      </c:scatterChart>
      <c:scatterChart>
        <c:scatterStyle val="lineMarker"/>
        <c:varyColors val="0"/>
        <c:ser>
          <c:idx val="1"/>
          <c:order val="1"/>
          <c:tx>
            <c:strRef>
              <c:f>Sheet1!$D$79</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Sheet1!$B$80:$B$86</c:f>
              <c:numCache>
                <c:formatCode>General</c:formatCode>
                <c:ptCount val="7"/>
                <c:pt idx="0">
                  <c:v>2.09</c:v>
                </c:pt>
                <c:pt idx="1">
                  <c:v>3.26</c:v>
                </c:pt>
                <c:pt idx="2">
                  <c:v>4.43</c:v>
                </c:pt>
                <c:pt idx="3">
                  <c:v>5.89</c:v>
                </c:pt>
                <c:pt idx="4">
                  <c:v>7.64</c:v>
                </c:pt>
                <c:pt idx="5">
                  <c:v>9.39</c:v>
                </c:pt>
                <c:pt idx="6">
                  <c:v>11.14</c:v>
                </c:pt>
              </c:numCache>
            </c:numRef>
          </c:xVal>
          <c:yVal>
            <c:numRef>
              <c:f>Sheet1!$D$80:$D$86</c:f>
              <c:numCache>
                <c:formatCode>General</c:formatCode>
                <c:ptCount val="7"/>
                <c:pt idx="0">
                  <c:v>-19.399999999999999</c:v>
                </c:pt>
                <c:pt idx="1">
                  <c:v>-19.72</c:v>
                </c:pt>
                <c:pt idx="2">
                  <c:v>-20.28</c:v>
                </c:pt>
                <c:pt idx="3">
                  <c:v>-19.809999999999999</c:v>
                </c:pt>
                <c:pt idx="4">
                  <c:v>-20.05</c:v>
                </c:pt>
                <c:pt idx="5">
                  <c:v>-21.07</c:v>
                </c:pt>
                <c:pt idx="6">
                  <c:v>-20.18</c:v>
                </c:pt>
              </c:numCache>
            </c:numRef>
          </c:yVal>
          <c:smooth val="0"/>
          <c:extLst>
            <c:ext xmlns:c16="http://schemas.microsoft.com/office/drawing/2014/chart" uri="{C3380CC4-5D6E-409C-BE32-E72D297353CC}">
              <c16:uniqueId val="{00000001-D738-2D4B-86AC-78EF17002765}"/>
            </c:ext>
          </c:extLst>
        </c:ser>
        <c:dLbls>
          <c:showLegendKey val="0"/>
          <c:showVal val="0"/>
          <c:showCatName val="0"/>
          <c:showSerName val="0"/>
          <c:showPercent val="0"/>
          <c:showBubbleSize val="0"/>
        </c:dLbls>
        <c:axId val="906791199"/>
        <c:axId val="393931775"/>
      </c:scatterChart>
      <c:valAx>
        <c:axId val="38600015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01902287"/>
        <c:crosses val="autoZero"/>
        <c:crossBetween val="midCat"/>
        <c:majorUnit val="1"/>
      </c:valAx>
      <c:valAx>
        <c:axId val="801902287"/>
        <c:scaling>
          <c:orientation val="minMax"/>
          <c:min val="6"/>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t>
                </a:r>
                <a:r>
                  <a:rPr lang="en-US" sz="700"/>
                  <a:t>(AIR)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86000159"/>
        <c:crosses val="autoZero"/>
        <c:crossBetween val="midCat"/>
      </c:valAx>
      <c:valAx>
        <c:axId val="393931775"/>
        <c:scaling>
          <c:orientation val="minMax"/>
          <c:max val="-18"/>
          <c:min val="-22"/>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a:t>
                </a:r>
                <a:r>
                  <a:rPr lang="en-US" sz="700"/>
                  <a:t>(VPBD)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906791199"/>
        <c:crosses val="max"/>
        <c:crossBetween val="midCat"/>
      </c:valAx>
      <c:valAx>
        <c:axId val="906791199"/>
        <c:scaling>
          <c:orientation val="minMax"/>
        </c:scaling>
        <c:delete val="1"/>
        <c:axPos val="b"/>
        <c:numFmt formatCode="General" sourceLinked="1"/>
        <c:majorTickMark val="out"/>
        <c:minorTickMark val="none"/>
        <c:tickLblPos val="nextTo"/>
        <c:crossAx val="3939317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85117407360005E-2"/>
          <c:y val="3.716452012191606E-2"/>
          <c:w val="0.88938404615193301"/>
          <c:h val="0.84635469334943125"/>
        </c:manualLayout>
      </c:layout>
      <c:scatterChart>
        <c:scatterStyle val="lineMarker"/>
        <c:varyColors val="0"/>
        <c:ser>
          <c:idx val="0"/>
          <c:order val="0"/>
          <c:tx>
            <c:strRef>
              <c:f>adult!$F$1</c:f>
              <c:strCache>
                <c:ptCount val="1"/>
                <c:pt idx="0">
                  <c:v>T13</c:v>
                </c:pt>
              </c:strCache>
            </c:strRef>
          </c:tx>
          <c:spPr>
            <a:ln w="19050" cap="rnd">
              <a:solidFill>
                <a:schemeClr val="accent1"/>
              </a:solidFill>
              <a:round/>
            </a:ln>
            <a:effectLst/>
          </c:spPr>
          <c:marker>
            <c:symbol val="triangle"/>
            <c:size val="6"/>
            <c:spPr>
              <a:noFill/>
              <a:ln w="15875">
                <a:solidFill>
                  <a:schemeClr val="accent1"/>
                </a:solidFill>
              </a:ln>
              <a:effectLst/>
            </c:spPr>
          </c:marker>
          <c:xVal>
            <c:numRef>
              <c:f>adult!$E$2:$E$70</c:f>
              <c:numCache>
                <c:formatCode>General</c:formatCode>
                <c:ptCount val="69"/>
                <c:pt idx="0">
                  <c:v>2.7</c:v>
                </c:pt>
                <c:pt idx="1">
                  <c:v>4.05</c:v>
                </c:pt>
                <c:pt idx="2">
                  <c:v>5.35</c:v>
                </c:pt>
                <c:pt idx="3">
                  <c:v>6.65</c:v>
                </c:pt>
                <c:pt idx="4">
                  <c:v>7.95</c:v>
                </c:pt>
                <c:pt idx="5">
                  <c:v>9.25</c:v>
                </c:pt>
                <c:pt idx="6">
                  <c:v>10.55</c:v>
                </c:pt>
                <c:pt idx="7">
                  <c:v>11.85</c:v>
                </c:pt>
                <c:pt idx="8">
                  <c:v>2.4500000000000002</c:v>
                </c:pt>
                <c:pt idx="9">
                  <c:v>3.5</c:v>
                </c:pt>
                <c:pt idx="10">
                  <c:v>4.7</c:v>
                </c:pt>
                <c:pt idx="11">
                  <c:v>5.9</c:v>
                </c:pt>
                <c:pt idx="12">
                  <c:v>7.1</c:v>
                </c:pt>
                <c:pt idx="13">
                  <c:v>8.3000000000000007</c:v>
                </c:pt>
                <c:pt idx="14">
                  <c:v>9.5</c:v>
                </c:pt>
                <c:pt idx="15">
                  <c:v>10.7</c:v>
                </c:pt>
                <c:pt idx="16">
                  <c:v>11.9</c:v>
                </c:pt>
                <c:pt idx="17">
                  <c:v>2.8</c:v>
                </c:pt>
                <c:pt idx="18">
                  <c:v>4.45</c:v>
                </c:pt>
                <c:pt idx="19">
                  <c:v>6.15</c:v>
                </c:pt>
                <c:pt idx="20">
                  <c:v>7.55</c:v>
                </c:pt>
                <c:pt idx="21">
                  <c:v>8.65</c:v>
                </c:pt>
                <c:pt idx="22">
                  <c:v>9.75</c:v>
                </c:pt>
                <c:pt idx="23">
                  <c:v>10.85</c:v>
                </c:pt>
                <c:pt idx="24">
                  <c:v>11.95</c:v>
                </c:pt>
                <c:pt idx="26">
                  <c:v>4.63</c:v>
                </c:pt>
                <c:pt idx="27">
                  <c:v>6.38</c:v>
                </c:pt>
                <c:pt idx="28">
                  <c:v>8.1300000000000008</c:v>
                </c:pt>
                <c:pt idx="29">
                  <c:v>10.75</c:v>
                </c:pt>
                <c:pt idx="30">
                  <c:v>3.33</c:v>
                </c:pt>
                <c:pt idx="31">
                  <c:v>4.91</c:v>
                </c:pt>
                <c:pt idx="32">
                  <c:v>6.26</c:v>
                </c:pt>
                <c:pt idx="33">
                  <c:v>7.46</c:v>
                </c:pt>
                <c:pt idx="34">
                  <c:v>8.66</c:v>
                </c:pt>
                <c:pt idx="35">
                  <c:v>9.8800000000000008</c:v>
                </c:pt>
                <c:pt idx="36">
                  <c:v>11.08</c:v>
                </c:pt>
                <c:pt idx="37">
                  <c:v>12.58</c:v>
                </c:pt>
                <c:pt idx="38">
                  <c:v>2.4</c:v>
                </c:pt>
                <c:pt idx="39">
                  <c:v>3.9</c:v>
                </c:pt>
                <c:pt idx="40">
                  <c:v>5.0999999999999996</c:v>
                </c:pt>
                <c:pt idx="41">
                  <c:v>6.3</c:v>
                </c:pt>
                <c:pt idx="42">
                  <c:v>7.5</c:v>
                </c:pt>
                <c:pt idx="43">
                  <c:v>8.6999999999999993</c:v>
                </c:pt>
                <c:pt idx="44">
                  <c:v>9.9</c:v>
                </c:pt>
                <c:pt idx="45">
                  <c:v>11.1</c:v>
                </c:pt>
                <c:pt idx="46">
                  <c:v>12.6</c:v>
                </c:pt>
                <c:pt idx="47">
                  <c:v>2.4500000000000002</c:v>
                </c:pt>
                <c:pt idx="48">
                  <c:v>3.45</c:v>
                </c:pt>
                <c:pt idx="49">
                  <c:v>4.8499999999999996</c:v>
                </c:pt>
                <c:pt idx="50">
                  <c:v>6.55</c:v>
                </c:pt>
                <c:pt idx="51">
                  <c:v>8.25</c:v>
                </c:pt>
                <c:pt idx="52">
                  <c:v>9.9499999999999993</c:v>
                </c:pt>
                <c:pt idx="53">
                  <c:v>11.65</c:v>
                </c:pt>
                <c:pt idx="54">
                  <c:v>2.58</c:v>
                </c:pt>
                <c:pt idx="55">
                  <c:v>3.74</c:v>
                </c:pt>
                <c:pt idx="56">
                  <c:v>4.9000000000000004</c:v>
                </c:pt>
                <c:pt idx="57">
                  <c:v>6.08</c:v>
                </c:pt>
                <c:pt idx="58">
                  <c:v>7.25</c:v>
                </c:pt>
                <c:pt idx="59">
                  <c:v>8.42</c:v>
                </c:pt>
                <c:pt idx="60">
                  <c:v>9.8800000000000008</c:v>
                </c:pt>
                <c:pt idx="61">
                  <c:v>11.63</c:v>
                </c:pt>
                <c:pt idx="62">
                  <c:v>2.09</c:v>
                </c:pt>
                <c:pt idx="63">
                  <c:v>3.26</c:v>
                </c:pt>
                <c:pt idx="64">
                  <c:v>4.43</c:v>
                </c:pt>
                <c:pt idx="65">
                  <c:v>5.89</c:v>
                </c:pt>
                <c:pt idx="66">
                  <c:v>7.64</c:v>
                </c:pt>
                <c:pt idx="67">
                  <c:v>9.39</c:v>
                </c:pt>
                <c:pt idx="68">
                  <c:v>11.14</c:v>
                </c:pt>
              </c:numCache>
            </c:numRef>
          </c:xVal>
          <c:yVal>
            <c:numRef>
              <c:f>adult!$F$2:$F$70</c:f>
              <c:numCache>
                <c:formatCode>General</c:formatCode>
                <c:ptCount val="69"/>
                <c:pt idx="0">
                  <c:v>9.6</c:v>
                </c:pt>
                <c:pt idx="1">
                  <c:v>8.14</c:v>
                </c:pt>
                <c:pt idx="2">
                  <c:v>7.56</c:v>
                </c:pt>
                <c:pt idx="3">
                  <c:v>7.42</c:v>
                </c:pt>
                <c:pt idx="4">
                  <c:v>7.53</c:v>
                </c:pt>
                <c:pt idx="5">
                  <c:v>8.5299999999999994</c:v>
                </c:pt>
                <c:pt idx="6">
                  <c:v>8.5</c:v>
                </c:pt>
                <c:pt idx="7">
                  <c:v>8.99</c:v>
                </c:pt>
              </c:numCache>
            </c:numRef>
          </c:yVal>
          <c:smooth val="0"/>
          <c:extLst>
            <c:ext xmlns:c16="http://schemas.microsoft.com/office/drawing/2014/chart" uri="{C3380CC4-5D6E-409C-BE32-E72D297353CC}">
              <c16:uniqueId val="{00000000-A7A0-C14B-82B7-CE4BF57B4A45}"/>
            </c:ext>
          </c:extLst>
        </c:ser>
        <c:ser>
          <c:idx val="1"/>
          <c:order val="1"/>
          <c:tx>
            <c:strRef>
              <c:f>adult!$G$1</c:f>
              <c:strCache>
                <c:ptCount val="1"/>
                <c:pt idx="0">
                  <c:v>T15</c:v>
                </c:pt>
              </c:strCache>
            </c:strRef>
          </c:tx>
          <c:spPr>
            <a:ln w="19050" cap="rnd">
              <a:solidFill>
                <a:schemeClr val="accent2"/>
              </a:solidFill>
              <a:round/>
            </a:ln>
            <a:effectLst/>
          </c:spPr>
          <c:marker>
            <c:symbol val="square"/>
            <c:size val="6"/>
            <c:spPr>
              <a:noFill/>
              <a:ln w="15875">
                <a:solidFill>
                  <a:schemeClr val="accent2"/>
                </a:solidFill>
              </a:ln>
              <a:effectLst/>
            </c:spPr>
          </c:marker>
          <c:xVal>
            <c:numRef>
              <c:f>adult!$E$2:$E$70</c:f>
              <c:numCache>
                <c:formatCode>General</c:formatCode>
                <c:ptCount val="69"/>
                <c:pt idx="0">
                  <c:v>2.7</c:v>
                </c:pt>
                <c:pt idx="1">
                  <c:v>4.05</c:v>
                </c:pt>
                <c:pt idx="2">
                  <c:v>5.35</c:v>
                </c:pt>
                <c:pt idx="3">
                  <c:v>6.65</c:v>
                </c:pt>
                <c:pt idx="4">
                  <c:v>7.95</c:v>
                </c:pt>
                <c:pt idx="5">
                  <c:v>9.25</c:v>
                </c:pt>
                <c:pt idx="6">
                  <c:v>10.55</c:v>
                </c:pt>
                <c:pt idx="7">
                  <c:v>11.85</c:v>
                </c:pt>
                <c:pt idx="8">
                  <c:v>2.4500000000000002</c:v>
                </c:pt>
                <c:pt idx="9">
                  <c:v>3.5</c:v>
                </c:pt>
                <c:pt idx="10">
                  <c:v>4.7</c:v>
                </c:pt>
                <c:pt idx="11">
                  <c:v>5.9</c:v>
                </c:pt>
                <c:pt idx="12">
                  <c:v>7.1</c:v>
                </c:pt>
                <c:pt idx="13">
                  <c:v>8.3000000000000007</c:v>
                </c:pt>
                <c:pt idx="14">
                  <c:v>9.5</c:v>
                </c:pt>
                <c:pt idx="15">
                  <c:v>10.7</c:v>
                </c:pt>
                <c:pt idx="16">
                  <c:v>11.9</c:v>
                </c:pt>
                <c:pt idx="17">
                  <c:v>2.8</c:v>
                </c:pt>
                <c:pt idx="18">
                  <c:v>4.45</c:v>
                </c:pt>
                <c:pt idx="19">
                  <c:v>6.15</c:v>
                </c:pt>
                <c:pt idx="20">
                  <c:v>7.55</c:v>
                </c:pt>
                <c:pt idx="21">
                  <c:v>8.65</c:v>
                </c:pt>
                <c:pt idx="22">
                  <c:v>9.75</c:v>
                </c:pt>
                <c:pt idx="23">
                  <c:v>10.85</c:v>
                </c:pt>
                <c:pt idx="24">
                  <c:v>11.95</c:v>
                </c:pt>
                <c:pt idx="26">
                  <c:v>4.63</c:v>
                </c:pt>
                <c:pt idx="27">
                  <c:v>6.38</c:v>
                </c:pt>
                <c:pt idx="28">
                  <c:v>8.1300000000000008</c:v>
                </c:pt>
                <c:pt idx="29">
                  <c:v>10.75</c:v>
                </c:pt>
                <c:pt idx="30">
                  <c:v>3.33</c:v>
                </c:pt>
                <c:pt idx="31">
                  <c:v>4.91</c:v>
                </c:pt>
                <c:pt idx="32">
                  <c:v>6.26</c:v>
                </c:pt>
                <c:pt idx="33">
                  <c:v>7.46</c:v>
                </c:pt>
                <c:pt idx="34">
                  <c:v>8.66</c:v>
                </c:pt>
                <c:pt idx="35">
                  <c:v>9.8800000000000008</c:v>
                </c:pt>
                <c:pt idx="36">
                  <c:v>11.08</c:v>
                </c:pt>
                <c:pt idx="37">
                  <c:v>12.58</c:v>
                </c:pt>
                <c:pt idx="38">
                  <c:v>2.4</c:v>
                </c:pt>
                <c:pt idx="39">
                  <c:v>3.9</c:v>
                </c:pt>
                <c:pt idx="40">
                  <c:v>5.0999999999999996</c:v>
                </c:pt>
                <c:pt idx="41">
                  <c:v>6.3</c:v>
                </c:pt>
                <c:pt idx="42">
                  <c:v>7.5</c:v>
                </c:pt>
                <c:pt idx="43">
                  <c:v>8.6999999999999993</c:v>
                </c:pt>
                <c:pt idx="44">
                  <c:v>9.9</c:v>
                </c:pt>
                <c:pt idx="45">
                  <c:v>11.1</c:v>
                </c:pt>
                <c:pt idx="46">
                  <c:v>12.6</c:v>
                </c:pt>
                <c:pt idx="47">
                  <c:v>2.4500000000000002</c:v>
                </c:pt>
                <c:pt idx="48">
                  <c:v>3.45</c:v>
                </c:pt>
                <c:pt idx="49">
                  <c:v>4.8499999999999996</c:v>
                </c:pt>
                <c:pt idx="50">
                  <c:v>6.55</c:v>
                </c:pt>
                <c:pt idx="51">
                  <c:v>8.25</c:v>
                </c:pt>
                <c:pt idx="52">
                  <c:v>9.9499999999999993</c:v>
                </c:pt>
                <c:pt idx="53">
                  <c:v>11.65</c:v>
                </c:pt>
                <c:pt idx="54">
                  <c:v>2.58</c:v>
                </c:pt>
                <c:pt idx="55">
                  <c:v>3.74</c:v>
                </c:pt>
                <c:pt idx="56">
                  <c:v>4.9000000000000004</c:v>
                </c:pt>
                <c:pt idx="57">
                  <c:v>6.08</c:v>
                </c:pt>
                <c:pt idx="58">
                  <c:v>7.25</c:v>
                </c:pt>
                <c:pt idx="59">
                  <c:v>8.42</c:v>
                </c:pt>
                <c:pt idx="60">
                  <c:v>9.8800000000000008</c:v>
                </c:pt>
                <c:pt idx="61">
                  <c:v>11.63</c:v>
                </c:pt>
                <c:pt idx="62">
                  <c:v>2.09</c:v>
                </c:pt>
                <c:pt idx="63">
                  <c:v>3.26</c:v>
                </c:pt>
                <c:pt idx="64">
                  <c:v>4.43</c:v>
                </c:pt>
                <c:pt idx="65">
                  <c:v>5.89</c:v>
                </c:pt>
                <c:pt idx="66">
                  <c:v>7.64</c:v>
                </c:pt>
                <c:pt idx="67">
                  <c:v>9.39</c:v>
                </c:pt>
                <c:pt idx="68">
                  <c:v>11.14</c:v>
                </c:pt>
              </c:numCache>
            </c:numRef>
          </c:xVal>
          <c:yVal>
            <c:numRef>
              <c:f>adult!$G$2:$G$70</c:f>
              <c:numCache>
                <c:formatCode>General</c:formatCode>
                <c:ptCount val="69"/>
                <c:pt idx="8">
                  <c:v>11.21</c:v>
                </c:pt>
                <c:pt idx="9">
                  <c:v>9.06</c:v>
                </c:pt>
                <c:pt idx="10">
                  <c:v>9.2799999999999994</c:v>
                </c:pt>
                <c:pt idx="11">
                  <c:v>9.36</c:v>
                </c:pt>
                <c:pt idx="12">
                  <c:v>9.4700000000000006</c:v>
                </c:pt>
                <c:pt idx="13">
                  <c:v>9.6300000000000008</c:v>
                </c:pt>
                <c:pt idx="14">
                  <c:v>10.1</c:v>
                </c:pt>
                <c:pt idx="15">
                  <c:v>10.45</c:v>
                </c:pt>
                <c:pt idx="16">
                  <c:v>10.77</c:v>
                </c:pt>
              </c:numCache>
            </c:numRef>
          </c:yVal>
          <c:smooth val="0"/>
          <c:extLst>
            <c:ext xmlns:c16="http://schemas.microsoft.com/office/drawing/2014/chart" uri="{C3380CC4-5D6E-409C-BE32-E72D297353CC}">
              <c16:uniqueId val="{00000001-A7A0-C14B-82B7-CE4BF57B4A45}"/>
            </c:ext>
          </c:extLst>
        </c:ser>
        <c:ser>
          <c:idx val="2"/>
          <c:order val="2"/>
          <c:tx>
            <c:strRef>
              <c:f>adult!$H$1</c:f>
              <c:strCache>
                <c:ptCount val="1"/>
                <c:pt idx="0">
                  <c:v>T16</c:v>
                </c:pt>
              </c:strCache>
            </c:strRef>
          </c:tx>
          <c:spPr>
            <a:ln w="19050" cap="rnd">
              <a:solidFill>
                <a:schemeClr val="accent3"/>
              </a:solidFill>
              <a:round/>
            </a:ln>
            <a:effectLst/>
          </c:spPr>
          <c:marker>
            <c:symbol val="square"/>
            <c:size val="5"/>
            <c:spPr>
              <a:solidFill>
                <a:schemeClr val="accent3"/>
              </a:solidFill>
              <a:ln w="9525">
                <a:noFill/>
              </a:ln>
              <a:effectLst/>
            </c:spPr>
          </c:marker>
          <c:xVal>
            <c:numRef>
              <c:f>adult!$E$2:$E$70</c:f>
              <c:numCache>
                <c:formatCode>General</c:formatCode>
                <c:ptCount val="69"/>
                <c:pt idx="0">
                  <c:v>2.7</c:v>
                </c:pt>
                <c:pt idx="1">
                  <c:v>4.05</c:v>
                </c:pt>
                <c:pt idx="2">
                  <c:v>5.35</c:v>
                </c:pt>
                <c:pt idx="3">
                  <c:v>6.65</c:v>
                </c:pt>
                <c:pt idx="4">
                  <c:v>7.95</c:v>
                </c:pt>
                <c:pt idx="5">
                  <c:v>9.25</c:v>
                </c:pt>
                <c:pt idx="6">
                  <c:v>10.55</c:v>
                </c:pt>
                <c:pt idx="7">
                  <c:v>11.85</c:v>
                </c:pt>
                <c:pt idx="8">
                  <c:v>2.4500000000000002</c:v>
                </c:pt>
                <c:pt idx="9">
                  <c:v>3.5</c:v>
                </c:pt>
                <c:pt idx="10">
                  <c:v>4.7</c:v>
                </c:pt>
                <c:pt idx="11">
                  <c:v>5.9</c:v>
                </c:pt>
                <c:pt idx="12">
                  <c:v>7.1</c:v>
                </c:pt>
                <c:pt idx="13">
                  <c:v>8.3000000000000007</c:v>
                </c:pt>
                <c:pt idx="14">
                  <c:v>9.5</c:v>
                </c:pt>
                <c:pt idx="15">
                  <c:v>10.7</c:v>
                </c:pt>
                <c:pt idx="16">
                  <c:v>11.9</c:v>
                </c:pt>
                <c:pt idx="17">
                  <c:v>2.8</c:v>
                </c:pt>
                <c:pt idx="18">
                  <c:v>4.45</c:v>
                </c:pt>
                <c:pt idx="19">
                  <c:v>6.15</c:v>
                </c:pt>
                <c:pt idx="20">
                  <c:v>7.55</c:v>
                </c:pt>
                <c:pt idx="21">
                  <c:v>8.65</c:v>
                </c:pt>
                <c:pt idx="22">
                  <c:v>9.75</c:v>
                </c:pt>
                <c:pt idx="23">
                  <c:v>10.85</c:v>
                </c:pt>
                <c:pt idx="24">
                  <c:v>11.95</c:v>
                </c:pt>
                <c:pt idx="26">
                  <c:v>4.63</c:v>
                </c:pt>
                <c:pt idx="27">
                  <c:v>6.38</c:v>
                </c:pt>
                <c:pt idx="28">
                  <c:v>8.1300000000000008</c:v>
                </c:pt>
                <c:pt idx="29">
                  <c:v>10.75</c:v>
                </c:pt>
                <c:pt idx="30">
                  <c:v>3.33</c:v>
                </c:pt>
                <c:pt idx="31">
                  <c:v>4.91</c:v>
                </c:pt>
                <c:pt idx="32">
                  <c:v>6.26</c:v>
                </c:pt>
                <c:pt idx="33">
                  <c:v>7.46</c:v>
                </c:pt>
                <c:pt idx="34">
                  <c:v>8.66</c:v>
                </c:pt>
                <c:pt idx="35">
                  <c:v>9.8800000000000008</c:v>
                </c:pt>
                <c:pt idx="36">
                  <c:v>11.08</c:v>
                </c:pt>
                <c:pt idx="37">
                  <c:v>12.58</c:v>
                </c:pt>
                <c:pt idx="38">
                  <c:v>2.4</c:v>
                </c:pt>
                <c:pt idx="39">
                  <c:v>3.9</c:v>
                </c:pt>
                <c:pt idx="40">
                  <c:v>5.0999999999999996</c:v>
                </c:pt>
                <c:pt idx="41">
                  <c:v>6.3</c:v>
                </c:pt>
                <c:pt idx="42">
                  <c:v>7.5</c:v>
                </c:pt>
                <c:pt idx="43">
                  <c:v>8.6999999999999993</c:v>
                </c:pt>
                <c:pt idx="44">
                  <c:v>9.9</c:v>
                </c:pt>
                <c:pt idx="45">
                  <c:v>11.1</c:v>
                </c:pt>
                <c:pt idx="46">
                  <c:v>12.6</c:v>
                </c:pt>
                <c:pt idx="47">
                  <c:v>2.4500000000000002</c:v>
                </c:pt>
                <c:pt idx="48">
                  <c:v>3.45</c:v>
                </c:pt>
                <c:pt idx="49">
                  <c:v>4.8499999999999996</c:v>
                </c:pt>
                <c:pt idx="50">
                  <c:v>6.55</c:v>
                </c:pt>
                <c:pt idx="51">
                  <c:v>8.25</c:v>
                </c:pt>
                <c:pt idx="52">
                  <c:v>9.9499999999999993</c:v>
                </c:pt>
                <c:pt idx="53">
                  <c:v>11.65</c:v>
                </c:pt>
                <c:pt idx="54">
                  <c:v>2.58</c:v>
                </c:pt>
                <c:pt idx="55">
                  <c:v>3.74</c:v>
                </c:pt>
                <c:pt idx="56">
                  <c:v>4.9000000000000004</c:v>
                </c:pt>
                <c:pt idx="57">
                  <c:v>6.08</c:v>
                </c:pt>
                <c:pt idx="58">
                  <c:v>7.25</c:v>
                </c:pt>
                <c:pt idx="59">
                  <c:v>8.42</c:v>
                </c:pt>
                <c:pt idx="60">
                  <c:v>9.8800000000000008</c:v>
                </c:pt>
                <c:pt idx="61">
                  <c:v>11.63</c:v>
                </c:pt>
                <c:pt idx="62">
                  <c:v>2.09</c:v>
                </c:pt>
                <c:pt idx="63">
                  <c:v>3.26</c:v>
                </c:pt>
                <c:pt idx="64">
                  <c:v>4.43</c:v>
                </c:pt>
                <c:pt idx="65">
                  <c:v>5.89</c:v>
                </c:pt>
                <c:pt idx="66">
                  <c:v>7.64</c:v>
                </c:pt>
                <c:pt idx="67">
                  <c:v>9.39</c:v>
                </c:pt>
                <c:pt idx="68">
                  <c:v>11.14</c:v>
                </c:pt>
              </c:numCache>
            </c:numRef>
          </c:xVal>
          <c:yVal>
            <c:numRef>
              <c:f>adult!$H$2:$H$70</c:f>
              <c:numCache>
                <c:formatCode>General</c:formatCode>
                <c:ptCount val="69"/>
                <c:pt idx="17">
                  <c:v>8.9600000000000009</c:v>
                </c:pt>
                <c:pt idx="18">
                  <c:v>8.11</c:v>
                </c:pt>
                <c:pt idx="19">
                  <c:v>8.2100000000000009</c:v>
                </c:pt>
                <c:pt idx="20">
                  <c:v>8.57</c:v>
                </c:pt>
                <c:pt idx="21">
                  <c:v>8.52</c:v>
                </c:pt>
                <c:pt idx="22">
                  <c:v>8.84</c:v>
                </c:pt>
                <c:pt idx="23">
                  <c:v>8.83</c:v>
                </c:pt>
                <c:pt idx="24">
                  <c:v>9.08</c:v>
                </c:pt>
              </c:numCache>
            </c:numRef>
          </c:yVal>
          <c:smooth val="0"/>
          <c:extLst>
            <c:ext xmlns:c16="http://schemas.microsoft.com/office/drawing/2014/chart" uri="{C3380CC4-5D6E-409C-BE32-E72D297353CC}">
              <c16:uniqueId val="{00000002-A7A0-C14B-82B7-CE4BF57B4A45}"/>
            </c:ext>
          </c:extLst>
        </c:ser>
        <c:ser>
          <c:idx val="3"/>
          <c:order val="3"/>
          <c:tx>
            <c:strRef>
              <c:f>adult!$I$1</c:f>
              <c:strCache>
                <c:ptCount val="1"/>
                <c:pt idx="0">
                  <c:v>T17</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adult!$E$2:$E$70</c:f>
              <c:numCache>
                <c:formatCode>General</c:formatCode>
                <c:ptCount val="69"/>
                <c:pt idx="0">
                  <c:v>2.7</c:v>
                </c:pt>
                <c:pt idx="1">
                  <c:v>4.05</c:v>
                </c:pt>
                <c:pt idx="2">
                  <c:v>5.35</c:v>
                </c:pt>
                <c:pt idx="3">
                  <c:v>6.65</c:v>
                </c:pt>
                <c:pt idx="4">
                  <c:v>7.95</c:v>
                </c:pt>
                <c:pt idx="5">
                  <c:v>9.25</c:v>
                </c:pt>
                <c:pt idx="6">
                  <c:v>10.55</c:v>
                </c:pt>
                <c:pt idx="7">
                  <c:v>11.85</c:v>
                </c:pt>
                <c:pt idx="8">
                  <c:v>2.4500000000000002</c:v>
                </c:pt>
                <c:pt idx="9">
                  <c:v>3.5</c:v>
                </c:pt>
                <c:pt idx="10">
                  <c:v>4.7</c:v>
                </c:pt>
                <c:pt idx="11">
                  <c:v>5.9</c:v>
                </c:pt>
                <c:pt idx="12">
                  <c:v>7.1</c:v>
                </c:pt>
                <c:pt idx="13">
                  <c:v>8.3000000000000007</c:v>
                </c:pt>
                <c:pt idx="14">
                  <c:v>9.5</c:v>
                </c:pt>
                <c:pt idx="15">
                  <c:v>10.7</c:v>
                </c:pt>
                <c:pt idx="16">
                  <c:v>11.9</c:v>
                </c:pt>
                <c:pt idx="17">
                  <c:v>2.8</c:v>
                </c:pt>
                <c:pt idx="18">
                  <c:v>4.45</c:v>
                </c:pt>
                <c:pt idx="19">
                  <c:v>6.15</c:v>
                </c:pt>
                <c:pt idx="20">
                  <c:v>7.55</c:v>
                </c:pt>
                <c:pt idx="21">
                  <c:v>8.65</c:v>
                </c:pt>
                <c:pt idx="22">
                  <c:v>9.75</c:v>
                </c:pt>
                <c:pt idx="23">
                  <c:v>10.85</c:v>
                </c:pt>
                <c:pt idx="24">
                  <c:v>11.95</c:v>
                </c:pt>
                <c:pt idx="26">
                  <c:v>4.63</c:v>
                </c:pt>
                <c:pt idx="27">
                  <c:v>6.38</c:v>
                </c:pt>
                <c:pt idx="28">
                  <c:v>8.1300000000000008</c:v>
                </c:pt>
                <c:pt idx="29">
                  <c:v>10.75</c:v>
                </c:pt>
                <c:pt idx="30">
                  <c:v>3.33</c:v>
                </c:pt>
                <c:pt idx="31">
                  <c:v>4.91</c:v>
                </c:pt>
                <c:pt idx="32">
                  <c:v>6.26</c:v>
                </c:pt>
                <c:pt idx="33">
                  <c:v>7.46</c:v>
                </c:pt>
                <c:pt idx="34">
                  <c:v>8.66</c:v>
                </c:pt>
                <c:pt idx="35">
                  <c:v>9.8800000000000008</c:v>
                </c:pt>
                <c:pt idx="36">
                  <c:v>11.08</c:v>
                </c:pt>
                <c:pt idx="37">
                  <c:v>12.58</c:v>
                </c:pt>
                <c:pt idx="38">
                  <c:v>2.4</c:v>
                </c:pt>
                <c:pt idx="39">
                  <c:v>3.9</c:v>
                </c:pt>
                <c:pt idx="40">
                  <c:v>5.0999999999999996</c:v>
                </c:pt>
                <c:pt idx="41">
                  <c:v>6.3</c:v>
                </c:pt>
                <c:pt idx="42">
                  <c:v>7.5</c:v>
                </c:pt>
                <c:pt idx="43">
                  <c:v>8.6999999999999993</c:v>
                </c:pt>
                <c:pt idx="44">
                  <c:v>9.9</c:v>
                </c:pt>
                <c:pt idx="45">
                  <c:v>11.1</c:v>
                </c:pt>
                <c:pt idx="46">
                  <c:v>12.6</c:v>
                </c:pt>
                <c:pt idx="47">
                  <c:v>2.4500000000000002</c:v>
                </c:pt>
                <c:pt idx="48">
                  <c:v>3.45</c:v>
                </c:pt>
                <c:pt idx="49">
                  <c:v>4.8499999999999996</c:v>
                </c:pt>
                <c:pt idx="50">
                  <c:v>6.55</c:v>
                </c:pt>
                <c:pt idx="51">
                  <c:v>8.25</c:v>
                </c:pt>
                <c:pt idx="52">
                  <c:v>9.9499999999999993</c:v>
                </c:pt>
                <c:pt idx="53">
                  <c:v>11.65</c:v>
                </c:pt>
                <c:pt idx="54">
                  <c:v>2.58</c:v>
                </c:pt>
                <c:pt idx="55">
                  <c:v>3.74</c:v>
                </c:pt>
                <c:pt idx="56">
                  <c:v>4.9000000000000004</c:v>
                </c:pt>
                <c:pt idx="57">
                  <c:v>6.08</c:v>
                </c:pt>
                <c:pt idx="58">
                  <c:v>7.25</c:v>
                </c:pt>
                <c:pt idx="59">
                  <c:v>8.42</c:v>
                </c:pt>
                <c:pt idx="60">
                  <c:v>9.8800000000000008</c:v>
                </c:pt>
                <c:pt idx="61">
                  <c:v>11.63</c:v>
                </c:pt>
                <c:pt idx="62">
                  <c:v>2.09</c:v>
                </c:pt>
                <c:pt idx="63">
                  <c:v>3.26</c:v>
                </c:pt>
                <c:pt idx="64">
                  <c:v>4.43</c:v>
                </c:pt>
                <c:pt idx="65">
                  <c:v>5.89</c:v>
                </c:pt>
                <c:pt idx="66">
                  <c:v>7.64</c:v>
                </c:pt>
                <c:pt idx="67">
                  <c:v>9.39</c:v>
                </c:pt>
                <c:pt idx="68">
                  <c:v>11.14</c:v>
                </c:pt>
              </c:numCache>
            </c:numRef>
          </c:xVal>
          <c:yVal>
            <c:numRef>
              <c:f>adult!$I$2:$I$70</c:f>
              <c:numCache>
                <c:formatCode>General</c:formatCode>
                <c:ptCount val="69"/>
                <c:pt idx="26">
                  <c:v>9.66</c:v>
                </c:pt>
                <c:pt idx="27">
                  <c:v>9.6300000000000008</c:v>
                </c:pt>
                <c:pt idx="28">
                  <c:v>10.130000000000001</c:v>
                </c:pt>
                <c:pt idx="29">
                  <c:v>10.32</c:v>
                </c:pt>
              </c:numCache>
            </c:numRef>
          </c:yVal>
          <c:smooth val="0"/>
          <c:extLst>
            <c:ext xmlns:c16="http://schemas.microsoft.com/office/drawing/2014/chart" uri="{C3380CC4-5D6E-409C-BE32-E72D297353CC}">
              <c16:uniqueId val="{00000003-A7A0-C14B-82B7-CE4BF57B4A45}"/>
            </c:ext>
          </c:extLst>
        </c:ser>
        <c:ser>
          <c:idx val="4"/>
          <c:order val="4"/>
          <c:tx>
            <c:strRef>
              <c:f>adult!$J$1</c:f>
              <c:strCache>
                <c:ptCount val="1"/>
                <c:pt idx="0">
                  <c:v>T18</c:v>
                </c:pt>
              </c:strCache>
            </c:strRef>
          </c:tx>
          <c:spPr>
            <a:ln w="19050" cap="rnd">
              <a:solidFill>
                <a:schemeClr val="accent5"/>
              </a:solidFill>
              <a:round/>
            </a:ln>
            <a:effectLst/>
          </c:spPr>
          <c:marker>
            <c:symbol val="plus"/>
            <c:size val="10"/>
            <c:spPr>
              <a:noFill/>
              <a:ln w="19050">
                <a:solidFill>
                  <a:schemeClr val="accent5"/>
                </a:solidFill>
              </a:ln>
              <a:effectLst/>
            </c:spPr>
          </c:marker>
          <c:xVal>
            <c:numRef>
              <c:f>adult!$E$2:$E$70</c:f>
              <c:numCache>
                <c:formatCode>General</c:formatCode>
                <c:ptCount val="69"/>
                <c:pt idx="0">
                  <c:v>2.7</c:v>
                </c:pt>
                <c:pt idx="1">
                  <c:v>4.05</c:v>
                </c:pt>
                <c:pt idx="2">
                  <c:v>5.35</c:v>
                </c:pt>
                <c:pt idx="3">
                  <c:v>6.65</c:v>
                </c:pt>
                <c:pt idx="4">
                  <c:v>7.95</c:v>
                </c:pt>
                <c:pt idx="5">
                  <c:v>9.25</c:v>
                </c:pt>
                <c:pt idx="6">
                  <c:v>10.55</c:v>
                </c:pt>
                <c:pt idx="7">
                  <c:v>11.85</c:v>
                </c:pt>
                <c:pt idx="8">
                  <c:v>2.4500000000000002</c:v>
                </c:pt>
                <c:pt idx="9">
                  <c:v>3.5</c:v>
                </c:pt>
                <c:pt idx="10">
                  <c:v>4.7</c:v>
                </c:pt>
                <c:pt idx="11">
                  <c:v>5.9</c:v>
                </c:pt>
                <c:pt idx="12">
                  <c:v>7.1</c:v>
                </c:pt>
                <c:pt idx="13">
                  <c:v>8.3000000000000007</c:v>
                </c:pt>
                <c:pt idx="14">
                  <c:v>9.5</c:v>
                </c:pt>
                <c:pt idx="15">
                  <c:v>10.7</c:v>
                </c:pt>
                <c:pt idx="16">
                  <c:v>11.9</c:v>
                </c:pt>
                <c:pt idx="17">
                  <c:v>2.8</c:v>
                </c:pt>
                <c:pt idx="18">
                  <c:v>4.45</c:v>
                </c:pt>
                <c:pt idx="19">
                  <c:v>6.15</c:v>
                </c:pt>
                <c:pt idx="20">
                  <c:v>7.55</c:v>
                </c:pt>
                <c:pt idx="21">
                  <c:v>8.65</c:v>
                </c:pt>
                <c:pt idx="22">
                  <c:v>9.75</c:v>
                </c:pt>
                <c:pt idx="23">
                  <c:v>10.85</c:v>
                </c:pt>
                <c:pt idx="24">
                  <c:v>11.95</c:v>
                </c:pt>
                <c:pt idx="26">
                  <c:v>4.63</c:v>
                </c:pt>
                <c:pt idx="27">
                  <c:v>6.38</c:v>
                </c:pt>
                <c:pt idx="28">
                  <c:v>8.1300000000000008</c:v>
                </c:pt>
                <c:pt idx="29">
                  <c:v>10.75</c:v>
                </c:pt>
                <c:pt idx="30">
                  <c:v>3.33</c:v>
                </c:pt>
                <c:pt idx="31">
                  <c:v>4.91</c:v>
                </c:pt>
                <c:pt idx="32">
                  <c:v>6.26</c:v>
                </c:pt>
                <c:pt idx="33">
                  <c:v>7.46</c:v>
                </c:pt>
                <c:pt idx="34">
                  <c:v>8.66</c:v>
                </c:pt>
                <c:pt idx="35">
                  <c:v>9.8800000000000008</c:v>
                </c:pt>
                <c:pt idx="36">
                  <c:v>11.08</c:v>
                </c:pt>
                <c:pt idx="37">
                  <c:v>12.58</c:v>
                </c:pt>
                <c:pt idx="38">
                  <c:v>2.4</c:v>
                </c:pt>
                <c:pt idx="39">
                  <c:v>3.9</c:v>
                </c:pt>
                <c:pt idx="40">
                  <c:v>5.0999999999999996</c:v>
                </c:pt>
                <c:pt idx="41">
                  <c:v>6.3</c:v>
                </c:pt>
                <c:pt idx="42">
                  <c:v>7.5</c:v>
                </c:pt>
                <c:pt idx="43">
                  <c:v>8.6999999999999993</c:v>
                </c:pt>
                <c:pt idx="44">
                  <c:v>9.9</c:v>
                </c:pt>
                <c:pt idx="45">
                  <c:v>11.1</c:v>
                </c:pt>
                <c:pt idx="46">
                  <c:v>12.6</c:v>
                </c:pt>
                <c:pt idx="47">
                  <c:v>2.4500000000000002</c:v>
                </c:pt>
                <c:pt idx="48">
                  <c:v>3.45</c:v>
                </c:pt>
                <c:pt idx="49">
                  <c:v>4.8499999999999996</c:v>
                </c:pt>
                <c:pt idx="50">
                  <c:v>6.55</c:v>
                </c:pt>
                <c:pt idx="51">
                  <c:v>8.25</c:v>
                </c:pt>
                <c:pt idx="52">
                  <c:v>9.9499999999999993</c:v>
                </c:pt>
                <c:pt idx="53">
                  <c:v>11.65</c:v>
                </c:pt>
                <c:pt idx="54">
                  <c:v>2.58</c:v>
                </c:pt>
                <c:pt idx="55">
                  <c:v>3.74</c:v>
                </c:pt>
                <c:pt idx="56">
                  <c:v>4.9000000000000004</c:v>
                </c:pt>
                <c:pt idx="57">
                  <c:v>6.08</c:v>
                </c:pt>
                <c:pt idx="58">
                  <c:v>7.25</c:v>
                </c:pt>
                <c:pt idx="59">
                  <c:v>8.42</c:v>
                </c:pt>
                <c:pt idx="60">
                  <c:v>9.8800000000000008</c:v>
                </c:pt>
                <c:pt idx="61">
                  <c:v>11.63</c:v>
                </c:pt>
                <c:pt idx="62">
                  <c:v>2.09</c:v>
                </c:pt>
                <c:pt idx="63">
                  <c:v>3.26</c:v>
                </c:pt>
                <c:pt idx="64">
                  <c:v>4.43</c:v>
                </c:pt>
                <c:pt idx="65">
                  <c:v>5.89</c:v>
                </c:pt>
                <c:pt idx="66">
                  <c:v>7.64</c:v>
                </c:pt>
                <c:pt idx="67">
                  <c:v>9.39</c:v>
                </c:pt>
                <c:pt idx="68">
                  <c:v>11.14</c:v>
                </c:pt>
              </c:numCache>
            </c:numRef>
          </c:xVal>
          <c:yVal>
            <c:numRef>
              <c:f>adult!$J$2:$J$70</c:f>
              <c:numCache>
                <c:formatCode>General</c:formatCode>
                <c:ptCount val="69"/>
                <c:pt idx="30">
                  <c:v>9.76</c:v>
                </c:pt>
                <c:pt idx="31">
                  <c:v>9.58</c:v>
                </c:pt>
                <c:pt idx="32">
                  <c:v>9.2799999999999994</c:v>
                </c:pt>
                <c:pt idx="33">
                  <c:v>9.48</c:v>
                </c:pt>
                <c:pt idx="34">
                  <c:v>9.8699999999999992</c:v>
                </c:pt>
                <c:pt idx="35">
                  <c:v>10.19</c:v>
                </c:pt>
                <c:pt idx="36">
                  <c:v>9.8000000000000007</c:v>
                </c:pt>
                <c:pt idx="37">
                  <c:v>10.18</c:v>
                </c:pt>
              </c:numCache>
            </c:numRef>
          </c:yVal>
          <c:smooth val="0"/>
          <c:extLst>
            <c:ext xmlns:c16="http://schemas.microsoft.com/office/drawing/2014/chart" uri="{C3380CC4-5D6E-409C-BE32-E72D297353CC}">
              <c16:uniqueId val="{00000004-A7A0-C14B-82B7-CE4BF57B4A45}"/>
            </c:ext>
          </c:extLst>
        </c:ser>
        <c:ser>
          <c:idx val="5"/>
          <c:order val="5"/>
          <c:tx>
            <c:strRef>
              <c:f>adult!$K$1</c:f>
              <c:strCache>
                <c:ptCount val="1"/>
                <c:pt idx="0">
                  <c:v>T19</c:v>
                </c:pt>
              </c:strCache>
            </c:strRef>
          </c:tx>
          <c:spPr>
            <a:ln w="19050" cap="rnd">
              <a:solidFill>
                <a:schemeClr val="accent6"/>
              </a:solidFill>
              <a:round/>
            </a:ln>
            <a:effectLst/>
          </c:spPr>
          <c:marker>
            <c:symbol val="triangle"/>
            <c:size val="7"/>
            <c:spPr>
              <a:solidFill>
                <a:schemeClr val="accent6"/>
              </a:solidFill>
              <a:ln w="15875">
                <a:solidFill>
                  <a:schemeClr val="accent6"/>
                </a:solidFill>
              </a:ln>
              <a:effectLst/>
            </c:spPr>
          </c:marker>
          <c:xVal>
            <c:numRef>
              <c:f>adult!$E$2:$E$70</c:f>
              <c:numCache>
                <c:formatCode>General</c:formatCode>
                <c:ptCount val="69"/>
                <c:pt idx="0">
                  <c:v>2.7</c:v>
                </c:pt>
                <c:pt idx="1">
                  <c:v>4.05</c:v>
                </c:pt>
                <c:pt idx="2">
                  <c:v>5.35</c:v>
                </c:pt>
                <c:pt idx="3">
                  <c:v>6.65</c:v>
                </c:pt>
                <c:pt idx="4">
                  <c:v>7.95</c:v>
                </c:pt>
                <c:pt idx="5">
                  <c:v>9.25</c:v>
                </c:pt>
                <c:pt idx="6">
                  <c:v>10.55</c:v>
                </c:pt>
                <c:pt idx="7">
                  <c:v>11.85</c:v>
                </c:pt>
                <c:pt idx="8">
                  <c:v>2.4500000000000002</c:v>
                </c:pt>
                <c:pt idx="9">
                  <c:v>3.5</c:v>
                </c:pt>
                <c:pt idx="10">
                  <c:v>4.7</c:v>
                </c:pt>
                <c:pt idx="11">
                  <c:v>5.9</c:v>
                </c:pt>
                <c:pt idx="12">
                  <c:v>7.1</c:v>
                </c:pt>
                <c:pt idx="13">
                  <c:v>8.3000000000000007</c:v>
                </c:pt>
                <c:pt idx="14">
                  <c:v>9.5</c:v>
                </c:pt>
                <c:pt idx="15">
                  <c:v>10.7</c:v>
                </c:pt>
                <c:pt idx="16">
                  <c:v>11.9</c:v>
                </c:pt>
                <c:pt idx="17">
                  <c:v>2.8</c:v>
                </c:pt>
                <c:pt idx="18">
                  <c:v>4.45</c:v>
                </c:pt>
                <c:pt idx="19">
                  <c:v>6.15</c:v>
                </c:pt>
                <c:pt idx="20">
                  <c:v>7.55</c:v>
                </c:pt>
                <c:pt idx="21">
                  <c:v>8.65</c:v>
                </c:pt>
                <c:pt idx="22">
                  <c:v>9.75</c:v>
                </c:pt>
                <c:pt idx="23">
                  <c:v>10.85</c:v>
                </c:pt>
                <c:pt idx="24">
                  <c:v>11.95</c:v>
                </c:pt>
                <c:pt idx="26">
                  <c:v>4.63</c:v>
                </c:pt>
                <c:pt idx="27">
                  <c:v>6.38</c:v>
                </c:pt>
                <c:pt idx="28">
                  <c:v>8.1300000000000008</c:v>
                </c:pt>
                <c:pt idx="29">
                  <c:v>10.75</c:v>
                </c:pt>
                <c:pt idx="30">
                  <c:v>3.33</c:v>
                </c:pt>
                <c:pt idx="31">
                  <c:v>4.91</c:v>
                </c:pt>
                <c:pt idx="32">
                  <c:v>6.26</c:v>
                </c:pt>
                <c:pt idx="33">
                  <c:v>7.46</c:v>
                </c:pt>
                <c:pt idx="34">
                  <c:v>8.66</c:v>
                </c:pt>
                <c:pt idx="35">
                  <c:v>9.8800000000000008</c:v>
                </c:pt>
                <c:pt idx="36">
                  <c:v>11.08</c:v>
                </c:pt>
                <c:pt idx="37">
                  <c:v>12.58</c:v>
                </c:pt>
                <c:pt idx="38">
                  <c:v>2.4</c:v>
                </c:pt>
                <c:pt idx="39">
                  <c:v>3.9</c:v>
                </c:pt>
                <c:pt idx="40">
                  <c:v>5.0999999999999996</c:v>
                </c:pt>
                <c:pt idx="41">
                  <c:v>6.3</c:v>
                </c:pt>
                <c:pt idx="42">
                  <c:v>7.5</c:v>
                </c:pt>
                <c:pt idx="43">
                  <c:v>8.6999999999999993</c:v>
                </c:pt>
                <c:pt idx="44">
                  <c:v>9.9</c:v>
                </c:pt>
                <c:pt idx="45">
                  <c:v>11.1</c:v>
                </c:pt>
                <c:pt idx="46">
                  <c:v>12.6</c:v>
                </c:pt>
                <c:pt idx="47">
                  <c:v>2.4500000000000002</c:v>
                </c:pt>
                <c:pt idx="48">
                  <c:v>3.45</c:v>
                </c:pt>
                <c:pt idx="49">
                  <c:v>4.8499999999999996</c:v>
                </c:pt>
                <c:pt idx="50">
                  <c:v>6.55</c:v>
                </c:pt>
                <c:pt idx="51">
                  <c:v>8.25</c:v>
                </c:pt>
                <c:pt idx="52">
                  <c:v>9.9499999999999993</c:v>
                </c:pt>
                <c:pt idx="53">
                  <c:v>11.65</c:v>
                </c:pt>
                <c:pt idx="54">
                  <c:v>2.58</c:v>
                </c:pt>
                <c:pt idx="55">
                  <c:v>3.74</c:v>
                </c:pt>
                <c:pt idx="56">
                  <c:v>4.9000000000000004</c:v>
                </c:pt>
                <c:pt idx="57">
                  <c:v>6.08</c:v>
                </c:pt>
                <c:pt idx="58">
                  <c:v>7.25</c:v>
                </c:pt>
                <c:pt idx="59">
                  <c:v>8.42</c:v>
                </c:pt>
                <c:pt idx="60">
                  <c:v>9.8800000000000008</c:v>
                </c:pt>
                <c:pt idx="61">
                  <c:v>11.63</c:v>
                </c:pt>
                <c:pt idx="62">
                  <c:v>2.09</c:v>
                </c:pt>
                <c:pt idx="63">
                  <c:v>3.26</c:v>
                </c:pt>
                <c:pt idx="64">
                  <c:v>4.43</c:v>
                </c:pt>
                <c:pt idx="65">
                  <c:v>5.89</c:v>
                </c:pt>
                <c:pt idx="66">
                  <c:v>7.64</c:v>
                </c:pt>
                <c:pt idx="67">
                  <c:v>9.39</c:v>
                </c:pt>
                <c:pt idx="68">
                  <c:v>11.14</c:v>
                </c:pt>
              </c:numCache>
            </c:numRef>
          </c:xVal>
          <c:yVal>
            <c:numRef>
              <c:f>adult!$K$2:$K$70</c:f>
              <c:numCache>
                <c:formatCode>General</c:formatCode>
                <c:ptCount val="69"/>
                <c:pt idx="38">
                  <c:v>10.78</c:v>
                </c:pt>
                <c:pt idx="39">
                  <c:v>10.78</c:v>
                </c:pt>
                <c:pt idx="40">
                  <c:v>10.71</c:v>
                </c:pt>
                <c:pt idx="41">
                  <c:v>10.210000000000001</c:v>
                </c:pt>
                <c:pt idx="42">
                  <c:v>10.050000000000001</c:v>
                </c:pt>
                <c:pt idx="43">
                  <c:v>10.16</c:v>
                </c:pt>
                <c:pt idx="44">
                  <c:v>10.23</c:v>
                </c:pt>
                <c:pt idx="45">
                  <c:v>10.33</c:v>
                </c:pt>
                <c:pt idx="46">
                  <c:v>10.61</c:v>
                </c:pt>
              </c:numCache>
            </c:numRef>
          </c:yVal>
          <c:smooth val="0"/>
          <c:extLst>
            <c:ext xmlns:c16="http://schemas.microsoft.com/office/drawing/2014/chart" uri="{C3380CC4-5D6E-409C-BE32-E72D297353CC}">
              <c16:uniqueId val="{00000005-A7A0-C14B-82B7-CE4BF57B4A45}"/>
            </c:ext>
          </c:extLst>
        </c:ser>
        <c:ser>
          <c:idx val="6"/>
          <c:order val="6"/>
          <c:tx>
            <c:strRef>
              <c:f>adult!$L$1</c:f>
              <c:strCache>
                <c:ptCount val="1"/>
                <c:pt idx="0">
                  <c:v>T20</c:v>
                </c:pt>
              </c:strCache>
            </c:strRef>
          </c:tx>
          <c:spPr>
            <a:ln w="19050" cap="rnd">
              <a:solidFill>
                <a:schemeClr val="accent1">
                  <a:lumMod val="60000"/>
                </a:schemeClr>
              </a:solidFill>
              <a:round/>
            </a:ln>
            <a:effectLst/>
          </c:spPr>
          <c:marker>
            <c:symbol val="circle"/>
            <c:size val="6"/>
            <c:spPr>
              <a:noFill/>
              <a:ln w="15875">
                <a:solidFill>
                  <a:schemeClr val="accent1">
                    <a:lumMod val="60000"/>
                  </a:schemeClr>
                </a:solidFill>
              </a:ln>
              <a:effectLst/>
            </c:spPr>
          </c:marker>
          <c:xVal>
            <c:numRef>
              <c:f>adult!$E$2:$E$70</c:f>
              <c:numCache>
                <c:formatCode>General</c:formatCode>
                <c:ptCount val="69"/>
                <c:pt idx="0">
                  <c:v>2.7</c:v>
                </c:pt>
                <c:pt idx="1">
                  <c:v>4.05</c:v>
                </c:pt>
                <c:pt idx="2">
                  <c:v>5.35</c:v>
                </c:pt>
                <c:pt idx="3">
                  <c:v>6.65</c:v>
                </c:pt>
                <c:pt idx="4">
                  <c:v>7.95</c:v>
                </c:pt>
                <c:pt idx="5">
                  <c:v>9.25</c:v>
                </c:pt>
                <c:pt idx="6">
                  <c:v>10.55</c:v>
                </c:pt>
                <c:pt idx="7">
                  <c:v>11.85</c:v>
                </c:pt>
                <c:pt idx="8">
                  <c:v>2.4500000000000002</c:v>
                </c:pt>
                <c:pt idx="9">
                  <c:v>3.5</c:v>
                </c:pt>
                <c:pt idx="10">
                  <c:v>4.7</c:v>
                </c:pt>
                <c:pt idx="11">
                  <c:v>5.9</c:v>
                </c:pt>
                <c:pt idx="12">
                  <c:v>7.1</c:v>
                </c:pt>
                <c:pt idx="13">
                  <c:v>8.3000000000000007</c:v>
                </c:pt>
                <c:pt idx="14">
                  <c:v>9.5</c:v>
                </c:pt>
                <c:pt idx="15">
                  <c:v>10.7</c:v>
                </c:pt>
                <c:pt idx="16">
                  <c:v>11.9</c:v>
                </c:pt>
                <c:pt idx="17">
                  <c:v>2.8</c:v>
                </c:pt>
                <c:pt idx="18">
                  <c:v>4.45</c:v>
                </c:pt>
                <c:pt idx="19">
                  <c:v>6.15</c:v>
                </c:pt>
                <c:pt idx="20">
                  <c:v>7.55</c:v>
                </c:pt>
                <c:pt idx="21">
                  <c:v>8.65</c:v>
                </c:pt>
                <c:pt idx="22">
                  <c:v>9.75</c:v>
                </c:pt>
                <c:pt idx="23">
                  <c:v>10.85</c:v>
                </c:pt>
                <c:pt idx="24">
                  <c:v>11.95</c:v>
                </c:pt>
                <c:pt idx="26">
                  <c:v>4.63</c:v>
                </c:pt>
                <c:pt idx="27">
                  <c:v>6.38</c:v>
                </c:pt>
                <c:pt idx="28">
                  <c:v>8.1300000000000008</c:v>
                </c:pt>
                <c:pt idx="29">
                  <c:v>10.75</c:v>
                </c:pt>
                <c:pt idx="30">
                  <c:v>3.33</c:v>
                </c:pt>
                <c:pt idx="31">
                  <c:v>4.91</c:v>
                </c:pt>
                <c:pt idx="32">
                  <c:v>6.26</c:v>
                </c:pt>
                <c:pt idx="33">
                  <c:v>7.46</c:v>
                </c:pt>
                <c:pt idx="34">
                  <c:v>8.66</c:v>
                </c:pt>
                <c:pt idx="35">
                  <c:v>9.8800000000000008</c:v>
                </c:pt>
                <c:pt idx="36">
                  <c:v>11.08</c:v>
                </c:pt>
                <c:pt idx="37">
                  <c:v>12.58</c:v>
                </c:pt>
                <c:pt idx="38">
                  <c:v>2.4</c:v>
                </c:pt>
                <c:pt idx="39">
                  <c:v>3.9</c:v>
                </c:pt>
                <c:pt idx="40">
                  <c:v>5.0999999999999996</c:v>
                </c:pt>
                <c:pt idx="41">
                  <c:v>6.3</c:v>
                </c:pt>
                <c:pt idx="42">
                  <c:v>7.5</c:v>
                </c:pt>
                <c:pt idx="43">
                  <c:v>8.6999999999999993</c:v>
                </c:pt>
                <c:pt idx="44">
                  <c:v>9.9</c:v>
                </c:pt>
                <c:pt idx="45">
                  <c:v>11.1</c:v>
                </c:pt>
                <c:pt idx="46">
                  <c:v>12.6</c:v>
                </c:pt>
                <c:pt idx="47">
                  <c:v>2.4500000000000002</c:v>
                </c:pt>
                <c:pt idx="48">
                  <c:v>3.45</c:v>
                </c:pt>
                <c:pt idx="49">
                  <c:v>4.8499999999999996</c:v>
                </c:pt>
                <c:pt idx="50">
                  <c:v>6.55</c:v>
                </c:pt>
                <c:pt idx="51">
                  <c:v>8.25</c:v>
                </c:pt>
                <c:pt idx="52">
                  <c:v>9.9499999999999993</c:v>
                </c:pt>
                <c:pt idx="53">
                  <c:v>11.65</c:v>
                </c:pt>
                <c:pt idx="54">
                  <c:v>2.58</c:v>
                </c:pt>
                <c:pt idx="55">
                  <c:v>3.74</c:v>
                </c:pt>
                <c:pt idx="56">
                  <c:v>4.9000000000000004</c:v>
                </c:pt>
                <c:pt idx="57">
                  <c:v>6.08</c:v>
                </c:pt>
                <c:pt idx="58">
                  <c:v>7.25</c:v>
                </c:pt>
                <c:pt idx="59">
                  <c:v>8.42</c:v>
                </c:pt>
                <c:pt idx="60">
                  <c:v>9.8800000000000008</c:v>
                </c:pt>
                <c:pt idx="61">
                  <c:v>11.63</c:v>
                </c:pt>
                <c:pt idx="62">
                  <c:v>2.09</c:v>
                </c:pt>
                <c:pt idx="63">
                  <c:v>3.26</c:v>
                </c:pt>
                <c:pt idx="64">
                  <c:v>4.43</c:v>
                </c:pt>
                <c:pt idx="65">
                  <c:v>5.89</c:v>
                </c:pt>
                <c:pt idx="66">
                  <c:v>7.64</c:v>
                </c:pt>
                <c:pt idx="67">
                  <c:v>9.39</c:v>
                </c:pt>
                <c:pt idx="68">
                  <c:v>11.14</c:v>
                </c:pt>
              </c:numCache>
            </c:numRef>
          </c:xVal>
          <c:yVal>
            <c:numRef>
              <c:f>adult!$L$2:$L$70</c:f>
              <c:numCache>
                <c:formatCode>General</c:formatCode>
                <c:ptCount val="69"/>
                <c:pt idx="47">
                  <c:v>12.25</c:v>
                </c:pt>
                <c:pt idx="48">
                  <c:v>10.59</c:v>
                </c:pt>
                <c:pt idx="49">
                  <c:v>9.58</c:v>
                </c:pt>
                <c:pt idx="50">
                  <c:v>9.67</c:v>
                </c:pt>
                <c:pt idx="51">
                  <c:v>10.65</c:v>
                </c:pt>
                <c:pt idx="52">
                  <c:v>10.87</c:v>
                </c:pt>
                <c:pt idx="53">
                  <c:v>10.11</c:v>
                </c:pt>
              </c:numCache>
            </c:numRef>
          </c:yVal>
          <c:smooth val="0"/>
          <c:extLst>
            <c:ext xmlns:c16="http://schemas.microsoft.com/office/drawing/2014/chart" uri="{C3380CC4-5D6E-409C-BE32-E72D297353CC}">
              <c16:uniqueId val="{00000006-A7A0-C14B-82B7-CE4BF57B4A45}"/>
            </c:ext>
          </c:extLst>
        </c:ser>
        <c:ser>
          <c:idx val="7"/>
          <c:order val="7"/>
          <c:tx>
            <c:strRef>
              <c:f>adult!$M$1</c:f>
              <c:strCache>
                <c:ptCount val="1"/>
                <c:pt idx="0">
                  <c:v>T21</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adult!$E$2:$E$70</c:f>
              <c:numCache>
                <c:formatCode>General</c:formatCode>
                <c:ptCount val="69"/>
                <c:pt idx="0">
                  <c:v>2.7</c:v>
                </c:pt>
                <c:pt idx="1">
                  <c:v>4.05</c:v>
                </c:pt>
                <c:pt idx="2">
                  <c:v>5.35</c:v>
                </c:pt>
                <c:pt idx="3">
                  <c:v>6.65</c:v>
                </c:pt>
                <c:pt idx="4">
                  <c:v>7.95</c:v>
                </c:pt>
                <c:pt idx="5">
                  <c:v>9.25</c:v>
                </c:pt>
                <c:pt idx="6">
                  <c:v>10.55</c:v>
                </c:pt>
                <c:pt idx="7">
                  <c:v>11.85</c:v>
                </c:pt>
                <c:pt idx="8">
                  <c:v>2.4500000000000002</c:v>
                </c:pt>
                <c:pt idx="9">
                  <c:v>3.5</c:v>
                </c:pt>
                <c:pt idx="10">
                  <c:v>4.7</c:v>
                </c:pt>
                <c:pt idx="11">
                  <c:v>5.9</c:v>
                </c:pt>
                <c:pt idx="12">
                  <c:v>7.1</c:v>
                </c:pt>
                <c:pt idx="13">
                  <c:v>8.3000000000000007</c:v>
                </c:pt>
                <c:pt idx="14">
                  <c:v>9.5</c:v>
                </c:pt>
                <c:pt idx="15">
                  <c:v>10.7</c:v>
                </c:pt>
                <c:pt idx="16">
                  <c:v>11.9</c:v>
                </c:pt>
                <c:pt idx="17">
                  <c:v>2.8</c:v>
                </c:pt>
                <c:pt idx="18">
                  <c:v>4.45</c:v>
                </c:pt>
                <c:pt idx="19">
                  <c:v>6.15</c:v>
                </c:pt>
                <c:pt idx="20">
                  <c:v>7.55</c:v>
                </c:pt>
                <c:pt idx="21">
                  <c:v>8.65</c:v>
                </c:pt>
                <c:pt idx="22">
                  <c:v>9.75</c:v>
                </c:pt>
                <c:pt idx="23">
                  <c:v>10.85</c:v>
                </c:pt>
                <c:pt idx="24">
                  <c:v>11.95</c:v>
                </c:pt>
                <c:pt idx="26">
                  <c:v>4.63</c:v>
                </c:pt>
                <c:pt idx="27">
                  <c:v>6.38</c:v>
                </c:pt>
                <c:pt idx="28">
                  <c:v>8.1300000000000008</c:v>
                </c:pt>
                <c:pt idx="29">
                  <c:v>10.75</c:v>
                </c:pt>
                <c:pt idx="30">
                  <c:v>3.33</c:v>
                </c:pt>
                <c:pt idx="31">
                  <c:v>4.91</c:v>
                </c:pt>
                <c:pt idx="32">
                  <c:v>6.26</c:v>
                </c:pt>
                <c:pt idx="33">
                  <c:v>7.46</c:v>
                </c:pt>
                <c:pt idx="34">
                  <c:v>8.66</c:v>
                </c:pt>
                <c:pt idx="35">
                  <c:v>9.8800000000000008</c:v>
                </c:pt>
                <c:pt idx="36">
                  <c:v>11.08</c:v>
                </c:pt>
                <c:pt idx="37">
                  <c:v>12.58</c:v>
                </c:pt>
                <c:pt idx="38">
                  <c:v>2.4</c:v>
                </c:pt>
                <c:pt idx="39">
                  <c:v>3.9</c:v>
                </c:pt>
                <c:pt idx="40">
                  <c:v>5.0999999999999996</c:v>
                </c:pt>
                <c:pt idx="41">
                  <c:v>6.3</c:v>
                </c:pt>
                <c:pt idx="42">
                  <c:v>7.5</c:v>
                </c:pt>
                <c:pt idx="43">
                  <c:v>8.6999999999999993</c:v>
                </c:pt>
                <c:pt idx="44">
                  <c:v>9.9</c:v>
                </c:pt>
                <c:pt idx="45">
                  <c:v>11.1</c:v>
                </c:pt>
                <c:pt idx="46">
                  <c:v>12.6</c:v>
                </c:pt>
                <c:pt idx="47">
                  <c:v>2.4500000000000002</c:v>
                </c:pt>
                <c:pt idx="48">
                  <c:v>3.45</c:v>
                </c:pt>
                <c:pt idx="49">
                  <c:v>4.8499999999999996</c:v>
                </c:pt>
                <c:pt idx="50">
                  <c:v>6.55</c:v>
                </c:pt>
                <c:pt idx="51">
                  <c:v>8.25</c:v>
                </c:pt>
                <c:pt idx="52">
                  <c:v>9.9499999999999993</c:v>
                </c:pt>
                <c:pt idx="53">
                  <c:v>11.65</c:v>
                </c:pt>
                <c:pt idx="54">
                  <c:v>2.58</c:v>
                </c:pt>
                <c:pt idx="55">
                  <c:v>3.74</c:v>
                </c:pt>
                <c:pt idx="56">
                  <c:v>4.9000000000000004</c:v>
                </c:pt>
                <c:pt idx="57">
                  <c:v>6.08</c:v>
                </c:pt>
                <c:pt idx="58">
                  <c:v>7.25</c:v>
                </c:pt>
                <c:pt idx="59">
                  <c:v>8.42</c:v>
                </c:pt>
                <c:pt idx="60">
                  <c:v>9.8800000000000008</c:v>
                </c:pt>
                <c:pt idx="61">
                  <c:v>11.63</c:v>
                </c:pt>
                <c:pt idx="62">
                  <c:v>2.09</c:v>
                </c:pt>
                <c:pt idx="63">
                  <c:v>3.26</c:v>
                </c:pt>
                <c:pt idx="64">
                  <c:v>4.43</c:v>
                </c:pt>
                <c:pt idx="65">
                  <c:v>5.89</c:v>
                </c:pt>
                <c:pt idx="66">
                  <c:v>7.64</c:v>
                </c:pt>
                <c:pt idx="67">
                  <c:v>9.39</c:v>
                </c:pt>
                <c:pt idx="68">
                  <c:v>11.14</c:v>
                </c:pt>
              </c:numCache>
            </c:numRef>
          </c:xVal>
          <c:yVal>
            <c:numRef>
              <c:f>adult!$M$2:$M$70</c:f>
              <c:numCache>
                <c:formatCode>General</c:formatCode>
                <c:ptCount val="69"/>
                <c:pt idx="54">
                  <c:v>8.7899999999999991</c:v>
                </c:pt>
                <c:pt idx="55">
                  <c:v>7.73</c:v>
                </c:pt>
                <c:pt idx="56">
                  <c:v>8.2200000000000006</c:v>
                </c:pt>
                <c:pt idx="57">
                  <c:v>9.15</c:v>
                </c:pt>
                <c:pt idx="58">
                  <c:v>9.7200000000000006</c:v>
                </c:pt>
                <c:pt idx="59">
                  <c:v>10.93</c:v>
                </c:pt>
                <c:pt idx="60">
                  <c:v>10.39</c:v>
                </c:pt>
                <c:pt idx="61">
                  <c:v>10.77</c:v>
                </c:pt>
              </c:numCache>
            </c:numRef>
          </c:yVal>
          <c:smooth val="0"/>
          <c:extLst>
            <c:ext xmlns:c16="http://schemas.microsoft.com/office/drawing/2014/chart" uri="{C3380CC4-5D6E-409C-BE32-E72D297353CC}">
              <c16:uniqueId val="{00000007-A7A0-C14B-82B7-CE4BF57B4A45}"/>
            </c:ext>
          </c:extLst>
        </c:ser>
        <c:ser>
          <c:idx val="8"/>
          <c:order val="8"/>
          <c:tx>
            <c:strRef>
              <c:f>adult!$N$1</c:f>
              <c:strCache>
                <c:ptCount val="1"/>
                <c:pt idx="0">
                  <c:v>T22</c:v>
                </c:pt>
              </c:strCache>
            </c:strRef>
          </c:tx>
          <c:spPr>
            <a:ln w="19050" cap="rnd">
              <a:solidFill>
                <a:schemeClr val="accent3">
                  <a:lumMod val="60000"/>
                </a:schemeClr>
              </a:solidFill>
              <a:round/>
            </a:ln>
            <a:effectLst/>
          </c:spPr>
          <c:marker>
            <c:symbol val="diamond"/>
            <c:size val="6"/>
            <c:spPr>
              <a:solidFill>
                <a:schemeClr val="accent3">
                  <a:lumMod val="60000"/>
                </a:schemeClr>
              </a:solidFill>
              <a:ln w="9525">
                <a:solidFill>
                  <a:schemeClr val="accent3">
                    <a:lumMod val="60000"/>
                  </a:schemeClr>
                </a:solidFill>
              </a:ln>
              <a:effectLst/>
            </c:spPr>
          </c:marker>
          <c:xVal>
            <c:numRef>
              <c:f>adult!$E$2:$E$70</c:f>
              <c:numCache>
                <c:formatCode>General</c:formatCode>
                <c:ptCount val="69"/>
                <c:pt idx="0">
                  <c:v>2.7</c:v>
                </c:pt>
                <c:pt idx="1">
                  <c:v>4.05</c:v>
                </c:pt>
                <c:pt idx="2">
                  <c:v>5.35</c:v>
                </c:pt>
                <c:pt idx="3">
                  <c:v>6.65</c:v>
                </c:pt>
                <c:pt idx="4">
                  <c:v>7.95</c:v>
                </c:pt>
                <c:pt idx="5">
                  <c:v>9.25</c:v>
                </c:pt>
                <c:pt idx="6">
                  <c:v>10.55</c:v>
                </c:pt>
                <c:pt idx="7">
                  <c:v>11.85</c:v>
                </c:pt>
                <c:pt idx="8">
                  <c:v>2.4500000000000002</c:v>
                </c:pt>
                <c:pt idx="9">
                  <c:v>3.5</c:v>
                </c:pt>
                <c:pt idx="10">
                  <c:v>4.7</c:v>
                </c:pt>
                <c:pt idx="11">
                  <c:v>5.9</c:v>
                </c:pt>
                <c:pt idx="12">
                  <c:v>7.1</c:v>
                </c:pt>
                <c:pt idx="13">
                  <c:v>8.3000000000000007</c:v>
                </c:pt>
                <c:pt idx="14">
                  <c:v>9.5</c:v>
                </c:pt>
                <c:pt idx="15">
                  <c:v>10.7</c:v>
                </c:pt>
                <c:pt idx="16">
                  <c:v>11.9</c:v>
                </c:pt>
                <c:pt idx="17">
                  <c:v>2.8</c:v>
                </c:pt>
                <c:pt idx="18">
                  <c:v>4.45</c:v>
                </c:pt>
                <c:pt idx="19">
                  <c:v>6.15</c:v>
                </c:pt>
                <c:pt idx="20">
                  <c:v>7.55</c:v>
                </c:pt>
                <c:pt idx="21">
                  <c:v>8.65</c:v>
                </c:pt>
                <c:pt idx="22">
                  <c:v>9.75</c:v>
                </c:pt>
                <c:pt idx="23">
                  <c:v>10.85</c:v>
                </c:pt>
                <c:pt idx="24">
                  <c:v>11.95</c:v>
                </c:pt>
                <c:pt idx="26">
                  <c:v>4.63</c:v>
                </c:pt>
                <c:pt idx="27">
                  <c:v>6.38</c:v>
                </c:pt>
                <c:pt idx="28">
                  <c:v>8.1300000000000008</c:v>
                </c:pt>
                <c:pt idx="29">
                  <c:v>10.75</c:v>
                </c:pt>
                <c:pt idx="30">
                  <c:v>3.33</c:v>
                </c:pt>
                <c:pt idx="31">
                  <c:v>4.91</c:v>
                </c:pt>
                <c:pt idx="32">
                  <c:v>6.26</c:v>
                </c:pt>
                <c:pt idx="33">
                  <c:v>7.46</c:v>
                </c:pt>
                <c:pt idx="34">
                  <c:v>8.66</c:v>
                </c:pt>
                <c:pt idx="35">
                  <c:v>9.8800000000000008</c:v>
                </c:pt>
                <c:pt idx="36">
                  <c:v>11.08</c:v>
                </c:pt>
                <c:pt idx="37">
                  <c:v>12.58</c:v>
                </c:pt>
                <c:pt idx="38">
                  <c:v>2.4</c:v>
                </c:pt>
                <c:pt idx="39">
                  <c:v>3.9</c:v>
                </c:pt>
                <c:pt idx="40">
                  <c:v>5.0999999999999996</c:v>
                </c:pt>
                <c:pt idx="41">
                  <c:v>6.3</c:v>
                </c:pt>
                <c:pt idx="42">
                  <c:v>7.5</c:v>
                </c:pt>
                <c:pt idx="43">
                  <c:v>8.6999999999999993</c:v>
                </c:pt>
                <c:pt idx="44">
                  <c:v>9.9</c:v>
                </c:pt>
                <c:pt idx="45">
                  <c:v>11.1</c:v>
                </c:pt>
                <c:pt idx="46">
                  <c:v>12.6</c:v>
                </c:pt>
                <c:pt idx="47">
                  <c:v>2.4500000000000002</c:v>
                </c:pt>
                <c:pt idx="48">
                  <c:v>3.45</c:v>
                </c:pt>
                <c:pt idx="49">
                  <c:v>4.8499999999999996</c:v>
                </c:pt>
                <c:pt idx="50">
                  <c:v>6.55</c:v>
                </c:pt>
                <c:pt idx="51">
                  <c:v>8.25</c:v>
                </c:pt>
                <c:pt idx="52">
                  <c:v>9.9499999999999993</c:v>
                </c:pt>
                <c:pt idx="53">
                  <c:v>11.65</c:v>
                </c:pt>
                <c:pt idx="54">
                  <c:v>2.58</c:v>
                </c:pt>
                <c:pt idx="55">
                  <c:v>3.74</c:v>
                </c:pt>
                <c:pt idx="56">
                  <c:v>4.9000000000000004</c:v>
                </c:pt>
                <c:pt idx="57">
                  <c:v>6.08</c:v>
                </c:pt>
                <c:pt idx="58">
                  <c:v>7.25</c:v>
                </c:pt>
                <c:pt idx="59">
                  <c:v>8.42</c:v>
                </c:pt>
                <c:pt idx="60">
                  <c:v>9.8800000000000008</c:v>
                </c:pt>
                <c:pt idx="61">
                  <c:v>11.63</c:v>
                </c:pt>
                <c:pt idx="62">
                  <c:v>2.09</c:v>
                </c:pt>
                <c:pt idx="63">
                  <c:v>3.26</c:v>
                </c:pt>
                <c:pt idx="64">
                  <c:v>4.43</c:v>
                </c:pt>
                <c:pt idx="65">
                  <c:v>5.89</c:v>
                </c:pt>
                <c:pt idx="66">
                  <c:v>7.64</c:v>
                </c:pt>
                <c:pt idx="67">
                  <c:v>9.39</c:v>
                </c:pt>
                <c:pt idx="68">
                  <c:v>11.14</c:v>
                </c:pt>
              </c:numCache>
            </c:numRef>
          </c:xVal>
          <c:yVal>
            <c:numRef>
              <c:f>adult!$N$2:$N$70</c:f>
              <c:numCache>
                <c:formatCode>General</c:formatCode>
                <c:ptCount val="69"/>
                <c:pt idx="62">
                  <c:v>9.42</c:v>
                </c:pt>
                <c:pt idx="63">
                  <c:v>8.92</c:v>
                </c:pt>
                <c:pt idx="64">
                  <c:v>7.29</c:v>
                </c:pt>
                <c:pt idx="65">
                  <c:v>7.42</c:v>
                </c:pt>
                <c:pt idx="66">
                  <c:v>7.48</c:v>
                </c:pt>
                <c:pt idx="67">
                  <c:v>7.73</c:v>
                </c:pt>
                <c:pt idx="68">
                  <c:v>8.0299999999999994</c:v>
                </c:pt>
              </c:numCache>
            </c:numRef>
          </c:yVal>
          <c:smooth val="0"/>
          <c:extLst>
            <c:ext xmlns:c16="http://schemas.microsoft.com/office/drawing/2014/chart" uri="{C3380CC4-5D6E-409C-BE32-E72D297353CC}">
              <c16:uniqueId val="{00000008-A7A0-C14B-82B7-CE4BF57B4A45}"/>
            </c:ext>
          </c:extLst>
        </c:ser>
        <c:dLbls>
          <c:showLegendKey val="0"/>
          <c:showVal val="0"/>
          <c:showCatName val="0"/>
          <c:showSerName val="0"/>
          <c:showPercent val="0"/>
          <c:showBubbleSize val="0"/>
        </c:dLbls>
        <c:axId val="1486663951"/>
        <c:axId val="1486258447"/>
      </c:scatterChart>
      <c:valAx>
        <c:axId val="14866639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r>
                  <a:rPr lang="en-US" baseline="0"/>
                  <a:t> in Years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258447"/>
        <c:crosses val="autoZero"/>
        <c:crossBetween val="midCat"/>
        <c:majorUnit val="1"/>
      </c:valAx>
      <c:valAx>
        <c:axId val="1486258447"/>
        <c:scaling>
          <c:orientation val="minMax"/>
          <c:min val="4"/>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sym typeface="Symbol" pitchFamily="2" charset="2"/>
                  </a:rPr>
                  <a:t></a:t>
                </a:r>
                <a:r>
                  <a:rPr lang="en-US" sz="1000" b="0" i="0" u="none" strike="noStrike" baseline="30000">
                    <a:effectLst/>
                  </a:rPr>
                  <a:t>15</a:t>
                </a:r>
                <a:r>
                  <a:rPr lang="en-US" sz="1000" b="0" i="0" u="none" strike="noStrike" baseline="0">
                    <a:effectLst/>
                  </a:rPr>
                  <a:t>N (AIR</a:t>
                </a:r>
                <a:r>
                  <a:rPr lang="en-US" sz="1000" b="0" i="0" u="none" strike="noStrike"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663951"/>
        <c:crosses val="autoZero"/>
        <c:crossBetween val="midCat"/>
      </c:valAx>
      <c:spPr>
        <a:noFill/>
        <a:ln>
          <a:noFill/>
        </a:ln>
        <a:effectLst/>
      </c:spPr>
    </c:plotArea>
    <c:legend>
      <c:legendPos val="b"/>
      <c:layout>
        <c:manualLayout>
          <c:xMode val="edge"/>
          <c:yMode val="edge"/>
          <c:x val="0.65424852621277685"/>
          <c:y val="0.54511305955963796"/>
          <c:w val="0.34424191196745862"/>
          <c:h val="0.375287401027007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4233781898913"/>
          <c:y val="5.0925925925925923E-2"/>
          <c:w val="0.76609822633920832"/>
          <c:h val="0.79105827124616523"/>
        </c:manualLayout>
      </c:layout>
      <c:scatterChart>
        <c:scatterStyle val="lineMarker"/>
        <c:varyColors val="0"/>
        <c:ser>
          <c:idx val="0"/>
          <c:order val="0"/>
          <c:tx>
            <c:strRef>
              <c:f>'T4'!$K$37</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'T4'!$J$38:$J$43</c:f>
              <c:numCache>
                <c:formatCode>General</c:formatCode>
                <c:ptCount val="6"/>
                <c:pt idx="0">
                  <c:v>0.57999999999999996</c:v>
                </c:pt>
                <c:pt idx="1">
                  <c:v>1.35</c:v>
                </c:pt>
                <c:pt idx="2">
                  <c:v>1.98</c:v>
                </c:pt>
                <c:pt idx="3">
                  <c:v>2.48</c:v>
                </c:pt>
                <c:pt idx="4">
                  <c:v>3.12</c:v>
                </c:pt>
                <c:pt idx="5">
                  <c:v>4</c:v>
                </c:pt>
              </c:numCache>
            </c:numRef>
          </c:xVal>
          <c:yVal>
            <c:numRef>
              <c:f>'T4'!$K$38:$K$43</c:f>
              <c:numCache>
                <c:formatCode>General</c:formatCode>
                <c:ptCount val="6"/>
                <c:pt idx="0">
                  <c:v>-18.47</c:v>
                </c:pt>
                <c:pt idx="1">
                  <c:v>-18.440000000000001</c:v>
                </c:pt>
                <c:pt idx="2">
                  <c:v>-18.72</c:v>
                </c:pt>
                <c:pt idx="3">
                  <c:v>-18.829999999999998</c:v>
                </c:pt>
                <c:pt idx="4">
                  <c:v>-19.079999999999998</c:v>
                </c:pt>
              </c:numCache>
            </c:numRef>
          </c:yVal>
          <c:smooth val="0"/>
          <c:extLst>
            <c:ext xmlns:c16="http://schemas.microsoft.com/office/drawing/2014/chart" uri="{C3380CC4-5D6E-409C-BE32-E72D297353CC}">
              <c16:uniqueId val="{00000000-A1DB-A347-8A0A-434CA58D385C}"/>
            </c:ext>
          </c:extLst>
        </c:ser>
        <c:ser>
          <c:idx val="1"/>
          <c:order val="1"/>
          <c:tx>
            <c:strRef>
              <c:f>'T4'!$L$37</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'T4'!$J$38:$J$43</c:f>
              <c:numCache>
                <c:formatCode>General</c:formatCode>
                <c:ptCount val="6"/>
                <c:pt idx="0">
                  <c:v>0.57999999999999996</c:v>
                </c:pt>
                <c:pt idx="1">
                  <c:v>1.35</c:v>
                </c:pt>
                <c:pt idx="2">
                  <c:v>1.98</c:v>
                </c:pt>
                <c:pt idx="3">
                  <c:v>2.48</c:v>
                </c:pt>
                <c:pt idx="4">
                  <c:v>3.12</c:v>
                </c:pt>
                <c:pt idx="5">
                  <c:v>4</c:v>
                </c:pt>
              </c:numCache>
            </c:numRef>
          </c:xVal>
          <c:yVal>
            <c:numRef>
              <c:f>'T4'!$L$38:$L$43</c:f>
              <c:numCache>
                <c:formatCode>General</c:formatCode>
                <c:ptCount val="6"/>
                <c:pt idx="5">
                  <c:v>-19.09</c:v>
                </c:pt>
              </c:numCache>
            </c:numRef>
          </c:yVal>
          <c:smooth val="0"/>
          <c:extLst>
            <c:ext xmlns:c16="http://schemas.microsoft.com/office/drawing/2014/chart" uri="{C3380CC4-5D6E-409C-BE32-E72D297353CC}">
              <c16:uniqueId val="{00000001-A1DB-A347-8A0A-434CA58D385C}"/>
            </c:ext>
          </c:extLst>
        </c:ser>
        <c:ser>
          <c:idx val="2"/>
          <c:order val="2"/>
          <c:tx>
            <c:strRef>
              <c:f>'T4'!$M$37</c:f>
              <c:strCache>
                <c:ptCount val="1"/>
                <c:pt idx="0">
                  <c:v>Femur</c:v>
                </c:pt>
              </c:strCache>
            </c:strRef>
          </c:tx>
          <c:spPr>
            <a:ln w="19050" cap="rnd">
              <a:noFill/>
              <a:round/>
            </a:ln>
            <a:effectLst/>
          </c:spPr>
          <c:marker>
            <c:symbol val="triangle"/>
            <c:size val="7"/>
            <c:spPr>
              <a:solidFill>
                <a:srgbClr val="92D050"/>
              </a:solidFill>
              <a:ln w="9525">
                <a:solidFill>
                  <a:srgbClr val="92D050"/>
                </a:solidFill>
              </a:ln>
              <a:effectLst/>
            </c:spPr>
          </c:marker>
          <c:xVal>
            <c:numRef>
              <c:f>'T4'!$J$38:$J$43</c:f>
              <c:numCache>
                <c:formatCode>General</c:formatCode>
                <c:ptCount val="6"/>
                <c:pt idx="0">
                  <c:v>0.57999999999999996</c:v>
                </c:pt>
                <c:pt idx="1">
                  <c:v>1.35</c:v>
                </c:pt>
                <c:pt idx="2">
                  <c:v>1.98</c:v>
                </c:pt>
                <c:pt idx="3">
                  <c:v>2.48</c:v>
                </c:pt>
                <c:pt idx="4">
                  <c:v>3.12</c:v>
                </c:pt>
                <c:pt idx="5">
                  <c:v>4</c:v>
                </c:pt>
              </c:numCache>
            </c:numRef>
          </c:xVal>
          <c:yVal>
            <c:numRef>
              <c:f>'T4'!$M$38:$M$43</c:f>
              <c:numCache>
                <c:formatCode>General</c:formatCode>
                <c:ptCount val="6"/>
                <c:pt idx="5">
                  <c:v>-18.57</c:v>
                </c:pt>
              </c:numCache>
            </c:numRef>
          </c:yVal>
          <c:smooth val="0"/>
          <c:extLst>
            <c:ext xmlns:c16="http://schemas.microsoft.com/office/drawing/2014/chart" uri="{C3380CC4-5D6E-409C-BE32-E72D297353CC}">
              <c16:uniqueId val="{00000002-A1DB-A347-8A0A-434CA58D385C}"/>
            </c:ext>
          </c:extLst>
        </c:ser>
        <c:dLbls>
          <c:showLegendKey val="0"/>
          <c:showVal val="0"/>
          <c:showCatName val="0"/>
          <c:showSerName val="0"/>
          <c:showPercent val="0"/>
          <c:showBubbleSize val="0"/>
        </c:dLbls>
        <c:axId val="849304895"/>
        <c:axId val="805050303"/>
      </c:scatterChart>
      <c:valAx>
        <c:axId val="849304895"/>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05050303"/>
        <c:crossesAt val="-20"/>
        <c:crossBetween val="midCat"/>
        <c:majorUnit val="0.5"/>
      </c:valAx>
      <c:valAx>
        <c:axId val="805050303"/>
        <c:scaling>
          <c:orientation val="minMax"/>
          <c:max val="-14"/>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(VPBD)</a:t>
                </a:r>
                <a:endParaRPr lang="en-CA" sz="700">
                  <a:effectLst/>
                </a:endParaRPr>
              </a:p>
            </c:rich>
          </c:tx>
          <c:layout>
            <c:manualLayout>
              <c:xMode val="edge"/>
              <c:yMode val="edge"/>
              <c:x val="1.897083234526915E-2"/>
              <c:y val="0.280261976598719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9304895"/>
        <c:crosses val="autoZero"/>
        <c:crossBetween val="midCat"/>
      </c:valAx>
      <c:spPr>
        <a:noFill/>
        <a:ln>
          <a:noFill/>
        </a:ln>
        <a:effectLst/>
      </c:spPr>
    </c:plotArea>
    <c:legend>
      <c:legendPos val="b"/>
      <c:layout>
        <c:manualLayout>
          <c:xMode val="edge"/>
          <c:yMode val="edge"/>
          <c:x val="0.45612121734033556"/>
          <c:y val="3.763779527559058E-2"/>
          <c:w val="0.45925026702761118"/>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6529125719751"/>
          <c:y val="5.8401911335280061E-2"/>
          <c:w val="0.76448079648958611"/>
          <c:h val="0.78881251883648318"/>
        </c:manualLayout>
      </c:layout>
      <c:scatterChart>
        <c:scatterStyle val="lineMarker"/>
        <c:varyColors val="0"/>
        <c:ser>
          <c:idx val="0"/>
          <c:order val="0"/>
          <c:tx>
            <c:strRef>
              <c:f>'T4'!$G$37</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'T4'!$F$38:$F$43</c:f>
              <c:numCache>
                <c:formatCode>General</c:formatCode>
                <c:ptCount val="6"/>
                <c:pt idx="0">
                  <c:v>0.57999999999999996</c:v>
                </c:pt>
                <c:pt idx="1">
                  <c:v>1.35</c:v>
                </c:pt>
                <c:pt idx="2">
                  <c:v>1.98</c:v>
                </c:pt>
                <c:pt idx="3">
                  <c:v>2.48</c:v>
                </c:pt>
                <c:pt idx="4">
                  <c:v>3.12</c:v>
                </c:pt>
                <c:pt idx="5">
                  <c:v>4</c:v>
                </c:pt>
              </c:numCache>
            </c:numRef>
          </c:xVal>
          <c:yVal>
            <c:numRef>
              <c:f>'T4'!$G$38:$G$43</c:f>
              <c:numCache>
                <c:formatCode>General</c:formatCode>
                <c:ptCount val="6"/>
                <c:pt idx="0">
                  <c:v>12.75</c:v>
                </c:pt>
                <c:pt idx="1">
                  <c:v>12.91</c:v>
                </c:pt>
                <c:pt idx="2">
                  <c:v>12.18</c:v>
                </c:pt>
                <c:pt idx="3">
                  <c:v>11.67</c:v>
                </c:pt>
                <c:pt idx="4">
                  <c:v>10.58</c:v>
                </c:pt>
              </c:numCache>
            </c:numRef>
          </c:yVal>
          <c:smooth val="0"/>
          <c:extLst>
            <c:ext xmlns:c16="http://schemas.microsoft.com/office/drawing/2014/chart" uri="{C3380CC4-5D6E-409C-BE32-E72D297353CC}">
              <c16:uniqueId val="{00000000-16F3-9D46-8B0E-3DC0F3956C43}"/>
            </c:ext>
          </c:extLst>
        </c:ser>
        <c:ser>
          <c:idx val="1"/>
          <c:order val="1"/>
          <c:tx>
            <c:strRef>
              <c:f>'T4'!$H$37</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'T4'!$F$38:$F$43</c:f>
              <c:numCache>
                <c:formatCode>General</c:formatCode>
                <c:ptCount val="6"/>
                <c:pt idx="0">
                  <c:v>0.57999999999999996</c:v>
                </c:pt>
                <c:pt idx="1">
                  <c:v>1.35</c:v>
                </c:pt>
                <c:pt idx="2">
                  <c:v>1.98</c:v>
                </c:pt>
                <c:pt idx="3">
                  <c:v>2.48</c:v>
                </c:pt>
                <c:pt idx="4">
                  <c:v>3.12</c:v>
                </c:pt>
                <c:pt idx="5">
                  <c:v>4</c:v>
                </c:pt>
              </c:numCache>
            </c:numRef>
          </c:xVal>
          <c:yVal>
            <c:numRef>
              <c:f>'T4'!$H$38:$H$43</c:f>
              <c:numCache>
                <c:formatCode>General</c:formatCode>
                <c:ptCount val="6"/>
                <c:pt idx="5">
                  <c:v>9.7799999999999994</c:v>
                </c:pt>
              </c:numCache>
            </c:numRef>
          </c:yVal>
          <c:smooth val="0"/>
          <c:extLst>
            <c:ext xmlns:c16="http://schemas.microsoft.com/office/drawing/2014/chart" uri="{C3380CC4-5D6E-409C-BE32-E72D297353CC}">
              <c16:uniqueId val="{00000001-16F3-9D46-8B0E-3DC0F3956C43}"/>
            </c:ext>
          </c:extLst>
        </c:ser>
        <c:ser>
          <c:idx val="2"/>
          <c:order val="2"/>
          <c:tx>
            <c:strRef>
              <c:f>'T4'!$I$37</c:f>
              <c:strCache>
                <c:ptCount val="1"/>
                <c:pt idx="0">
                  <c:v>Femur</c:v>
                </c:pt>
              </c:strCache>
            </c:strRef>
          </c:tx>
          <c:spPr>
            <a:ln w="19050" cap="rnd">
              <a:noFill/>
              <a:round/>
            </a:ln>
            <a:effectLst/>
          </c:spPr>
          <c:marker>
            <c:symbol val="triangle"/>
            <c:size val="7"/>
            <c:spPr>
              <a:solidFill>
                <a:srgbClr val="7030A0"/>
              </a:solidFill>
              <a:ln w="9525">
                <a:solidFill>
                  <a:srgbClr val="7030A0"/>
                </a:solidFill>
              </a:ln>
              <a:effectLst/>
            </c:spPr>
          </c:marker>
          <c:xVal>
            <c:numRef>
              <c:f>'T4'!$F$38:$F$43</c:f>
              <c:numCache>
                <c:formatCode>General</c:formatCode>
                <c:ptCount val="6"/>
                <c:pt idx="0">
                  <c:v>0.57999999999999996</c:v>
                </c:pt>
                <c:pt idx="1">
                  <c:v>1.35</c:v>
                </c:pt>
                <c:pt idx="2">
                  <c:v>1.98</c:v>
                </c:pt>
                <c:pt idx="3">
                  <c:v>2.48</c:v>
                </c:pt>
                <c:pt idx="4">
                  <c:v>3.12</c:v>
                </c:pt>
                <c:pt idx="5">
                  <c:v>4</c:v>
                </c:pt>
              </c:numCache>
            </c:numRef>
          </c:xVal>
          <c:yVal>
            <c:numRef>
              <c:f>'T4'!$I$38:$I$43</c:f>
              <c:numCache>
                <c:formatCode>General</c:formatCode>
                <c:ptCount val="6"/>
                <c:pt idx="5">
                  <c:v>11.54</c:v>
                </c:pt>
              </c:numCache>
            </c:numRef>
          </c:yVal>
          <c:smooth val="0"/>
          <c:extLst>
            <c:ext xmlns:c16="http://schemas.microsoft.com/office/drawing/2014/chart" uri="{C3380CC4-5D6E-409C-BE32-E72D297353CC}">
              <c16:uniqueId val="{00000002-16F3-9D46-8B0E-3DC0F3956C43}"/>
            </c:ext>
          </c:extLst>
        </c:ser>
        <c:dLbls>
          <c:showLegendKey val="0"/>
          <c:showVal val="0"/>
          <c:showCatName val="0"/>
          <c:showSerName val="0"/>
          <c:showPercent val="0"/>
          <c:showBubbleSize val="0"/>
        </c:dLbls>
        <c:axId val="849721359"/>
        <c:axId val="849756351"/>
      </c:scatterChart>
      <c:valAx>
        <c:axId val="84972135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9756351"/>
        <c:crosses val="autoZero"/>
        <c:crossBetween val="midCat"/>
        <c:majorUnit val="0.5"/>
      </c:valAx>
      <c:valAx>
        <c:axId val="849756351"/>
        <c:scaling>
          <c:orientation val="minMax"/>
          <c:min val="8"/>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15</a:t>
                </a:r>
                <a:r>
                  <a:rPr lang="en-US" sz="700" b="0" i="0" baseline="0">
                    <a:effectLst/>
                  </a:rPr>
                  <a:t>N</a:t>
                </a:r>
                <a:r>
                  <a:rPr lang="en-CA" sz="700" b="0" i="0" baseline="0">
                    <a:effectLst/>
                  </a:rPr>
                  <a:t> (AIR)</a:t>
                </a:r>
                <a:endParaRPr lang="en-CA" sz="700">
                  <a:effectLst/>
                </a:endParaRPr>
              </a:p>
            </c:rich>
          </c:tx>
          <c:layout>
            <c:manualLayout>
              <c:xMode val="edge"/>
              <c:yMode val="edge"/>
              <c:x val="1.7576268430486066E-2"/>
              <c:y val="0.3392821321316905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9721359"/>
        <c:crosses val="autoZero"/>
        <c:crossBetween val="midCat"/>
      </c:valAx>
      <c:spPr>
        <a:noFill/>
        <a:ln>
          <a:noFill/>
        </a:ln>
        <a:effectLst/>
      </c:spPr>
    </c:plotArea>
    <c:legend>
      <c:legendPos val="b"/>
      <c:layout>
        <c:manualLayout>
          <c:xMode val="edge"/>
          <c:yMode val="edge"/>
          <c:x val="0.53509499793739412"/>
          <c:y val="1.9119276757072035E-2"/>
          <c:w val="0.42749863534653865"/>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35186306839851"/>
          <c:y val="5.0925925925925923E-2"/>
          <c:w val="0.80511100642334221"/>
          <c:h val="0.79429244241666053"/>
        </c:manualLayout>
      </c:layout>
      <c:scatterChart>
        <c:scatterStyle val="lineMarker"/>
        <c:varyColors val="0"/>
        <c:ser>
          <c:idx val="0"/>
          <c:order val="0"/>
          <c:tx>
            <c:strRef>
              <c:f>'T4'!$F$53</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'T4'!$E$54:$E$58</c:f>
              <c:numCache>
                <c:formatCode>General</c:formatCode>
                <c:ptCount val="5"/>
                <c:pt idx="0">
                  <c:v>1.73</c:v>
                </c:pt>
                <c:pt idx="1">
                  <c:v>2.1800000000000002</c:v>
                </c:pt>
                <c:pt idx="2">
                  <c:v>2.68</c:v>
                </c:pt>
                <c:pt idx="3">
                  <c:v>3.23</c:v>
                </c:pt>
                <c:pt idx="4">
                  <c:v>8</c:v>
                </c:pt>
              </c:numCache>
            </c:numRef>
          </c:xVal>
          <c:yVal>
            <c:numRef>
              <c:f>'T4'!$F$54:$F$58</c:f>
              <c:numCache>
                <c:formatCode>General</c:formatCode>
                <c:ptCount val="5"/>
                <c:pt idx="0">
                  <c:v>12.59</c:v>
                </c:pt>
                <c:pt idx="1">
                  <c:v>12.37</c:v>
                </c:pt>
                <c:pt idx="2">
                  <c:v>12.45</c:v>
                </c:pt>
                <c:pt idx="3">
                  <c:v>12.02</c:v>
                </c:pt>
              </c:numCache>
            </c:numRef>
          </c:yVal>
          <c:smooth val="0"/>
          <c:extLst>
            <c:ext xmlns:c16="http://schemas.microsoft.com/office/drawing/2014/chart" uri="{C3380CC4-5D6E-409C-BE32-E72D297353CC}">
              <c16:uniqueId val="{00000000-A5DD-6846-ABCC-282A35BBDF18}"/>
            </c:ext>
          </c:extLst>
        </c:ser>
        <c:ser>
          <c:idx val="1"/>
          <c:order val="1"/>
          <c:tx>
            <c:strRef>
              <c:f>'T4'!$G$53</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'T4'!$E$54:$E$58</c:f>
              <c:numCache>
                <c:formatCode>General</c:formatCode>
                <c:ptCount val="5"/>
                <c:pt idx="0">
                  <c:v>1.73</c:v>
                </c:pt>
                <c:pt idx="1">
                  <c:v>2.1800000000000002</c:v>
                </c:pt>
                <c:pt idx="2">
                  <c:v>2.68</c:v>
                </c:pt>
                <c:pt idx="3">
                  <c:v>3.23</c:v>
                </c:pt>
                <c:pt idx="4">
                  <c:v>8</c:v>
                </c:pt>
              </c:numCache>
            </c:numRef>
          </c:xVal>
          <c:yVal>
            <c:numRef>
              <c:f>'T4'!$G$54:$G$58</c:f>
              <c:numCache>
                <c:formatCode>General</c:formatCode>
                <c:ptCount val="5"/>
                <c:pt idx="4">
                  <c:v>11.1</c:v>
                </c:pt>
              </c:numCache>
            </c:numRef>
          </c:yVal>
          <c:smooth val="0"/>
          <c:extLst>
            <c:ext xmlns:c16="http://schemas.microsoft.com/office/drawing/2014/chart" uri="{C3380CC4-5D6E-409C-BE32-E72D297353CC}">
              <c16:uniqueId val="{00000001-A5DD-6846-ABCC-282A35BBDF18}"/>
            </c:ext>
          </c:extLst>
        </c:ser>
        <c:ser>
          <c:idx val="2"/>
          <c:order val="2"/>
          <c:tx>
            <c:strRef>
              <c:f>'T4'!$H$53</c:f>
              <c:strCache>
                <c:ptCount val="1"/>
                <c:pt idx="0">
                  <c:v>Femur</c:v>
                </c:pt>
              </c:strCache>
            </c:strRef>
          </c:tx>
          <c:spPr>
            <a:ln w="19050" cap="rnd">
              <a:noFill/>
              <a:round/>
            </a:ln>
            <a:effectLst/>
          </c:spPr>
          <c:marker>
            <c:symbol val="triangle"/>
            <c:size val="7"/>
            <c:spPr>
              <a:solidFill>
                <a:srgbClr val="7030A0"/>
              </a:solidFill>
              <a:ln w="9525">
                <a:solidFill>
                  <a:srgbClr val="7030A0"/>
                </a:solidFill>
              </a:ln>
              <a:effectLst/>
            </c:spPr>
          </c:marker>
          <c:xVal>
            <c:numRef>
              <c:f>'T4'!$E$54:$E$58</c:f>
              <c:numCache>
                <c:formatCode>General</c:formatCode>
                <c:ptCount val="5"/>
                <c:pt idx="0">
                  <c:v>1.73</c:v>
                </c:pt>
                <c:pt idx="1">
                  <c:v>2.1800000000000002</c:v>
                </c:pt>
                <c:pt idx="2">
                  <c:v>2.68</c:v>
                </c:pt>
                <c:pt idx="3">
                  <c:v>3.23</c:v>
                </c:pt>
                <c:pt idx="4">
                  <c:v>8</c:v>
                </c:pt>
              </c:numCache>
            </c:numRef>
          </c:xVal>
          <c:yVal>
            <c:numRef>
              <c:f>'T4'!$H$54:$H$58</c:f>
              <c:numCache>
                <c:formatCode>General</c:formatCode>
                <c:ptCount val="5"/>
                <c:pt idx="4">
                  <c:v>11.07</c:v>
                </c:pt>
              </c:numCache>
            </c:numRef>
          </c:yVal>
          <c:smooth val="0"/>
          <c:extLst>
            <c:ext xmlns:c16="http://schemas.microsoft.com/office/drawing/2014/chart" uri="{C3380CC4-5D6E-409C-BE32-E72D297353CC}">
              <c16:uniqueId val="{00000002-A5DD-6846-ABCC-282A35BBDF18}"/>
            </c:ext>
          </c:extLst>
        </c:ser>
        <c:dLbls>
          <c:showLegendKey val="0"/>
          <c:showVal val="0"/>
          <c:showCatName val="0"/>
          <c:showSerName val="0"/>
          <c:showPercent val="0"/>
          <c:showBubbleSize val="0"/>
        </c:dLbls>
        <c:axId val="751591695"/>
        <c:axId val="819399279"/>
      </c:scatterChart>
      <c:valAx>
        <c:axId val="751591695"/>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19399279"/>
        <c:crosses val="autoZero"/>
        <c:crossBetween val="midCat"/>
        <c:majorUnit val="1"/>
      </c:valAx>
      <c:valAx>
        <c:axId val="819399279"/>
        <c:scaling>
          <c:orientation val="minMax"/>
          <c:min val="10.5"/>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(AIR)</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51591695"/>
        <c:crosses val="autoZero"/>
        <c:crossBetween val="midCat"/>
      </c:valAx>
      <c:spPr>
        <a:noFill/>
        <a:ln>
          <a:noFill/>
        </a:ln>
        <a:effectLst/>
      </c:spPr>
    </c:plotArea>
    <c:legend>
      <c:legendPos val="b"/>
      <c:layout>
        <c:manualLayout>
          <c:xMode val="edge"/>
          <c:yMode val="edge"/>
          <c:x val="0.45537117879668815"/>
          <c:y val="7.0045202682997978E-2"/>
          <c:w val="0.46277822610328595"/>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7309540125364"/>
          <c:y val="5.0925925925925923E-2"/>
          <c:w val="0.79954850912784581"/>
          <c:h val="0.78861961880933107"/>
        </c:manualLayout>
      </c:layout>
      <c:scatterChart>
        <c:scatterStyle val="lineMarker"/>
        <c:varyColors val="0"/>
        <c:ser>
          <c:idx val="0"/>
          <c:order val="0"/>
          <c:tx>
            <c:strRef>
              <c:f>'T4'!$J$53</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'T4'!$I$54:$I$58</c:f>
              <c:numCache>
                <c:formatCode>General</c:formatCode>
                <c:ptCount val="5"/>
                <c:pt idx="0">
                  <c:v>1.73</c:v>
                </c:pt>
                <c:pt idx="1">
                  <c:v>2.1800000000000002</c:v>
                </c:pt>
                <c:pt idx="2">
                  <c:v>2.68</c:v>
                </c:pt>
                <c:pt idx="3">
                  <c:v>3.23</c:v>
                </c:pt>
                <c:pt idx="4">
                  <c:v>8</c:v>
                </c:pt>
              </c:numCache>
            </c:numRef>
          </c:xVal>
          <c:yVal>
            <c:numRef>
              <c:f>'T4'!$J$54:$J$58</c:f>
              <c:numCache>
                <c:formatCode>General</c:formatCode>
                <c:ptCount val="5"/>
                <c:pt idx="0">
                  <c:v>-18.829999999999998</c:v>
                </c:pt>
                <c:pt idx="1">
                  <c:v>-19.25</c:v>
                </c:pt>
                <c:pt idx="2">
                  <c:v>-19.46</c:v>
                </c:pt>
                <c:pt idx="3">
                  <c:v>-19.489999999999998</c:v>
                </c:pt>
              </c:numCache>
            </c:numRef>
          </c:yVal>
          <c:smooth val="0"/>
          <c:extLst>
            <c:ext xmlns:c16="http://schemas.microsoft.com/office/drawing/2014/chart" uri="{C3380CC4-5D6E-409C-BE32-E72D297353CC}">
              <c16:uniqueId val="{00000000-4F4C-C240-B71B-CC9D87B3CC9E}"/>
            </c:ext>
          </c:extLst>
        </c:ser>
        <c:ser>
          <c:idx val="1"/>
          <c:order val="1"/>
          <c:tx>
            <c:strRef>
              <c:f>'T4'!$K$53</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'T4'!$I$54:$I$58</c:f>
              <c:numCache>
                <c:formatCode>General</c:formatCode>
                <c:ptCount val="5"/>
                <c:pt idx="0">
                  <c:v>1.73</c:v>
                </c:pt>
                <c:pt idx="1">
                  <c:v>2.1800000000000002</c:v>
                </c:pt>
                <c:pt idx="2">
                  <c:v>2.68</c:v>
                </c:pt>
                <c:pt idx="3">
                  <c:v>3.23</c:v>
                </c:pt>
                <c:pt idx="4">
                  <c:v>8</c:v>
                </c:pt>
              </c:numCache>
            </c:numRef>
          </c:xVal>
          <c:yVal>
            <c:numRef>
              <c:f>'T4'!$K$54:$K$58</c:f>
              <c:numCache>
                <c:formatCode>General</c:formatCode>
                <c:ptCount val="5"/>
                <c:pt idx="4">
                  <c:v>-19.5</c:v>
                </c:pt>
              </c:numCache>
            </c:numRef>
          </c:yVal>
          <c:smooth val="0"/>
          <c:extLst>
            <c:ext xmlns:c16="http://schemas.microsoft.com/office/drawing/2014/chart" uri="{C3380CC4-5D6E-409C-BE32-E72D297353CC}">
              <c16:uniqueId val="{00000001-4F4C-C240-B71B-CC9D87B3CC9E}"/>
            </c:ext>
          </c:extLst>
        </c:ser>
        <c:ser>
          <c:idx val="2"/>
          <c:order val="2"/>
          <c:tx>
            <c:strRef>
              <c:f>'T4'!$L$53</c:f>
              <c:strCache>
                <c:ptCount val="1"/>
                <c:pt idx="0">
                  <c:v>Femur</c:v>
                </c:pt>
              </c:strCache>
            </c:strRef>
          </c:tx>
          <c:spPr>
            <a:ln w="19050" cap="rnd">
              <a:noFill/>
              <a:round/>
            </a:ln>
            <a:effectLst/>
          </c:spPr>
          <c:marker>
            <c:symbol val="triangle"/>
            <c:size val="7"/>
            <c:spPr>
              <a:solidFill>
                <a:srgbClr val="92D050"/>
              </a:solidFill>
              <a:ln w="9525">
                <a:solidFill>
                  <a:srgbClr val="92D050"/>
                </a:solidFill>
              </a:ln>
              <a:effectLst/>
            </c:spPr>
          </c:marker>
          <c:xVal>
            <c:numRef>
              <c:f>'T4'!$I$54:$I$58</c:f>
              <c:numCache>
                <c:formatCode>General</c:formatCode>
                <c:ptCount val="5"/>
                <c:pt idx="0">
                  <c:v>1.73</c:v>
                </c:pt>
                <c:pt idx="1">
                  <c:v>2.1800000000000002</c:v>
                </c:pt>
                <c:pt idx="2">
                  <c:v>2.68</c:v>
                </c:pt>
                <c:pt idx="3">
                  <c:v>3.23</c:v>
                </c:pt>
                <c:pt idx="4">
                  <c:v>8</c:v>
                </c:pt>
              </c:numCache>
            </c:numRef>
          </c:xVal>
          <c:yVal>
            <c:numRef>
              <c:f>'T4'!$L$54:$L$58</c:f>
              <c:numCache>
                <c:formatCode>General</c:formatCode>
                <c:ptCount val="5"/>
                <c:pt idx="4">
                  <c:v>-19.690000000000001</c:v>
                </c:pt>
              </c:numCache>
            </c:numRef>
          </c:yVal>
          <c:smooth val="0"/>
          <c:extLst>
            <c:ext xmlns:c16="http://schemas.microsoft.com/office/drawing/2014/chart" uri="{C3380CC4-5D6E-409C-BE32-E72D297353CC}">
              <c16:uniqueId val="{00000002-4F4C-C240-B71B-CC9D87B3CC9E}"/>
            </c:ext>
          </c:extLst>
        </c:ser>
        <c:dLbls>
          <c:showLegendKey val="0"/>
          <c:showVal val="0"/>
          <c:showCatName val="0"/>
          <c:showSerName val="0"/>
          <c:showPercent val="0"/>
          <c:showBubbleSize val="0"/>
        </c:dLbls>
        <c:axId val="847924127"/>
        <c:axId val="777513823"/>
      </c:scatterChart>
      <c:valAx>
        <c:axId val="84792412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7513823"/>
        <c:crossesAt val="-25"/>
        <c:crossBetween val="midCat"/>
        <c:majorUnit val="1"/>
      </c:valAx>
      <c:valAx>
        <c:axId val="777513823"/>
        <c:scaling>
          <c:orientation val="minMax"/>
          <c:max val="-17.5"/>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(VPBD)</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7924127"/>
        <c:crossesAt val="-20"/>
        <c:crossBetween val="midCat"/>
        <c:majorUnit val="0.5"/>
      </c:valAx>
      <c:spPr>
        <a:noFill/>
        <a:ln>
          <a:noFill/>
        </a:ln>
        <a:effectLst/>
      </c:spPr>
    </c:plotArea>
    <c:legend>
      <c:legendPos val="b"/>
      <c:layout>
        <c:manualLayout>
          <c:xMode val="edge"/>
          <c:yMode val="edge"/>
          <c:x val="0.5153671752215514"/>
          <c:y val="7.0045202682997978E-2"/>
          <c:w val="0.42222640858197896"/>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43600985138891"/>
          <c:y val="0.11574074074074074"/>
          <c:w val="0.7878246841151022"/>
          <c:h val="0.73029303112811839"/>
        </c:manualLayout>
      </c:layout>
      <c:scatterChart>
        <c:scatterStyle val="lineMarker"/>
        <c:varyColors val="0"/>
        <c:ser>
          <c:idx val="0"/>
          <c:order val="0"/>
          <c:tx>
            <c:strRef>
              <c:f>'T4'!$J$67</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'T4'!$I$68:$I$72</c:f>
              <c:numCache>
                <c:formatCode>General</c:formatCode>
                <c:ptCount val="5"/>
                <c:pt idx="0">
                  <c:v>2.81</c:v>
                </c:pt>
                <c:pt idx="1">
                  <c:v>4.0599999999999996</c:v>
                </c:pt>
                <c:pt idx="2">
                  <c:v>4.63</c:v>
                </c:pt>
                <c:pt idx="3">
                  <c:v>5.88</c:v>
                </c:pt>
                <c:pt idx="4">
                  <c:v>7.5</c:v>
                </c:pt>
              </c:numCache>
            </c:numRef>
          </c:xVal>
          <c:yVal>
            <c:numRef>
              <c:f>'T4'!$J$68:$J$72</c:f>
              <c:numCache>
                <c:formatCode>General</c:formatCode>
                <c:ptCount val="5"/>
                <c:pt idx="0">
                  <c:v>-19.760000000000002</c:v>
                </c:pt>
                <c:pt idx="1">
                  <c:v>-19.78</c:v>
                </c:pt>
                <c:pt idx="2">
                  <c:v>-19.55</c:v>
                </c:pt>
                <c:pt idx="3">
                  <c:v>-19.489999999999998</c:v>
                </c:pt>
              </c:numCache>
            </c:numRef>
          </c:yVal>
          <c:smooth val="0"/>
          <c:extLst>
            <c:ext xmlns:c16="http://schemas.microsoft.com/office/drawing/2014/chart" uri="{C3380CC4-5D6E-409C-BE32-E72D297353CC}">
              <c16:uniqueId val="{00000000-E560-0D44-BC3F-65F26EB93177}"/>
            </c:ext>
          </c:extLst>
        </c:ser>
        <c:ser>
          <c:idx val="1"/>
          <c:order val="1"/>
          <c:tx>
            <c:strRef>
              <c:f>'T4'!$K$67</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'T4'!$I$68:$I$72</c:f>
              <c:numCache>
                <c:formatCode>General</c:formatCode>
                <c:ptCount val="5"/>
                <c:pt idx="0">
                  <c:v>2.81</c:v>
                </c:pt>
                <c:pt idx="1">
                  <c:v>4.0599999999999996</c:v>
                </c:pt>
                <c:pt idx="2">
                  <c:v>4.63</c:v>
                </c:pt>
                <c:pt idx="3">
                  <c:v>5.88</c:v>
                </c:pt>
                <c:pt idx="4">
                  <c:v>7.5</c:v>
                </c:pt>
              </c:numCache>
            </c:numRef>
          </c:xVal>
          <c:yVal>
            <c:numRef>
              <c:f>'T4'!$K$68:$K$72</c:f>
              <c:numCache>
                <c:formatCode>General</c:formatCode>
                <c:ptCount val="5"/>
                <c:pt idx="4">
                  <c:v>-19.46</c:v>
                </c:pt>
              </c:numCache>
            </c:numRef>
          </c:yVal>
          <c:smooth val="0"/>
          <c:extLst>
            <c:ext xmlns:c16="http://schemas.microsoft.com/office/drawing/2014/chart" uri="{C3380CC4-5D6E-409C-BE32-E72D297353CC}">
              <c16:uniqueId val="{00000001-E560-0D44-BC3F-65F26EB93177}"/>
            </c:ext>
          </c:extLst>
        </c:ser>
        <c:ser>
          <c:idx val="2"/>
          <c:order val="2"/>
          <c:tx>
            <c:strRef>
              <c:f>'T4'!$L$67</c:f>
              <c:strCache>
                <c:ptCount val="1"/>
                <c:pt idx="0">
                  <c:v>Femur</c:v>
                </c:pt>
              </c:strCache>
            </c:strRef>
          </c:tx>
          <c:spPr>
            <a:ln w="19050" cap="rnd">
              <a:noFill/>
              <a:round/>
            </a:ln>
            <a:effectLst/>
          </c:spPr>
          <c:marker>
            <c:symbol val="triangle"/>
            <c:size val="7"/>
            <c:spPr>
              <a:solidFill>
                <a:srgbClr val="92D050"/>
              </a:solidFill>
              <a:ln w="9525">
                <a:solidFill>
                  <a:srgbClr val="92D050"/>
                </a:solidFill>
              </a:ln>
              <a:effectLst/>
            </c:spPr>
          </c:marker>
          <c:xVal>
            <c:numRef>
              <c:f>'T4'!$I$68:$I$72</c:f>
              <c:numCache>
                <c:formatCode>General</c:formatCode>
                <c:ptCount val="5"/>
                <c:pt idx="0">
                  <c:v>2.81</c:v>
                </c:pt>
                <c:pt idx="1">
                  <c:v>4.0599999999999996</c:v>
                </c:pt>
                <c:pt idx="2">
                  <c:v>4.63</c:v>
                </c:pt>
                <c:pt idx="3">
                  <c:v>5.88</c:v>
                </c:pt>
                <c:pt idx="4">
                  <c:v>7.5</c:v>
                </c:pt>
              </c:numCache>
            </c:numRef>
          </c:xVal>
          <c:yVal>
            <c:numRef>
              <c:f>'T4'!$L$68:$L$72</c:f>
              <c:numCache>
                <c:formatCode>General</c:formatCode>
                <c:ptCount val="5"/>
                <c:pt idx="4">
                  <c:v>-19.55</c:v>
                </c:pt>
              </c:numCache>
            </c:numRef>
          </c:yVal>
          <c:smooth val="0"/>
          <c:extLst>
            <c:ext xmlns:c16="http://schemas.microsoft.com/office/drawing/2014/chart" uri="{C3380CC4-5D6E-409C-BE32-E72D297353CC}">
              <c16:uniqueId val="{00000002-E560-0D44-BC3F-65F26EB93177}"/>
            </c:ext>
          </c:extLst>
        </c:ser>
        <c:dLbls>
          <c:showLegendKey val="0"/>
          <c:showVal val="0"/>
          <c:showCatName val="0"/>
          <c:showSerName val="0"/>
          <c:showPercent val="0"/>
          <c:showBubbleSize val="0"/>
        </c:dLbls>
        <c:axId val="850285535"/>
        <c:axId val="802458911"/>
      </c:scatterChart>
      <c:valAx>
        <c:axId val="850285535"/>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02458911"/>
        <c:crossesAt val="-20"/>
        <c:crossBetween val="midCat"/>
        <c:majorUnit val="1"/>
      </c:valAx>
      <c:valAx>
        <c:axId val="802458911"/>
        <c:scaling>
          <c:orientation val="minMax"/>
          <c:max val="-18"/>
          <c:min val="-20"/>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(VPBD)</a:t>
                </a:r>
                <a:endParaRPr lang="en-CA" sz="7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700">
                    <a:solidFill>
                      <a:sysClr val="windowText" lastClr="000000">
                        <a:lumMod val="65000"/>
                        <a:lumOff val="35000"/>
                      </a:sysClr>
                    </a:solidFill>
                  </a:defRPr>
                </a:pPr>
                <a:endParaRPr lang="en-US" sz="700"/>
              </a:p>
            </c:rich>
          </c:tx>
          <c:layout>
            <c:manualLayout>
              <c:xMode val="edge"/>
              <c:yMode val="edge"/>
              <c:x val="2.1120035657876148E-4"/>
              <c:y val="0.3332282705991230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50285535"/>
        <c:crosses val="autoZero"/>
        <c:crossBetween val="midCat"/>
      </c:valAx>
      <c:spPr>
        <a:noFill/>
        <a:ln>
          <a:noFill/>
        </a:ln>
        <a:effectLst/>
      </c:spPr>
    </c:plotArea>
    <c:legend>
      <c:legendPos val="b"/>
      <c:layout>
        <c:manualLayout>
          <c:xMode val="edge"/>
          <c:yMode val="edge"/>
          <c:x val="0.47991425781286468"/>
          <c:y val="4.6897343439546692E-2"/>
          <c:w val="0.45219434887626175"/>
          <c:h val="7.810294546515018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71981627296588"/>
          <c:y val="8.2022327099993242E-2"/>
          <c:w val="0.74768525809273845"/>
          <c:h val="0.7633327400715596"/>
        </c:manualLayout>
      </c:layout>
      <c:scatterChart>
        <c:scatterStyle val="lineMarker"/>
        <c:varyColors val="0"/>
        <c:ser>
          <c:idx val="0"/>
          <c:order val="0"/>
          <c:spPr>
            <a:ln w="19050" cap="rnd">
              <a:noFill/>
              <a:round/>
            </a:ln>
            <a:effectLst/>
          </c:spPr>
          <c:marker>
            <c:symbol val="diamond"/>
            <c:size val="7"/>
            <c:spPr>
              <a:solidFill>
                <a:srgbClr val="7030A0"/>
              </a:solidFill>
              <a:ln w="9525">
                <a:solidFill>
                  <a:srgbClr val="7030A0"/>
                </a:solidFill>
              </a:ln>
              <a:effectLst/>
            </c:spPr>
          </c:marker>
          <c:xVal>
            <c:numRef>
              <c:f>Sheet4!$A$18:$A$21</c:f>
              <c:numCache>
                <c:formatCode>General</c:formatCode>
                <c:ptCount val="4"/>
                <c:pt idx="0">
                  <c:v>1.73</c:v>
                </c:pt>
                <c:pt idx="1">
                  <c:v>2.1800000000000002</c:v>
                </c:pt>
                <c:pt idx="2">
                  <c:v>2.68</c:v>
                </c:pt>
                <c:pt idx="3">
                  <c:v>3.23</c:v>
                </c:pt>
              </c:numCache>
            </c:numRef>
          </c:xVal>
          <c:yVal>
            <c:numRef>
              <c:f>Sheet4!$B$18:$B$21</c:f>
              <c:numCache>
                <c:formatCode>General</c:formatCode>
                <c:ptCount val="4"/>
                <c:pt idx="0">
                  <c:v>12.59</c:v>
                </c:pt>
                <c:pt idx="1">
                  <c:v>12.37</c:v>
                </c:pt>
                <c:pt idx="2">
                  <c:v>12.45</c:v>
                </c:pt>
                <c:pt idx="3">
                  <c:v>12.02</c:v>
                </c:pt>
              </c:numCache>
            </c:numRef>
          </c:yVal>
          <c:smooth val="0"/>
          <c:extLst>
            <c:ext xmlns:c16="http://schemas.microsoft.com/office/drawing/2014/chart" uri="{C3380CC4-5D6E-409C-BE32-E72D297353CC}">
              <c16:uniqueId val="{00000000-E615-994F-86D1-31DE9F469A28}"/>
            </c:ext>
          </c:extLst>
        </c:ser>
        <c:dLbls>
          <c:showLegendKey val="0"/>
          <c:showVal val="0"/>
          <c:showCatName val="0"/>
          <c:showSerName val="0"/>
          <c:showPercent val="0"/>
          <c:showBubbleSize val="0"/>
        </c:dLbls>
        <c:axId val="1984134943"/>
        <c:axId val="1984164127"/>
      </c:scatterChart>
      <c:scatterChart>
        <c:scatterStyle val="lineMarker"/>
        <c:varyColors val="0"/>
        <c:ser>
          <c:idx val="1"/>
          <c:order val="1"/>
          <c:spPr>
            <a:ln w="19050" cap="rnd">
              <a:noFill/>
              <a:round/>
            </a:ln>
            <a:effectLst/>
          </c:spPr>
          <c:marker>
            <c:symbol val="square"/>
            <c:size val="7"/>
            <c:spPr>
              <a:noFill/>
              <a:ln w="22225">
                <a:solidFill>
                  <a:srgbClr val="92D050"/>
                </a:solidFill>
              </a:ln>
              <a:effectLst/>
            </c:spPr>
          </c:marker>
          <c:xVal>
            <c:numRef>
              <c:f>Sheet4!$A$18:$A$21</c:f>
              <c:numCache>
                <c:formatCode>General</c:formatCode>
                <c:ptCount val="4"/>
                <c:pt idx="0">
                  <c:v>1.73</c:v>
                </c:pt>
                <c:pt idx="1">
                  <c:v>2.1800000000000002</c:v>
                </c:pt>
                <c:pt idx="2">
                  <c:v>2.68</c:v>
                </c:pt>
                <c:pt idx="3">
                  <c:v>3.23</c:v>
                </c:pt>
              </c:numCache>
            </c:numRef>
          </c:xVal>
          <c:yVal>
            <c:numRef>
              <c:f>Sheet4!$C$18:$C$21</c:f>
              <c:numCache>
                <c:formatCode>General</c:formatCode>
                <c:ptCount val="4"/>
                <c:pt idx="0">
                  <c:v>-18.829999999999998</c:v>
                </c:pt>
                <c:pt idx="1">
                  <c:v>-19.25</c:v>
                </c:pt>
                <c:pt idx="2">
                  <c:v>-19.46</c:v>
                </c:pt>
                <c:pt idx="3">
                  <c:v>-19.489999999999998</c:v>
                </c:pt>
              </c:numCache>
            </c:numRef>
          </c:yVal>
          <c:smooth val="0"/>
          <c:extLst>
            <c:ext xmlns:c16="http://schemas.microsoft.com/office/drawing/2014/chart" uri="{C3380CC4-5D6E-409C-BE32-E72D297353CC}">
              <c16:uniqueId val="{00000001-E615-994F-86D1-31DE9F469A28}"/>
            </c:ext>
          </c:extLst>
        </c:ser>
        <c:dLbls>
          <c:showLegendKey val="0"/>
          <c:showVal val="0"/>
          <c:showCatName val="0"/>
          <c:showSerName val="0"/>
          <c:showPercent val="0"/>
          <c:showBubbleSize val="0"/>
        </c:dLbls>
        <c:axId val="1938181087"/>
        <c:axId val="1981037327"/>
      </c:scatterChart>
      <c:valAx>
        <c:axId val="198413494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84164127"/>
        <c:crosses val="autoZero"/>
        <c:crossBetween val="midCat"/>
      </c:valAx>
      <c:valAx>
        <c:axId val="1984164127"/>
        <c:scaling>
          <c:orientation val="minMax"/>
          <c:max val="14"/>
          <c:min val="1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(AIR)</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84134943"/>
        <c:crosses val="autoZero"/>
        <c:crossBetween val="midCat"/>
      </c:valAx>
      <c:valAx>
        <c:axId val="1981037327"/>
        <c:scaling>
          <c:orientation val="minMax"/>
          <c:max val="-16"/>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(VPBD)</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38181087"/>
        <c:crosses val="max"/>
        <c:crossBetween val="midCat"/>
      </c:valAx>
      <c:valAx>
        <c:axId val="1938181087"/>
        <c:scaling>
          <c:orientation val="minMax"/>
        </c:scaling>
        <c:delete val="1"/>
        <c:axPos val="b"/>
        <c:numFmt formatCode="General" sourceLinked="1"/>
        <c:majorTickMark val="out"/>
        <c:minorTickMark val="none"/>
        <c:tickLblPos val="nextTo"/>
        <c:crossAx val="198103732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73810541882406"/>
          <c:y val="6.4814814814814811E-2"/>
          <c:w val="0.81078349911027547"/>
          <c:h val="0.76246728971962618"/>
        </c:manualLayout>
      </c:layout>
      <c:scatterChart>
        <c:scatterStyle val="lineMarker"/>
        <c:varyColors val="0"/>
        <c:ser>
          <c:idx val="0"/>
          <c:order val="0"/>
          <c:tx>
            <c:strRef>
              <c:f>'T4'!$F$67</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'T4'!$E$68:$E$72</c:f>
              <c:numCache>
                <c:formatCode>General</c:formatCode>
                <c:ptCount val="5"/>
                <c:pt idx="0">
                  <c:v>2.81</c:v>
                </c:pt>
                <c:pt idx="1">
                  <c:v>4.0599999999999996</c:v>
                </c:pt>
                <c:pt idx="2">
                  <c:v>4.63</c:v>
                </c:pt>
                <c:pt idx="3">
                  <c:v>5.88</c:v>
                </c:pt>
                <c:pt idx="4">
                  <c:v>7.5</c:v>
                </c:pt>
              </c:numCache>
            </c:numRef>
          </c:xVal>
          <c:yVal>
            <c:numRef>
              <c:f>'T4'!$F$68:$F$72</c:f>
              <c:numCache>
                <c:formatCode>General</c:formatCode>
                <c:ptCount val="5"/>
                <c:pt idx="0">
                  <c:v>11.42</c:v>
                </c:pt>
                <c:pt idx="1">
                  <c:v>10.57</c:v>
                </c:pt>
                <c:pt idx="2">
                  <c:v>10.41</c:v>
                </c:pt>
                <c:pt idx="3">
                  <c:v>10.33</c:v>
                </c:pt>
              </c:numCache>
            </c:numRef>
          </c:yVal>
          <c:smooth val="0"/>
          <c:extLst>
            <c:ext xmlns:c16="http://schemas.microsoft.com/office/drawing/2014/chart" uri="{C3380CC4-5D6E-409C-BE32-E72D297353CC}">
              <c16:uniqueId val="{00000000-444F-F443-9B8D-679806FF3BBC}"/>
            </c:ext>
          </c:extLst>
        </c:ser>
        <c:ser>
          <c:idx val="1"/>
          <c:order val="1"/>
          <c:tx>
            <c:strRef>
              <c:f>'T4'!$G$67</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'T4'!$E$68:$E$72</c:f>
              <c:numCache>
                <c:formatCode>General</c:formatCode>
                <c:ptCount val="5"/>
                <c:pt idx="0">
                  <c:v>2.81</c:v>
                </c:pt>
                <c:pt idx="1">
                  <c:v>4.0599999999999996</c:v>
                </c:pt>
                <c:pt idx="2">
                  <c:v>4.63</c:v>
                </c:pt>
                <c:pt idx="3">
                  <c:v>5.88</c:v>
                </c:pt>
                <c:pt idx="4">
                  <c:v>7.5</c:v>
                </c:pt>
              </c:numCache>
            </c:numRef>
          </c:xVal>
          <c:yVal>
            <c:numRef>
              <c:f>'T4'!$G$68:$G$72</c:f>
              <c:numCache>
                <c:formatCode>General</c:formatCode>
                <c:ptCount val="5"/>
                <c:pt idx="4">
                  <c:v>10.14</c:v>
                </c:pt>
              </c:numCache>
            </c:numRef>
          </c:yVal>
          <c:smooth val="0"/>
          <c:extLst>
            <c:ext xmlns:c16="http://schemas.microsoft.com/office/drawing/2014/chart" uri="{C3380CC4-5D6E-409C-BE32-E72D297353CC}">
              <c16:uniqueId val="{00000001-444F-F443-9B8D-679806FF3BBC}"/>
            </c:ext>
          </c:extLst>
        </c:ser>
        <c:ser>
          <c:idx val="2"/>
          <c:order val="2"/>
          <c:tx>
            <c:strRef>
              <c:f>'T4'!$H$67</c:f>
              <c:strCache>
                <c:ptCount val="1"/>
                <c:pt idx="0">
                  <c:v>Femur</c:v>
                </c:pt>
              </c:strCache>
            </c:strRef>
          </c:tx>
          <c:spPr>
            <a:ln w="19050" cap="rnd">
              <a:noFill/>
              <a:round/>
            </a:ln>
            <a:effectLst/>
          </c:spPr>
          <c:marker>
            <c:symbol val="triangle"/>
            <c:size val="7"/>
            <c:spPr>
              <a:solidFill>
                <a:srgbClr val="7030A0"/>
              </a:solidFill>
              <a:ln w="9525">
                <a:solidFill>
                  <a:srgbClr val="7030A0"/>
                </a:solidFill>
              </a:ln>
              <a:effectLst/>
            </c:spPr>
          </c:marker>
          <c:xVal>
            <c:numRef>
              <c:f>'T4'!$E$68:$E$72</c:f>
              <c:numCache>
                <c:formatCode>General</c:formatCode>
                <c:ptCount val="5"/>
                <c:pt idx="0">
                  <c:v>2.81</c:v>
                </c:pt>
                <c:pt idx="1">
                  <c:v>4.0599999999999996</c:v>
                </c:pt>
                <c:pt idx="2">
                  <c:v>4.63</c:v>
                </c:pt>
                <c:pt idx="3">
                  <c:v>5.88</c:v>
                </c:pt>
                <c:pt idx="4">
                  <c:v>7.5</c:v>
                </c:pt>
              </c:numCache>
            </c:numRef>
          </c:xVal>
          <c:yVal>
            <c:numRef>
              <c:f>'T4'!$H$68:$H$72</c:f>
              <c:numCache>
                <c:formatCode>General</c:formatCode>
                <c:ptCount val="5"/>
                <c:pt idx="4">
                  <c:v>10.24</c:v>
                </c:pt>
              </c:numCache>
            </c:numRef>
          </c:yVal>
          <c:smooth val="0"/>
          <c:extLst>
            <c:ext xmlns:c16="http://schemas.microsoft.com/office/drawing/2014/chart" uri="{C3380CC4-5D6E-409C-BE32-E72D297353CC}">
              <c16:uniqueId val="{00000002-444F-F443-9B8D-679806FF3BBC}"/>
            </c:ext>
          </c:extLst>
        </c:ser>
        <c:dLbls>
          <c:showLegendKey val="0"/>
          <c:showVal val="0"/>
          <c:showCatName val="0"/>
          <c:showSerName val="0"/>
          <c:showPercent val="0"/>
          <c:showBubbleSize val="0"/>
        </c:dLbls>
        <c:axId val="778638559"/>
        <c:axId val="778488431"/>
      </c:scatterChart>
      <c:valAx>
        <c:axId val="77863855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8488431"/>
        <c:crosses val="autoZero"/>
        <c:crossBetween val="midCat"/>
        <c:majorUnit val="1"/>
      </c:valAx>
      <c:valAx>
        <c:axId val="778488431"/>
        <c:scaling>
          <c:orientation val="minMax"/>
          <c:max val="12"/>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(AIR)</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8638559"/>
        <c:crosses val="autoZero"/>
        <c:crossBetween val="midCat"/>
      </c:valAx>
      <c:spPr>
        <a:noFill/>
        <a:ln>
          <a:noFill/>
        </a:ln>
        <a:effectLst/>
      </c:spPr>
    </c:plotArea>
    <c:legend>
      <c:legendPos val="b"/>
      <c:layout>
        <c:manualLayout>
          <c:xMode val="edge"/>
          <c:yMode val="edge"/>
          <c:x val="0.34619117594886845"/>
          <c:y val="5.6156313794109104E-2"/>
          <c:w val="0.5608472642603336"/>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43728328718217"/>
          <c:y val="8.4935669411920753E-2"/>
          <c:w val="0.79067441682428996"/>
          <c:h val="0.75021855912870705"/>
        </c:manualLayout>
      </c:layout>
      <c:scatterChart>
        <c:scatterStyle val="lineMarker"/>
        <c:varyColors val="0"/>
        <c:ser>
          <c:idx val="0"/>
          <c:order val="0"/>
          <c:tx>
            <c:strRef>
              <c:f>'T4'!$N$11</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'T4'!$M$12:$M$17</c:f>
              <c:numCache>
                <c:formatCode>General</c:formatCode>
                <c:ptCount val="6"/>
                <c:pt idx="0">
                  <c:v>0.34</c:v>
                </c:pt>
                <c:pt idx="1">
                  <c:v>0.64</c:v>
                </c:pt>
                <c:pt idx="2">
                  <c:v>0.9</c:v>
                </c:pt>
                <c:pt idx="3">
                  <c:v>1.1399999999999999</c:v>
                </c:pt>
                <c:pt idx="4">
                  <c:v>1.38</c:v>
                </c:pt>
                <c:pt idx="5">
                  <c:v>2</c:v>
                </c:pt>
              </c:numCache>
            </c:numRef>
          </c:xVal>
          <c:yVal>
            <c:numRef>
              <c:f>'T4'!$N$12:$N$17</c:f>
              <c:numCache>
                <c:formatCode>General</c:formatCode>
                <c:ptCount val="6"/>
                <c:pt idx="0">
                  <c:v>-18.149999999999999</c:v>
                </c:pt>
                <c:pt idx="1">
                  <c:v>-18.239999999999998</c:v>
                </c:pt>
                <c:pt idx="2">
                  <c:v>-18.96</c:v>
                </c:pt>
                <c:pt idx="3">
                  <c:v>-19.170000000000002</c:v>
                </c:pt>
                <c:pt idx="4">
                  <c:v>-19.399999999999999</c:v>
                </c:pt>
              </c:numCache>
            </c:numRef>
          </c:yVal>
          <c:smooth val="0"/>
          <c:extLst>
            <c:ext xmlns:c16="http://schemas.microsoft.com/office/drawing/2014/chart" uri="{C3380CC4-5D6E-409C-BE32-E72D297353CC}">
              <c16:uniqueId val="{00000000-DEF4-7D47-8B95-3C73BC91FD1E}"/>
            </c:ext>
          </c:extLst>
        </c:ser>
        <c:ser>
          <c:idx val="1"/>
          <c:order val="1"/>
          <c:tx>
            <c:strRef>
              <c:f>'T4'!$O$11</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'T4'!$M$12:$M$17</c:f>
              <c:numCache>
                <c:formatCode>General</c:formatCode>
                <c:ptCount val="6"/>
                <c:pt idx="0">
                  <c:v>0.34</c:v>
                </c:pt>
                <c:pt idx="1">
                  <c:v>0.64</c:v>
                </c:pt>
                <c:pt idx="2">
                  <c:v>0.9</c:v>
                </c:pt>
                <c:pt idx="3">
                  <c:v>1.1399999999999999</c:v>
                </c:pt>
                <c:pt idx="4">
                  <c:v>1.38</c:v>
                </c:pt>
                <c:pt idx="5">
                  <c:v>2</c:v>
                </c:pt>
              </c:numCache>
            </c:numRef>
          </c:xVal>
          <c:yVal>
            <c:numRef>
              <c:f>'T4'!$O$12:$O$17</c:f>
              <c:numCache>
                <c:formatCode>General</c:formatCode>
                <c:ptCount val="6"/>
                <c:pt idx="5">
                  <c:v>-18.920000000000002</c:v>
                </c:pt>
              </c:numCache>
            </c:numRef>
          </c:yVal>
          <c:smooth val="0"/>
          <c:extLst>
            <c:ext xmlns:c16="http://schemas.microsoft.com/office/drawing/2014/chart" uri="{C3380CC4-5D6E-409C-BE32-E72D297353CC}">
              <c16:uniqueId val="{00000001-DEF4-7D47-8B95-3C73BC91FD1E}"/>
            </c:ext>
          </c:extLst>
        </c:ser>
        <c:ser>
          <c:idx val="2"/>
          <c:order val="2"/>
          <c:tx>
            <c:strRef>
              <c:f>'T4'!$P$11</c:f>
              <c:strCache>
                <c:ptCount val="1"/>
                <c:pt idx="0">
                  <c:v>Femur</c:v>
                </c:pt>
              </c:strCache>
            </c:strRef>
          </c:tx>
          <c:spPr>
            <a:ln w="19050" cap="rnd">
              <a:noFill/>
              <a:round/>
            </a:ln>
            <a:effectLst/>
          </c:spPr>
          <c:marker>
            <c:symbol val="triangle"/>
            <c:size val="7"/>
            <c:spPr>
              <a:solidFill>
                <a:srgbClr val="92D050"/>
              </a:solidFill>
              <a:ln w="9525">
                <a:solidFill>
                  <a:srgbClr val="00B050"/>
                </a:solidFill>
              </a:ln>
              <a:effectLst/>
            </c:spPr>
          </c:marker>
          <c:xVal>
            <c:numRef>
              <c:f>'T4'!$M$12:$M$17</c:f>
              <c:numCache>
                <c:formatCode>General</c:formatCode>
                <c:ptCount val="6"/>
                <c:pt idx="0">
                  <c:v>0.34</c:v>
                </c:pt>
                <c:pt idx="1">
                  <c:v>0.64</c:v>
                </c:pt>
                <c:pt idx="2">
                  <c:v>0.9</c:v>
                </c:pt>
                <c:pt idx="3">
                  <c:v>1.1399999999999999</c:v>
                </c:pt>
                <c:pt idx="4">
                  <c:v>1.38</c:v>
                </c:pt>
                <c:pt idx="5">
                  <c:v>2</c:v>
                </c:pt>
              </c:numCache>
            </c:numRef>
          </c:xVal>
          <c:yVal>
            <c:numRef>
              <c:f>'T4'!$P$12:$P$17</c:f>
              <c:numCache>
                <c:formatCode>General</c:formatCode>
                <c:ptCount val="6"/>
                <c:pt idx="5">
                  <c:v>-18.91</c:v>
                </c:pt>
              </c:numCache>
            </c:numRef>
          </c:yVal>
          <c:smooth val="0"/>
          <c:extLst>
            <c:ext xmlns:c16="http://schemas.microsoft.com/office/drawing/2014/chart" uri="{C3380CC4-5D6E-409C-BE32-E72D297353CC}">
              <c16:uniqueId val="{00000002-DEF4-7D47-8B95-3C73BC91FD1E}"/>
            </c:ext>
          </c:extLst>
        </c:ser>
        <c:dLbls>
          <c:showLegendKey val="0"/>
          <c:showVal val="0"/>
          <c:showCatName val="0"/>
          <c:showSerName val="0"/>
          <c:showPercent val="0"/>
          <c:showBubbleSize val="0"/>
        </c:dLbls>
        <c:axId val="864148767"/>
        <c:axId val="746921135"/>
      </c:scatterChart>
      <c:valAx>
        <c:axId val="86414876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46921135"/>
        <c:crossesAt val="-20"/>
        <c:crossBetween val="midCat"/>
        <c:majorUnit val="0.5"/>
      </c:valAx>
      <c:valAx>
        <c:axId val="746921135"/>
        <c:scaling>
          <c:orientation val="minMax"/>
          <c:max val="-14"/>
          <c:min val="-2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(VPBD)</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64148767"/>
        <c:crosses val="autoZero"/>
        <c:crossBetween val="midCat"/>
      </c:valAx>
      <c:spPr>
        <a:noFill/>
        <a:ln>
          <a:noFill/>
        </a:ln>
        <a:effectLst/>
      </c:spPr>
    </c:plotArea>
    <c:legend>
      <c:legendPos val="b"/>
      <c:layout>
        <c:manualLayout>
          <c:xMode val="edge"/>
          <c:yMode val="edge"/>
          <c:x val="0.49051987445772421"/>
          <c:y val="5.152668416447944E-2"/>
          <c:w val="0.45171042142952972"/>
          <c:h val="8.004770312872447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17020735787811"/>
          <c:y val="0.10564997703261368"/>
          <c:w val="0.8027620863849948"/>
          <c:h val="0.71393085818330904"/>
        </c:manualLayout>
      </c:layout>
      <c:scatterChart>
        <c:scatterStyle val="lineMarker"/>
        <c:varyColors val="0"/>
        <c:ser>
          <c:idx val="0"/>
          <c:order val="0"/>
          <c:tx>
            <c:strRef>
              <c:f>'T4'!$B$13</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'T4'!$A$14:$A$19</c:f>
              <c:numCache>
                <c:formatCode>General</c:formatCode>
                <c:ptCount val="6"/>
                <c:pt idx="0">
                  <c:v>0.34</c:v>
                </c:pt>
                <c:pt idx="1">
                  <c:v>0.64</c:v>
                </c:pt>
                <c:pt idx="2">
                  <c:v>0.9</c:v>
                </c:pt>
                <c:pt idx="3">
                  <c:v>1.1399999999999999</c:v>
                </c:pt>
                <c:pt idx="4">
                  <c:v>1.38</c:v>
                </c:pt>
                <c:pt idx="5">
                  <c:v>2</c:v>
                </c:pt>
              </c:numCache>
            </c:numRef>
          </c:xVal>
          <c:yVal>
            <c:numRef>
              <c:f>'T4'!$B$14:$B$19</c:f>
              <c:numCache>
                <c:formatCode>General</c:formatCode>
                <c:ptCount val="6"/>
                <c:pt idx="0">
                  <c:v>13.45</c:v>
                </c:pt>
                <c:pt idx="1">
                  <c:v>13.42</c:v>
                </c:pt>
                <c:pt idx="2">
                  <c:v>12.14</c:v>
                </c:pt>
                <c:pt idx="3">
                  <c:v>11.46</c:v>
                </c:pt>
                <c:pt idx="4">
                  <c:v>10.91</c:v>
                </c:pt>
              </c:numCache>
            </c:numRef>
          </c:yVal>
          <c:smooth val="0"/>
          <c:extLst>
            <c:ext xmlns:c16="http://schemas.microsoft.com/office/drawing/2014/chart" uri="{C3380CC4-5D6E-409C-BE32-E72D297353CC}">
              <c16:uniqueId val="{00000000-710C-064A-8756-F6BA703F0135}"/>
            </c:ext>
          </c:extLst>
        </c:ser>
        <c:ser>
          <c:idx val="1"/>
          <c:order val="1"/>
          <c:tx>
            <c:strRef>
              <c:f>'T4'!$C$13</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'T4'!$A$14:$A$19</c:f>
              <c:numCache>
                <c:formatCode>General</c:formatCode>
                <c:ptCount val="6"/>
                <c:pt idx="0">
                  <c:v>0.34</c:v>
                </c:pt>
                <c:pt idx="1">
                  <c:v>0.64</c:v>
                </c:pt>
                <c:pt idx="2">
                  <c:v>0.9</c:v>
                </c:pt>
                <c:pt idx="3">
                  <c:v>1.1399999999999999</c:v>
                </c:pt>
                <c:pt idx="4">
                  <c:v>1.38</c:v>
                </c:pt>
                <c:pt idx="5">
                  <c:v>2</c:v>
                </c:pt>
              </c:numCache>
            </c:numRef>
          </c:xVal>
          <c:yVal>
            <c:numRef>
              <c:f>'T4'!$C$14:$C$19</c:f>
              <c:numCache>
                <c:formatCode>General</c:formatCode>
                <c:ptCount val="6"/>
                <c:pt idx="5">
                  <c:v>10.95</c:v>
                </c:pt>
              </c:numCache>
            </c:numRef>
          </c:yVal>
          <c:smooth val="0"/>
          <c:extLst>
            <c:ext xmlns:c16="http://schemas.microsoft.com/office/drawing/2014/chart" uri="{C3380CC4-5D6E-409C-BE32-E72D297353CC}">
              <c16:uniqueId val="{00000001-710C-064A-8756-F6BA703F0135}"/>
            </c:ext>
          </c:extLst>
        </c:ser>
        <c:ser>
          <c:idx val="2"/>
          <c:order val="2"/>
          <c:tx>
            <c:strRef>
              <c:f>'T4'!$D$13</c:f>
              <c:strCache>
                <c:ptCount val="1"/>
                <c:pt idx="0">
                  <c:v>Femur</c:v>
                </c:pt>
              </c:strCache>
            </c:strRef>
          </c:tx>
          <c:spPr>
            <a:ln w="19050" cap="rnd">
              <a:noFill/>
              <a:round/>
            </a:ln>
            <a:effectLst/>
          </c:spPr>
          <c:marker>
            <c:symbol val="triangle"/>
            <c:size val="7"/>
            <c:spPr>
              <a:solidFill>
                <a:srgbClr val="7030A0"/>
              </a:solidFill>
              <a:ln w="9525">
                <a:solidFill>
                  <a:srgbClr val="7030A0"/>
                </a:solidFill>
              </a:ln>
              <a:effectLst/>
            </c:spPr>
          </c:marker>
          <c:xVal>
            <c:numRef>
              <c:f>'T4'!$A$14:$A$19</c:f>
              <c:numCache>
                <c:formatCode>General</c:formatCode>
                <c:ptCount val="6"/>
                <c:pt idx="0">
                  <c:v>0.34</c:v>
                </c:pt>
                <c:pt idx="1">
                  <c:v>0.64</c:v>
                </c:pt>
                <c:pt idx="2">
                  <c:v>0.9</c:v>
                </c:pt>
                <c:pt idx="3">
                  <c:v>1.1399999999999999</c:v>
                </c:pt>
                <c:pt idx="4">
                  <c:v>1.38</c:v>
                </c:pt>
                <c:pt idx="5">
                  <c:v>2</c:v>
                </c:pt>
              </c:numCache>
            </c:numRef>
          </c:xVal>
          <c:yVal>
            <c:numRef>
              <c:f>'T4'!$D$14:$D$19</c:f>
              <c:numCache>
                <c:formatCode>General</c:formatCode>
                <c:ptCount val="6"/>
                <c:pt idx="5">
                  <c:v>11.31</c:v>
                </c:pt>
              </c:numCache>
            </c:numRef>
          </c:yVal>
          <c:smooth val="0"/>
          <c:extLst>
            <c:ext xmlns:c16="http://schemas.microsoft.com/office/drawing/2014/chart" uri="{C3380CC4-5D6E-409C-BE32-E72D297353CC}">
              <c16:uniqueId val="{00000002-710C-064A-8756-F6BA703F0135}"/>
            </c:ext>
          </c:extLst>
        </c:ser>
        <c:dLbls>
          <c:showLegendKey val="0"/>
          <c:showVal val="0"/>
          <c:showCatName val="0"/>
          <c:showSerName val="0"/>
          <c:showPercent val="0"/>
          <c:showBubbleSize val="0"/>
        </c:dLbls>
        <c:axId val="869338239"/>
        <c:axId val="801309615"/>
      </c:scatterChart>
      <c:valAx>
        <c:axId val="86933823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01309615"/>
        <c:crosses val="autoZero"/>
        <c:crossBetween val="midCat"/>
        <c:majorUnit val="0.5"/>
      </c:valAx>
      <c:valAx>
        <c:axId val="801309615"/>
        <c:scaling>
          <c:orientation val="minMax"/>
          <c:min val="8"/>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15</a:t>
                </a:r>
                <a:r>
                  <a:rPr lang="en-US" sz="700" b="0" i="0" baseline="0">
                    <a:effectLst/>
                  </a:rPr>
                  <a:t>N</a:t>
                </a:r>
                <a:r>
                  <a:rPr lang="en-CA" sz="700" b="0" i="0" baseline="0">
                    <a:effectLst/>
                  </a:rPr>
                  <a:t> (AIR)</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69338239"/>
        <c:crosses val="autoZero"/>
        <c:crossBetween val="midCat"/>
      </c:valAx>
      <c:spPr>
        <a:noFill/>
        <a:ln>
          <a:noFill/>
        </a:ln>
        <a:effectLst/>
      </c:spPr>
    </c:plotArea>
    <c:legend>
      <c:legendPos val="b"/>
      <c:layout>
        <c:manualLayout>
          <c:xMode val="edge"/>
          <c:yMode val="edge"/>
          <c:x val="0.46933291592938209"/>
          <c:y val="4.9282585657500211E-2"/>
          <c:w val="0.45122329114047893"/>
          <c:h val="5.940224021293113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97521094781339"/>
          <c:y val="0.13425925925925927"/>
          <c:w val="0.78654639358128609"/>
          <c:h val="0.69786739274413123"/>
        </c:manualLayout>
      </c:layout>
      <c:scatterChart>
        <c:scatterStyle val="lineMarker"/>
        <c:varyColors val="0"/>
        <c:ser>
          <c:idx val="0"/>
          <c:order val="0"/>
          <c:tx>
            <c:strRef>
              <c:f>'T4'!$J$83</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'T4'!$I$84:$I$91</c:f>
              <c:numCache>
                <c:formatCode>General</c:formatCode>
                <c:ptCount val="8"/>
                <c:pt idx="0">
                  <c:v>0.44166666999999998</c:v>
                </c:pt>
                <c:pt idx="1">
                  <c:v>0.96583333000000005</c:v>
                </c:pt>
                <c:pt idx="2">
                  <c:v>1.665</c:v>
                </c:pt>
                <c:pt idx="3">
                  <c:v>1.8833333299999999</c:v>
                </c:pt>
                <c:pt idx="4">
                  <c:v>2.3208333300000001</c:v>
                </c:pt>
                <c:pt idx="5">
                  <c:v>2.7774999999999999</c:v>
                </c:pt>
                <c:pt idx="6">
                  <c:v>3.2383333300000001</c:v>
                </c:pt>
                <c:pt idx="7">
                  <c:v>4</c:v>
                </c:pt>
              </c:numCache>
            </c:numRef>
          </c:xVal>
          <c:yVal>
            <c:numRef>
              <c:f>'T4'!$J$84:$J$91</c:f>
              <c:numCache>
                <c:formatCode>General</c:formatCode>
                <c:ptCount val="8"/>
                <c:pt idx="0">
                  <c:v>-18.43</c:v>
                </c:pt>
                <c:pt idx="1">
                  <c:v>-18.690000000000001</c:v>
                </c:pt>
                <c:pt idx="2">
                  <c:v>-19.010000000000002</c:v>
                </c:pt>
                <c:pt idx="3">
                  <c:v>-18.97</c:v>
                </c:pt>
                <c:pt idx="4">
                  <c:v>-18.91</c:v>
                </c:pt>
                <c:pt idx="5">
                  <c:v>-19.21</c:v>
                </c:pt>
                <c:pt idx="6">
                  <c:v>-19.309999999999999</c:v>
                </c:pt>
              </c:numCache>
            </c:numRef>
          </c:yVal>
          <c:smooth val="0"/>
          <c:extLst>
            <c:ext xmlns:c16="http://schemas.microsoft.com/office/drawing/2014/chart" uri="{C3380CC4-5D6E-409C-BE32-E72D297353CC}">
              <c16:uniqueId val="{00000000-854B-454E-AB0D-8F20388E29BA}"/>
            </c:ext>
          </c:extLst>
        </c:ser>
        <c:ser>
          <c:idx val="1"/>
          <c:order val="1"/>
          <c:tx>
            <c:strRef>
              <c:f>'T4'!$K$83</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'T4'!$I$84:$I$91</c:f>
              <c:numCache>
                <c:formatCode>General</c:formatCode>
                <c:ptCount val="8"/>
                <c:pt idx="0">
                  <c:v>0.44166666999999998</c:v>
                </c:pt>
                <c:pt idx="1">
                  <c:v>0.96583333000000005</c:v>
                </c:pt>
                <c:pt idx="2">
                  <c:v>1.665</c:v>
                </c:pt>
                <c:pt idx="3">
                  <c:v>1.8833333299999999</c:v>
                </c:pt>
                <c:pt idx="4">
                  <c:v>2.3208333300000001</c:v>
                </c:pt>
                <c:pt idx="5">
                  <c:v>2.7774999999999999</c:v>
                </c:pt>
                <c:pt idx="6">
                  <c:v>3.2383333300000001</c:v>
                </c:pt>
                <c:pt idx="7">
                  <c:v>4</c:v>
                </c:pt>
              </c:numCache>
            </c:numRef>
          </c:xVal>
          <c:yVal>
            <c:numRef>
              <c:f>'T4'!$K$84:$K$91</c:f>
              <c:numCache>
                <c:formatCode>General</c:formatCode>
                <c:ptCount val="8"/>
                <c:pt idx="7">
                  <c:v>-19.600000000000001</c:v>
                </c:pt>
              </c:numCache>
            </c:numRef>
          </c:yVal>
          <c:smooth val="0"/>
          <c:extLst>
            <c:ext xmlns:c16="http://schemas.microsoft.com/office/drawing/2014/chart" uri="{C3380CC4-5D6E-409C-BE32-E72D297353CC}">
              <c16:uniqueId val="{00000001-854B-454E-AB0D-8F20388E29BA}"/>
            </c:ext>
          </c:extLst>
        </c:ser>
        <c:ser>
          <c:idx val="2"/>
          <c:order val="2"/>
          <c:tx>
            <c:strRef>
              <c:f>'T4'!$L$83</c:f>
              <c:strCache>
                <c:ptCount val="1"/>
                <c:pt idx="0">
                  <c:v>Femur</c:v>
                </c:pt>
              </c:strCache>
            </c:strRef>
          </c:tx>
          <c:spPr>
            <a:ln w="19050" cap="rnd">
              <a:noFill/>
              <a:round/>
            </a:ln>
            <a:effectLst/>
          </c:spPr>
          <c:marker>
            <c:symbol val="triangle"/>
            <c:size val="7"/>
            <c:spPr>
              <a:solidFill>
                <a:srgbClr val="92D050"/>
              </a:solidFill>
              <a:ln w="9525">
                <a:solidFill>
                  <a:srgbClr val="92D050"/>
                </a:solidFill>
              </a:ln>
              <a:effectLst/>
            </c:spPr>
          </c:marker>
          <c:xVal>
            <c:numRef>
              <c:f>'T4'!$I$84:$I$91</c:f>
              <c:numCache>
                <c:formatCode>General</c:formatCode>
                <c:ptCount val="8"/>
                <c:pt idx="0">
                  <c:v>0.44166666999999998</c:v>
                </c:pt>
                <c:pt idx="1">
                  <c:v>0.96583333000000005</c:v>
                </c:pt>
                <c:pt idx="2">
                  <c:v>1.665</c:v>
                </c:pt>
                <c:pt idx="3">
                  <c:v>1.8833333299999999</c:v>
                </c:pt>
                <c:pt idx="4">
                  <c:v>2.3208333300000001</c:v>
                </c:pt>
                <c:pt idx="5">
                  <c:v>2.7774999999999999</c:v>
                </c:pt>
                <c:pt idx="6">
                  <c:v>3.2383333300000001</c:v>
                </c:pt>
                <c:pt idx="7">
                  <c:v>4</c:v>
                </c:pt>
              </c:numCache>
            </c:numRef>
          </c:xVal>
          <c:yVal>
            <c:numRef>
              <c:f>'T4'!$L$84:$L$91</c:f>
              <c:numCache>
                <c:formatCode>General</c:formatCode>
                <c:ptCount val="8"/>
                <c:pt idx="7">
                  <c:v>-18.96</c:v>
                </c:pt>
              </c:numCache>
            </c:numRef>
          </c:yVal>
          <c:smooth val="0"/>
          <c:extLst>
            <c:ext xmlns:c16="http://schemas.microsoft.com/office/drawing/2014/chart" uri="{C3380CC4-5D6E-409C-BE32-E72D297353CC}">
              <c16:uniqueId val="{00000002-854B-454E-AB0D-8F20388E29BA}"/>
            </c:ext>
          </c:extLst>
        </c:ser>
        <c:dLbls>
          <c:showLegendKey val="0"/>
          <c:showVal val="0"/>
          <c:showCatName val="0"/>
          <c:showSerName val="0"/>
          <c:showPercent val="0"/>
          <c:showBubbleSize val="0"/>
        </c:dLbls>
        <c:axId val="880968559"/>
        <c:axId val="851075759"/>
      </c:scatterChart>
      <c:valAx>
        <c:axId val="88096855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51075759"/>
        <c:crossesAt val="-20"/>
        <c:crossBetween val="midCat"/>
      </c:valAx>
      <c:valAx>
        <c:axId val="851075759"/>
        <c:scaling>
          <c:orientation val="minMax"/>
          <c:max val="-15"/>
          <c:min val="-2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(VPBD)</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0968559"/>
        <c:crosses val="autoZero"/>
        <c:crossBetween val="midCat"/>
      </c:valAx>
      <c:spPr>
        <a:noFill/>
        <a:ln>
          <a:noFill/>
        </a:ln>
        <a:effectLst/>
      </c:spPr>
    </c:plotArea>
    <c:legend>
      <c:legendPos val="b"/>
      <c:layout>
        <c:manualLayout>
          <c:xMode val="edge"/>
          <c:yMode val="edge"/>
          <c:x val="0.50634435380707066"/>
          <c:y val="3.300816564596095E-2"/>
          <c:w val="0.44513843072491227"/>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91302919006121"/>
          <c:y val="0.14372241769115454"/>
          <c:w val="0.80860857533903829"/>
          <c:h val="0.71005901832364415"/>
        </c:manualLayout>
      </c:layout>
      <c:scatterChart>
        <c:scatterStyle val="lineMarker"/>
        <c:varyColors val="0"/>
        <c:ser>
          <c:idx val="0"/>
          <c:order val="0"/>
          <c:tx>
            <c:strRef>
              <c:f>'T4'!$F$83</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'T4'!$E$84:$E$91</c:f>
              <c:numCache>
                <c:formatCode>General</c:formatCode>
                <c:ptCount val="8"/>
                <c:pt idx="0">
                  <c:v>0.44166666666666665</c:v>
                </c:pt>
                <c:pt idx="1">
                  <c:v>0.96583333333333332</c:v>
                </c:pt>
                <c:pt idx="2">
                  <c:v>1.665</c:v>
                </c:pt>
                <c:pt idx="3">
                  <c:v>1.8833333333333335</c:v>
                </c:pt>
                <c:pt idx="4">
                  <c:v>2.3208333333333333</c:v>
                </c:pt>
                <c:pt idx="5">
                  <c:v>2.7774999999999999</c:v>
                </c:pt>
                <c:pt idx="6">
                  <c:v>3.2383333333333333</c:v>
                </c:pt>
                <c:pt idx="7">
                  <c:v>4</c:v>
                </c:pt>
              </c:numCache>
            </c:numRef>
          </c:xVal>
          <c:yVal>
            <c:numRef>
              <c:f>'T4'!$F$84:$F$91</c:f>
              <c:numCache>
                <c:formatCode>General</c:formatCode>
                <c:ptCount val="8"/>
                <c:pt idx="0">
                  <c:v>14.43</c:v>
                </c:pt>
                <c:pt idx="1">
                  <c:v>13.12</c:v>
                </c:pt>
                <c:pt idx="2">
                  <c:v>12.18</c:v>
                </c:pt>
                <c:pt idx="3">
                  <c:v>11.99</c:v>
                </c:pt>
                <c:pt idx="4">
                  <c:v>12.22</c:v>
                </c:pt>
                <c:pt idx="5">
                  <c:v>11.49</c:v>
                </c:pt>
                <c:pt idx="6">
                  <c:v>11.09</c:v>
                </c:pt>
              </c:numCache>
            </c:numRef>
          </c:yVal>
          <c:smooth val="0"/>
          <c:extLst>
            <c:ext xmlns:c16="http://schemas.microsoft.com/office/drawing/2014/chart" uri="{C3380CC4-5D6E-409C-BE32-E72D297353CC}">
              <c16:uniqueId val="{00000000-86D8-474F-A8B2-C7CE47B4C8B4}"/>
            </c:ext>
          </c:extLst>
        </c:ser>
        <c:ser>
          <c:idx val="1"/>
          <c:order val="1"/>
          <c:tx>
            <c:strRef>
              <c:f>'T4'!$G$83</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'T4'!$E$84:$E$91</c:f>
              <c:numCache>
                <c:formatCode>General</c:formatCode>
                <c:ptCount val="8"/>
                <c:pt idx="0">
                  <c:v>0.44166666666666665</c:v>
                </c:pt>
                <c:pt idx="1">
                  <c:v>0.96583333333333332</c:v>
                </c:pt>
                <c:pt idx="2">
                  <c:v>1.665</c:v>
                </c:pt>
                <c:pt idx="3">
                  <c:v>1.8833333333333335</c:v>
                </c:pt>
                <c:pt idx="4">
                  <c:v>2.3208333333333333</c:v>
                </c:pt>
                <c:pt idx="5">
                  <c:v>2.7774999999999999</c:v>
                </c:pt>
                <c:pt idx="6">
                  <c:v>3.2383333333333333</c:v>
                </c:pt>
                <c:pt idx="7">
                  <c:v>4</c:v>
                </c:pt>
              </c:numCache>
            </c:numRef>
          </c:xVal>
          <c:yVal>
            <c:numRef>
              <c:f>'T4'!$G$84:$G$91</c:f>
              <c:numCache>
                <c:formatCode>General</c:formatCode>
                <c:ptCount val="8"/>
                <c:pt idx="7">
                  <c:v>10.6</c:v>
                </c:pt>
              </c:numCache>
            </c:numRef>
          </c:yVal>
          <c:smooth val="0"/>
          <c:extLst>
            <c:ext xmlns:c16="http://schemas.microsoft.com/office/drawing/2014/chart" uri="{C3380CC4-5D6E-409C-BE32-E72D297353CC}">
              <c16:uniqueId val="{00000001-86D8-474F-A8B2-C7CE47B4C8B4}"/>
            </c:ext>
          </c:extLst>
        </c:ser>
        <c:ser>
          <c:idx val="2"/>
          <c:order val="2"/>
          <c:tx>
            <c:strRef>
              <c:f>'T4'!$H$83</c:f>
              <c:strCache>
                <c:ptCount val="1"/>
                <c:pt idx="0">
                  <c:v>Femur</c:v>
                </c:pt>
              </c:strCache>
            </c:strRef>
          </c:tx>
          <c:spPr>
            <a:ln w="19050" cap="rnd">
              <a:noFill/>
              <a:round/>
            </a:ln>
            <a:effectLst/>
          </c:spPr>
          <c:marker>
            <c:symbol val="triangle"/>
            <c:size val="7"/>
            <c:spPr>
              <a:solidFill>
                <a:srgbClr val="7030A0"/>
              </a:solidFill>
              <a:ln w="9525">
                <a:solidFill>
                  <a:srgbClr val="002060"/>
                </a:solidFill>
              </a:ln>
              <a:effectLst/>
            </c:spPr>
          </c:marker>
          <c:xVal>
            <c:numRef>
              <c:f>'T4'!$E$84:$E$91</c:f>
              <c:numCache>
                <c:formatCode>General</c:formatCode>
                <c:ptCount val="8"/>
                <c:pt idx="0">
                  <c:v>0.44166666666666665</c:v>
                </c:pt>
                <c:pt idx="1">
                  <c:v>0.96583333333333332</c:v>
                </c:pt>
                <c:pt idx="2">
                  <c:v>1.665</c:v>
                </c:pt>
                <c:pt idx="3">
                  <c:v>1.8833333333333335</c:v>
                </c:pt>
                <c:pt idx="4">
                  <c:v>2.3208333333333333</c:v>
                </c:pt>
                <c:pt idx="5">
                  <c:v>2.7774999999999999</c:v>
                </c:pt>
                <c:pt idx="6">
                  <c:v>3.2383333333333333</c:v>
                </c:pt>
                <c:pt idx="7">
                  <c:v>4</c:v>
                </c:pt>
              </c:numCache>
            </c:numRef>
          </c:xVal>
          <c:yVal>
            <c:numRef>
              <c:f>'T4'!$H$84:$H$91</c:f>
              <c:numCache>
                <c:formatCode>General</c:formatCode>
                <c:ptCount val="8"/>
                <c:pt idx="7">
                  <c:v>10.55</c:v>
                </c:pt>
              </c:numCache>
            </c:numRef>
          </c:yVal>
          <c:smooth val="0"/>
          <c:extLst>
            <c:ext xmlns:c16="http://schemas.microsoft.com/office/drawing/2014/chart" uri="{C3380CC4-5D6E-409C-BE32-E72D297353CC}">
              <c16:uniqueId val="{00000002-86D8-474F-A8B2-C7CE47B4C8B4}"/>
            </c:ext>
          </c:extLst>
        </c:ser>
        <c:dLbls>
          <c:showLegendKey val="0"/>
          <c:showVal val="0"/>
          <c:showCatName val="0"/>
          <c:showSerName val="0"/>
          <c:showPercent val="0"/>
          <c:showBubbleSize val="0"/>
        </c:dLbls>
        <c:axId val="870165247"/>
        <c:axId val="864914799"/>
      </c:scatterChart>
      <c:valAx>
        <c:axId val="87016524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r>
                  <a:rPr lang="en-US" sz="700" baseline="0"/>
                  <a:t> </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64914799"/>
        <c:crosses val="autoZero"/>
        <c:crossBetween val="midCat"/>
        <c:majorUnit val="1"/>
      </c:valAx>
      <c:valAx>
        <c:axId val="864914799"/>
        <c:scaling>
          <c:orientation val="minMax"/>
          <c:min val="1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15</a:t>
                </a:r>
                <a:r>
                  <a:rPr lang="en-US" sz="700" b="0" i="0" baseline="0">
                    <a:effectLst/>
                  </a:rPr>
                  <a:t>N (AIR)</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0165247"/>
        <c:crosses val="autoZero"/>
        <c:crossBetween val="midCat"/>
      </c:valAx>
      <c:spPr>
        <a:noFill/>
        <a:ln>
          <a:noFill/>
        </a:ln>
        <a:effectLst/>
      </c:spPr>
    </c:plotArea>
    <c:legend>
      <c:legendPos val="b"/>
      <c:layout>
        <c:manualLayout>
          <c:xMode val="edge"/>
          <c:yMode val="edge"/>
          <c:x val="0.5210494801877894"/>
          <c:y val="2.4624257097267125E-2"/>
          <c:w val="0.41921556575280039"/>
          <c:h val="7.576972301959951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02358657029386"/>
          <c:y val="0.10958272715075333"/>
          <c:w val="0.78771227819904077"/>
          <c:h val="0.72027610567370659"/>
        </c:manualLayout>
      </c:layout>
      <c:scatterChart>
        <c:scatterStyle val="lineMarker"/>
        <c:varyColors val="0"/>
        <c:ser>
          <c:idx val="0"/>
          <c:order val="0"/>
          <c:tx>
            <c:strRef>
              <c:f>'T4'!$F$96</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'T4'!$E$97:$E$102</c:f>
              <c:numCache>
                <c:formatCode>General</c:formatCode>
                <c:ptCount val="6"/>
                <c:pt idx="0">
                  <c:v>0.41</c:v>
                </c:pt>
                <c:pt idx="1">
                  <c:v>0.85</c:v>
                </c:pt>
                <c:pt idx="2">
                  <c:v>1.29</c:v>
                </c:pt>
                <c:pt idx="3">
                  <c:v>1.73</c:v>
                </c:pt>
                <c:pt idx="4">
                  <c:v>2.1800000000000002</c:v>
                </c:pt>
                <c:pt idx="5">
                  <c:v>4.5</c:v>
                </c:pt>
              </c:numCache>
            </c:numRef>
          </c:xVal>
          <c:yVal>
            <c:numRef>
              <c:f>'T4'!$F$97:$F$102</c:f>
              <c:numCache>
                <c:formatCode>General</c:formatCode>
                <c:ptCount val="6"/>
                <c:pt idx="0">
                  <c:v>15.56</c:v>
                </c:pt>
                <c:pt idx="1">
                  <c:v>14.9</c:v>
                </c:pt>
                <c:pt idx="2">
                  <c:v>14.15</c:v>
                </c:pt>
                <c:pt idx="3">
                  <c:v>13.79</c:v>
                </c:pt>
                <c:pt idx="4">
                  <c:v>13.23</c:v>
                </c:pt>
              </c:numCache>
            </c:numRef>
          </c:yVal>
          <c:smooth val="0"/>
          <c:extLst>
            <c:ext xmlns:c16="http://schemas.microsoft.com/office/drawing/2014/chart" uri="{C3380CC4-5D6E-409C-BE32-E72D297353CC}">
              <c16:uniqueId val="{00000000-CF86-7D48-BCBA-0D95B89CC3C0}"/>
            </c:ext>
          </c:extLst>
        </c:ser>
        <c:ser>
          <c:idx val="1"/>
          <c:order val="1"/>
          <c:tx>
            <c:strRef>
              <c:f>'T4'!$G$96</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'T4'!$E$97:$E$102</c:f>
              <c:numCache>
                <c:formatCode>General</c:formatCode>
                <c:ptCount val="6"/>
                <c:pt idx="0">
                  <c:v>0.41</c:v>
                </c:pt>
                <c:pt idx="1">
                  <c:v>0.85</c:v>
                </c:pt>
                <c:pt idx="2">
                  <c:v>1.29</c:v>
                </c:pt>
                <c:pt idx="3">
                  <c:v>1.73</c:v>
                </c:pt>
                <c:pt idx="4">
                  <c:v>2.1800000000000002</c:v>
                </c:pt>
                <c:pt idx="5">
                  <c:v>4.5</c:v>
                </c:pt>
              </c:numCache>
            </c:numRef>
          </c:xVal>
          <c:yVal>
            <c:numRef>
              <c:f>'T4'!$G$97:$G$102</c:f>
              <c:numCache>
                <c:formatCode>General</c:formatCode>
                <c:ptCount val="6"/>
                <c:pt idx="5">
                  <c:v>11.7</c:v>
                </c:pt>
              </c:numCache>
            </c:numRef>
          </c:yVal>
          <c:smooth val="0"/>
          <c:extLst>
            <c:ext xmlns:c16="http://schemas.microsoft.com/office/drawing/2014/chart" uri="{C3380CC4-5D6E-409C-BE32-E72D297353CC}">
              <c16:uniqueId val="{00000001-CF86-7D48-BCBA-0D95B89CC3C0}"/>
            </c:ext>
          </c:extLst>
        </c:ser>
        <c:ser>
          <c:idx val="2"/>
          <c:order val="2"/>
          <c:tx>
            <c:strRef>
              <c:f>'T4'!$H$98</c:f>
              <c:strCache>
                <c:ptCount val="1"/>
              </c:strCache>
            </c:strRef>
          </c:tx>
          <c:spPr>
            <a:ln w="19050" cap="rnd">
              <a:noFill/>
              <a:round/>
            </a:ln>
            <a:effectLst/>
          </c:spPr>
          <c:marker>
            <c:symbol val="triangle"/>
            <c:size val="7"/>
            <c:spPr>
              <a:solidFill>
                <a:srgbClr val="7030A0"/>
              </a:solidFill>
              <a:ln w="9525">
                <a:solidFill>
                  <a:srgbClr val="7030A0"/>
                </a:solidFill>
              </a:ln>
              <a:effectLst/>
            </c:spPr>
          </c:marker>
          <c:xVal>
            <c:numRef>
              <c:f>'T4'!$E$97:$E$102</c:f>
              <c:numCache>
                <c:formatCode>General</c:formatCode>
                <c:ptCount val="6"/>
                <c:pt idx="0">
                  <c:v>0.41</c:v>
                </c:pt>
                <c:pt idx="1">
                  <c:v>0.85</c:v>
                </c:pt>
                <c:pt idx="2">
                  <c:v>1.29</c:v>
                </c:pt>
                <c:pt idx="3">
                  <c:v>1.73</c:v>
                </c:pt>
                <c:pt idx="4">
                  <c:v>2.1800000000000002</c:v>
                </c:pt>
                <c:pt idx="5">
                  <c:v>4.5</c:v>
                </c:pt>
              </c:numCache>
            </c:numRef>
          </c:xVal>
          <c:yVal>
            <c:numRef>
              <c:f>'T4'!$H$97:$H$102</c:f>
              <c:numCache>
                <c:formatCode>General</c:formatCode>
                <c:ptCount val="6"/>
              </c:numCache>
            </c:numRef>
          </c:yVal>
          <c:smooth val="0"/>
          <c:extLst>
            <c:ext xmlns:c16="http://schemas.microsoft.com/office/drawing/2014/chart" uri="{C3380CC4-5D6E-409C-BE32-E72D297353CC}">
              <c16:uniqueId val="{00000002-CF86-7D48-BCBA-0D95B89CC3C0}"/>
            </c:ext>
          </c:extLst>
        </c:ser>
        <c:dLbls>
          <c:showLegendKey val="0"/>
          <c:showVal val="0"/>
          <c:showCatName val="0"/>
          <c:showSerName val="0"/>
          <c:showPercent val="0"/>
          <c:showBubbleSize val="0"/>
        </c:dLbls>
        <c:axId val="805003327"/>
        <c:axId val="776809999"/>
      </c:scatterChart>
      <c:valAx>
        <c:axId val="80500332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6809999"/>
        <c:crosses val="autoZero"/>
        <c:crossBetween val="midCat"/>
        <c:majorUnit val="1"/>
      </c:valAx>
      <c:valAx>
        <c:axId val="776809999"/>
        <c:scaling>
          <c:orientation val="minMax"/>
          <c:min val="11"/>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15</a:t>
                </a:r>
                <a:r>
                  <a:rPr lang="en-US" sz="700" b="0" i="0" baseline="0">
                    <a:effectLst/>
                  </a:rPr>
                  <a:t>N (AIR)</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05003327"/>
        <c:crosses val="autoZero"/>
        <c:crossBetween val="midCat"/>
      </c:valAx>
      <c:spPr>
        <a:noFill/>
        <a:ln>
          <a:noFill/>
        </a:ln>
        <a:effectLst/>
      </c:spPr>
    </c:plotArea>
    <c:legend>
      <c:legendPos val="b"/>
      <c:layout>
        <c:manualLayout>
          <c:xMode val="edge"/>
          <c:yMode val="edge"/>
          <c:x val="0.68168780895684922"/>
          <c:y val="5.2530445054207842E-2"/>
          <c:w val="0.23698884526010366"/>
          <c:h val="0.178336854234684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36662627273559"/>
          <c:y val="0.10958272715075333"/>
          <c:w val="0.80015497825636395"/>
          <c:h val="0.72494870851423943"/>
        </c:manualLayout>
      </c:layout>
      <c:scatterChart>
        <c:scatterStyle val="lineMarker"/>
        <c:varyColors val="0"/>
        <c:ser>
          <c:idx val="0"/>
          <c:order val="0"/>
          <c:tx>
            <c:strRef>
              <c:f>'T4'!$J$96</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'T4'!$I$97:$I$102</c:f>
              <c:numCache>
                <c:formatCode>General</c:formatCode>
                <c:ptCount val="6"/>
                <c:pt idx="0">
                  <c:v>0.41</c:v>
                </c:pt>
                <c:pt idx="1">
                  <c:v>0.85</c:v>
                </c:pt>
                <c:pt idx="2">
                  <c:v>1.29</c:v>
                </c:pt>
                <c:pt idx="3">
                  <c:v>1.73</c:v>
                </c:pt>
                <c:pt idx="4">
                  <c:v>2.1800000000000002</c:v>
                </c:pt>
                <c:pt idx="5">
                  <c:v>4.5</c:v>
                </c:pt>
              </c:numCache>
            </c:numRef>
          </c:xVal>
          <c:yVal>
            <c:numRef>
              <c:f>'T4'!$J$97:$J$102</c:f>
              <c:numCache>
                <c:formatCode>General</c:formatCode>
                <c:ptCount val="6"/>
                <c:pt idx="0">
                  <c:v>-18.73</c:v>
                </c:pt>
                <c:pt idx="1">
                  <c:v>-19.010000000000002</c:v>
                </c:pt>
                <c:pt idx="2">
                  <c:v>-19.04</c:v>
                </c:pt>
                <c:pt idx="3">
                  <c:v>-19.93</c:v>
                </c:pt>
                <c:pt idx="4">
                  <c:v>-19.28</c:v>
                </c:pt>
              </c:numCache>
            </c:numRef>
          </c:yVal>
          <c:smooth val="0"/>
          <c:extLst>
            <c:ext xmlns:c16="http://schemas.microsoft.com/office/drawing/2014/chart" uri="{C3380CC4-5D6E-409C-BE32-E72D297353CC}">
              <c16:uniqueId val="{00000000-E9B1-8D48-82CA-9FC7EE2763F6}"/>
            </c:ext>
          </c:extLst>
        </c:ser>
        <c:ser>
          <c:idx val="1"/>
          <c:order val="1"/>
          <c:tx>
            <c:strRef>
              <c:f>'T4'!$K$96</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'T4'!$I$97:$I$102</c:f>
              <c:numCache>
                <c:formatCode>General</c:formatCode>
                <c:ptCount val="6"/>
                <c:pt idx="0">
                  <c:v>0.41</c:v>
                </c:pt>
                <c:pt idx="1">
                  <c:v>0.85</c:v>
                </c:pt>
                <c:pt idx="2">
                  <c:v>1.29</c:v>
                </c:pt>
                <c:pt idx="3">
                  <c:v>1.73</c:v>
                </c:pt>
                <c:pt idx="4">
                  <c:v>2.1800000000000002</c:v>
                </c:pt>
                <c:pt idx="5">
                  <c:v>4.5</c:v>
                </c:pt>
              </c:numCache>
            </c:numRef>
          </c:xVal>
          <c:yVal>
            <c:numRef>
              <c:f>'T4'!$K$97:$K$102</c:f>
              <c:numCache>
                <c:formatCode>General</c:formatCode>
                <c:ptCount val="6"/>
                <c:pt idx="5">
                  <c:v>-19.5</c:v>
                </c:pt>
              </c:numCache>
            </c:numRef>
          </c:yVal>
          <c:smooth val="0"/>
          <c:extLst>
            <c:ext xmlns:c16="http://schemas.microsoft.com/office/drawing/2014/chart" uri="{C3380CC4-5D6E-409C-BE32-E72D297353CC}">
              <c16:uniqueId val="{00000001-E9B1-8D48-82CA-9FC7EE2763F6}"/>
            </c:ext>
          </c:extLst>
        </c:ser>
        <c:ser>
          <c:idx val="2"/>
          <c:order val="2"/>
          <c:tx>
            <c:strRef>
              <c:f>'T4'!$L$96</c:f>
              <c:strCache>
                <c:ptCount val="1"/>
              </c:strCache>
            </c:strRef>
          </c:tx>
          <c:spPr>
            <a:ln w="19050" cap="rnd">
              <a:noFill/>
              <a:round/>
            </a:ln>
            <a:effectLst/>
          </c:spPr>
          <c:marker>
            <c:symbol val="triangle"/>
            <c:size val="5"/>
            <c:spPr>
              <a:solidFill>
                <a:srgbClr val="92D050"/>
              </a:solidFill>
              <a:ln w="9525">
                <a:solidFill>
                  <a:srgbClr val="92D050"/>
                </a:solidFill>
              </a:ln>
              <a:effectLst/>
            </c:spPr>
          </c:marker>
          <c:xVal>
            <c:numRef>
              <c:f>'T4'!$I$97:$I$102</c:f>
              <c:numCache>
                <c:formatCode>General</c:formatCode>
                <c:ptCount val="6"/>
                <c:pt idx="0">
                  <c:v>0.41</c:v>
                </c:pt>
                <c:pt idx="1">
                  <c:v>0.85</c:v>
                </c:pt>
                <c:pt idx="2">
                  <c:v>1.29</c:v>
                </c:pt>
                <c:pt idx="3">
                  <c:v>1.73</c:v>
                </c:pt>
                <c:pt idx="4">
                  <c:v>2.1800000000000002</c:v>
                </c:pt>
                <c:pt idx="5">
                  <c:v>4.5</c:v>
                </c:pt>
              </c:numCache>
            </c:numRef>
          </c:xVal>
          <c:yVal>
            <c:numRef>
              <c:f>'T4'!$L$97:$L$102</c:f>
              <c:numCache>
                <c:formatCode>General</c:formatCode>
                <c:ptCount val="6"/>
              </c:numCache>
            </c:numRef>
          </c:yVal>
          <c:smooth val="0"/>
          <c:extLst>
            <c:ext xmlns:c16="http://schemas.microsoft.com/office/drawing/2014/chart" uri="{C3380CC4-5D6E-409C-BE32-E72D297353CC}">
              <c16:uniqueId val="{00000002-E9B1-8D48-82CA-9FC7EE2763F6}"/>
            </c:ext>
          </c:extLst>
        </c:ser>
        <c:dLbls>
          <c:showLegendKey val="0"/>
          <c:showVal val="0"/>
          <c:showCatName val="0"/>
          <c:showSerName val="0"/>
          <c:showPercent val="0"/>
          <c:showBubbleSize val="0"/>
        </c:dLbls>
        <c:axId val="853729087"/>
        <c:axId val="799305695"/>
      </c:scatterChart>
      <c:valAx>
        <c:axId val="85372908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layout>
            <c:manualLayout>
              <c:xMode val="edge"/>
              <c:yMode val="edge"/>
              <c:x val="0.44800274458548567"/>
              <c:y val="0.8983959948541346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99305695"/>
        <c:crossesAt val="-21"/>
        <c:crossBetween val="midCat"/>
        <c:majorUnit val="1"/>
      </c:valAx>
      <c:valAx>
        <c:axId val="799305695"/>
        <c:scaling>
          <c:orientation val="minMax"/>
          <c:max val="-16"/>
          <c:min val="-21"/>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(VPBD)</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53729087"/>
        <c:crossesAt val="0"/>
        <c:crossBetween val="midCat"/>
      </c:valAx>
      <c:spPr>
        <a:noFill/>
        <a:ln>
          <a:noFill/>
        </a:ln>
        <a:effectLst/>
      </c:spPr>
    </c:plotArea>
    <c:legend>
      <c:legendPos val="b"/>
      <c:layout>
        <c:manualLayout>
          <c:xMode val="edge"/>
          <c:yMode val="edge"/>
          <c:x val="0.73813515416764475"/>
          <c:y val="5.5632170602797605E-2"/>
          <c:w val="0.21229313173038059"/>
          <c:h val="0.151607819821052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21006835848152"/>
          <c:y val="6.6111286089238844E-2"/>
          <c:w val="0.80631153617061813"/>
          <c:h val="0.77685068805651625"/>
        </c:manualLayout>
      </c:layout>
      <c:scatterChart>
        <c:scatterStyle val="lineMarker"/>
        <c:varyColors val="0"/>
        <c:ser>
          <c:idx val="0"/>
          <c:order val="0"/>
          <c:tx>
            <c:strRef>
              <c:f>'T4'!$F$113</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'T4'!$E$114:$E$119</c:f>
              <c:numCache>
                <c:formatCode>General</c:formatCode>
                <c:ptCount val="6"/>
                <c:pt idx="0">
                  <c:v>0.34</c:v>
                </c:pt>
                <c:pt idx="1">
                  <c:v>0.64</c:v>
                </c:pt>
                <c:pt idx="2">
                  <c:v>0.9</c:v>
                </c:pt>
                <c:pt idx="3">
                  <c:v>1.1399999999999999</c:v>
                </c:pt>
                <c:pt idx="4">
                  <c:v>1.38</c:v>
                </c:pt>
                <c:pt idx="5">
                  <c:v>3</c:v>
                </c:pt>
              </c:numCache>
            </c:numRef>
          </c:xVal>
          <c:yVal>
            <c:numRef>
              <c:f>'T4'!$F$114:$F$119</c:f>
              <c:numCache>
                <c:formatCode>General</c:formatCode>
                <c:ptCount val="6"/>
                <c:pt idx="0">
                  <c:v>14.23</c:v>
                </c:pt>
                <c:pt idx="1">
                  <c:v>14.43</c:v>
                </c:pt>
                <c:pt idx="2">
                  <c:v>13.29</c:v>
                </c:pt>
                <c:pt idx="3">
                  <c:v>12.7</c:v>
                </c:pt>
                <c:pt idx="4">
                  <c:v>12.07</c:v>
                </c:pt>
              </c:numCache>
            </c:numRef>
          </c:yVal>
          <c:smooth val="0"/>
          <c:extLst>
            <c:ext xmlns:c16="http://schemas.microsoft.com/office/drawing/2014/chart" uri="{C3380CC4-5D6E-409C-BE32-E72D297353CC}">
              <c16:uniqueId val="{00000000-78DC-CA4A-8BDE-CD468BF3A91E}"/>
            </c:ext>
          </c:extLst>
        </c:ser>
        <c:ser>
          <c:idx val="1"/>
          <c:order val="1"/>
          <c:tx>
            <c:strRef>
              <c:f>'T4'!$G$113</c:f>
              <c:strCache>
                <c:ptCount val="1"/>
                <c:pt idx="0">
                  <c:v>Femur</c:v>
                </c:pt>
              </c:strCache>
            </c:strRef>
          </c:tx>
          <c:spPr>
            <a:ln w="19050" cap="rnd">
              <a:noFill/>
              <a:round/>
            </a:ln>
            <a:effectLst/>
          </c:spPr>
          <c:marker>
            <c:symbol val="triangle"/>
            <c:size val="7"/>
            <c:spPr>
              <a:solidFill>
                <a:srgbClr val="7030A0"/>
              </a:solidFill>
              <a:ln w="9525">
                <a:solidFill>
                  <a:srgbClr val="7030A0"/>
                </a:solidFill>
              </a:ln>
              <a:effectLst/>
            </c:spPr>
          </c:marker>
          <c:xVal>
            <c:numRef>
              <c:f>'T4'!$E$114:$E$119</c:f>
              <c:numCache>
                <c:formatCode>General</c:formatCode>
                <c:ptCount val="6"/>
                <c:pt idx="0">
                  <c:v>0.34</c:v>
                </c:pt>
                <c:pt idx="1">
                  <c:v>0.64</c:v>
                </c:pt>
                <c:pt idx="2">
                  <c:v>0.9</c:v>
                </c:pt>
                <c:pt idx="3">
                  <c:v>1.1399999999999999</c:v>
                </c:pt>
                <c:pt idx="4">
                  <c:v>1.38</c:v>
                </c:pt>
                <c:pt idx="5">
                  <c:v>3</c:v>
                </c:pt>
              </c:numCache>
            </c:numRef>
          </c:xVal>
          <c:yVal>
            <c:numRef>
              <c:f>'T4'!$G$114:$G$119</c:f>
              <c:numCache>
                <c:formatCode>General</c:formatCode>
                <c:ptCount val="6"/>
                <c:pt idx="5">
                  <c:v>12.07</c:v>
                </c:pt>
              </c:numCache>
            </c:numRef>
          </c:yVal>
          <c:smooth val="0"/>
          <c:extLst>
            <c:ext xmlns:c16="http://schemas.microsoft.com/office/drawing/2014/chart" uri="{C3380CC4-5D6E-409C-BE32-E72D297353CC}">
              <c16:uniqueId val="{00000001-78DC-CA4A-8BDE-CD468BF3A91E}"/>
            </c:ext>
          </c:extLst>
        </c:ser>
        <c:ser>
          <c:idx val="2"/>
          <c:order val="2"/>
          <c:tx>
            <c:strRef>
              <c:f>'T4'!$H$113</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'T4'!$E$114:$E$119</c:f>
              <c:numCache>
                <c:formatCode>General</c:formatCode>
                <c:ptCount val="6"/>
                <c:pt idx="0">
                  <c:v>0.34</c:v>
                </c:pt>
                <c:pt idx="1">
                  <c:v>0.64</c:v>
                </c:pt>
                <c:pt idx="2">
                  <c:v>0.9</c:v>
                </c:pt>
                <c:pt idx="3">
                  <c:v>1.1399999999999999</c:v>
                </c:pt>
                <c:pt idx="4">
                  <c:v>1.38</c:v>
                </c:pt>
                <c:pt idx="5">
                  <c:v>3</c:v>
                </c:pt>
              </c:numCache>
            </c:numRef>
          </c:xVal>
          <c:yVal>
            <c:numRef>
              <c:f>'T4'!$H$114:$H$119</c:f>
              <c:numCache>
                <c:formatCode>General</c:formatCode>
                <c:ptCount val="6"/>
                <c:pt idx="5">
                  <c:v>11.5</c:v>
                </c:pt>
              </c:numCache>
            </c:numRef>
          </c:yVal>
          <c:smooth val="0"/>
          <c:extLst>
            <c:ext xmlns:c16="http://schemas.microsoft.com/office/drawing/2014/chart" uri="{C3380CC4-5D6E-409C-BE32-E72D297353CC}">
              <c16:uniqueId val="{00000002-78DC-CA4A-8BDE-CD468BF3A91E}"/>
            </c:ext>
          </c:extLst>
        </c:ser>
        <c:dLbls>
          <c:showLegendKey val="0"/>
          <c:showVal val="0"/>
          <c:showCatName val="0"/>
          <c:showSerName val="0"/>
          <c:showPercent val="0"/>
          <c:showBubbleSize val="0"/>
        </c:dLbls>
        <c:axId val="883698319"/>
        <c:axId val="885953071"/>
      </c:scatterChart>
      <c:valAx>
        <c:axId val="883698319"/>
        <c:scaling>
          <c:orientation val="minMax"/>
          <c:max val="3.5"/>
          <c:min val="0"/>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5953071"/>
        <c:crosses val="autoZero"/>
        <c:crossBetween val="midCat"/>
        <c:majorUnit val="1"/>
      </c:valAx>
      <c:valAx>
        <c:axId val="885953071"/>
        <c:scaling>
          <c:orientation val="minMax"/>
          <c:min val="11"/>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15</a:t>
                </a:r>
                <a:r>
                  <a:rPr lang="en-US" sz="700" b="0" i="0" baseline="0">
                    <a:effectLst/>
                  </a:rPr>
                  <a:t>N (AIR)</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3698319"/>
        <c:crossesAt val="0"/>
        <c:crossBetween val="midCat"/>
      </c:valAx>
      <c:spPr>
        <a:noFill/>
        <a:ln>
          <a:noFill/>
        </a:ln>
        <a:effectLst/>
      </c:spPr>
    </c:plotArea>
    <c:legend>
      <c:legendPos val="b"/>
      <c:layout>
        <c:manualLayout>
          <c:xMode val="edge"/>
          <c:yMode val="edge"/>
          <c:x val="0.43750847245588254"/>
          <c:y val="6.6671572595481616E-3"/>
          <c:w val="0.49452985778435843"/>
          <c:h val="0.258523957475579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76238845766762"/>
          <c:y val="7.8658915299139015E-2"/>
          <c:w val="0.80052916672112695"/>
          <c:h val="0.78778364853925964"/>
        </c:manualLayout>
      </c:layout>
      <c:scatterChart>
        <c:scatterStyle val="lineMarker"/>
        <c:varyColors val="0"/>
        <c:ser>
          <c:idx val="0"/>
          <c:order val="0"/>
          <c:tx>
            <c:strRef>
              <c:f>'T4'!$J$113</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'T4'!$I$114:$I$119</c:f>
              <c:numCache>
                <c:formatCode>General</c:formatCode>
                <c:ptCount val="6"/>
                <c:pt idx="0">
                  <c:v>0.34</c:v>
                </c:pt>
                <c:pt idx="1">
                  <c:v>0.64</c:v>
                </c:pt>
                <c:pt idx="2">
                  <c:v>0.9</c:v>
                </c:pt>
                <c:pt idx="3">
                  <c:v>1.1399999999999999</c:v>
                </c:pt>
                <c:pt idx="4">
                  <c:v>1.38</c:v>
                </c:pt>
                <c:pt idx="5">
                  <c:v>3</c:v>
                </c:pt>
              </c:numCache>
            </c:numRef>
          </c:xVal>
          <c:yVal>
            <c:numRef>
              <c:f>'T4'!$J$114:$J$119</c:f>
              <c:numCache>
                <c:formatCode>General</c:formatCode>
                <c:ptCount val="6"/>
                <c:pt idx="0">
                  <c:v>-18.350000000000001</c:v>
                </c:pt>
                <c:pt idx="1">
                  <c:v>-18.46</c:v>
                </c:pt>
                <c:pt idx="2">
                  <c:v>-18.78</c:v>
                </c:pt>
                <c:pt idx="3">
                  <c:v>-19.09</c:v>
                </c:pt>
                <c:pt idx="4">
                  <c:v>-19.64</c:v>
                </c:pt>
              </c:numCache>
            </c:numRef>
          </c:yVal>
          <c:smooth val="0"/>
          <c:extLst>
            <c:ext xmlns:c16="http://schemas.microsoft.com/office/drawing/2014/chart" uri="{C3380CC4-5D6E-409C-BE32-E72D297353CC}">
              <c16:uniqueId val="{00000000-5AAB-3E4B-BD70-B63466F70DED}"/>
            </c:ext>
          </c:extLst>
        </c:ser>
        <c:ser>
          <c:idx val="1"/>
          <c:order val="1"/>
          <c:tx>
            <c:strRef>
              <c:f>'T4'!$K$113</c:f>
              <c:strCache>
                <c:ptCount val="1"/>
                <c:pt idx="0">
                  <c:v>Femur</c:v>
                </c:pt>
              </c:strCache>
            </c:strRef>
          </c:tx>
          <c:spPr>
            <a:ln w="19050" cap="rnd">
              <a:noFill/>
              <a:round/>
            </a:ln>
            <a:effectLst/>
          </c:spPr>
          <c:marker>
            <c:symbol val="triangle"/>
            <c:size val="7"/>
            <c:spPr>
              <a:solidFill>
                <a:srgbClr val="92D050"/>
              </a:solidFill>
              <a:ln w="9525">
                <a:solidFill>
                  <a:srgbClr val="92D050"/>
                </a:solidFill>
              </a:ln>
              <a:effectLst/>
            </c:spPr>
          </c:marker>
          <c:xVal>
            <c:numRef>
              <c:f>'T4'!$I$114:$I$119</c:f>
              <c:numCache>
                <c:formatCode>General</c:formatCode>
                <c:ptCount val="6"/>
                <c:pt idx="0">
                  <c:v>0.34</c:v>
                </c:pt>
                <c:pt idx="1">
                  <c:v>0.64</c:v>
                </c:pt>
                <c:pt idx="2">
                  <c:v>0.9</c:v>
                </c:pt>
                <c:pt idx="3">
                  <c:v>1.1399999999999999</c:v>
                </c:pt>
                <c:pt idx="4">
                  <c:v>1.38</c:v>
                </c:pt>
                <c:pt idx="5">
                  <c:v>3</c:v>
                </c:pt>
              </c:numCache>
            </c:numRef>
          </c:xVal>
          <c:yVal>
            <c:numRef>
              <c:f>'T4'!$K$114:$K$119</c:f>
              <c:numCache>
                <c:formatCode>General</c:formatCode>
                <c:ptCount val="6"/>
                <c:pt idx="5">
                  <c:v>-19.13</c:v>
                </c:pt>
              </c:numCache>
            </c:numRef>
          </c:yVal>
          <c:smooth val="0"/>
          <c:extLst>
            <c:ext xmlns:c16="http://schemas.microsoft.com/office/drawing/2014/chart" uri="{C3380CC4-5D6E-409C-BE32-E72D297353CC}">
              <c16:uniqueId val="{00000001-5AAB-3E4B-BD70-B63466F70DED}"/>
            </c:ext>
          </c:extLst>
        </c:ser>
        <c:ser>
          <c:idx val="2"/>
          <c:order val="2"/>
          <c:tx>
            <c:strRef>
              <c:f>'T4'!$L$113</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'T4'!$I$114:$I$119</c:f>
              <c:numCache>
                <c:formatCode>General</c:formatCode>
                <c:ptCount val="6"/>
                <c:pt idx="0">
                  <c:v>0.34</c:v>
                </c:pt>
                <c:pt idx="1">
                  <c:v>0.64</c:v>
                </c:pt>
                <c:pt idx="2">
                  <c:v>0.9</c:v>
                </c:pt>
                <c:pt idx="3">
                  <c:v>1.1399999999999999</c:v>
                </c:pt>
                <c:pt idx="4">
                  <c:v>1.38</c:v>
                </c:pt>
                <c:pt idx="5">
                  <c:v>3</c:v>
                </c:pt>
              </c:numCache>
            </c:numRef>
          </c:xVal>
          <c:yVal>
            <c:numRef>
              <c:f>'T4'!$L$114:$L$119</c:f>
              <c:numCache>
                <c:formatCode>General</c:formatCode>
                <c:ptCount val="6"/>
                <c:pt idx="5">
                  <c:v>-19.399999999999999</c:v>
                </c:pt>
              </c:numCache>
            </c:numRef>
          </c:yVal>
          <c:smooth val="0"/>
          <c:extLst>
            <c:ext xmlns:c16="http://schemas.microsoft.com/office/drawing/2014/chart" uri="{C3380CC4-5D6E-409C-BE32-E72D297353CC}">
              <c16:uniqueId val="{00000002-5AAB-3E4B-BD70-B63466F70DED}"/>
            </c:ext>
          </c:extLst>
        </c:ser>
        <c:dLbls>
          <c:showLegendKey val="0"/>
          <c:showVal val="0"/>
          <c:showCatName val="0"/>
          <c:showSerName val="0"/>
          <c:showPercent val="0"/>
          <c:showBubbleSize val="0"/>
        </c:dLbls>
        <c:axId val="887163087"/>
        <c:axId val="887811071"/>
      </c:scatterChart>
      <c:valAx>
        <c:axId val="887163087"/>
        <c:scaling>
          <c:orientation val="minMax"/>
          <c:max val="3"/>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7811071"/>
        <c:crossesAt val="-20"/>
        <c:crossBetween val="midCat"/>
        <c:majorUnit val="1"/>
      </c:valAx>
      <c:valAx>
        <c:axId val="887811071"/>
        <c:scaling>
          <c:orientation val="minMax"/>
          <c:max val="-16"/>
          <c:min val="-2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(VPBD)</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7163087"/>
        <c:crossesAt val="0"/>
        <c:crossBetween val="midCat"/>
      </c:valAx>
      <c:spPr>
        <a:noFill/>
        <a:ln>
          <a:noFill/>
        </a:ln>
        <a:effectLst/>
      </c:spPr>
    </c:plotArea>
    <c:legend>
      <c:legendPos val="b"/>
      <c:layout>
        <c:manualLayout>
          <c:xMode val="edge"/>
          <c:yMode val="edge"/>
          <c:x val="0.4253507083253199"/>
          <c:y val="1.3417322834645637E-3"/>
          <c:w val="0.50263220298790612"/>
          <c:h val="0.218430405855131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71318006046019"/>
          <c:y val="6.407401574803151E-2"/>
          <c:w val="0.79980842446863931"/>
          <c:h val="0.77473309294282144"/>
        </c:manualLayout>
      </c:layout>
      <c:scatterChart>
        <c:scatterStyle val="lineMarker"/>
        <c:varyColors val="0"/>
        <c:ser>
          <c:idx val="0"/>
          <c:order val="0"/>
          <c:tx>
            <c:strRef>
              <c:f>'T4'!$F$127</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'T4'!$E$128:$E$134</c:f>
              <c:numCache>
                <c:formatCode>General</c:formatCode>
                <c:ptCount val="7"/>
                <c:pt idx="0">
                  <c:v>0.42</c:v>
                </c:pt>
                <c:pt idx="1">
                  <c:v>0.9</c:v>
                </c:pt>
                <c:pt idx="2">
                  <c:v>1.37</c:v>
                </c:pt>
                <c:pt idx="3">
                  <c:v>1.84</c:v>
                </c:pt>
                <c:pt idx="4">
                  <c:v>2.3199999999999998</c:v>
                </c:pt>
                <c:pt idx="5">
                  <c:v>3.02</c:v>
                </c:pt>
                <c:pt idx="6">
                  <c:v>3</c:v>
                </c:pt>
              </c:numCache>
            </c:numRef>
          </c:xVal>
          <c:yVal>
            <c:numRef>
              <c:f>'T4'!$F$128:$F$134</c:f>
              <c:numCache>
                <c:formatCode>General</c:formatCode>
                <c:ptCount val="7"/>
                <c:pt idx="0">
                  <c:v>16.05</c:v>
                </c:pt>
                <c:pt idx="1">
                  <c:v>15.31</c:v>
                </c:pt>
                <c:pt idx="2">
                  <c:v>13.91</c:v>
                </c:pt>
                <c:pt idx="3">
                  <c:v>13.54</c:v>
                </c:pt>
                <c:pt idx="4">
                  <c:v>13.4</c:v>
                </c:pt>
                <c:pt idx="5">
                  <c:v>12.81</c:v>
                </c:pt>
              </c:numCache>
            </c:numRef>
          </c:yVal>
          <c:smooth val="0"/>
          <c:extLst>
            <c:ext xmlns:c16="http://schemas.microsoft.com/office/drawing/2014/chart" uri="{C3380CC4-5D6E-409C-BE32-E72D297353CC}">
              <c16:uniqueId val="{00000000-47D2-BB48-A2BC-41D50CA8E3B8}"/>
            </c:ext>
          </c:extLst>
        </c:ser>
        <c:ser>
          <c:idx val="1"/>
          <c:order val="1"/>
          <c:tx>
            <c:strRef>
              <c:f>'T4'!$G$127</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'T4'!$E$128:$E$134</c:f>
              <c:numCache>
                <c:formatCode>General</c:formatCode>
                <c:ptCount val="7"/>
                <c:pt idx="0">
                  <c:v>0.42</c:v>
                </c:pt>
                <c:pt idx="1">
                  <c:v>0.9</c:v>
                </c:pt>
                <c:pt idx="2">
                  <c:v>1.37</c:v>
                </c:pt>
                <c:pt idx="3">
                  <c:v>1.84</c:v>
                </c:pt>
                <c:pt idx="4">
                  <c:v>2.3199999999999998</c:v>
                </c:pt>
                <c:pt idx="5">
                  <c:v>3.02</c:v>
                </c:pt>
                <c:pt idx="6">
                  <c:v>3</c:v>
                </c:pt>
              </c:numCache>
            </c:numRef>
          </c:xVal>
          <c:yVal>
            <c:numRef>
              <c:f>'T4'!$G$128:$G$134</c:f>
              <c:numCache>
                <c:formatCode>General</c:formatCode>
                <c:ptCount val="7"/>
                <c:pt idx="6">
                  <c:v>12.25</c:v>
                </c:pt>
              </c:numCache>
            </c:numRef>
          </c:yVal>
          <c:smooth val="0"/>
          <c:extLst>
            <c:ext xmlns:c16="http://schemas.microsoft.com/office/drawing/2014/chart" uri="{C3380CC4-5D6E-409C-BE32-E72D297353CC}">
              <c16:uniqueId val="{00000001-47D2-BB48-A2BC-41D50CA8E3B8}"/>
            </c:ext>
          </c:extLst>
        </c:ser>
        <c:ser>
          <c:idx val="2"/>
          <c:order val="2"/>
          <c:tx>
            <c:strRef>
              <c:f>'T4'!$H$127</c:f>
              <c:strCache>
                <c:ptCount val="1"/>
                <c:pt idx="0">
                  <c:v>Femur</c:v>
                </c:pt>
              </c:strCache>
            </c:strRef>
          </c:tx>
          <c:spPr>
            <a:ln w="19050" cap="rnd">
              <a:noFill/>
              <a:round/>
            </a:ln>
            <a:effectLst/>
          </c:spPr>
          <c:marker>
            <c:symbol val="triangle"/>
            <c:size val="7"/>
            <c:spPr>
              <a:solidFill>
                <a:srgbClr val="7030A0"/>
              </a:solidFill>
              <a:ln w="9525">
                <a:solidFill>
                  <a:srgbClr val="7030A0"/>
                </a:solidFill>
              </a:ln>
              <a:effectLst/>
            </c:spPr>
          </c:marker>
          <c:xVal>
            <c:numRef>
              <c:f>'T4'!$E$128:$E$134</c:f>
              <c:numCache>
                <c:formatCode>General</c:formatCode>
                <c:ptCount val="7"/>
                <c:pt idx="0">
                  <c:v>0.42</c:v>
                </c:pt>
                <c:pt idx="1">
                  <c:v>0.9</c:v>
                </c:pt>
                <c:pt idx="2">
                  <c:v>1.37</c:v>
                </c:pt>
                <c:pt idx="3">
                  <c:v>1.84</c:v>
                </c:pt>
                <c:pt idx="4">
                  <c:v>2.3199999999999998</c:v>
                </c:pt>
                <c:pt idx="5">
                  <c:v>3.02</c:v>
                </c:pt>
                <c:pt idx="6">
                  <c:v>3</c:v>
                </c:pt>
              </c:numCache>
            </c:numRef>
          </c:xVal>
          <c:yVal>
            <c:numRef>
              <c:f>'T4'!$H$128:$H$134</c:f>
              <c:numCache>
                <c:formatCode>General</c:formatCode>
                <c:ptCount val="7"/>
                <c:pt idx="6">
                  <c:v>13.74</c:v>
                </c:pt>
              </c:numCache>
            </c:numRef>
          </c:yVal>
          <c:smooth val="0"/>
          <c:extLst>
            <c:ext xmlns:c16="http://schemas.microsoft.com/office/drawing/2014/chart" uri="{C3380CC4-5D6E-409C-BE32-E72D297353CC}">
              <c16:uniqueId val="{00000002-47D2-BB48-A2BC-41D50CA8E3B8}"/>
            </c:ext>
          </c:extLst>
        </c:ser>
        <c:dLbls>
          <c:showLegendKey val="0"/>
          <c:showVal val="0"/>
          <c:showCatName val="0"/>
          <c:showSerName val="0"/>
          <c:showPercent val="0"/>
          <c:showBubbleSize val="0"/>
        </c:dLbls>
        <c:axId val="906382671"/>
        <c:axId val="778787135"/>
      </c:scatterChart>
      <c:valAx>
        <c:axId val="90638267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8787135"/>
        <c:crosses val="autoZero"/>
        <c:crossBetween val="midCat"/>
        <c:majorUnit val="1"/>
      </c:valAx>
      <c:valAx>
        <c:axId val="778787135"/>
        <c:scaling>
          <c:orientation val="minMax"/>
          <c:max val="17"/>
          <c:min val="12"/>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15</a:t>
                </a:r>
                <a:r>
                  <a:rPr lang="en-US" sz="700" b="0" i="0" baseline="0">
                    <a:effectLst/>
                  </a:rPr>
                  <a:t>N (AIR)</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06382671"/>
        <c:crosses val="autoZero"/>
        <c:crossBetween val="midCat"/>
      </c:valAx>
      <c:spPr>
        <a:noFill/>
        <a:ln>
          <a:noFill/>
        </a:ln>
        <a:effectLst/>
      </c:spPr>
    </c:plotArea>
    <c:legend>
      <c:legendPos val="b"/>
      <c:layout>
        <c:manualLayout>
          <c:xMode val="edge"/>
          <c:yMode val="edge"/>
          <c:x val="0.47984382530768943"/>
          <c:y val="1.7433070866141758E-3"/>
          <c:w val="0.46277822610328595"/>
          <c:h val="0.2518416988721715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582445648333"/>
          <c:y val="8.8574391957825238E-2"/>
          <c:w val="0.74596417091317624"/>
          <c:h val="0.75952727265288256"/>
        </c:manualLayout>
      </c:layout>
      <c:scatterChart>
        <c:scatterStyle val="lineMarker"/>
        <c:varyColors val="0"/>
        <c:ser>
          <c:idx val="0"/>
          <c:order val="0"/>
          <c:tx>
            <c:strRef>
              <c:f>Sheet4!$B$32</c:f>
              <c:strCache>
                <c:ptCount val="1"/>
                <c:pt idx="0">
                  <c:v>Delta 15N (‰)</c:v>
                </c:pt>
              </c:strCache>
            </c:strRef>
          </c:tx>
          <c:spPr>
            <a:ln w="19050" cap="rnd">
              <a:noFill/>
              <a:round/>
            </a:ln>
            <a:effectLst/>
          </c:spPr>
          <c:marker>
            <c:symbol val="diamond"/>
            <c:size val="7"/>
            <c:spPr>
              <a:solidFill>
                <a:srgbClr val="7030A0"/>
              </a:solidFill>
              <a:ln w="9525">
                <a:solidFill>
                  <a:srgbClr val="7030A0"/>
                </a:solidFill>
              </a:ln>
              <a:effectLst/>
            </c:spPr>
          </c:marker>
          <c:xVal>
            <c:numRef>
              <c:f>Sheet4!$A$33:$A$36</c:f>
              <c:numCache>
                <c:formatCode>General</c:formatCode>
                <c:ptCount val="4"/>
                <c:pt idx="0">
                  <c:v>2.81</c:v>
                </c:pt>
                <c:pt idx="1">
                  <c:v>4.0599999999999996</c:v>
                </c:pt>
                <c:pt idx="2">
                  <c:v>4.63</c:v>
                </c:pt>
                <c:pt idx="3">
                  <c:v>5.88</c:v>
                </c:pt>
              </c:numCache>
            </c:numRef>
          </c:xVal>
          <c:yVal>
            <c:numRef>
              <c:f>Sheet4!$B$33:$B$36</c:f>
              <c:numCache>
                <c:formatCode>General</c:formatCode>
                <c:ptCount val="4"/>
                <c:pt idx="0">
                  <c:v>11.42</c:v>
                </c:pt>
                <c:pt idx="1">
                  <c:v>10.57</c:v>
                </c:pt>
                <c:pt idx="2">
                  <c:v>10.41</c:v>
                </c:pt>
                <c:pt idx="3">
                  <c:v>10.33</c:v>
                </c:pt>
              </c:numCache>
            </c:numRef>
          </c:yVal>
          <c:smooth val="0"/>
          <c:extLst>
            <c:ext xmlns:c16="http://schemas.microsoft.com/office/drawing/2014/chart" uri="{C3380CC4-5D6E-409C-BE32-E72D297353CC}">
              <c16:uniqueId val="{00000000-798D-0A4E-AAA8-95D747B04C98}"/>
            </c:ext>
          </c:extLst>
        </c:ser>
        <c:dLbls>
          <c:showLegendKey val="0"/>
          <c:showVal val="0"/>
          <c:showCatName val="0"/>
          <c:showSerName val="0"/>
          <c:showPercent val="0"/>
          <c:showBubbleSize val="0"/>
        </c:dLbls>
        <c:axId val="1953461743"/>
        <c:axId val="1982307823"/>
      </c:scatterChart>
      <c:scatterChart>
        <c:scatterStyle val="lineMarker"/>
        <c:varyColors val="0"/>
        <c:ser>
          <c:idx val="1"/>
          <c:order val="1"/>
          <c:tx>
            <c:strRef>
              <c:f>Sheet4!$C$32</c:f>
              <c:strCache>
                <c:ptCount val="1"/>
                <c:pt idx="0">
                  <c:v>Delta 13C (‰)</c:v>
                </c:pt>
              </c:strCache>
            </c:strRef>
          </c:tx>
          <c:spPr>
            <a:ln w="19050" cap="rnd">
              <a:noFill/>
              <a:round/>
            </a:ln>
            <a:effectLst/>
          </c:spPr>
          <c:marker>
            <c:symbol val="square"/>
            <c:size val="7"/>
            <c:spPr>
              <a:noFill/>
              <a:ln w="22225">
                <a:solidFill>
                  <a:srgbClr val="92D050"/>
                </a:solidFill>
              </a:ln>
              <a:effectLst/>
            </c:spPr>
          </c:marker>
          <c:xVal>
            <c:numRef>
              <c:f>Sheet4!$A$33:$A$36</c:f>
              <c:numCache>
                <c:formatCode>General</c:formatCode>
                <c:ptCount val="4"/>
                <c:pt idx="0">
                  <c:v>2.81</c:v>
                </c:pt>
                <c:pt idx="1">
                  <c:v>4.0599999999999996</c:v>
                </c:pt>
                <c:pt idx="2">
                  <c:v>4.63</c:v>
                </c:pt>
                <c:pt idx="3">
                  <c:v>5.88</c:v>
                </c:pt>
              </c:numCache>
            </c:numRef>
          </c:xVal>
          <c:yVal>
            <c:numRef>
              <c:f>Sheet4!$C$33:$C$36</c:f>
              <c:numCache>
                <c:formatCode>General</c:formatCode>
                <c:ptCount val="4"/>
                <c:pt idx="0">
                  <c:v>-19.760000000000002</c:v>
                </c:pt>
                <c:pt idx="1">
                  <c:v>-19.78</c:v>
                </c:pt>
                <c:pt idx="2">
                  <c:v>-19.55</c:v>
                </c:pt>
                <c:pt idx="3">
                  <c:v>-19.489999999999998</c:v>
                </c:pt>
              </c:numCache>
            </c:numRef>
          </c:yVal>
          <c:smooth val="0"/>
          <c:extLst>
            <c:ext xmlns:c16="http://schemas.microsoft.com/office/drawing/2014/chart" uri="{C3380CC4-5D6E-409C-BE32-E72D297353CC}">
              <c16:uniqueId val="{00000001-798D-0A4E-AAA8-95D747B04C98}"/>
            </c:ext>
          </c:extLst>
        </c:ser>
        <c:dLbls>
          <c:showLegendKey val="0"/>
          <c:showVal val="0"/>
          <c:showCatName val="0"/>
          <c:showSerName val="0"/>
          <c:showPercent val="0"/>
          <c:showBubbleSize val="0"/>
        </c:dLbls>
        <c:axId val="1986671807"/>
        <c:axId val="1986257615"/>
      </c:scatterChart>
      <c:valAx>
        <c:axId val="195346174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82307823"/>
        <c:crosses val="autoZero"/>
        <c:crossBetween val="midCat"/>
        <c:majorUnit val="0.5"/>
      </c:valAx>
      <c:valAx>
        <c:axId val="1982307823"/>
        <c:scaling>
          <c:orientation val="minMax"/>
          <c:max val="13"/>
          <c:min val="1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(AIR)</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53461743"/>
        <c:crosses val="autoZero"/>
        <c:crossBetween val="midCat"/>
      </c:valAx>
      <c:valAx>
        <c:axId val="1986257615"/>
        <c:scaling>
          <c:orientation val="minMax"/>
          <c:max val="-17"/>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solidFill>
                      <a:schemeClr val="tx1">
                        <a:lumMod val="65000"/>
                        <a:lumOff val="35000"/>
                      </a:schemeClr>
                    </a:solidFill>
                    <a:effectLst/>
                    <a:latin typeface="+mn-lt"/>
                    <a:ea typeface="+mn-ea"/>
                    <a:cs typeface="+mn-cs"/>
                    <a:sym typeface="Symbol" pitchFamily="2" charset="2"/>
                  </a:rPr>
                  <a:t></a:t>
                </a:r>
                <a:r>
                  <a:rPr lang="en-US" sz="700" b="0" i="0" baseline="30000">
                    <a:solidFill>
                      <a:schemeClr val="tx1">
                        <a:lumMod val="65000"/>
                        <a:lumOff val="35000"/>
                      </a:schemeClr>
                    </a:solidFill>
                    <a:effectLst/>
                    <a:latin typeface="+mn-lt"/>
                    <a:ea typeface="+mn-ea"/>
                    <a:cs typeface="+mn-cs"/>
                  </a:rPr>
                  <a:t>13</a:t>
                </a:r>
                <a:r>
                  <a:rPr lang="en-US" sz="700" b="0" i="0" baseline="0">
                    <a:solidFill>
                      <a:schemeClr val="tx1">
                        <a:lumMod val="65000"/>
                        <a:lumOff val="35000"/>
                      </a:schemeClr>
                    </a:solidFill>
                    <a:effectLst/>
                    <a:latin typeface="+mn-lt"/>
                    <a:ea typeface="+mn-ea"/>
                    <a:cs typeface="+mn-cs"/>
                  </a:rPr>
                  <a:t>C (VPBD)</a:t>
                </a:r>
                <a:endParaRPr lang="en-CA" sz="700">
                  <a:solidFill>
                    <a:schemeClr val="tx1">
                      <a:lumMod val="65000"/>
                      <a:lumOff val="35000"/>
                    </a:schemeClr>
                  </a:solidFill>
                  <a:effectLst/>
                </a:endParaRPr>
              </a:p>
            </c:rich>
          </c:tx>
          <c:overlay val="0"/>
          <c:spPr>
            <a:solidFill>
              <a:schemeClr val="lt1"/>
            </a:solidFill>
            <a:ln w="12700" cap="flat" cmpd="sng" algn="ctr">
              <a:noFill/>
              <a:prstDash val="solid"/>
              <a:miter lim="800000"/>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86671807"/>
        <c:crosses val="max"/>
        <c:crossBetween val="midCat"/>
      </c:valAx>
      <c:valAx>
        <c:axId val="1986671807"/>
        <c:scaling>
          <c:orientation val="minMax"/>
        </c:scaling>
        <c:delete val="1"/>
        <c:axPos val="b"/>
        <c:numFmt formatCode="General" sourceLinked="1"/>
        <c:majorTickMark val="out"/>
        <c:minorTickMark val="none"/>
        <c:tickLblPos val="nextTo"/>
        <c:crossAx val="1986257615"/>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20664016476243"/>
          <c:y val="7.4814698162729648E-2"/>
          <c:w val="0.80231496436433702"/>
          <c:h val="0.76356405916550152"/>
        </c:manualLayout>
      </c:layout>
      <c:scatterChart>
        <c:scatterStyle val="lineMarker"/>
        <c:varyColors val="0"/>
        <c:ser>
          <c:idx val="0"/>
          <c:order val="0"/>
          <c:tx>
            <c:strRef>
              <c:f>'T4'!$J$127</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'T4'!$I$128:$I$134</c:f>
              <c:numCache>
                <c:formatCode>General</c:formatCode>
                <c:ptCount val="7"/>
                <c:pt idx="0">
                  <c:v>0.42</c:v>
                </c:pt>
                <c:pt idx="1">
                  <c:v>0.9</c:v>
                </c:pt>
                <c:pt idx="2">
                  <c:v>1.37</c:v>
                </c:pt>
                <c:pt idx="3">
                  <c:v>1.84</c:v>
                </c:pt>
                <c:pt idx="4">
                  <c:v>2.3199999999999998</c:v>
                </c:pt>
                <c:pt idx="5">
                  <c:v>3.02</c:v>
                </c:pt>
                <c:pt idx="6">
                  <c:v>3</c:v>
                </c:pt>
              </c:numCache>
            </c:numRef>
          </c:xVal>
          <c:yVal>
            <c:numRef>
              <c:f>'T4'!$J$128:$J$134</c:f>
              <c:numCache>
                <c:formatCode>General</c:formatCode>
                <c:ptCount val="7"/>
                <c:pt idx="0">
                  <c:v>-18.7</c:v>
                </c:pt>
                <c:pt idx="1">
                  <c:v>-18.75</c:v>
                </c:pt>
                <c:pt idx="2">
                  <c:v>-19.100000000000001</c:v>
                </c:pt>
                <c:pt idx="3">
                  <c:v>-19.12</c:v>
                </c:pt>
                <c:pt idx="4">
                  <c:v>-19.96</c:v>
                </c:pt>
                <c:pt idx="5">
                  <c:v>-19.579999999999998</c:v>
                </c:pt>
              </c:numCache>
            </c:numRef>
          </c:yVal>
          <c:smooth val="0"/>
          <c:extLst>
            <c:ext xmlns:c16="http://schemas.microsoft.com/office/drawing/2014/chart" uri="{C3380CC4-5D6E-409C-BE32-E72D297353CC}">
              <c16:uniqueId val="{00000000-506E-4E4D-8F14-A7487AA84C35}"/>
            </c:ext>
          </c:extLst>
        </c:ser>
        <c:ser>
          <c:idx val="1"/>
          <c:order val="1"/>
          <c:tx>
            <c:strRef>
              <c:f>'T4'!$K$127</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'T4'!$I$128:$I$134</c:f>
              <c:numCache>
                <c:formatCode>General</c:formatCode>
                <c:ptCount val="7"/>
                <c:pt idx="0">
                  <c:v>0.42</c:v>
                </c:pt>
                <c:pt idx="1">
                  <c:v>0.9</c:v>
                </c:pt>
                <c:pt idx="2">
                  <c:v>1.37</c:v>
                </c:pt>
                <c:pt idx="3">
                  <c:v>1.84</c:v>
                </c:pt>
                <c:pt idx="4">
                  <c:v>2.3199999999999998</c:v>
                </c:pt>
                <c:pt idx="5">
                  <c:v>3.02</c:v>
                </c:pt>
                <c:pt idx="6">
                  <c:v>3</c:v>
                </c:pt>
              </c:numCache>
            </c:numRef>
          </c:xVal>
          <c:yVal>
            <c:numRef>
              <c:f>'T4'!$K$128:$K$134</c:f>
              <c:numCache>
                <c:formatCode>General</c:formatCode>
                <c:ptCount val="7"/>
                <c:pt idx="6">
                  <c:v>-19.29</c:v>
                </c:pt>
              </c:numCache>
            </c:numRef>
          </c:yVal>
          <c:smooth val="0"/>
          <c:extLst>
            <c:ext xmlns:c16="http://schemas.microsoft.com/office/drawing/2014/chart" uri="{C3380CC4-5D6E-409C-BE32-E72D297353CC}">
              <c16:uniqueId val="{00000001-506E-4E4D-8F14-A7487AA84C35}"/>
            </c:ext>
          </c:extLst>
        </c:ser>
        <c:ser>
          <c:idx val="2"/>
          <c:order val="2"/>
          <c:tx>
            <c:strRef>
              <c:f>'T4'!$L$127</c:f>
              <c:strCache>
                <c:ptCount val="1"/>
                <c:pt idx="0">
                  <c:v>Femur</c:v>
                </c:pt>
              </c:strCache>
            </c:strRef>
          </c:tx>
          <c:spPr>
            <a:ln w="19050" cap="rnd">
              <a:noFill/>
              <a:round/>
            </a:ln>
            <a:effectLst/>
          </c:spPr>
          <c:marker>
            <c:symbol val="triangle"/>
            <c:size val="7"/>
            <c:spPr>
              <a:solidFill>
                <a:srgbClr val="92D050"/>
              </a:solidFill>
              <a:ln w="9525">
                <a:solidFill>
                  <a:srgbClr val="92D050"/>
                </a:solidFill>
              </a:ln>
              <a:effectLst/>
            </c:spPr>
          </c:marker>
          <c:xVal>
            <c:numRef>
              <c:f>'T4'!$I$128:$I$134</c:f>
              <c:numCache>
                <c:formatCode>General</c:formatCode>
                <c:ptCount val="7"/>
                <c:pt idx="0">
                  <c:v>0.42</c:v>
                </c:pt>
                <c:pt idx="1">
                  <c:v>0.9</c:v>
                </c:pt>
                <c:pt idx="2">
                  <c:v>1.37</c:v>
                </c:pt>
                <c:pt idx="3">
                  <c:v>1.84</c:v>
                </c:pt>
                <c:pt idx="4">
                  <c:v>2.3199999999999998</c:v>
                </c:pt>
                <c:pt idx="5">
                  <c:v>3.02</c:v>
                </c:pt>
                <c:pt idx="6">
                  <c:v>3</c:v>
                </c:pt>
              </c:numCache>
            </c:numRef>
          </c:xVal>
          <c:yVal>
            <c:numRef>
              <c:f>'T4'!$L$128:$L$134</c:f>
              <c:numCache>
                <c:formatCode>General</c:formatCode>
                <c:ptCount val="7"/>
                <c:pt idx="6">
                  <c:v>-18.170000000000002</c:v>
                </c:pt>
              </c:numCache>
            </c:numRef>
          </c:yVal>
          <c:smooth val="0"/>
          <c:extLst>
            <c:ext xmlns:c16="http://schemas.microsoft.com/office/drawing/2014/chart" uri="{C3380CC4-5D6E-409C-BE32-E72D297353CC}">
              <c16:uniqueId val="{00000002-506E-4E4D-8F14-A7487AA84C35}"/>
            </c:ext>
          </c:extLst>
        </c:ser>
        <c:dLbls>
          <c:showLegendKey val="0"/>
          <c:showVal val="0"/>
          <c:showCatName val="0"/>
          <c:showSerName val="0"/>
          <c:showPercent val="0"/>
          <c:showBubbleSize val="0"/>
        </c:dLbls>
        <c:axId val="870810927"/>
        <c:axId val="887228367"/>
      </c:scatterChart>
      <c:valAx>
        <c:axId val="87081092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7228367"/>
        <c:crossesAt val="-21"/>
        <c:crossBetween val="midCat"/>
        <c:majorUnit val="1"/>
      </c:valAx>
      <c:valAx>
        <c:axId val="887228367"/>
        <c:scaling>
          <c:orientation val="minMax"/>
          <c:max val="-16"/>
          <c:min val="-21"/>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(VPBD)</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0810927"/>
        <c:crosses val="autoZero"/>
        <c:crossBetween val="midCat"/>
      </c:valAx>
      <c:spPr>
        <a:noFill/>
        <a:ln>
          <a:noFill/>
        </a:ln>
        <a:effectLst/>
      </c:spPr>
    </c:plotArea>
    <c:legend>
      <c:legendPos val="b"/>
      <c:layout>
        <c:manualLayout>
          <c:xMode val="edge"/>
          <c:yMode val="edge"/>
          <c:x val="0.48709628631019186"/>
          <c:y val="3.763779527559058E-2"/>
          <c:w val="0.48938623008856169"/>
          <c:h val="0.178336854234684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3741706171012"/>
          <c:y val="0.125"/>
          <c:w val="0.77888780395659207"/>
          <c:h val="0.68443638831814912"/>
        </c:manualLayout>
      </c:layout>
      <c:scatterChart>
        <c:scatterStyle val="lineMarker"/>
        <c:varyColors val="0"/>
        <c:ser>
          <c:idx val="0"/>
          <c:order val="0"/>
          <c:tx>
            <c:strRef>
              <c:f>'T4'!$I$169</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'T4'!$H$170:$H$174</c:f>
              <c:numCache>
                <c:formatCode>General</c:formatCode>
                <c:ptCount val="5"/>
                <c:pt idx="0">
                  <c:v>0.67</c:v>
                </c:pt>
                <c:pt idx="1">
                  <c:v>1.25</c:v>
                </c:pt>
                <c:pt idx="2">
                  <c:v>1.82</c:v>
                </c:pt>
                <c:pt idx="3">
                  <c:v>2.8</c:v>
                </c:pt>
                <c:pt idx="4">
                  <c:v>4</c:v>
                </c:pt>
              </c:numCache>
            </c:numRef>
          </c:xVal>
          <c:yVal>
            <c:numRef>
              <c:f>'T4'!$I$170:$I$174</c:f>
              <c:numCache>
                <c:formatCode>General</c:formatCode>
                <c:ptCount val="5"/>
                <c:pt idx="0">
                  <c:v>-18.41</c:v>
                </c:pt>
                <c:pt idx="1">
                  <c:v>-19.309999999999999</c:v>
                </c:pt>
                <c:pt idx="2">
                  <c:v>-19.23</c:v>
                </c:pt>
                <c:pt idx="3">
                  <c:v>-19.62</c:v>
                </c:pt>
              </c:numCache>
            </c:numRef>
          </c:yVal>
          <c:smooth val="0"/>
          <c:extLst>
            <c:ext xmlns:c16="http://schemas.microsoft.com/office/drawing/2014/chart" uri="{C3380CC4-5D6E-409C-BE32-E72D297353CC}">
              <c16:uniqueId val="{00000000-BDAF-C74A-A37C-E912BF604DFC}"/>
            </c:ext>
          </c:extLst>
        </c:ser>
        <c:ser>
          <c:idx val="1"/>
          <c:order val="1"/>
          <c:tx>
            <c:strRef>
              <c:f>'T4'!$J$169</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'T4'!$H$170:$H$174</c:f>
              <c:numCache>
                <c:formatCode>General</c:formatCode>
                <c:ptCount val="5"/>
                <c:pt idx="0">
                  <c:v>0.67</c:v>
                </c:pt>
                <c:pt idx="1">
                  <c:v>1.25</c:v>
                </c:pt>
                <c:pt idx="2">
                  <c:v>1.82</c:v>
                </c:pt>
                <c:pt idx="3">
                  <c:v>2.8</c:v>
                </c:pt>
                <c:pt idx="4">
                  <c:v>4</c:v>
                </c:pt>
              </c:numCache>
            </c:numRef>
          </c:xVal>
          <c:yVal>
            <c:numRef>
              <c:f>'T4'!$J$170:$J$174</c:f>
              <c:numCache>
                <c:formatCode>General</c:formatCode>
                <c:ptCount val="5"/>
                <c:pt idx="4">
                  <c:v>-19.48</c:v>
                </c:pt>
              </c:numCache>
            </c:numRef>
          </c:yVal>
          <c:smooth val="0"/>
          <c:extLst>
            <c:ext xmlns:c16="http://schemas.microsoft.com/office/drawing/2014/chart" uri="{C3380CC4-5D6E-409C-BE32-E72D297353CC}">
              <c16:uniqueId val="{00000001-BDAF-C74A-A37C-E912BF604DFC}"/>
            </c:ext>
          </c:extLst>
        </c:ser>
        <c:dLbls>
          <c:showLegendKey val="0"/>
          <c:showVal val="0"/>
          <c:showCatName val="0"/>
          <c:showSerName val="0"/>
          <c:showPercent val="0"/>
          <c:showBubbleSize val="0"/>
        </c:dLbls>
        <c:axId val="847945935"/>
        <c:axId val="851079919"/>
      </c:scatterChart>
      <c:valAx>
        <c:axId val="847945935"/>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51079919"/>
        <c:crossesAt val="-20"/>
        <c:crossBetween val="midCat"/>
        <c:majorUnit val="1"/>
      </c:valAx>
      <c:valAx>
        <c:axId val="851079919"/>
        <c:scaling>
          <c:orientation val="minMax"/>
          <c:max val="-14"/>
          <c:min val="-2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(VPBD)</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47945935"/>
        <c:crosses val="autoZero"/>
        <c:crossBetween val="midCat"/>
      </c:valAx>
      <c:spPr>
        <a:noFill/>
        <a:ln>
          <a:noFill/>
        </a:ln>
        <a:effectLst/>
      </c:spPr>
    </c:plotArea>
    <c:legend>
      <c:legendPos val="b"/>
      <c:layout>
        <c:manualLayout>
          <c:xMode val="edge"/>
          <c:yMode val="edge"/>
          <c:x val="0.52557423089797672"/>
          <c:y val="3.7637795275590538E-2"/>
          <c:w val="0.41442463015460518"/>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1245091761659"/>
          <c:y val="0.125"/>
          <c:w val="0.77034597611266131"/>
          <c:h val="0.67775412971474125"/>
        </c:manualLayout>
      </c:layout>
      <c:scatterChart>
        <c:scatterStyle val="lineMarker"/>
        <c:varyColors val="0"/>
        <c:ser>
          <c:idx val="0"/>
          <c:order val="0"/>
          <c:tx>
            <c:strRef>
              <c:f>'T4'!$F$169</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'T4'!$E$170:$E$174</c:f>
              <c:numCache>
                <c:formatCode>General</c:formatCode>
                <c:ptCount val="5"/>
                <c:pt idx="0">
                  <c:v>0.67</c:v>
                </c:pt>
                <c:pt idx="1">
                  <c:v>1.25</c:v>
                </c:pt>
                <c:pt idx="2">
                  <c:v>1.82</c:v>
                </c:pt>
                <c:pt idx="3">
                  <c:v>2.8</c:v>
                </c:pt>
                <c:pt idx="4">
                  <c:v>4</c:v>
                </c:pt>
              </c:numCache>
            </c:numRef>
          </c:xVal>
          <c:yVal>
            <c:numRef>
              <c:f>'T4'!$F$170:$F$174</c:f>
              <c:numCache>
                <c:formatCode>General</c:formatCode>
                <c:ptCount val="5"/>
                <c:pt idx="0">
                  <c:v>13.66</c:v>
                </c:pt>
                <c:pt idx="1">
                  <c:v>11.13</c:v>
                </c:pt>
                <c:pt idx="2">
                  <c:v>10.97</c:v>
                </c:pt>
                <c:pt idx="3">
                  <c:v>10.029999999999999</c:v>
                </c:pt>
              </c:numCache>
            </c:numRef>
          </c:yVal>
          <c:smooth val="0"/>
          <c:extLst>
            <c:ext xmlns:c16="http://schemas.microsoft.com/office/drawing/2014/chart" uri="{C3380CC4-5D6E-409C-BE32-E72D297353CC}">
              <c16:uniqueId val="{00000000-42B4-1948-947F-DAC2A15FC162}"/>
            </c:ext>
          </c:extLst>
        </c:ser>
        <c:ser>
          <c:idx val="1"/>
          <c:order val="1"/>
          <c:tx>
            <c:strRef>
              <c:f>'T4'!$G$169</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'T4'!$E$170:$E$174</c:f>
              <c:numCache>
                <c:formatCode>General</c:formatCode>
                <c:ptCount val="5"/>
                <c:pt idx="0">
                  <c:v>0.67</c:v>
                </c:pt>
                <c:pt idx="1">
                  <c:v>1.25</c:v>
                </c:pt>
                <c:pt idx="2">
                  <c:v>1.82</c:v>
                </c:pt>
                <c:pt idx="3">
                  <c:v>2.8</c:v>
                </c:pt>
                <c:pt idx="4">
                  <c:v>4</c:v>
                </c:pt>
              </c:numCache>
            </c:numRef>
          </c:xVal>
          <c:yVal>
            <c:numRef>
              <c:f>'T4'!$G$170:$G$174</c:f>
              <c:numCache>
                <c:formatCode>General</c:formatCode>
                <c:ptCount val="5"/>
                <c:pt idx="4">
                  <c:v>9.2799999999999994</c:v>
                </c:pt>
              </c:numCache>
            </c:numRef>
          </c:yVal>
          <c:smooth val="0"/>
          <c:extLst>
            <c:ext xmlns:c16="http://schemas.microsoft.com/office/drawing/2014/chart" uri="{C3380CC4-5D6E-409C-BE32-E72D297353CC}">
              <c16:uniqueId val="{00000001-42B4-1948-947F-DAC2A15FC162}"/>
            </c:ext>
          </c:extLst>
        </c:ser>
        <c:dLbls>
          <c:showLegendKey val="0"/>
          <c:showVal val="0"/>
          <c:showCatName val="0"/>
          <c:showSerName val="0"/>
          <c:showPercent val="0"/>
          <c:showBubbleSize val="0"/>
        </c:dLbls>
        <c:axId val="882576191"/>
        <c:axId val="774149855"/>
      </c:scatterChart>
      <c:valAx>
        <c:axId val="88257619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4149855"/>
        <c:crosses val="autoZero"/>
        <c:crossBetween val="midCat"/>
        <c:majorUnit val="1"/>
      </c:valAx>
      <c:valAx>
        <c:axId val="774149855"/>
        <c:scaling>
          <c:orientation val="minMax"/>
          <c:min val="8"/>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15</a:t>
                </a:r>
                <a:r>
                  <a:rPr lang="en-US" sz="700" b="0" i="0" u="none" strike="noStrike" baseline="0">
                    <a:effectLst/>
                  </a:rPr>
                  <a:t>N (AIR)</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2576191"/>
        <c:crosses val="autoZero"/>
        <c:crossBetween val="midCat"/>
      </c:valAx>
      <c:spPr>
        <a:noFill/>
        <a:ln>
          <a:noFill/>
        </a:ln>
        <a:effectLst/>
      </c:spPr>
    </c:plotArea>
    <c:legend>
      <c:legendPos val="b"/>
      <c:layout>
        <c:manualLayout>
          <c:xMode val="edge"/>
          <c:yMode val="edge"/>
          <c:x val="0.42746002225114355"/>
          <c:y val="7.9304203245893962E-2"/>
          <c:w val="0.45258936917591597"/>
          <c:h val="0.124878785407420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43109722738297"/>
          <c:y val="5.0926176827295187E-2"/>
          <c:w val="0.79166590422343774"/>
          <c:h val="0.78855721539480461"/>
        </c:manualLayout>
      </c:layout>
      <c:scatterChart>
        <c:scatterStyle val="lineMarker"/>
        <c:varyColors val="0"/>
        <c:ser>
          <c:idx val="0"/>
          <c:order val="0"/>
          <c:tx>
            <c:strRef>
              <c:f>'T4'!$J$177</c:f>
              <c:strCache>
                <c:ptCount val="1"/>
                <c:pt idx="0">
                  <c:v>Dentine</c:v>
                </c:pt>
              </c:strCache>
            </c:strRef>
          </c:tx>
          <c:spPr>
            <a:ln w="19050" cap="rnd">
              <a:noFill/>
              <a:round/>
            </a:ln>
            <a:effectLst/>
          </c:spPr>
          <c:marker>
            <c:symbol val="circle"/>
            <c:size val="7"/>
            <c:spPr>
              <a:solidFill>
                <a:srgbClr val="92D050"/>
              </a:solidFill>
              <a:ln w="9525">
                <a:solidFill>
                  <a:srgbClr val="92D050"/>
                </a:solidFill>
              </a:ln>
              <a:effectLst/>
            </c:spPr>
          </c:marker>
          <c:xVal>
            <c:numRef>
              <c:f>'T4'!$I$178:$I$182</c:f>
              <c:numCache>
                <c:formatCode>General</c:formatCode>
                <c:ptCount val="5"/>
                <c:pt idx="0">
                  <c:v>0.52</c:v>
                </c:pt>
                <c:pt idx="1">
                  <c:v>1.2</c:v>
                </c:pt>
                <c:pt idx="2">
                  <c:v>2.04</c:v>
                </c:pt>
                <c:pt idx="3">
                  <c:v>3.01</c:v>
                </c:pt>
                <c:pt idx="4">
                  <c:v>7.5</c:v>
                </c:pt>
              </c:numCache>
            </c:numRef>
          </c:xVal>
          <c:yVal>
            <c:numRef>
              <c:f>'T4'!$J$178:$J$182</c:f>
              <c:numCache>
                <c:formatCode>General</c:formatCode>
                <c:ptCount val="5"/>
                <c:pt idx="0">
                  <c:v>-17.53</c:v>
                </c:pt>
                <c:pt idx="1">
                  <c:v>-17.399999999999999</c:v>
                </c:pt>
                <c:pt idx="2">
                  <c:v>-17.98</c:v>
                </c:pt>
                <c:pt idx="3">
                  <c:v>-19.38</c:v>
                </c:pt>
              </c:numCache>
            </c:numRef>
          </c:yVal>
          <c:smooth val="0"/>
          <c:extLst>
            <c:ext xmlns:c16="http://schemas.microsoft.com/office/drawing/2014/chart" uri="{C3380CC4-5D6E-409C-BE32-E72D297353CC}">
              <c16:uniqueId val="{00000000-9A35-F744-88BB-05EF1EC40684}"/>
            </c:ext>
          </c:extLst>
        </c:ser>
        <c:ser>
          <c:idx val="1"/>
          <c:order val="1"/>
          <c:tx>
            <c:strRef>
              <c:f>'T4'!$K$177</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'T4'!$I$178:$I$182</c:f>
              <c:numCache>
                <c:formatCode>General</c:formatCode>
                <c:ptCount val="5"/>
                <c:pt idx="0">
                  <c:v>0.52</c:v>
                </c:pt>
                <c:pt idx="1">
                  <c:v>1.2</c:v>
                </c:pt>
                <c:pt idx="2">
                  <c:v>2.04</c:v>
                </c:pt>
                <c:pt idx="3">
                  <c:v>3.01</c:v>
                </c:pt>
                <c:pt idx="4">
                  <c:v>7.5</c:v>
                </c:pt>
              </c:numCache>
            </c:numRef>
          </c:xVal>
          <c:yVal>
            <c:numRef>
              <c:f>'T4'!$K$178:$K$182</c:f>
              <c:numCache>
                <c:formatCode>General</c:formatCode>
                <c:ptCount val="5"/>
                <c:pt idx="4">
                  <c:v>-19.48</c:v>
                </c:pt>
              </c:numCache>
            </c:numRef>
          </c:yVal>
          <c:smooth val="0"/>
          <c:extLst>
            <c:ext xmlns:c16="http://schemas.microsoft.com/office/drawing/2014/chart" uri="{C3380CC4-5D6E-409C-BE32-E72D297353CC}">
              <c16:uniqueId val="{00000001-9A35-F744-88BB-05EF1EC40684}"/>
            </c:ext>
          </c:extLst>
        </c:ser>
        <c:ser>
          <c:idx val="2"/>
          <c:order val="2"/>
          <c:tx>
            <c:strRef>
              <c:f>'T4'!$L$177</c:f>
              <c:strCache>
                <c:ptCount val="1"/>
                <c:pt idx="0">
                  <c:v>Femur</c:v>
                </c:pt>
              </c:strCache>
            </c:strRef>
          </c:tx>
          <c:spPr>
            <a:ln w="19050" cap="rnd">
              <a:noFill/>
              <a:round/>
            </a:ln>
            <a:effectLst/>
          </c:spPr>
          <c:marker>
            <c:symbol val="triangle"/>
            <c:size val="7"/>
            <c:spPr>
              <a:solidFill>
                <a:srgbClr val="92D050"/>
              </a:solidFill>
              <a:ln w="9525">
                <a:solidFill>
                  <a:srgbClr val="92D050"/>
                </a:solidFill>
              </a:ln>
              <a:effectLst/>
            </c:spPr>
          </c:marker>
          <c:xVal>
            <c:numRef>
              <c:f>'T4'!$I$178:$I$182</c:f>
              <c:numCache>
                <c:formatCode>General</c:formatCode>
                <c:ptCount val="5"/>
                <c:pt idx="0">
                  <c:v>0.52</c:v>
                </c:pt>
                <c:pt idx="1">
                  <c:v>1.2</c:v>
                </c:pt>
                <c:pt idx="2">
                  <c:v>2.04</c:v>
                </c:pt>
                <c:pt idx="3">
                  <c:v>3.01</c:v>
                </c:pt>
                <c:pt idx="4">
                  <c:v>7.5</c:v>
                </c:pt>
              </c:numCache>
            </c:numRef>
          </c:xVal>
          <c:yVal>
            <c:numRef>
              <c:f>'T4'!$L$178:$L$182</c:f>
              <c:numCache>
                <c:formatCode>General</c:formatCode>
                <c:ptCount val="5"/>
                <c:pt idx="4">
                  <c:v>-19.13</c:v>
                </c:pt>
              </c:numCache>
            </c:numRef>
          </c:yVal>
          <c:smooth val="0"/>
          <c:extLst>
            <c:ext xmlns:c16="http://schemas.microsoft.com/office/drawing/2014/chart" uri="{C3380CC4-5D6E-409C-BE32-E72D297353CC}">
              <c16:uniqueId val="{00000002-9A35-F744-88BB-05EF1EC40684}"/>
            </c:ext>
          </c:extLst>
        </c:ser>
        <c:dLbls>
          <c:showLegendKey val="0"/>
          <c:showVal val="0"/>
          <c:showCatName val="0"/>
          <c:showSerName val="0"/>
          <c:showPercent val="0"/>
          <c:showBubbleSize val="0"/>
        </c:dLbls>
        <c:axId val="800848207"/>
        <c:axId val="906185231"/>
      </c:scatterChart>
      <c:valAx>
        <c:axId val="80084820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06185231"/>
        <c:crossesAt val="-20"/>
        <c:crossBetween val="midCat"/>
        <c:majorUnit val="1"/>
      </c:valAx>
      <c:valAx>
        <c:axId val="906185231"/>
        <c:scaling>
          <c:orientation val="minMax"/>
          <c:max val="-13"/>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(VPBD)</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00848207"/>
        <c:crosses val="autoZero"/>
        <c:crossBetween val="midCat"/>
      </c:valAx>
      <c:spPr>
        <a:noFill/>
        <a:ln>
          <a:noFill/>
        </a:ln>
        <a:effectLst/>
      </c:spPr>
    </c:plotArea>
    <c:legend>
      <c:legendPos val="b"/>
      <c:layout>
        <c:manualLayout>
          <c:xMode val="edge"/>
          <c:yMode val="edge"/>
          <c:x val="0.54898404501342435"/>
          <c:y val="3.3008252852456253E-2"/>
          <c:w val="0.42749863534653865"/>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49231363864673"/>
          <c:y val="5.0926176827295187E-2"/>
          <c:w val="0.80702929089045283"/>
          <c:h val="0.79857296342630069"/>
        </c:manualLayout>
      </c:layout>
      <c:scatterChart>
        <c:scatterStyle val="lineMarker"/>
        <c:varyColors val="0"/>
        <c:ser>
          <c:idx val="0"/>
          <c:order val="0"/>
          <c:tx>
            <c:strRef>
              <c:f>'T4'!$F$177</c:f>
              <c:strCache>
                <c:ptCount val="1"/>
                <c:pt idx="0">
                  <c:v>Dentine</c:v>
                </c:pt>
              </c:strCache>
            </c:strRef>
          </c:tx>
          <c:spPr>
            <a:ln w="19050" cap="rnd">
              <a:noFill/>
              <a:round/>
            </a:ln>
            <a:effectLst/>
          </c:spPr>
          <c:marker>
            <c:symbol val="circle"/>
            <c:size val="7"/>
            <c:spPr>
              <a:solidFill>
                <a:srgbClr val="7030A0"/>
              </a:solidFill>
              <a:ln w="9525">
                <a:solidFill>
                  <a:srgbClr val="7030A0"/>
                </a:solidFill>
              </a:ln>
              <a:effectLst/>
            </c:spPr>
          </c:marker>
          <c:xVal>
            <c:numRef>
              <c:f>'T4'!$E$178:$E$182</c:f>
              <c:numCache>
                <c:formatCode>General</c:formatCode>
                <c:ptCount val="5"/>
                <c:pt idx="0">
                  <c:v>0.52</c:v>
                </c:pt>
                <c:pt idx="1">
                  <c:v>1.2</c:v>
                </c:pt>
                <c:pt idx="2">
                  <c:v>2.04</c:v>
                </c:pt>
                <c:pt idx="3">
                  <c:v>3.01</c:v>
                </c:pt>
                <c:pt idx="4">
                  <c:v>7.5</c:v>
                </c:pt>
              </c:numCache>
            </c:numRef>
          </c:xVal>
          <c:yVal>
            <c:numRef>
              <c:f>'T4'!$F$178:$F$182</c:f>
              <c:numCache>
                <c:formatCode>General</c:formatCode>
                <c:ptCount val="5"/>
                <c:pt idx="0">
                  <c:v>12.72</c:v>
                </c:pt>
                <c:pt idx="1">
                  <c:v>14.02</c:v>
                </c:pt>
                <c:pt idx="2">
                  <c:v>13.28</c:v>
                </c:pt>
                <c:pt idx="3">
                  <c:v>12.25</c:v>
                </c:pt>
              </c:numCache>
            </c:numRef>
          </c:yVal>
          <c:smooth val="0"/>
          <c:extLst>
            <c:ext xmlns:c16="http://schemas.microsoft.com/office/drawing/2014/chart" uri="{C3380CC4-5D6E-409C-BE32-E72D297353CC}">
              <c16:uniqueId val="{00000000-89D7-2D42-82A9-7BCCF45BCA5C}"/>
            </c:ext>
          </c:extLst>
        </c:ser>
        <c:ser>
          <c:idx val="1"/>
          <c:order val="1"/>
          <c:tx>
            <c:strRef>
              <c:f>'T4'!$G$177</c:f>
              <c:strCache>
                <c:ptCount val="1"/>
                <c:pt idx="0">
                  <c:v>Ribs</c:v>
                </c:pt>
              </c:strCache>
            </c:strRef>
          </c:tx>
          <c:spPr>
            <a:ln w="19050" cap="rnd">
              <a:noFill/>
              <a:round/>
            </a:ln>
            <a:effectLst/>
          </c:spPr>
          <c:marker>
            <c:symbol val="square"/>
            <c:size val="7"/>
            <c:spPr>
              <a:noFill/>
              <a:ln w="12700">
                <a:solidFill>
                  <a:srgbClr val="7030A0"/>
                </a:solidFill>
              </a:ln>
              <a:effectLst/>
            </c:spPr>
          </c:marker>
          <c:xVal>
            <c:numRef>
              <c:f>'T4'!$E$178:$E$182</c:f>
              <c:numCache>
                <c:formatCode>General</c:formatCode>
                <c:ptCount val="5"/>
                <c:pt idx="0">
                  <c:v>0.52</c:v>
                </c:pt>
                <c:pt idx="1">
                  <c:v>1.2</c:v>
                </c:pt>
                <c:pt idx="2">
                  <c:v>2.04</c:v>
                </c:pt>
                <c:pt idx="3">
                  <c:v>3.01</c:v>
                </c:pt>
                <c:pt idx="4">
                  <c:v>7.5</c:v>
                </c:pt>
              </c:numCache>
            </c:numRef>
          </c:xVal>
          <c:yVal>
            <c:numRef>
              <c:f>'T4'!$G$178:$G$182</c:f>
              <c:numCache>
                <c:formatCode>General</c:formatCode>
                <c:ptCount val="5"/>
                <c:pt idx="4">
                  <c:v>8.99</c:v>
                </c:pt>
              </c:numCache>
            </c:numRef>
          </c:yVal>
          <c:smooth val="0"/>
          <c:extLst>
            <c:ext xmlns:c16="http://schemas.microsoft.com/office/drawing/2014/chart" uri="{C3380CC4-5D6E-409C-BE32-E72D297353CC}">
              <c16:uniqueId val="{00000001-89D7-2D42-82A9-7BCCF45BCA5C}"/>
            </c:ext>
          </c:extLst>
        </c:ser>
        <c:ser>
          <c:idx val="2"/>
          <c:order val="2"/>
          <c:tx>
            <c:strRef>
              <c:f>'T4'!$H$177</c:f>
              <c:strCache>
                <c:ptCount val="1"/>
                <c:pt idx="0">
                  <c:v>Femur</c:v>
                </c:pt>
              </c:strCache>
            </c:strRef>
          </c:tx>
          <c:spPr>
            <a:ln w="19050" cap="rnd">
              <a:noFill/>
              <a:round/>
            </a:ln>
            <a:effectLst/>
          </c:spPr>
          <c:marker>
            <c:symbol val="triangle"/>
            <c:size val="7"/>
            <c:spPr>
              <a:solidFill>
                <a:srgbClr val="7030A0"/>
              </a:solidFill>
              <a:ln w="9525">
                <a:solidFill>
                  <a:srgbClr val="7030A0"/>
                </a:solidFill>
              </a:ln>
              <a:effectLst/>
            </c:spPr>
          </c:marker>
          <c:xVal>
            <c:numRef>
              <c:f>'T4'!$E$178:$E$182</c:f>
              <c:numCache>
                <c:formatCode>General</c:formatCode>
                <c:ptCount val="5"/>
                <c:pt idx="0">
                  <c:v>0.52</c:v>
                </c:pt>
                <c:pt idx="1">
                  <c:v>1.2</c:v>
                </c:pt>
                <c:pt idx="2">
                  <c:v>2.04</c:v>
                </c:pt>
                <c:pt idx="3">
                  <c:v>3.01</c:v>
                </c:pt>
                <c:pt idx="4">
                  <c:v>7.5</c:v>
                </c:pt>
              </c:numCache>
            </c:numRef>
          </c:xVal>
          <c:yVal>
            <c:numRef>
              <c:f>'T4'!$H$178:$H$182</c:f>
              <c:numCache>
                <c:formatCode>General</c:formatCode>
                <c:ptCount val="5"/>
                <c:pt idx="4">
                  <c:v>8.74</c:v>
                </c:pt>
              </c:numCache>
            </c:numRef>
          </c:yVal>
          <c:smooth val="0"/>
          <c:extLst>
            <c:ext xmlns:c16="http://schemas.microsoft.com/office/drawing/2014/chart" uri="{C3380CC4-5D6E-409C-BE32-E72D297353CC}">
              <c16:uniqueId val="{00000002-89D7-2D42-82A9-7BCCF45BCA5C}"/>
            </c:ext>
          </c:extLst>
        </c:ser>
        <c:dLbls>
          <c:showLegendKey val="0"/>
          <c:showVal val="0"/>
          <c:showCatName val="0"/>
          <c:showSerName val="0"/>
          <c:showPercent val="0"/>
          <c:showBubbleSize val="0"/>
        </c:dLbls>
        <c:axId val="391558447"/>
        <c:axId val="888377311"/>
      </c:scatterChart>
      <c:valAx>
        <c:axId val="39155844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8377311"/>
        <c:crosses val="autoZero"/>
        <c:crossBetween val="midCat"/>
        <c:majorUnit val="1"/>
      </c:valAx>
      <c:valAx>
        <c:axId val="888377311"/>
        <c:scaling>
          <c:orientation val="minMax"/>
          <c:min val="8"/>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15</a:t>
                </a:r>
                <a:r>
                  <a:rPr lang="en-US" sz="700" b="0" i="0" baseline="0">
                    <a:effectLst/>
                  </a:rPr>
                  <a:t>N (AIR)</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91558447"/>
        <c:crosses val="autoZero"/>
        <c:crossBetween val="midCat"/>
      </c:valAx>
      <c:spPr>
        <a:noFill/>
        <a:ln>
          <a:noFill/>
        </a:ln>
        <a:effectLst/>
      </c:spPr>
    </c:plotArea>
    <c:legend>
      <c:legendPos val="b"/>
      <c:layout>
        <c:manualLayout>
          <c:xMode val="edge"/>
          <c:yMode val="edge"/>
          <c:x val="0.5007151758907834"/>
          <c:y val="4.3795628119154668E-2"/>
          <c:w val="0.47266980116694046"/>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60532266286253"/>
          <c:y val="8.0502362204724426E-2"/>
          <c:w val="0.79549816173381471"/>
          <c:h val="0.76021102362204729"/>
        </c:manualLayout>
      </c:layout>
      <c:scatterChart>
        <c:scatterStyle val="lineMarker"/>
        <c:varyColors val="0"/>
        <c:ser>
          <c:idx val="0"/>
          <c:order val="0"/>
          <c:tx>
            <c:strRef>
              <c:f>'T4'!$E$199</c:f>
              <c:strCache>
                <c:ptCount val="1"/>
                <c:pt idx="0">
                  <c:v>Dentine </c:v>
                </c:pt>
              </c:strCache>
            </c:strRef>
          </c:tx>
          <c:spPr>
            <a:ln w="19050" cap="rnd">
              <a:noFill/>
              <a:round/>
            </a:ln>
            <a:effectLst/>
          </c:spPr>
          <c:marker>
            <c:symbol val="circle"/>
            <c:size val="7"/>
            <c:spPr>
              <a:solidFill>
                <a:srgbClr val="7030A0"/>
              </a:solidFill>
              <a:ln w="9525">
                <a:solidFill>
                  <a:srgbClr val="7030A0"/>
                </a:solidFill>
              </a:ln>
              <a:effectLst/>
            </c:spPr>
          </c:marker>
          <c:xVal>
            <c:numRef>
              <c:f>'T4'!$D$200:$D$207</c:f>
              <c:numCache>
                <c:formatCode>General</c:formatCode>
                <c:ptCount val="8"/>
                <c:pt idx="0">
                  <c:v>1.95</c:v>
                </c:pt>
                <c:pt idx="1">
                  <c:v>2.8</c:v>
                </c:pt>
                <c:pt idx="2">
                  <c:v>3.6</c:v>
                </c:pt>
                <c:pt idx="3">
                  <c:v>4.63</c:v>
                </c:pt>
                <c:pt idx="4">
                  <c:v>5.88</c:v>
                </c:pt>
                <c:pt idx="5">
                  <c:v>7.13</c:v>
                </c:pt>
                <c:pt idx="6">
                  <c:v>8.3800000000000008</c:v>
                </c:pt>
                <c:pt idx="7">
                  <c:v>9</c:v>
                </c:pt>
              </c:numCache>
            </c:numRef>
          </c:xVal>
          <c:yVal>
            <c:numRef>
              <c:f>'T4'!$E$200:$E$207</c:f>
              <c:numCache>
                <c:formatCode>General</c:formatCode>
                <c:ptCount val="8"/>
                <c:pt idx="0">
                  <c:v>11.94</c:v>
                </c:pt>
                <c:pt idx="1">
                  <c:v>10.050000000000001</c:v>
                </c:pt>
                <c:pt idx="2">
                  <c:v>9.7799999999999994</c:v>
                </c:pt>
                <c:pt idx="3">
                  <c:v>9.64</c:v>
                </c:pt>
                <c:pt idx="4">
                  <c:v>9.44</c:v>
                </c:pt>
                <c:pt idx="5">
                  <c:v>10.19</c:v>
                </c:pt>
                <c:pt idx="6">
                  <c:v>10.23</c:v>
                </c:pt>
              </c:numCache>
            </c:numRef>
          </c:yVal>
          <c:smooth val="0"/>
          <c:extLst>
            <c:ext xmlns:c16="http://schemas.microsoft.com/office/drawing/2014/chart" uri="{C3380CC4-5D6E-409C-BE32-E72D297353CC}">
              <c16:uniqueId val="{00000000-5E16-584D-98F4-DC98CFC2420B}"/>
            </c:ext>
          </c:extLst>
        </c:ser>
        <c:ser>
          <c:idx val="1"/>
          <c:order val="1"/>
          <c:tx>
            <c:strRef>
              <c:f>'T4'!$F$199</c:f>
              <c:strCache>
                <c:ptCount val="1"/>
                <c:pt idx="0">
                  <c:v>Ribs</c:v>
                </c:pt>
              </c:strCache>
            </c:strRef>
          </c:tx>
          <c:spPr>
            <a:ln w="19050" cap="rnd">
              <a:noFill/>
              <a:round/>
            </a:ln>
            <a:effectLst/>
          </c:spPr>
          <c:marker>
            <c:symbol val="square"/>
            <c:size val="7"/>
            <c:spPr>
              <a:noFill/>
              <a:ln w="12700">
                <a:solidFill>
                  <a:srgbClr val="002060"/>
                </a:solidFill>
              </a:ln>
              <a:effectLst/>
            </c:spPr>
          </c:marker>
          <c:xVal>
            <c:numRef>
              <c:f>'T4'!$D$200:$D$207</c:f>
              <c:numCache>
                <c:formatCode>General</c:formatCode>
                <c:ptCount val="8"/>
                <c:pt idx="0">
                  <c:v>1.95</c:v>
                </c:pt>
                <c:pt idx="1">
                  <c:v>2.8</c:v>
                </c:pt>
                <c:pt idx="2">
                  <c:v>3.6</c:v>
                </c:pt>
                <c:pt idx="3">
                  <c:v>4.63</c:v>
                </c:pt>
                <c:pt idx="4">
                  <c:v>5.88</c:v>
                </c:pt>
                <c:pt idx="5">
                  <c:v>7.13</c:v>
                </c:pt>
                <c:pt idx="6">
                  <c:v>8.3800000000000008</c:v>
                </c:pt>
                <c:pt idx="7">
                  <c:v>9</c:v>
                </c:pt>
              </c:numCache>
            </c:numRef>
          </c:xVal>
          <c:yVal>
            <c:numRef>
              <c:f>'T4'!$F$200:$F$207</c:f>
              <c:numCache>
                <c:formatCode>General</c:formatCode>
                <c:ptCount val="8"/>
                <c:pt idx="7">
                  <c:v>9.56</c:v>
                </c:pt>
              </c:numCache>
            </c:numRef>
          </c:yVal>
          <c:smooth val="0"/>
          <c:extLst>
            <c:ext xmlns:c16="http://schemas.microsoft.com/office/drawing/2014/chart" uri="{C3380CC4-5D6E-409C-BE32-E72D297353CC}">
              <c16:uniqueId val="{00000001-5E16-584D-98F4-DC98CFC2420B}"/>
            </c:ext>
          </c:extLst>
        </c:ser>
        <c:ser>
          <c:idx val="2"/>
          <c:order val="2"/>
          <c:tx>
            <c:strRef>
              <c:f>'T4'!$G$199</c:f>
              <c:strCache>
                <c:ptCount val="1"/>
                <c:pt idx="0">
                  <c:v>Femur</c:v>
                </c:pt>
              </c:strCache>
            </c:strRef>
          </c:tx>
          <c:spPr>
            <a:ln w="19050" cap="rnd">
              <a:noFill/>
              <a:round/>
            </a:ln>
            <a:effectLst/>
          </c:spPr>
          <c:marker>
            <c:symbol val="triangle"/>
            <c:size val="7"/>
            <c:spPr>
              <a:solidFill>
                <a:srgbClr val="7030A0"/>
              </a:solidFill>
              <a:ln w="9525">
                <a:solidFill>
                  <a:srgbClr val="002060"/>
                </a:solidFill>
              </a:ln>
              <a:effectLst/>
            </c:spPr>
          </c:marker>
          <c:xVal>
            <c:numRef>
              <c:f>'T4'!$D$200:$D$207</c:f>
              <c:numCache>
                <c:formatCode>General</c:formatCode>
                <c:ptCount val="8"/>
                <c:pt idx="0">
                  <c:v>1.95</c:v>
                </c:pt>
                <c:pt idx="1">
                  <c:v>2.8</c:v>
                </c:pt>
                <c:pt idx="2">
                  <c:v>3.6</c:v>
                </c:pt>
                <c:pt idx="3">
                  <c:v>4.63</c:v>
                </c:pt>
                <c:pt idx="4">
                  <c:v>5.88</c:v>
                </c:pt>
                <c:pt idx="5">
                  <c:v>7.13</c:v>
                </c:pt>
                <c:pt idx="6">
                  <c:v>8.3800000000000008</c:v>
                </c:pt>
                <c:pt idx="7">
                  <c:v>9</c:v>
                </c:pt>
              </c:numCache>
            </c:numRef>
          </c:xVal>
          <c:yVal>
            <c:numRef>
              <c:f>'T4'!$G$200:$G$207</c:f>
              <c:numCache>
                <c:formatCode>General</c:formatCode>
                <c:ptCount val="8"/>
                <c:pt idx="7">
                  <c:v>9.61</c:v>
                </c:pt>
              </c:numCache>
            </c:numRef>
          </c:yVal>
          <c:smooth val="0"/>
          <c:extLst>
            <c:ext xmlns:c16="http://schemas.microsoft.com/office/drawing/2014/chart" uri="{C3380CC4-5D6E-409C-BE32-E72D297353CC}">
              <c16:uniqueId val="{00000002-5E16-584D-98F4-DC98CFC2420B}"/>
            </c:ext>
          </c:extLst>
        </c:ser>
        <c:dLbls>
          <c:showLegendKey val="0"/>
          <c:showVal val="0"/>
          <c:showCatName val="0"/>
          <c:showSerName val="0"/>
          <c:showPercent val="0"/>
          <c:showBubbleSize val="0"/>
        </c:dLbls>
        <c:axId val="853729087"/>
        <c:axId val="855533887"/>
      </c:scatterChart>
      <c:valAx>
        <c:axId val="85372908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55533887"/>
        <c:crosses val="autoZero"/>
        <c:crossBetween val="midCat"/>
        <c:majorUnit val="1"/>
      </c:valAx>
      <c:valAx>
        <c:axId val="855533887"/>
        <c:scaling>
          <c:orientation val="minMax"/>
          <c:max val="12"/>
          <c:min val="9"/>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15</a:t>
                </a:r>
                <a:r>
                  <a:rPr lang="en-US" sz="700" b="0" i="0" baseline="0">
                    <a:effectLst/>
                  </a:rPr>
                  <a:t>N (AIR)</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53729087"/>
        <c:crosses val="autoZero"/>
        <c:crossBetween val="midCat"/>
      </c:valAx>
      <c:spPr>
        <a:noFill/>
        <a:ln>
          <a:noFill/>
        </a:ln>
        <a:effectLst/>
      </c:spPr>
    </c:plotArea>
    <c:legend>
      <c:legendPos val="b"/>
      <c:layout>
        <c:manualLayout>
          <c:xMode val="edge"/>
          <c:yMode val="edge"/>
          <c:x val="0.53604004650238968"/>
          <c:y val="2.17723841793242E-2"/>
          <c:w val="0.42191029261225926"/>
          <c:h val="7.901044808923726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37841395625878"/>
          <c:y val="3.9885789977187433E-2"/>
          <c:w val="0.79872507044041829"/>
          <c:h val="0.80088483332106852"/>
        </c:manualLayout>
      </c:layout>
      <c:scatterChart>
        <c:scatterStyle val="lineMarker"/>
        <c:varyColors val="0"/>
        <c:ser>
          <c:idx val="0"/>
          <c:order val="0"/>
          <c:tx>
            <c:strRef>
              <c:f>'T4'!$F$186</c:f>
              <c:strCache>
                <c:ptCount val="1"/>
                <c:pt idx="0">
                  <c:v>Dentine </c:v>
                </c:pt>
              </c:strCache>
            </c:strRef>
          </c:tx>
          <c:spPr>
            <a:ln w="19050" cap="rnd">
              <a:noFill/>
              <a:round/>
            </a:ln>
            <a:effectLst/>
          </c:spPr>
          <c:marker>
            <c:symbol val="circle"/>
            <c:size val="7"/>
            <c:spPr>
              <a:solidFill>
                <a:srgbClr val="92D050"/>
              </a:solidFill>
              <a:ln w="9525">
                <a:solidFill>
                  <a:srgbClr val="92D050"/>
                </a:solidFill>
              </a:ln>
              <a:effectLst/>
            </c:spPr>
          </c:marker>
          <c:xVal>
            <c:numRef>
              <c:f>'T4'!$E$187:$E$194</c:f>
              <c:numCache>
                <c:formatCode>General</c:formatCode>
                <c:ptCount val="8"/>
                <c:pt idx="0">
                  <c:v>1.95</c:v>
                </c:pt>
                <c:pt idx="1">
                  <c:v>2.8</c:v>
                </c:pt>
                <c:pt idx="2">
                  <c:v>3.6</c:v>
                </c:pt>
                <c:pt idx="3">
                  <c:v>4.63</c:v>
                </c:pt>
                <c:pt idx="4">
                  <c:v>5.88</c:v>
                </c:pt>
                <c:pt idx="5">
                  <c:v>7.13</c:v>
                </c:pt>
                <c:pt idx="6">
                  <c:v>8.3800000000000008</c:v>
                </c:pt>
                <c:pt idx="7">
                  <c:v>9</c:v>
                </c:pt>
              </c:numCache>
            </c:numRef>
          </c:xVal>
          <c:yVal>
            <c:numRef>
              <c:f>'T4'!$F$187:$F$194</c:f>
              <c:numCache>
                <c:formatCode>General</c:formatCode>
                <c:ptCount val="8"/>
                <c:pt idx="0">
                  <c:v>-18.96</c:v>
                </c:pt>
                <c:pt idx="1">
                  <c:v>-19.71</c:v>
                </c:pt>
                <c:pt idx="2">
                  <c:v>-19.7</c:v>
                </c:pt>
                <c:pt idx="3">
                  <c:v>-19.64</c:v>
                </c:pt>
                <c:pt idx="4">
                  <c:v>-19.55</c:v>
                </c:pt>
                <c:pt idx="5">
                  <c:v>-19.989999999999998</c:v>
                </c:pt>
                <c:pt idx="6">
                  <c:v>-19.84</c:v>
                </c:pt>
              </c:numCache>
            </c:numRef>
          </c:yVal>
          <c:smooth val="0"/>
          <c:extLst>
            <c:ext xmlns:c16="http://schemas.microsoft.com/office/drawing/2014/chart" uri="{C3380CC4-5D6E-409C-BE32-E72D297353CC}">
              <c16:uniqueId val="{00000000-5B40-F649-820B-E87CA73D486E}"/>
            </c:ext>
          </c:extLst>
        </c:ser>
        <c:ser>
          <c:idx val="1"/>
          <c:order val="1"/>
          <c:tx>
            <c:strRef>
              <c:f>'T4'!$G$186</c:f>
              <c:strCache>
                <c:ptCount val="1"/>
                <c:pt idx="0">
                  <c:v>Ribs</c:v>
                </c:pt>
              </c:strCache>
            </c:strRef>
          </c:tx>
          <c:spPr>
            <a:ln w="19050" cap="rnd">
              <a:noFill/>
              <a:round/>
            </a:ln>
            <a:effectLst/>
          </c:spPr>
          <c:marker>
            <c:symbol val="square"/>
            <c:size val="7"/>
            <c:spPr>
              <a:noFill/>
              <a:ln w="12700">
                <a:solidFill>
                  <a:srgbClr val="92D050"/>
                </a:solidFill>
              </a:ln>
              <a:effectLst/>
            </c:spPr>
          </c:marker>
          <c:xVal>
            <c:numRef>
              <c:f>'T4'!$E$187:$E$194</c:f>
              <c:numCache>
                <c:formatCode>General</c:formatCode>
                <c:ptCount val="8"/>
                <c:pt idx="0">
                  <c:v>1.95</c:v>
                </c:pt>
                <c:pt idx="1">
                  <c:v>2.8</c:v>
                </c:pt>
                <c:pt idx="2">
                  <c:v>3.6</c:v>
                </c:pt>
                <c:pt idx="3">
                  <c:v>4.63</c:v>
                </c:pt>
                <c:pt idx="4">
                  <c:v>5.88</c:v>
                </c:pt>
                <c:pt idx="5">
                  <c:v>7.13</c:v>
                </c:pt>
                <c:pt idx="6">
                  <c:v>8.3800000000000008</c:v>
                </c:pt>
                <c:pt idx="7">
                  <c:v>9</c:v>
                </c:pt>
              </c:numCache>
            </c:numRef>
          </c:xVal>
          <c:yVal>
            <c:numRef>
              <c:f>'T4'!$G$187:$G$194</c:f>
              <c:numCache>
                <c:formatCode>General</c:formatCode>
                <c:ptCount val="8"/>
                <c:pt idx="7">
                  <c:v>-19.829999999999998</c:v>
                </c:pt>
              </c:numCache>
            </c:numRef>
          </c:yVal>
          <c:smooth val="0"/>
          <c:extLst>
            <c:ext xmlns:c16="http://schemas.microsoft.com/office/drawing/2014/chart" uri="{C3380CC4-5D6E-409C-BE32-E72D297353CC}">
              <c16:uniqueId val="{00000001-5B40-F649-820B-E87CA73D486E}"/>
            </c:ext>
          </c:extLst>
        </c:ser>
        <c:ser>
          <c:idx val="2"/>
          <c:order val="2"/>
          <c:tx>
            <c:strRef>
              <c:f>'T4'!$H$186</c:f>
              <c:strCache>
                <c:ptCount val="1"/>
                <c:pt idx="0">
                  <c:v>Femur</c:v>
                </c:pt>
              </c:strCache>
            </c:strRef>
          </c:tx>
          <c:spPr>
            <a:ln w="19050" cap="rnd">
              <a:noFill/>
              <a:round/>
            </a:ln>
            <a:effectLst/>
          </c:spPr>
          <c:marker>
            <c:symbol val="triangle"/>
            <c:size val="7"/>
            <c:spPr>
              <a:solidFill>
                <a:srgbClr val="92D050"/>
              </a:solidFill>
              <a:ln w="9525">
                <a:solidFill>
                  <a:srgbClr val="92D050"/>
                </a:solidFill>
              </a:ln>
              <a:effectLst/>
            </c:spPr>
          </c:marker>
          <c:xVal>
            <c:numRef>
              <c:f>'T4'!$E$187:$E$194</c:f>
              <c:numCache>
                <c:formatCode>General</c:formatCode>
                <c:ptCount val="8"/>
                <c:pt idx="0">
                  <c:v>1.95</c:v>
                </c:pt>
                <c:pt idx="1">
                  <c:v>2.8</c:v>
                </c:pt>
                <c:pt idx="2">
                  <c:v>3.6</c:v>
                </c:pt>
                <c:pt idx="3">
                  <c:v>4.63</c:v>
                </c:pt>
                <c:pt idx="4">
                  <c:v>5.88</c:v>
                </c:pt>
                <c:pt idx="5">
                  <c:v>7.13</c:v>
                </c:pt>
                <c:pt idx="6">
                  <c:v>8.3800000000000008</c:v>
                </c:pt>
                <c:pt idx="7">
                  <c:v>9</c:v>
                </c:pt>
              </c:numCache>
            </c:numRef>
          </c:xVal>
          <c:yVal>
            <c:numRef>
              <c:f>'T4'!$H$187:$H$194</c:f>
              <c:numCache>
                <c:formatCode>General</c:formatCode>
                <c:ptCount val="8"/>
                <c:pt idx="7">
                  <c:v>-19.600000000000001</c:v>
                </c:pt>
              </c:numCache>
            </c:numRef>
          </c:yVal>
          <c:smooth val="0"/>
          <c:extLst>
            <c:ext xmlns:c16="http://schemas.microsoft.com/office/drawing/2014/chart" uri="{C3380CC4-5D6E-409C-BE32-E72D297353CC}">
              <c16:uniqueId val="{00000002-5B40-F649-820B-E87CA73D486E}"/>
            </c:ext>
          </c:extLst>
        </c:ser>
        <c:dLbls>
          <c:showLegendKey val="0"/>
          <c:showVal val="0"/>
          <c:showCatName val="0"/>
          <c:showSerName val="0"/>
          <c:showPercent val="0"/>
          <c:showBubbleSize val="0"/>
        </c:dLbls>
        <c:axId val="865054031"/>
        <c:axId val="870641663"/>
      </c:scatterChart>
      <c:valAx>
        <c:axId val="865054031"/>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a:t>
                </a:r>
                <a:r>
                  <a:rPr lang="en-US" sz="700" baseline="0"/>
                  <a:t> in Years</a:t>
                </a:r>
                <a:endParaRPr lang="en-US"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0641663"/>
        <c:crossesAt val="-21"/>
        <c:crossBetween val="midCat"/>
        <c:majorUnit val="1"/>
      </c:valAx>
      <c:valAx>
        <c:axId val="870641663"/>
        <c:scaling>
          <c:orientation val="minMax"/>
          <c:max val="-15"/>
          <c:min val="-21"/>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30000">
                    <a:effectLst/>
                  </a:rPr>
                  <a:t>13</a:t>
                </a:r>
                <a:r>
                  <a:rPr lang="en-US" sz="700" b="0" i="0" u="none" strike="noStrike" baseline="0">
                    <a:effectLst/>
                  </a:rPr>
                  <a:t>C (VPBD)</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65054031"/>
        <c:crosses val="autoZero"/>
        <c:crossBetween val="midCat"/>
      </c:valAx>
      <c:spPr>
        <a:noFill/>
        <a:ln>
          <a:noFill/>
        </a:ln>
        <a:effectLst/>
      </c:spPr>
    </c:plotArea>
    <c:legend>
      <c:legendPos val="b"/>
      <c:layout>
        <c:manualLayout>
          <c:xMode val="edge"/>
          <c:yMode val="edge"/>
          <c:x val="0.4777295499907635"/>
          <c:y val="4.2267424905220209E-2"/>
          <c:w val="0.46603367117476868"/>
          <c:h val="7.81029454651501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9788579349302"/>
          <c:y val="0.10460251046025104"/>
          <c:w val="0.75367786854647578"/>
          <c:h val="0.72531472488094673"/>
        </c:manualLayout>
      </c:layout>
      <c:scatterChart>
        <c:scatterStyle val="lineMarker"/>
        <c:varyColors val="0"/>
        <c:ser>
          <c:idx val="0"/>
          <c:order val="0"/>
          <c:tx>
            <c:strRef>
              <c:f>'T4'!$C$1</c:f>
              <c:strCache>
                <c:ptCount val="1"/>
                <c:pt idx="0">
                  <c:v>Delta 15N </c:v>
                </c:pt>
              </c:strCache>
            </c:strRef>
          </c:tx>
          <c:spPr>
            <a:ln w="19050" cap="rnd">
              <a:noFill/>
              <a:round/>
            </a:ln>
            <a:effectLst/>
          </c:spPr>
          <c:marker>
            <c:symbol val="diamond"/>
            <c:size val="7"/>
            <c:spPr>
              <a:solidFill>
                <a:srgbClr val="7030A0"/>
              </a:solidFill>
              <a:ln w="9525">
                <a:solidFill>
                  <a:srgbClr val="7030A0"/>
                </a:solidFill>
              </a:ln>
              <a:effectLst/>
            </c:spPr>
          </c:marker>
          <c:xVal>
            <c:numRef>
              <c:f>'T4'!$B$2:$B$6</c:f>
              <c:numCache>
                <c:formatCode>General</c:formatCode>
                <c:ptCount val="5"/>
                <c:pt idx="0">
                  <c:v>0.34</c:v>
                </c:pt>
                <c:pt idx="1">
                  <c:v>0.64</c:v>
                </c:pt>
                <c:pt idx="2">
                  <c:v>0.9</c:v>
                </c:pt>
                <c:pt idx="3">
                  <c:v>1.1399999999999999</c:v>
                </c:pt>
                <c:pt idx="4">
                  <c:v>1.38</c:v>
                </c:pt>
              </c:numCache>
            </c:numRef>
          </c:xVal>
          <c:yVal>
            <c:numRef>
              <c:f>'T4'!$C$2:$C$6</c:f>
              <c:numCache>
                <c:formatCode>General</c:formatCode>
                <c:ptCount val="5"/>
                <c:pt idx="0">
                  <c:v>13.45</c:v>
                </c:pt>
                <c:pt idx="1">
                  <c:v>13.42</c:v>
                </c:pt>
                <c:pt idx="2">
                  <c:v>12.14</c:v>
                </c:pt>
                <c:pt idx="3">
                  <c:v>11.46</c:v>
                </c:pt>
                <c:pt idx="4">
                  <c:v>10.91</c:v>
                </c:pt>
              </c:numCache>
            </c:numRef>
          </c:yVal>
          <c:smooth val="0"/>
          <c:extLst>
            <c:ext xmlns:c16="http://schemas.microsoft.com/office/drawing/2014/chart" uri="{C3380CC4-5D6E-409C-BE32-E72D297353CC}">
              <c16:uniqueId val="{00000000-338E-1A4F-939F-3FDB35118DAF}"/>
            </c:ext>
          </c:extLst>
        </c:ser>
        <c:dLbls>
          <c:showLegendKey val="0"/>
          <c:showVal val="0"/>
          <c:showCatName val="0"/>
          <c:showSerName val="0"/>
          <c:showPercent val="0"/>
          <c:showBubbleSize val="0"/>
        </c:dLbls>
        <c:axId val="855106143"/>
        <c:axId val="775581391"/>
      </c:scatterChart>
      <c:scatterChart>
        <c:scatterStyle val="lineMarker"/>
        <c:varyColors val="0"/>
        <c:ser>
          <c:idx val="1"/>
          <c:order val="1"/>
          <c:tx>
            <c:strRef>
              <c:f>'T4'!$D$1</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'T4'!$B$2:$B$6</c:f>
              <c:numCache>
                <c:formatCode>General</c:formatCode>
                <c:ptCount val="5"/>
                <c:pt idx="0">
                  <c:v>0.34</c:v>
                </c:pt>
                <c:pt idx="1">
                  <c:v>0.64</c:v>
                </c:pt>
                <c:pt idx="2">
                  <c:v>0.9</c:v>
                </c:pt>
                <c:pt idx="3">
                  <c:v>1.1399999999999999</c:v>
                </c:pt>
                <c:pt idx="4">
                  <c:v>1.38</c:v>
                </c:pt>
              </c:numCache>
            </c:numRef>
          </c:xVal>
          <c:yVal>
            <c:numRef>
              <c:f>'T4'!$D$2:$D$6</c:f>
              <c:numCache>
                <c:formatCode>General</c:formatCode>
                <c:ptCount val="5"/>
                <c:pt idx="0">
                  <c:v>-18.149999999999999</c:v>
                </c:pt>
                <c:pt idx="1">
                  <c:v>-18.239999999999998</c:v>
                </c:pt>
                <c:pt idx="2">
                  <c:v>-18.96</c:v>
                </c:pt>
                <c:pt idx="3">
                  <c:v>-19.170000000000002</c:v>
                </c:pt>
                <c:pt idx="4">
                  <c:v>-19.399999999999999</c:v>
                </c:pt>
              </c:numCache>
            </c:numRef>
          </c:yVal>
          <c:smooth val="0"/>
          <c:extLst>
            <c:ext xmlns:c16="http://schemas.microsoft.com/office/drawing/2014/chart" uri="{C3380CC4-5D6E-409C-BE32-E72D297353CC}">
              <c16:uniqueId val="{00000001-338E-1A4F-939F-3FDB35118DAF}"/>
            </c:ext>
          </c:extLst>
        </c:ser>
        <c:dLbls>
          <c:showLegendKey val="0"/>
          <c:showVal val="0"/>
          <c:showCatName val="0"/>
          <c:showSerName val="0"/>
          <c:showPercent val="0"/>
          <c:showBubbleSize val="0"/>
        </c:dLbls>
        <c:axId val="816480847"/>
        <c:axId val="747611567"/>
      </c:scatterChart>
      <c:valAx>
        <c:axId val="85510614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5581391"/>
        <c:crossesAt val="0"/>
        <c:crossBetween val="midCat"/>
        <c:majorUnit val="0.2"/>
      </c:valAx>
      <c:valAx>
        <c:axId val="775581391"/>
        <c:scaling>
          <c:orientation val="minMax"/>
          <c:min val="1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15</a:t>
                </a:r>
                <a:r>
                  <a:rPr lang="en-US" sz="700" b="0" i="0" baseline="0">
                    <a:effectLst/>
                  </a:rPr>
                  <a:t>N (AIR)</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55106143"/>
        <c:crosses val="autoZero"/>
        <c:crossBetween val="midCat"/>
      </c:valAx>
      <c:valAx>
        <c:axId val="747611567"/>
        <c:scaling>
          <c:orientation val="minMax"/>
          <c:max val="-16"/>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baseline="0">
                    <a:effectLst/>
                    <a:sym typeface="Symbol" pitchFamily="2" charset="2"/>
                  </a:rPr>
                  <a:t></a:t>
                </a:r>
                <a:r>
                  <a:rPr lang="en-US" sz="700" b="0" i="0" baseline="30000">
                    <a:effectLst/>
                  </a:rPr>
                  <a:t>13</a:t>
                </a:r>
                <a:r>
                  <a:rPr lang="en-US" sz="700" b="0" i="0" baseline="0">
                    <a:effectLst/>
                  </a:rPr>
                  <a:t>C (VPDB)</a:t>
                </a:r>
                <a:endParaRPr lang="en-CA" sz="700">
                  <a:effectLst/>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16480847"/>
        <c:crosses val="max"/>
        <c:crossBetween val="midCat"/>
      </c:valAx>
      <c:valAx>
        <c:axId val="816480847"/>
        <c:scaling>
          <c:orientation val="minMax"/>
        </c:scaling>
        <c:delete val="1"/>
        <c:axPos val="b"/>
        <c:numFmt formatCode="General" sourceLinked="1"/>
        <c:majorTickMark val="out"/>
        <c:minorTickMark val="none"/>
        <c:tickLblPos val="nextTo"/>
        <c:crossAx val="747611567"/>
        <c:crosses val="autoZero"/>
        <c:crossBetween val="midCat"/>
      </c:valAx>
      <c:spPr>
        <a:noFill/>
        <a:ln>
          <a:noFill/>
        </a:ln>
        <a:effectLst/>
      </c:spPr>
    </c:plotArea>
    <c:legend>
      <c:legendPos val="b"/>
      <c:layout>
        <c:manualLayout>
          <c:xMode val="edge"/>
          <c:yMode val="edge"/>
          <c:x val="0.56142455732173502"/>
          <c:y val="6.2269162462476567E-3"/>
          <c:w val="0.39981541400848097"/>
          <c:h val="6.857819601818065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1892049877448"/>
          <c:y val="6.8975477831444088E-2"/>
          <c:w val="0.7663767084241262"/>
          <c:h val="0.76402533515645876"/>
        </c:manualLayout>
      </c:layout>
      <c:scatterChart>
        <c:scatterStyle val="lineMarker"/>
        <c:varyColors val="0"/>
        <c:ser>
          <c:idx val="0"/>
          <c:order val="0"/>
          <c:tx>
            <c:strRef>
              <c:f>'T4'!$C$83</c:f>
              <c:strCache>
                <c:ptCount val="1"/>
                <c:pt idx="0">
                  <c:v>Delta 15N </c:v>
                </c:pt>
              </c:strCache>
            </c:strRef>
          </c:tx>
          <c:spPr>
            <a:ln w="19050" cap="rnd">
              <a:noFill/>
              <a:round/>
            </a:ln>
            <a:effectLst/>
          </c:spPr>
          <c:marker>
            <c:symbol val="diamond"/>
            <c:size val="7"/>
            <c:spPr>
              <a:solidFill>
                <a:srgbClr val="7030A0"/>
              </a:solidFill>
              <a:ln w="9525">
                <a:solidFill>
                  <a:srgbClr val="7030A0"/>
                </a:solidFill>
              </a:ln>
              <a:effectLst/>
            </c:spPr>
          </c:marker>
          <c:xVal>
            <c:numRef>
              <c:f>'T4'!$B$84:$B$90</c:f>
              <c:numCache>
                <c:formatCode>General</c:formatCode>
                <c:ptCount val="7"/>
                <c:pt idx="0">
                  <c:v>0.44166666666666665</c:v>
                </c:pt>
                <c:pt idx="1">
                  <c:v>0.96583333333333332</c:v>
                </c:pt>
                <c:pt idx="2">
                  <c:v>1.665</c:v>
                </c:pt>
                <c:pt idx="3">
                  <c:v>1.8833333333333335</c:v>
                </c:pt>
                <c:pt idx="4">
                  <c:v>2.3208333333333333</c:v>
                </c:pt>
                <c:pt idx="5">
                  <c:v>2.7774999999999999</c:v>
                </c:pt>
                <c:pt idx="6">
                  <c:v>3.2383333333333333</c:v>
                </c:pt>
              </c:numCache>
            </c:numRef>
          </c:xVal>
          <c:yVal>
            <c:numRef>
              <c:f>'T4'!$C$84:$C$90</c:f>
              <c:numCache>
                <c:formatCode>General</c:formatCode>
                <c:ptCount val="7"/>
                <c:pt idx="0">
                  <c:v>14.43</c:v>
                </c:pt>
                <c:pt idx="1">
                  <c:v>13.12</c:v>
                </c:pt>
                <c:pt idx="2">
                  <c:v>12.18</c:v>
                </c:pt>
                <c:pt idx="3">
                  <c:v>11.99</c:v>
                </c:pt>
                <c:pt idx="4">
                  <c:v>12.22</c:v>
                </c:pt>
                <c:pt idx="5">
                  <c:v>11.49</c:v>
                </c:pt>
                <c:pt idx="6">
                  <c:v>11.09</c:v>
                </c:pt>
              </c:numCache>
            </c:numRef>
          </c:yVal>
          <c:smooth val="0"/>
          <c:extLst>
            <c:ext xmlns:c16="http://schemas.microsoft.com/office/drawing/2014/chart" uri="{C3380CC4-5D6E-409C-BE32-E72D297353CC}">
              <c16:uniqueId val="{00000000-7A20-674C-80BF-9050AA6EEE10}"/>
            </c:ext>
          </c:extLst>
        </c:ser>
        <c:dLbls>
          <c:showLegendKey val="0"/>
          <c:showVal val="0"/>
          <c:showCatName val="0"/>
          <c:showSerName val="0"/>
          <c:showPercent val="0"/>
          <c:showBubbleSize val="0"/>
        </c:dLbls>
        <c:axId val="866300527"/>
        <c:axId val="882925087"/>
      </c:scatterChart>
      <c:scatterChart>
        <c:scatterStyle val="lineMarker"/>
        <c:varyColors val="0"/>
        <c:ser>
          <c:idx val="1"/>
          <c:order val="1"/>
          <c:tx>
            <c:strRef>
              <c:f>'T4'!$D$83</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'T4'!$B$84:$B$90</c:f>
              <c:numCache>
                <c:formatCode>General</c:formatCode>
                <c:ptCount val="7"/>
                <c:pt idx="0">
                  <c:v>0.44166666666666665</c:v>
                </c:pt>
                <c:pt idx="1">
                  <c:v>0.96583333333333332</c:v>
                </c:pt>
                <c:pt idx="2">
                  <c:v>1.665</c:v>
                </c:pt>
                <c:pt idx="3">
                  <c:v>1.8833333333333335</c:v>
                </c:pt>
                <c:pt idx="4">
                  <c:v>2.3208333333333333</c:v>
                </c:pt>
                <c:pt idx="5">
                  <c:v>2.7774999999999999</c:v>
                </c:pt>
                <c:pt idx="6">
                  <c:v>3.2383333333333333</c:v>
                </c:pt>
              </c:numCache>
            </c:numRef>
          </c:xVal>
          <c:yVal>
            <c:numRef>
              <c:f>'T4'!$D$84:$D$90</c:f>
              <c:numCache>
                <c:formatCode>General</c:formatCode>
                <c:ptCount val="7"/>
                <c:pt idx="0">
                  <c:v>-18.43</c:v>
                </c:pt>
                <c:pt idx="1">
                  <c:v>-18.690000000000001</c:v>
                </c:pt>
                <c:pt idx="2">
                  <c:v>-19.010000000000002</c:v>
                </c:pt>
                <c:pt idx="3">
                  <c:v>-18.97</c:v>
                </c:pt>
                <c:pt idx="4">
                  <c:v>-18.91</c:v>
                </c:pt>
                <c:pt idx="5">
                  <c:v>-19.21</c:v>
                </c:pt>
                <c:pt idx="6">
                  <c:v>-19.309999999999999</c:v>
                </c:pt>
              </c:numCache>
            </c:numRef>
          </c:yVal>
          <c:smooth val="0"/>
          <c:extLst>
            <c:ext xmlns:c16="http://schemas.microsoft.com/office/drawing/2014/chart" uri="{C3380CC4-5D6E-409C-BE32-E72D297353CC}">
              <c16:uniqueId val="{00000001-7A20-674C-80BF-9050AA6EEE10}"/>
            </c:ext>
          </c:extLst>
        </c:ser>
        <c:dLbls>
          <c:showLegendKey val="0"/>
          <c:showVal val="0"/>
          <c:showCatName val="0"/>
          <c:showSerName val="0"/>
          <c:showPercent val="0"/>
          <c:showBubbleSize val="0"/>
        </c:dLbls>
        <c:axId val="884039311"/>
        <c:axId val="847554879"/>
      </c:scatterChart>
      <c:valAx>
        <c:axId val="86630052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82925087"/>
        <c:crosses val="autoZero"/>
        <c:crossBetween val="midCat"/>
        <c:majorUnit val="0.5"/>
      </c:valAx>
      <c:valAx>
        <c:axId val="882925087"/>
        <c:scaling>
          <c:orientation val="minMax"/>
          <c:min val="10"/>
        </c:scaling>
        <c:delete val="0"/>
        <c:axPos val="l"/>
        <c:title>
          <c:tx>
            <c:rich>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aseline="30000"/>
                  <a:t>15</a:t>
                </a:r>
                <a:r>
                  <a:rPr lang="en-US" sz="700"/>
                  <a:t>N (AIR)</a:t>
                </a:r>
                <a:endParaRPr lang="en-CA" sz="700"/>
              </a:p>
              <a:p>
                <a:pPr algn="ctr" rtl="0">
                  <a:defRPr sz="700"/>
                </a:pPr>
                <a:endParaRPr lang="en-US" sz="700"/>
              </a:p>
            </c:rich>
          </c:tx>
          <c:overlay val="0"/>
          <c:spPr>
            <a:noFill/>
            <a:ln>
              <a:noFill/>
            </a:ln>
            <a:effectLst/>
          </c:spPr>
          <c:txPr>
            <a:bodyPr rot="-5400000" spcFirstLastPara="1" vertOverflow="ellipsis" vert="horz" wrap="square" anchor="ctr" anchorCtr="1"/>
            <a:lstStyle/>
            <a:p>
              <a:pPr algn="ctr" rtl="0">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6300527"/>
        <c:crosses val="autoZero"/>
        <c:crossBetween val="midCat"/>
      </c:valAx>
      <c:valAx>
        <c:axId val="847554879"/>
        <c:scaling>
          <c:orientation val="minMax"/>
          <c:max val="-15"/>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0"/>
                  <a:t> </a:t>
                </a:r>
                <a:r>
                  <a:rPr lang="en-US" sz="700" baseline="30000"/>
                  <a:t>13</a:t>
                </a:r>
                <a:r>
                  <a:rPr lang="en-US" sz="700"/>
                  <a:t>C (VPBD)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84039311"/>
        <c:crosses val="max"/>
        <c:crossBetween val="midCat"/>
      </c:valAx>
      <c:valAx>
        <c:axId val="884039311"/>
        <c:scaling>
          <c:orientation val="minMax"/>
        </c:scaling>
        <c:delete val="1"/>
        <c:axPos val="b"/>
        <c:numFmt formatCode="General" sourceLinked="1"/>
        <c:majorTickMark val="out"/>
        <c:minorTickMark val="none"/>
        <c:tickLblPos val="nextTo"/>
        <c:crossAx val="84755487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47222222222224"/>
          <c:y val="7.4269009436953665E-2"/>
          <c:w val="0.74781338265864405"/>
          <c:h val="0.76766191443528631"/>
        </c:manualLayout>
      </c:layout>
      <c:scatterChart>
        <c:scatterStyle val="lineMarker"/>
        <c:varyColors val="0"/>
        <c:ser>
          <c:idx val="0"/>
          <c:order val="0"/>
          <c:tx>
            <c:strRef>
              <c:f>'T4'!$C$96</c:f>
              <c:strCache>
                <c:ptCount val="1"/>
                <c:pt idx="0">
                  <c:v>Delta 15N</c:v>
                </c:pt>
              </c:strCache>
            </c:strRef>
          </c:tx>
          <c:spPr>
            <a:ln w="19050" cap="rnd">
              <a:noFill/>
              <a:round/>
            </a:ln>
            <a:effectLst/>
          </c:spPr>
          <c:marker>
            <c:symbol val="diamond"/>
            <c:size val="7"/>
            <c:spPr>
              <a:solidFill>
                <a:srgbClr val="7030A0"/>
              </a:solidFill>
              <a:ln w="9525">
                <a:solidFill>
                  <a:srgbClr val="7030A0"/>
                </a:solidFill>
              </a:ln>
              <a:effectLst/>
            </c:spPr>
          </c:marker>
          <c:xVal>
            <c:numRef>
              <c:f>'T4'!$B$97:$B$101</c:f>
              <c:numCache>
                <c:formatCode>General</c:formatCode>
                <c:ptCount val="5"/>
                <c:pt idx="0">
                  <c:v>0.41</c:v>
                </c:pt>
                <c:pt idx="1">
                  <c:v>0.85</c:v>
                </c:pt>
                <c:pt idx="2">
                  <c:v>1.29</c:v>
                </c:pt>
                <c:pt idx="3">
                  <c:v>1.73</c:v>
                </c:pt>
                <c:pt idx="4">
                  <c:v>2.1800000000000002</c:v>
                </c:pt>
              </c:numCache>
            </c:numRef>
          </c:xVal>
          <c:yVal>
            <c:numRef>
              <c:f>'T4'!$C$97:$C$101</c:f>
              <c:numCache>
                <c:formatCode>General</c:formatCode>
                <c:ptCount val="5"/>
                <c:pt idx="0">
                  <c:v>15.56</c:v>
                </c:pt>
                <c:pt idx="1">
                  <c:v>14.9</c:v>
                </c:pt>
                <c:pt idx="2">
                  <c:v>14.15</c:v>
                </c:pt>
                <c:pt idx="3">
                  <c:v>13.79</c:v>
                </c:pt>
                <c:pt idx="4">
                  <c:v>13.23</c:v>
                </c:pt>
              </c:numCache>
            </c:numRef>
          </c:yVal>
          <c:smooth val="0"/>
          <c:extLst>
            <c:ext xmlns:c16="http://schemas.microsoft.com/office/drawing/2014/chart" uri="{C3380CC4-5D6E-409C-BE32-E72D297353CC}">
              <c16:uniqueId val="{00000000-56D0-3D42-A7D6-CA00C507F400}"/>
            </c:ext>
          </c:extLst>
        </c:ser>
        <c:dLbls>
          <c:showLegendKey val="0"/>
          <c:showVal val="0"/>
          <c:showCatName val="0"/>
          <c:showSerName val="0"/>
          <c:showPercent val="0"/>
          <c:showBubbleSize val="0"/>
        </c:dLbls>
        <c:axId val="852215967"/>
        <c:axId val="867966351"/>
      </c:scatterChart>
      <c:scatterChart>
        <c:scatterStyle val="lineMarker"/>
        <c:varyColors val="0"/>
        <c:ser>
          <c:idx val="1"/>
          <c:order val="1"/>
          <c:tx>
            <c:strRef>
              <c:f>'T4'!$D$96</c:f>
              <c:strCache>
                <c:ptCount val="1"/>
                <c:pt idx="0">
                  <c:v>Delta 13C</c:v>
                </c:pt>
              </c:strCache>
            </c:strRef>
          </c:tx>
          <c:spPr>
            <a:ln w="19050" cap="rnd">
              <a:noFill/>
              <a:round/>
            </a:ln>
            <a:effectLst/>
          </c:spPr>
          <c:marker>
            <c:symbol val="square"/>
            <c:size val="7"/>
            <c:spPr>
              <a:noFill/>
              <a:ln w="22225">
                <a:solidFill>
                  <a:srgbClr val="92D050"/>
                </a:solidFill>
              </a:ln>
              <a:effectLst/>
            </c:spPr>
          </c:marker>
          <c:xVal>
            <c:numRef>
              <c:f>'T4'!$B$97:$B$101</c:f>
              <c:numCache>
                <c:formatCode>General</c:formatCode>
                <c:ptCount val="5"/>
                <c:pt idx="0">
                  <c:v>0.41</c:v>
                </c:pt>
                <c:pt idx="1">
                  <c:v>0.85</c:v>
                </c:pt>
                <c:pt idx="2">
                  <c:v>1.29</c:v>
                </c:pt>
                <c:pt idx="3">
                  <c:v>1.73</c:v>
                </c:pt>
                <c:pt idx="4">
                  <c:v>2.1800000000000002</c:v>
                </c:pt>
              </c:numCache>
            </c:numRef>
          </c:xVal>
          <c:yVal>
            <c:numRef>
              <c:f>'T4'!$D$97:$D$101</c:f>
              <c:numCache>
                <c:formatCode>General</c:formatCode>
                <c:ptCount val="5"/>
                <c:pt idx="0">
                  <c:v>-18.73</c:v>
                </c:pt>
                <c:pt idx="1">
                  <c:v>-19.010000000000002</c:v>
                </c:pt>
                <c:pt idx="2">
                  <c:v>-19.04</c:v>
                </c:pt>
                <c:pt idx="3">
                  <c:v>-19.93</c:v>
                </c:pt>
                <c:pt idx="4">
                  <c:v>-19.28</c:v>
                </c:pt>
              </c:numCache>
            </c:numRef>
          </c:yVal>
          <c:smooth val="0"/>
          <c:extLst>
            <c:ext xmlns:c16="http://schemas.microsoft.com/office/drawing/2014/chart" uri="{C3380CC4-5D6E-409C-BE32-E72D297353CC}">
              <c16:uniqueId val="{00000001-56D0-3D42-A7D6-CA00C507F400}"/>
            </c:ext>
          </c:extLst>
        </c:ser>
        <c:dLbls>
          <c:showLegendKey val="0"/>
          <c:showVal val="0"/>
          <c:showCatName val="0"/>
          <c:showSerName val="0"/>
          <c:showPercent val="0"/>
          <c:showBubbleSize val="0"/>
        </c:dLbls>
        <c:axId val="883689167"/>
        <c:axId val="855070447"/>
      </c:scatterChart>
      <c:valAx>
        <c:axId val="852215967"/>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67966351"/>
        <c:crosses val="autoZero"/>
        <c:crossBetween val="midCat"/>
        <c:majorUnit val="0.2"/>
      </c:valAx>
      <c:valAx>
        <c:axId val="867966351"/>
        <c:scaling>
          <c:orientation val="minMax"/>
          <c:min val="1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0"/>
                  <a:t> </a:t>
                </a:r>
                <a:r>
                  <a:rPr lang="en-US" sz="700" baseline="30000"/>
                  <a:t>15</a:t>
                </a:r>
                <a:r>
                  <a:rPr lang="en-US" sz="700"/>
                  <a:t>N (AIR)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52215967"/>
        <c:crosses val="autoZero"/>
        <c:crossBetween val="midCat"/>
      </c:valAx>
      <c:valAx>
        <c:axId val="855070447"/>
        <c:scaling>
          <c:orientation val="minMax"/>
          <c:max val="-15"/>
          <c:min val="-21"/>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0"/>
                  <a:t> </a:t>
                </a:r>
                <a:r>
                  <a:rPr lang="en-US" sz="700" baseline="30000"/>
                  <a:t>13</a:t>
                </a:r>
                <a:r>
                  <a:rPr lang="en-US" sz="700"/>
                  <a:t>C (VPBD)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83689167"/>
        <c:crosses val="max"/>
        <c:crossBetween val="midCat"/>
      </c:valAx>
      <c:valAx>
        <c:axId val="883689167"/>
        <c:scaling>
          <c:orientation val="minMax"/>
        </c:scaling>
        <c:delete val="1"/>
        <c:axPos val="b"/>
        <c:numFmt formatCode="General" sourceLinked="1"/>
        <c:majorTickMark val="out"/>
        <c:minorTickMark val="none"/>
        <c:tickLblPos val="nextTo"/>
        <c:crossAx val="85507044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80887642627912"/>
          <c:y val="8.0344828291631115E-2"/>
          <c:w val="0.73377029635352897"/>
          <c:h val="0.74201895421754915"/>
        </c:manualLayout>
      </c:layout>
      <c:scatterChart>
        <c:scatterStyle val="lineMarker"/>
        <c:varyColors val="0"/>
        <c:ser>
          <c:idx val="0"/>
          <c:order val="0"/>
          <c:tx>
            <c:strRef>
              <c:f>'[CompleteIronAgeData-Jan2019.xlsx]Sheet4'!$B$48</c:f>
              <c:strCache>
                <c:ptCount val="1"/>
                <c:pt idx="0">
                  <c:v>Delta 15N (‰)</c:v>
                </c:pt>
              </c:strCache>
            </c:strRef>
          </c:tx>
          <c:spPr>
            <a:ln w="19050" cap="rnd">
              <a:noFill/>
              <a:round/>
            </a:ln>
            <a:effectLst/>
          </c:spPr>
          <c:marker>
            <c:symbol val="diamond"/>
            <c:size val="7"/>
            <c:spPr>
              <a:solidFill>
                <a:srgbClr val="7030A0"/>
              </a:solidFill>
              <a:ln w="9525">
                <a:solidFill>
                  <a:srgbClr val="7030A0"/>
                </a:solidFill>
              </a:ln>
              <a:effectLst/>
            </c:spPr>
          </c:marker>
          <c:xVal>
            <c:numRef>
              <c:f>'[CompleteIronAgeData-Jan2019.xlsx]Sheet4'!$A$49:$A$53</c:f>
              <c:numCache>
                <c:formatCode>General</c:formatCode>
                <c:ptCount val="5"/>
                <c:pt idx="0">
                  <c:v>0.34</c:v>
                </c:pt>
                <c:pt idx="1">
                  <c:v>0.64</c:v>
                </c:pt>
                <c:pt idx="2">
                  <c:v>0.9</c:v>
                </c:pt>
                <c:pt idx="3">
                  <c:v>1.1399999999999999</c:v>
                </c:pt>
                <c:pt idx="4">
                  <c:v>1.38</c:v>
                </c:pt>
              </c:numCache>
            </c:numRef>
          </c:xVal>
          <c:yVal>
            <c:numRef>
              <c:f>'[CompleteIronAgeData-Jan2019.xlsx]Sheet4'!$B$49:$B$53</c:f>
              <c:numCache>
                <c:formatCode>General</c:formatCode>
                <c:ptCount val="5"/>
                <c:pt idx="0">
                  <c:v>14.23</c:v>
                </c:pt>
                <c:pt idx="1">
                  <c:v>14.43</c:v>
                </c:pt>
                <c:pt idx="2">
                  <c:v>13.29</c:v>
                </c:pt>
                <c:pt idx="3">
                  <c:v>12.7</c:v>
                </c:pt>
                <c:pt idx="4">
                  <c:v>12.07</c:v>
                </c:pt>
              </c:numCache>
            </c:numRef>
          </c:yVal>
          <c:smooth val="0"/>
          <c:extLst>
            <c:ext xmlns:c16="http://schemas.microsoft.com/office/drawing/2014/chart" uri="{C3380CC4-5D6E-409C-BE32-E72D297353CC}">
              <c16:uniqueId val="{00000000-1AB5-C54A-B5CC-7F40E67F6416}"/>
            </c:ext>
          </c:extLst>
        </c:ser>
        <c:dLbls>
          <c:showLegendKey val="0"/>
          <c:showVal val="0"/>
          <c:showCatName val="0"/>
          <c:showSerName val="0"/>
          <c:showPercent val="0"/>
          <c:showBubbleSize val="0"/>
        </c:dLbls>
        <c:axId val="1973933183"/>
        <c:axId val="1973864591"/>
      </c:scatterChart>
      <c:scatterChart>
        <c:scatterStyle val="lineMarker"/>
        <c:varyColors val="0"/>
        <c:ser>
          <c:idx val="1"/>
          <c:order val="1"/>
          <c:tx>
            <c:strRef>
              <c:f>'[CompleteIronAgeData-Jan2019.xlsx]Sheet4'!$C$48</c:f>
              <c:strCache>
                <c:ptCount val="1"/>
                <c:pt idx="0">
                  <c:v>Delta 13C (‰)</c:v>
                </c:pt>
              </c:strCache>
            </c:strRef>
          </c:tx>
          <c:spPr>
            <a:ln w="19050" cap="rnd">
              <a:noFill/>
              <a:round/>
            </a:ln>
            <a:effectLst/>
          </c:spPr>
          <c:marker>
            <c:symbol val="square"/>
            <c:size val="7"/>
            <c:spPr>
              <a:noFill/>
              <a:ln w="22225">
                <a:solidFill>
                  <a:srgbClr val="92D050"/>
                </a:solidFill>
              </a:ln>
              <a:effectLst/>
            </c:spPr>
          </c:marker>
          <c:xVal>
            <c:numRef>
              <c:f>'[CompleteIronAgeData-Jan2019.xlsx]Sheet4'!$A$49:$A$53</c:f>
              <c:numCache>
                <c:formatCode>General</c:formatCode>
                <c:ptCount val="5"/>
                <c:pt idx="0">
                  <c:v>0.34</c:v>
                </c:pt>
                <c:pt idx="1">
                  <c:v>0.64</c:v>
                </c:pt>
                <c:pt idx="2">
                  <c:v>0.9</c:v>
                </c:pt>
                <c:pt idx="3">
                  <c:v>1.1399999999999999</c:v>
                </c:pt>
                <c:pt idx="4">
                  <c:v>1.38</c:v>
                </c:pt>
              </c:numCache>
            </c:numRef>
          </c:xVal>
          <c:yVal>
            <c:numRef>
              <c:f>'[CompleteIronAgeData-Jan2019.xlsx]Sheet4'!$C$49:$C$53</c:f>
              <c:numCache>
                <c:formatCode>General</c:formatCode>
                <c:ptCount val="5"/>
                <c:pt idx="0">
                  <c:v>-18.350000000000001</c:v>
                </c:pt>
                <c:pt idx="1">
                  <c:v>-18.46</c:v>
                </c:pt>
                <c:pt idx="2">
                  <c:v>-18.78</c:v>
                </c:pt>
                <c:pt idx="3">
                  <c:v>-19.09</c:v>
                </c:pt>
                <c:pt idx="4">
                  <c:v>-19.64</c:v>
                </c:pt>
              </c:numCache>
            </c:numRef>
          </c:yVal>
          <c:smooth val="0"/>
          <c:extLst>
            <c:ext xmlns:c16="http://schemas.microsoft.com/office/drawing/2014/chart" uri="{C3380CC4-5D6E-409C-BE32-E72D297353CC}">
              <c16:uniqueId val="{00000001-1AB5-C54A-B5CC-7F40E67F6416}"/>
            </c:ext>
          </c:extLst>
        </c:ser>
        <c:dLbls>
          <c:showLegendKey val="0"/>
          <c:showVal val="0"/>
          <c:showCatName val="0"/>
          <c:showSerName val="0"/>
          <c:showPercent val="0"/>
          <c:showBubbleSize val="0"/>
        </c:dLbls>
        <c:axId val="1973876287"/>
        <c:axId val="1986685471"/>
      </c:scatterChart>
      <c:valAx>
        <c:axId val="197393318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73864591"/>
        <c:crosses val="autoZero"/>
        <c:crossBetween val="midCat"/>
        <c:majorUnit val="0.2"/>
      </c:valAx>
      <c:valAx>
        <c:axId val="1973864591"/>
        <c:scaling>
          <c:orientation val="minMax"/>
          <c:min val="1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0"/>
                  <a:t> </a:t>
                </a:r>
                <a:r>
                  <a:rPr lang="en-US" sz="700" baseline="30000"/>
                  <a:t>15</a:t>
                </a:r>
                <a:r>
                  <a:rPr lang="en-US" sz="700"/>
                  <a:t>N (AIR)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73933183"/>
        <c:crosses val="autoZero"/>
        <c:crossBetween val="midCat"/>
      </c:valAx>
      <c:valAx>
        <c:axId val="1986685471"/>
        <c:scaling>
          <c:orientation val="minMax"/>
          <c:max val="-15"/>
          <c:min val="-2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0" i="0" u="none" strike="noStrike" baseline="0"/>
                  <a:t> </a:t>
                </a:r>
                <a:r>
                  <a:rPr lang="en-US" sz="700" baseline="30000"/>
                  <a:t>13</a:t>
                </a:r>
                <a:r>
                  <a:rPr lang="en-US" sz="700"/>
                  <a:t>C (VPBD)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73876287"/>
        <c:crosses val="max"/>
        <c:crossBetween val="midCat"/>
      </c:valAx>
      <c:valAx>
        <c:axId val="1973876287"/>
        <c:scaling>
          <c:orientation val="minMax"/>
        </c:scaling>
        <c:delete val="1"/>
        <c:axPos val="b"/>
        <c:numFmt formatCode="General" sourceLinked="1"/>
        <c:majorTickMark val="out"/>
        <c:minorTickMark val="none"/>
        <c:tickLblPos val="nextTo"/>
        <c:crossAx val="19866854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92825896762904"/>
          <c:y val="8.8574391957825238E-2"/>
          <c:w val="0.72779615048118984"/>
          <c:h val="0.68791443937785246"/>
        </c:manualLayout>
      </c:layout>
      <c:scatterChart>
        <c:scatterStyle val="lineMarker"/>
        <c:varyColors val="0"/>
        <c:ser>
          <c:idx val="0"/>
          <c:order val="0"/>
          <c:tx>
            <c:strRef>
              <c:f>Sheet4!$B$64</c:f>
              <c:strCache>
                <c:ptCount val="1"/>
                <c:pt idx="0">
                  <c:v>Delta 15N (‰)</c:v>
                </c:pt>
              </c:strCache>
            </c:strRef>
          </c:tx>
          <c:spPr>
            <a:ln w="19050" cap="rnd">
              <a:noFill/>
              <a:round/>
            </a:ln>
            <a:effectLst/>
          </c:spPr>
          <c:marker>
            <c:symbol val="diamond"/>
            <c:size val="7"/>
            <c:spPr>
              <a:solidFill>
                <a:srgbClr val="7030A0"/>
              </a:solidFill>
              <a:ln w="9525">
                <a:solidFill>
                  <a:srgbClr val="7030A0"/>
                </a:solidFill>
              </a:ln>
              <a:effectLst/>
            </c:spPr>
          </c:marker>
          <c:xVal>
            <c:numRef>
              <c:f>Sheet4!$A$65:$A$70</c:f>
              <c:numCache>
                <c:formatCode>General</c:formatCode>
                <c:ptCount val="6"/>
                <c:pt idx="0">
                  <c:v>0.42</c:v>
                </c:pt>
                <c:pt idx="1">
                  <c:v>0.9</c:v>
                </c:pt>
                <c:pt idx="2">
                  <c:v>1.37</c:v>
                </c:pt>
                <c:pt idx="3">
                  <c:v>1.84</c:v>
                </c:pt>
                <c:pt idx="4">
                  <c:v>2.3199999999999998</c:v>
                </c:pt>
                <c:pt idx="5">
                  <c:v>3.03</c:v>
                </c:pt>
              </c:numCache>
            </c:numRef>
          </c:xVal>
          <c:yVal>
            <c:numRef>
              <c:f>Sheet4!$B$65:$B$70</c:f>
              <c:numCache>
                <c:formatCode>General</c:formatCode>
                <c:ptCount val="6"/>
                <c:pt idx="0">
                  <c:v>16.05</c:v>
                </c:pt>
                <c:pt idx="1">
                  <c:v>15.31</c:v>
                </c:pt>
                <c:pt idx="2">
                  <c:v>13.91</c:v>
                </c:pt>
                <c:pt idx="3">
                  <c:v>13.54</c:v>
                </c:pt>
                <c:pt idx="4">
                  <c:v>13.4</c:v>
                </c:pt>
                <c:pt idx="5">
                  <c:v>12.81</c:v>
                </c:pt>
              </c:numCache>
            </c:numRef>
          </c:yVal>
          <c:smooth val="0"/>
          <c:extLst>
            <c:ext xmlns:c16="http://schemas.microsoft.com/office/drawing/2014/chart" uri="{C3380CC4-5D6E-409C-BE32-E72D297353CC}">
              <c16:uniqueId val="{00000000-1D4C-714E-8797-C4A156AE5359}"/>
            </c:ext>
          </c:extLst>
        </c:ser>
        <c:dLbls>
          <c:showLegendKey val="0"/>
          <c:showVal val="0"/>
          <c:showCatName val="0"/>
          <c:showSerName val="0"/>
          <c:showPercent val="0"/>
          <c:showBubbleSize val="0"/>
        </c:dLbls>
        <c:axId val="2005113295"/>
        <c:axId val="1938155679"/>
      </c:scatterChart>
      <c:scatterChart>
        <c:scatterStyle val="lineMarker"/>
        <c:varyColors val="0"/>
        <c:ser>
          <c:idx val="1"/>
          <c:order val="1"/>
          <c:tx>
            <c:strRef>
              <c:f>Sheet4!$C$64</c:f>
              <c:strCache>
                <c:ptCount val="1"/>
                <c:pt idx="0">
                  <c:v>Delta 13C (‰)</c:v>
                </c:pt>
              </c:strCache>
            </c:strRef>
          </c:tx>
          <c:spPr>
            <a:ln w="19050" cap="rnd">
              <a:noFill/>
              <a:round/>
            </a:ln>
            <a:effectLst/>
          </c:spPr>
          <c:marker>
            <c:symbol val="square"/>
            <c:size val="7"/>
            <c:spPr>
              <a:noFill/>
              <a:ln w="22225">
                <a:solidFill>
                  <a:srgbClr val="92D050"/>
                </a:solidFill>
              </a:ln>
              <a:effectLst/>
            </c:spPr>
          </c:marker>
          <c:xVal>
            <c:numRef>
              <c:f>Sheet4!$A$65:$A$70</c:f>
              <c:numCache>
                <c:formatCode>General</c:formatCode>
                <c:ptCount val="6"/>
                <c:pt idx="0">
                  <c:v>0.42</c:v>
                </c:pt>
                <c:pt idx="1">
                  <c:v>0.9</c:v>
                </c:pt>
                <c:pt idx="2">
                  <c:v>1.37</c:v>
                </c:pt>
                <c:pt idx="3">
                  <c:v>1.84</c:v>
                </c:pt>
                <c:pt idx="4">
                  <c:v>2.3199999999999998</c:v>
                </c:pt>
                <c:pt idx="5">
                  <c:v>3.03</c:v>
                </c:pt>
              </c:numCache>
            </c:numRef>
          </c:xVal>
          <c:yVal>
            <c:numRef>
              <c:f>Sheet4!$C$65:$C$70</c:f>
              <c:numCache>
                <c:formatCode>General</c:formatCode>
                <c:ptCount val="6"/>
                <c:pt idx="0">
                  <c:v>-18.7</c:v>
                </c:pt>
                <c:pt idx="1">
                  <c:v>-18.75</c:v>
                </c:pt>
                <c:pt idx="2">
                  <c:v>-19.100000000000001</c:v>
                </c:pt>
                <c:pt idx="3">
                  <c:v>-19.12</c:v>
                </c:pt>
                <c:pt idx="4">
                  <c:v>-19.96</c:v>
                </c:pt>
                <c:pt idx="5">
                  <c:v>-19.579999999999998</c:v>
                </c:pt>
              </c:numCache>
            </c:numRef>
          </c:yVal>
          <c:smooth val="0"/>
          <c:extLst>
            <c:ext xmlns:c16="http://schemas.microsoft.com/office/drawing/2014/chart" uri="{C3380CC4-5D6E-409C-BE32-E72D297353CC}">
              <c16:uniqueId val="{00000001-1D4C-714E-8797-C4A156AE5359}"/>
            </c:ext>
          </c:extLst>
        </c:ser>
        <c:dLbls>
          <c:showLegendKey val="0"/>
          <c:showVal val="0"/>
          <c:showCatName val="0"/>
          <c:showSerName val="0"/>
          <c:showPercent val="0"/>
          <c:showBubbleSize val="0"/>
        </c:dLbls>
        <c:axId val="1984828255"/>
        <c:axId val="1987503199"/>
      </c:scatterChart>
      <c:valAx>
        <c:axId val="2005113295"/>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Age in Years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38155679"/>
        <c:crosses val="autoZero"/>
        <c:crossBetween val="midCat"/>
        <c:majorUnit val="0.5"/>
      </c:valAx>
      <c:valAx>
        <c:axId val="1938155679"/>
        <c:scaling>
          <c:orientation val="minMax"/>
          <c:min val="1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aseline="30000"/>
                  <a:t>15</a:t>
                </a:r>
                <a:r>
                  <a:rPr lang="en-US" sz="700"/>
                  <a:t>N (AIR)</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05113295"/>
        <c:crosses val="autoZero"/>
        <c:crossBetween val="midCat"/>
      </c:valAx>
      <c:valAx>
        <c:axId val="1987503199"/>
        <c:scaling>
          <c:orientation val="minMax"/>
          <c:max val="-14"/>
          <c:min val="-21"/>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b="0" i="0" u="none" strike="noStrike" baseline="0">
                    <a:effectLst/>
                    <a:sym typeface="Symbol" pitchFamily="2" charset="2"/>
                  </a:rPr>
                  <a:t></a:t>
                </a:r>
                <a:r>
                  <a:rPr lang="en-US" sz="700" baseline="30000"/>
                  <a:t>13</a:t>
                </a:r>
                <a:r>
                  <a:rPr lang="en-US" sz="700"/>
                  <a:t>C (VPBD)</a:t>
                </a:r>
                <a:endParaRPr lang="en-CA"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984828255"/>
        <c:crosses val="max"/>
        <c:crossBetween val="midCat"/>
      </c:valAx>
      <c:valAx>
        <c:axId val="1984828255"/>
        <c:scaling>
          <c:orientation val="minMax"/>
        </c:scaling>
        <c:delete val="1"/>
        <c:axPos val="b"/>
        <c:numFmt formatCode="General" sourceLinked="1"/>
        <c:majorTickMark val="out"/>
        <c:minorTickMark val="none"/>
        <c:tickLblPos val="nextTo"/>
        <c:crossAx val="1987503199"/>
        <c:crossesAt val="-13"/>
        <c:crossBetween val="midCat"/>
      </c:valAx>
      <c:spPr>
        <a:noFill/>
        <a:ln>
          <a:noFill/>
        </a:ln>
        <a:effectLst/>
      </c:spPr>
    </c:plotArea>
    <c:legend>
      <c:legendPos val="b"/>
      <c:layout>
        <c:manualLayout>
          <c:xMode val="edge"/>
          <c:yMode val="edge"/>
          <c:x val="0.45005754526704422"/>
          <c:y val="6.1862474645739171E-2"/>
          <c:w val="0.41727690288713909"/>
          <c:h val="7.812554680664918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'male vs female'!$L$87:$L$156</cx:f>
        <cx:lvl ptCount="70">
          <cx:pt idx="0">28 months - 3 years</cx:pt>
          <cx:pt idx="1">28 months - 3 years</cx:pt>
          <cx:pt idx="2">3 - 4 years</cx:pt>
          <cx:pt idx="3">4 - 5 years</cx:pt>
          <cx:pt idx="4">4 - 5 years</cx:pt>
          <cx:pt idx="5">4 - 5 years</cx:pt>
          <cx:pt idx="6">5 - 7 years</cx:pt>
          <cx:pt idx="7">5 - 7 years</cx:pt>
          <cx:pt idx="8">7 - 9 years</cx:pt>
          <cx:pt idx="9">7 - 9 years</cx:pt>
          <cx:pt idx="10">9 - 11 years</cx:pt>
          <cx:pt idx="11">9 - 11 years</cx:pt>
          <cx:pt idx="12">11 - 13 years</cx:pt>
          <cx:pt idx="13">11 - 13 years</cx:pt>
          <cx:pt idx="14">28 months - 3 years</cx:pt>
          <cx:pt idx="15">28 months - 3 years</cx:pt>
          <cx:pt idx="16">3 - 4 years</cx:pt>
          <cx:pt idx="17">4 - 5 years</cx:pt>
          <cx:pt idx="18">4 - 5 years</cx:pt>
          <cx:pt idx="19">4 - 5 years</cx:pt>
          <cx:pt idx="20">5 - 7 years</cx:pt>
          <cx:pt idx="21">5 - 7 years</cx:pt>
          <cx:pt idx="22">7 - 9 years</cx:pt>
          <cx:pt idx="23">7 - 9 years</cx:pt>
          <cx:pt idx="24">9 - 11 years</cx:pt>
          <cx:pt idx="25">9 - 11 years</cx:pt>
          <cx:pt idx="26">11 - 13 years</cx:pt>
          <cx:pt idx="27">11 - 13 years</cx:pt>
          <cx:pt idx="28">28 months - 3 years</cx:pt>
          <cx:pt idx="29">28 months - 3 years</cx:pt>
          <cx:pt idx="30">3 - 4 years</cx:pt>
          <cx:pt idx="31">4 - 5 years</cx:pt>
          <cx:pt idx="32">4 - 5 years</cx:pt>
          <cx:pt idx="33">4 - 5 years</cx:pt>
          <cx:pt idx="34">5 - 7 years</cx:pt>
          <cx:pt idx="35">5 - 7 years</cx:pt>
          <cx:pt idx="36">7 - 9 years</cx:pt>
          <cx:pt idx="37">7 - 9 years</cx:pt>
          <cx:pt idx="38">9 - 11 years</cx:pt>
          <cx:pt idx="39">9 - 11 years</cx:pt>
          <cx:pt idx="40">11 - 13 years</cx:pt>
          <cx:pt idx="41">11 - 13 years</cx:pt>
          <cx:pt idx="42">28 months - 3 years</cx:pt>
          <cx:pt idx="43">28 months - 3 years</cx:pt>
          <cx:pt idx="44">3 - 4 years</cx:pt>
          <cx:pt idx="45">4 - 5 years</cx:pt>
          <cx:pt idx="46">4 - 5 years</cx:pt>
          <cx:pt idx="47">4 - 5 years</cx:pt>
          <cx:pt idx="48">5 - 7 years</cx:pt>
          <cx:pt idx="49">5 - 7 years</cx:pt>
          <cx:pt idx="50">7 - 9 years</cx:pt>
          <cx:pt idx="51">7 - 9 years</cx:pt>
          <cx:pt idx="52">9 - 11 years</cx:pt>
          <cx:pt idx="53">9 - 11 years</cx:pt>
          <cx:pt idx="54">11 - 13 years</cx:pt>
          <cx:pt idx="55">11 - 13 years</cx:pt>
          <cx:pt idx="56">28 months - 3 years</cx:pt>
          <cx:pt idx="57">28 months - 3 years</cx:pt>
          <cx:pt idx="58">3 - 4 years</cx:pt>
          <cx:pt idx="59">4 - 5 years</cx:pt>
          <cx:pt idx="60">4 - 5 years</cx:pt>
          <cx:pt idx="61">4 - 5 years</cx:pt>
          <cx:pt idx="62">5 - 7 years</cx:pt>
          <cx:pt idx="63">5 - 7 years</cx:pt>
          <cx:pt idx="64">7 - 9 years</cx:pt>
          <cx:pt idx="65">7 - 9 years</cx:pt>
          <cx:pt idx="66">9 - 11 years</cx:pt>
          <cx:pt idx="67">9 - 11 years</cx:pt>
          <cx:pt idx="68">11 - 13 years</cx:pt>
          <cx:pt idx="69">11 - 13 years</cx:pt>
        </cx:lvl>
      </cx:strDim>
      <cx:numDim type="val">
        <cx:f>'male vs female'!$M$87:$M$156</cx:f>
        <cx:lvl ptCount="70" formatCode="General">
          <cx:pt idx="0">9.8900000000000006</cx:pt>
          <cx:pt idx="3">9.6600000000000001</cx:pt>
          <cx:pt idx="6">9.6300000000000008</cx:pt>
          <cx:pt idx="8">10.130000000000001</cx:pt>
          <cx:pt idx="10">10.32</cx:pt>
          <cx:pt idx="14">10.779999999999999</cx:pt>
          <cx:pt idx="16">10.779999999999999</cx:pt>
          <cx:pt idx="20">10.710000000000001</cx:pt>
          <cx:pt idx="21">10.210000000000001</cx:pt>
          <cx:pt idx="22">10.050000000000001</cx:pt>
          <cx:pt idx="23">10.16</cx:pt>
          <cx:pt idx="24">10.23</cx:pt>
          <cx:pt idx="26">10.33</cx:pt>
          <cx:pt idx="27">10.609999999999999</cx:pt>
          <cx:pt idx="28">8.7899999999999991</cx:pt>
          <cx:pt idx="30">7.7300000000000004</cx:pt>
          <cx:pt idx="31">8.2200000000000006</cx:pt>
          <cx:pt idx="34">9.1500000000000004</cx:pt>
          <cx:pt idx="36">9.7200000000000006</cx:pt>
          <cx:pt idx="37">10.93</cx:pt>
          <cx:pt idx="38">10.390000000000001</cx:pt>
          <cx:pt idx="40">10.77</cx:pt>
        </cx:lvl>
      </cx:numDim>
    </cx:data>
    <cx:data id="1">
      <cx:strDim type="cat">
        <cx:f>'male vs female'!$L$87:$L$156</cx:f>
        <cx:lvl ptCount="70">
          <cx:pt idx="0">28 months - 3 years</cx:pt>
          <cx:pt idx="1">28 months - 3 years</cx:pt>
          <cx:pt idx="2">3 - 4 years</cx:pt>
          <cx:pt idx="3">4 - 5 years</cx:pt>
          <cx:pt idx="4">4 - 5 years</cx:pt>
          <cx:pt idx="5">4 - 5 years</cx:pt>
          <cx:pt idx="6">5 - 7 years</cx:pt>
          <cx:pt idx="7">5 - 7 years</cx:pt>
          <cx:pt idx="8">7 - 9 years</cx:pt>
          <cx:pt idx="9">7 - 9 years</cx:pt>
          <cx:pt idx="10">9 - 11 years</cx:pt>
          <cx:pt idx="11">9 - 11 years</cx:pt>
          <cx:pt idx="12">11 - 13 years</cx:pt>
          <cx:pt idx="13">11 - 13 years</cx:pt>
          <cx:pt idx="14">28 months - 3 years</cx:pt>
          <cx:pt idx="15">28 months - 3 years</cx:pt>
          <cx:pt idx="16">3 - 4 years</cx:pt>
          <cx:pt idx="17">4 - 5 years</cx:pt>
          <cx:pt idx="18">4 - 5 years</cx:pt>
          <cx:pt idx="19">4 - 5 years</cx:pt>
          <cx:pt idx="20">5 - 7 years</cx:pt>
          <cx:pt idx="21">5 - 7 years</cx:pt>
          <cx:pt idx="22">7 - 9 years</cx:pt>
          <cx:pt idx="23">7 - 9 years</cx:pt>
          <cx:pt idx="24">9 - 11 years</cx:pt>
          <cx:pt idx="25">9 - 11 years</cx:pt>
          <cx:pt idx="26">11 - 13 years</cx:pt>
          <cx:pt idx="27">11 - 13 years</cx:pt>
          <cx:pt idx="28">28 months - 3 years</cx:pt>
          <cx:pt idx="29">28 months - 3 years</cx:pt>
          <cx:pt idx="30">3 - 4 years</cx:pt>
          <cx:pt idx="31">4 - 5 years</cx:pt>
          <cx:pt idx="32">4 - 5 years</cx:pt>
          <cx:pt idx="33">4 - 5 years</cx:pt>
          <cx:pt idx="34">5 - 7 years</cx:pt>
          <cx:pt idx="35">5 - 7 years</cx:pt>
          <cx:pt idx="36">7 - 9 years</cx:pt>
          <cx:pt idx="37">7 - 9 years</cx:pt>
          <cx:pt idx="38">9 - 11 years</cx:pt>
          <cx:pt idx="39">9 - 11 years</cx:pt>
          <cx:pt idx="40">11 - 13 years</cx:pt>
          <cx:pt idx="41">11 - 13 years</cx:pt>
          <cx:pt idx="42">28 months - 3 years</cx:pt>
          <cx:pt idx="43">28 months - 3 years</cx:pt>
          <cx:pt idx="44">3 - 4 years</cx:pt>
          <cx:pt idx="45">4 - 5 years</cx:pt>
          <cx:pt idx="46">4 - 5 years</cx:pt>
          <cx:pt idx="47">4 - 5 years</cx:pt>
          <cx:pt idx="48">5 - 7 years</cx:pt>
          <cx:pt idx="49">5 - 7 years</cx:pt>
          <cx:pt idx="50">7 - 9 years</cx:pt>
          <cx:pt idx="51">7 - 9 years</cx:pt>
          <cx:pt idx="52">9 - 11 years</cx:pt>
          <cx:pt idx="53">9 - 11 years</cx:pt>
          <cx:pt idx="54">11 - 13 years</cx:pt>
          <cx:pt idx="55">11 - 13 years</cx:pt>
          <cx:pt idx="56">28 months - 3 years</cx:pt>
          <cx:pt idx="57">28 months - 3 years</cx:pt>
          <cx:pt idx="58">3 - 4 years</cx:pt>
          <cx:pt idx="59">4 - 5 years</cx:pt>
          <cx:pt idx="60">4 - 5 years</cx:pt>
          <cx:pt idx="61">4 - 5 years</cx:pt>
          <cx:pt idx="62">5 - 7 years</cx:pt>
          <cx:pt idx="63">5 - 7 years</cx:pt>
          <cx:pt idx="64">7 - 9 years</cx:pt>
          <cx:pt idx="65">7 - 9 years</cx:pt>
          <cx:pt idx="66">9 - 11 years</cx:pt>
          <cx:pt idx="67">9 - 11 years</cx:pt>
          <cx:pt idx="68">11 - 13 years</cx:pt>
          <cx:pt idx="69">11 - 13 years</cx:pt>
        </cx:lvl>
      </cx:strDim>
      <cx:numDim type="val">
        <cx:f>'male vs female'!$N$87:$N$156</cx:f>
        <cx:lvl ptCount="70" formatCode="General">
          <cx:pt idx="0">9.5999999999999996</cx:pt>
          <cx:pt idx="3">8.1400000000000006</cx:pt>
          <cx:pt idx="6">7.4199999999999999</cx:pt>
          <cx:pt idx="7">7.5599999999999996</cx:pt>
          <cx:pt idx="8">7.5300000000000002</cx:pt>
          <cx:pt idx="10">8.5299999999999994</cx:pt>
          <cx:pt idx="11">8.5</cx:pt>
          <cx:pt idx="12">8.9900000000000002</cx:pt>
          <cx:pt idx="14">11.210000000000001</cx:pt>
          <cx:pt idx="16">9.0600000000000005</cx:pt>
          <cx:pt idx="17">9.2799999999999994</cx:pt>
          <cx:pt idx="20">9.3599999999999994</cx:pt>
          <cx:pt idx="22">9.4700000000000006</cx:pt>
          <cx:pt idx="23">9.6300000000000008</cx:pt>
          <cx:pt idx="24">10.1</cx:pt>
          <cx:pt idx="25">10.449999999999999</cx:pt>
          <cx:pt idx="26">10.77</cx:pt>
          <cx:pt idx="28">8.9600000000000009</cx:pt>
          <cx:pt idx="31">8.1099999999999994</cx:pt>
          <cx:pt idx="34">8.2100000000000009</cx:pt>
          <cx:pt idx="36">8.5700000000000003</cx:pt>
          <cx:pt idx="37">8.5199999999999996</cx:pt>
          <cx:pt idx="38">8.8399999999999999</cx:pt>
          <cx:pt idx="39">8.8300000000000001</cx:pt>
          <cx:pt idx="40">9.0800000000000001</cx:pt>
          <cx:pt idx="44">9.7599999999999998</cx:pt>
          <cx:pt idx="45">9.5800000000000001</cx:pt>
          <cx:pt idx="48">9.2799999999999994</cx:pt>
          <cx:pt idx="50">9.4800000000000004</cx:pt>
          <cx:pt idx="51">9.8699999999999992</cx:pt>
          <cx:pt idx="52">10.19</cx:pt>
          <cx:pt idx="54">9.8000000000000007</cx:pt>
          <cx:pt idx="55">10.18</cx:pt>
          <cx:pt idx="56">12.25</cx:pt>
          <cx:pt idx="58">10.59</cx:pt>
          <cx:pt idx="59">9.5800000000000001</cx:pt>
          <cx:pt idx="62">9.6699999999999999</cx:pt>
          <cx:pt idx="64">10.65</cx:pt>
          <cx:pt idx="66">10.869999999999999</cx:pt>
          <cx:pt idx="68">10.109999999999999</cx:pt>
        </cx:lvl>
      </cx:numDim>
    </cx:data>
  </cx:chartData>
  <cx:chart>
    <cx:plotArea>
      <cx:plotAreaRegion>
        <cx:series layoutId="boxWhisker" uniqueId="{4FE091A5-ADE0-9B46-8707-40B368CD3613}">
          <cx:tx>
            <cx:txData>
              <cx:f>'male vs female'!$M$86</cx:f>
              <cx:v>Female</cx:v>
            </cx:txData>
          </cx:tx>
          <cx:spPr>
            <a:noFill/>
          </cx:spPr>
          <cx:dataId val="0"/>
          <cx:layoutPr>
            <cx:visibility meanLine="0" meanMarker="1" nonoutliers="1" outliers="1"/>
            <cx:statistics quartileMethod="inclusive"/>
          </cx:layoutPr>
        </cx:series>
        <cx:series layoutId="boxWhisker" uniqueId="{67419C6F-755B-FA41-82AF-78CC941E9973}">
          <cx:tx>
            <cx:txData>
              <cx:f>'male vs female'!$N$86</cx:f>
              <cx:v>Male </cx:v>
            </cx:txData>
          </cx:tx>
          <cx:spPr>
            <a:noFill/>
          </cx:spPr>
          <cx:dataId val="1"/>
          <cx:layoutPr>
            <cx:visibility meanLine="0" meanMarker="1" nonoutliers="1" outliers="1"/>
            <cx:statistics quartileMethod="inclusive"/>
          </cx:layoutPr>
        </cx:series>
      </cx:plotAreaRegion>
      <cx:axis id="0">
        <cx:catScaling gapWidth="1"/>
        <cx:title>
          <cx:tx>
            <cx:txData>
              <cx:v>Age Categories</cx:v>
            </cx:txData>
          </cx:tx>
          <cx:txPr>
            <a:bodyPr spcFirstLastPara="1" vertOverflow="ellipsis" horzOverflow="overflow" wrap="square" lIns="0" tIns="0" rIns="0" bIns="0" anchor="ctr" anchorCtr="1"/>
            <a:lstStyle/>
            <a:p>
              <a:pPr algn="ctr" rtl="0">
                <a:defRPr sz="800"/>
              </a:pPr>
              <a:r>
                <a:rPr lang="en-US" sz="800" b="0" i="0" u="none" strike="noStrike" baseline="0">
                  <a:solidFill>
                    <a:sysClr val="windowText" lastClr="000000">
                      <a:lumMod val="65000"/>
                      <a:lumOff val="35000"/>
                    </a:sysClr>
                  </a:solidFill>
                  <a:latin typeface="Calibri" panose="020F0502020204030204"/>
                </a:rPr>
                <a:t>Age Categories</a:t>
              </a:r>
            </a:p>
          </cx:txPr>
        </cx:title>
        <cx:tickLabels/>
        <cx:txPr>
          <a:bodyPr vertOverflow="overflow" horzOverflow="overflow" wrap="square" lIns="0" tIns="0" rIns="0" bIns="0"/>
          <a:lstStyle/>
          <a:p>
            <a:pPr algn="ctr" rtl="0">
              <a:defRPr sz="800" b="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sz="800"/>
          </a:p>
        </cx:txPr>
      </cx:axis>
      <cx:axis id="1">
        <cx:valScaling min="6"/>
        <cx:title>
          <cx:tx>
            <cx:rich>
              <a:bodyPr spcFirstLastPara="1" vertOverflow="ellipsis" horzOverflow="overflow" wrap="square" lIns="0" tIns="0" rIns="0" bIns="0" anchor="ctr" anchorCtr="1"/>
              <a:lstStyle/>
              <a:p>
                <a:pPr rtl="0">
                  <a:defRPr sz="800"/>
                </a:pPr>
                <a:r>
                  <a:rPr lang="en-US" sz="800" b="0" i="0" baseline="0">
                    <a:solidFill>
                      <a:schemeClr val="tx1">
                        <a:lumMod val="65000"/>
                        <a:lumOff val="35000"/>
                      </a:schemeClr>
                    </a:solidFill>
                    <a:effectLst/>
                    <a:sym typeface="Symbol" pitchFamily="2" charset="2"/>
                  </a:rPr>
                  <a:t></a:t>
                </a:r>
                <a:r>
                  <a:rPr lang="en-US" sz="800" b="0" i="0" baseline="30000">
                    <a:solidFill>
                      <a:schemeClr val="tx1">
                        <a:lumMod val="65000"/>
                        <a:lumOff val="35000"/>
                      </a:schemeClr>
                    </a:solidFill>
                    <a:effectLst/>
                  </a:rPr>
                  <a:t>15</a:t>
                </a:r>
                <a:r>
                  <a:rPr lang="en-US" sz="800" b="0" i="0" baseline="0">
                    <a:solidFill>
                      <a:schemeClr val="tx1">
                        <a:lumMod val="65000"/>
                        <a:lumOff val="35000"/>
                      </a:schemeClr>
                    </a:solidFill>
                    <a:effectLst/>
                  </a:rPr>
                  <a:t>N (AIR)</a:t>
                </a:r>
                <a:endParaRPr lang="en-CA" sz="800">
                  <a:solidFill>
                    <a:schemeClr val="tx1">
                      <a:lumMod val="65000"/>
                      <a:lumOff val="35000"/>
                    </a:schemeClr>
                  </a:solidFill>
                  <a:effectLst/>
                </a:endParaRPr>
              </a:p>
            </cx:rich>
          </cx:tx>
        </cx:title>
        <cx:majorTickMarks type="out"/>
        <cx:tickLabels/>
        <cx:numFmt formatCode="#,##0.0" sourceLinked="0"/>
        <cx:txPr>
          <a:bodyPr vertOverflow="overflow" horzOverflow="overflow" wrap="square" lIns="0" tIns="0" rIns="0" bIns="0"/>
          <a:lstStyle/>
          <a:p>
            <a:pPr algn="ctr" rtl="0">
              <a:defRPr sz="800" b="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sz="800"/>
          </a:p>
        </cx:txPr>
      </cx:axis>
    </cx:plotArea>
    <cx:legend pos="t" align="ctr" overlay="0">
      <cx:txPr>
        <a:bodyPr vertOverflow="overflow" horzOverflow="overflow" wrap="square" lIns="0" tIns="0" rIns="0" bIns="0"/>
        <a:lstStyle/>
        <a:p>
          <a:pPr algn="ctr" rtl="0">
            <a:defRPr sz="900" b="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sz="900"/>
        </a:p>
      </cx:txPr>
    </cx:legend>
  </cx:chart>
  <cx:spPr>
    <a:ln>
      <a:noFill/>
    </a:ln>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'male vs female'!$AF$87:$AF$156</cx:f>
        <cx:lvl ptCount="70">
          <cx:pt idx="0">28 months - 3 years</cx:pt>
          <cx:pt idx="1">28 months - 3 years</cx:pt>
          <cx:pt idx="2">3 - 4 years</cx:pt>
          <cx:pt idx="3">4 - 5 years</cx:pt>
          <cx:pt idx="4">4 - 5 years</cx:pt>
          <cx:pt idx="5">4 - 5 years</cx:pt>
          <cx:pt idx="6">5 - 7 years</cx:pt>
          <cx:pt idx="7">5 - 7 years</cx:pt>
          <cx:pt idx="8">7 - 9 years</cx:pt>
          <cx:pt idx="9">7 - 9 years</cx:pt>
          <cx:pt idx="10">9 - 11 years</cx:pt>
          <cx:pt idx="11">9 - 11 years</cx:pt>
          <cx:pt idx="12">11 - 13 years</cx:pt>
          <cx:pt idx="13">11 - 13 years</cx:pt>
          <cx:pt idx="14">28 months - 3 years</cx:pt>
          <cx:pt idx="15">28 months - 3 years</cx:pt>
          <cx:pt idx="16">3 - 4 years</cx:pt>
          <cx:pt idx="17">4 - 5 years</cx:pt>
          <cx:pt idx="18">4 - 5 years</cx:pt>
          <cx:pt idx="19">4 - 5 years</cx:pt>
          <cx:pt idx="20">5 - 7 years</cx:pt>
          <cx:pt idx="21">5 - 7 years</cx:pt>
          <cx:pt idx="22">7 - 9 years</cx:pt>
          <cx:pt idx="23">7 - 9 years</cx:pt>
          <cx:pt idx="24">9 - 11 years</cx:pt>
          <cx:pt idx="25">9 - 11 years</cx:pt>
          <cx:pt idx="26">11 - 13 years</cx:pt>
          <cx:pt idx="27">11 - 13 years</cx:pt>
          <cx:pt idx="28">28 months - 3 years</cx:pt>
          <cx:pt idx="29">28 months - 3 years</cx:pt>
          <cx:pt idx="30">3 - 4 years</cx:pt>
          <cx:pt idx="31">4 - 5 years</cx:pt>
          <cx:pt idx="32">4 - 5 years</cx:pt>
          <cx:pt idx="33">4 - 5 years</cx:pt>
          <cx:pt idx="34">5 - 7 years</cx:pt>
          <cx:pt idx="35">5 - 7 years</cx:pt>
          <cx:pt idx="36">7 - 9 years</cx:pt>
          <cx:pt idx="37">7 - 9 years</cx:pt>
          <cx:pt idx="38">9 - 11 years</cx:pt>
          <cx:pt idx="39">9 - 11 years</cx:pt>
          <cx:pt idx="40">11 - 13 years</cx:pt>
          <cx:pt idx="41">11 - 13 years</cx:pt>
          <cx:pt idx="42">28 months - 3 years</cx:pt>
          <cx:pt idx="43">28 months - 3 years</cx:pt>
          <cx:pt idx="44">3 - 4 years</cx:pt>
          <cx:pt idx="45">4 - 5 years</cx:pt>
          <cx:pt idx="46">4 - 5 years</cx:pt>
          <cx:pt idx="47">4 - 5 years</cx:pt>
          <cx:pt idx="48">5 - 7 years</cx:pt>
          <cx:pt idx="49">5 - 7 years</cx:pt>
          <cx:pt idx="50">7 - 9 years</cx:pt>
          <cx:pt idx="51">7 - 9 years</cx:pt>
          <cx:pt idx="52">9 - 11 years</cx:pt>
          <cx:pt idx="53">9 - 11 years</cx:pt>
          <cx:pt idx="54">11 - 13 years</cx:pt>
          <cx:pt idx="55">11 - 13 years</cx:pt>
          <cx:pt idx="56">28 months - 3 years</cx:pt>
          <cx:pt idx="57">28 months - 3 years</cx:pt>
          <cx:pt idx="58">3 - 4 years</cx:pt>
          <cx:pt idx="59">4 - 5 years</cx:pt>
          <cx:pt idx="60">4 - 5 years</cx:pt>
          <cx:pt idx="61">4 - 5 years</cx:pt>
          <cx:pt idx="62">5 - 7 years</cx:pt>
          <cx:pt idx="63">5 - 7 years</cx:pt>
          <cx:pt idx="64">7 - 9 years</cx:pt>
          <cx:pt idx="65">7 - 9 years</cx:pt>
          <cx:pt idx="66">9 - 11 years</cx:pt>
          <cx:pt idx="67">9 - 11 years</cx:pt>
          <cx:pt idx="68">11 - 13 years</cx:pt>
          <cx:pt idx="69">11 - 13 years</cx:pt>
        </cx:lvl>
      </cx:strDim>
      <cx:numDim type="val">
        <cx:f>'male vs female'!$AG$87:$AG$156</cx:f>
        <cx:lvl ptCount="70" formatCode="General">
          <cx:pt idx="3">-19.030000000000001</cx:pt>
          <cx:pt idx="6">-18.920000000000002</cx:pt>
          <cx:pt idx="8">-19.559999999999999</cx:pt>
          <cx:pt idx="10">-19.149999999999999</cx:pt>
          <cx:pt idx="14">-18.98</cx:pt>
          <cx:pt idx="16">-19.129999999999999</cx:pt>
          <cx:pt idx="20">-19.039999999999999</cx:pt>
          <cx:pt idx="21">-18.789999999999999</cx:pt>
          <cx:pt idx="22">-18.780000000000001</cx:pt>
          <cx:pt idx="23">-18.859999999999999</cx:pt>
          <cx:pt idx="24">-19.23</cx:pt>
          <cx:pt idx="26">-19.280000000000001</cx:pt>
          <cx:pt idx="27">-19.219999999999999</cx:pt>
          <cx:pt idx="28">-20.07</cx:pt>
          <cx:pt idx="30">-19.789999999999999</cx:pt>
          <cx:pt idx="31">-19.530000000000001</cx:pt>
          <cx:pt idx="34">-19.300000000000001</cx:pt>
          <cx:pt idx="36">-19.149999999999999</cx:pt>
          <cx:pt idx="37">-19.550000000000001</cx:pt>
          <cx:pt idx="38">-20.100000000000001</cx:pt>
          <cx:pt idx="40">-19.16</cx:pt>
        </cx:lvl>
      </cx:numDim>
    </cx:data>
    <cx:data id="1">
      <cx:strDim type="cat">
        <cx:f>'male vs female'!$AF$87:$AF$156</cx:f>
        <cx:lvl ptCount="70">
          <cx:pt idx="0">28 months - 3 years</cx:pt>
          <cx:pt idx="1">28 months - 3 years</cx:pt>
          <cx:pt idx="2">3 - 4 years</cx:pt>
          <cx:pt idx="3">4 - 5 years</cx:pt>
          <cx:pt idx="4">4 - 5 years</cx:pt>
          <cx:pt idx="5">4 - 5 years</cx:pt>
          <cx:pt idx="6">5 - 7 years</cx:pt>
          <cx:pt idx="7">5 - 7 years</cx:pt>
          <cx:pt idx="8">7 - 9 years</cx:pt>
          <cx:pt idx="9">7 - 9 years</cx:pt>
          <cx:pt idx="10">9 - 11 years</cx:pt>
          <cx:pt idx="11">9 - 11 years</cx:pt>
          <cx:pt idx="12">11 - 13 years</cx:pt>
          <cx:pt idx="13">11 - 13 years</cx:pt>
          <cx:pt idx="14">28 months - 3 years</cx:pt>
          <cx:pt idx="15">28 months - 3 years</cx:pt>
          <cx:pt idx="16">3 - 4 years</cx:pt>
          <cx:pt idx="17">4 - 5 years</cx:pt>
          <cx:pt idx="18">4 - 5 years</cx:pt>
          <cx:pt idx="19">4 - 5 years</cx:pt>
          <cx:pt idx="20">5 - 7 years</cx:pt>
          <cx:pt idx="21">5 - 7 years</cx:pt>
          <cx:pt idx="22">7 - 9 years</cx:pt>
          <cx:pt idx="23">7 - 9 years</cx:pt>
          <cx:pt idx="24">9 - 11 years</cx:pt>
          <cx:pt idx="25">9 - 11 years</cx:pt>
          <cx:pt idx="26">11 - 13 years</cx:pt>
          <cx:pt idx="27">11 - 13 years</cx:pt>
          <cx:pt idx="28">28 months - 3 years</cx:pt>
          <cx:pt idx="29">28 months - 3 years</cx:pt>
          <cx:pt idx="30">3 - 4 years</cx:pt>
          <cx:pt idx="31">4 - 5 years</cx:pt>
          <cx:pt idx="32">4 - 5 years</cx:pt>
          <cx:pt idx="33">4 - 5 years</cx:pt>
          <cx:pt idx="34">5 - 7 years</cx:pt>
          <cx:pt idx="35">5 - 7 years</cx:pt>
          <cx:pt idx="36">7 - 9 years</cx:pt>
          <cx:pt idx="37">7 - 9 years</cx:pt>
          <cx:pt idx="38">9 - 11 years</cx:pt>
          <cx:pt idx="39">9 - 11 years</cx:pt>
          <cx:pt idx="40">11 - 13 years</cx:pt>
          <cx:pt idx="41">11 - 13 years</cx:pt>
          <cx:pt idx="42">28 months - 3 years</cx:pt>
          <cx:pt idx="43">28 months - 3 years</cx:pt>
          <cx:pt idx="44">3 - 4 years</cx:pt>
          <cx:pt idx="45">4 - 5 years</cx:pt>
          <cx:pt idx="46">4 - 5 years</cx:pt>
          <cx:pt idx="47">4 - 5 years</cx:pt>
          <cx:pt idx="48">5 - 7 years</cx:pt>
          <cx:pt idx="49">5 - 7 years</cx:pt>
          <cx:pt idx="50">7 - 9 years</cx:pt>
          <cx:pt idx="51">7 - 9 years</cx:pt>
          <cx:pt idx="52">9 - 11 years</cx:pt>
          <cx:pt idx="53">9 - 11 years</cx:pt>
          <cx:pt idx="54">11 - 13 years</cx:pt>
          <cx:pt idx="55">11 - 13 years</cx:pt>
          <cx:pt idx="56">28 months - 3 years</cx:pt>
          <cx:pt idx="57">28 months - 3 years</cx:pt>
          <cx:pt idx="58">3 - 4 years</cx:pt>
          <cx:pt idx="59">4 - 5 years</cx:pt>
          <cx:pt idx="60">4 - 5 years</cx:pt>
          <cx:pt idx="61">4 - 5 years</cx:pt>
          <cx:pt idx="62">5 - 7 years</cx:pt>
          <cx:pt idx="63">5 - 7 years</cx:pt>
          <cx:pt idx="64">7 - 9 years</cx:pt>
          <cx:pt idx="65">7 - 9 years</cx:pt>
          <cx:pt idx="66">9 - 11 years</cx:pt>
          <cx:pt idx="67">9 - 11 years</cx:pt>
          <cx:pt idx="68">11 - 13 years</cx:pt>
          <cx:pt idx="69">11 - 13 years</cx:pt>
        </cx:lvl>
      </cx:strDim>
      <cx:numDim type="val">
        <cx:f>'male vs female'!$AH$87:$AH$156</cx:f>
        <cx:lvl ptCount="70" formatCode="General">
          <cx:pt idx="0">-18.899999999999999</cx:pt>
          <cx:pt idx="3">-19.219999999999999</cx:pt>
          <cx:pt idx="6">-19.32</cx:pt>
          <cx:pt idx="7">-19.34</cx:pt>
          <cx:pt idx="8">-19.199999999999999</cx:pt>
          <cx:pt idx="10">-19.120000000000001</cx:pt>
          <cx:pt idx="11">-19.16</cx:pt>
          <cx:pt idx="12">-19.23</cx:pt>
          <cx:pt idx="14">-18.68</cx:pt>
          <cx:pt idx="16">-19.23</cx:pt>
          <cx:pt idx="17">-19.059999999999999</cx:pt>
          <cx:pt idx="20">-18.890000000000001</cx:pt>
          <cx:pt idx="22">-18.620000000000001</cx:pt>
          <cx:pt idx="23">-18.640000000000001</cx:pt>
          <cx:pt idx="24">-18.879999999999999</cx:pt>
          <cx:pt idx="25">-18.760000000000002</cx:pt>
          <cx:pt idx="26">-19.73</cx:pt>
          <cx:pt idx="28">-19.940000000000001</cx:pt>
          <cx:pt idx="31">-20.18</cx:pt>
          <cx:pt idx="34">-20.079999999999998</cx:pt>
          <cx:pt idx="36">-19.969999999999999</cx:pt>
          <cx:pt idx="37">-19.949999999999999</cx:pt>
          <cx:pt idx="38">-19.84</cx:pt>
          <cx:pt idx="39">-19.879999999999999</cx:pt>
          <cx:pt idx="40">-20.43</cx:pt>
          <cx:pt idx="44">-19.879999999999999</cx:pt>
          <cx:pt idx="45">-19.260000000000002</cx:pt>
          <cx:pt idx="48">-19</cx:pt>
          <cx:pt idx="50">-18.789999999999999</cx:pt>
          <cx:pt idx="51">-18.899999999999999</cx:pt>
          <cx:pt idx="52">-19.02</cx:pt>
          <cx:pt idx="54">-19.25</cx:pt>
          <cx:pt idx="55">-19.449999999999999</cx:pt>
          <cx:pt idx="56">-18.969999999999999</cx:pt>
          <cx:pt idx="58">-19.309999999999999</cx:pt>
          <cx:pt idx="59">-19.32</cx:pt>
          <cx:pt idx="62">-19.260000000000002</cx:pt>
          <cx:pt idx="64">-19.149999999999999</cx:pt>
          <cx:pt idx="66">-20.18</cx:pt>
          <cx:pt idx="68">-19.390000000000001</cx:pt>
        </cx:lvl>
      </cx:numDim>
    </cx:data>
  </cx:chartData>
  <cx:chart>
    <cx:plotArea>
      <cx:plotAreaRegion>
        <cx:plotSurface>
          <cx:spPr>
            <a:noFill/>
            <a:ln>
              <a:noFill/>
            </a:ln>
          </cx:spPr>
        </cx:plotSurface>
        <cx:series layoutId="boxWhisker" uniqueId="{99031EE1-25E8-D246-8141-10C7DF34B706}">
          <cx:tx>
            <cx:txData>
              <cx:f>'male vs female'!$AG$86</cx:f>
              <cx:v>Female</cx:v>
            </cx:txData>
          </cx:tx>
          <cx:spPr>
            <a:noFill/>
          </cx:spPr>
          <cx:dataId val="0"/>
          <cx:layoutPr>
            <cx:visibility meanLine="0" meanMarker="1" nonoutliers="1" outliers="1"/>
            <cx:statistics quartileMethod="inclusive"/>
          </cx:layoutPr>
        </cx:series>
        <cx:series layoutId="boxWhisker" uniqueId="{70FC49C4-0F23-3542-B687-8EFB04916661}">
          <cx:tx>
            <cx:txData>
              <cx:f>'male vs female'!$AH$86</cx:f>
              <cx:v>Male </cx:v>
            </cx:txData>
          </cx:tx>
          <cx:spPr>
            <a:noFill/>
          </cx:spPr>
          <cx:dataId val="1"/>
          <cx:layoutPr>
            <cx:visibility meanLine="0" meanMarker="1" nonoutliers="1" outliers="1"/>
            <cx:statistics quartileMethod="inclusive"/>
          </cx:layoutPr>
        </cx:series>
      </cx:plotAreaRegion>
      <cx:axis id="0">
        <cx:catScaling gapWidth="1"/>
        <cx:title>
          <cx:tx>
            <cx:txData>
              <cx:v>Age Categories</cx:v>
            </cx:txData>
          </cx:tx>
          <cx:txPr>
            <a:bodyPr spcFirstLastPara="1" vertOverflow="ellipsis" horzOverflow="overflow" wrap="square" lIns="0" tIns="0" rIns="0" bIns="0" anchor="ctr" anchorCtr="1"/>
            <a:lstStyle/>
            <a:p>
              <a:pPr algn="ctr" rtl="0">
                <a:defRPr sz="800"/>
              </a:pPr>
              <a:r>
                <a:rPr lang="en-US" sz="800" b="0" i="0" u="none" strike="noStrike" baseline="0">
                  <a:solidFill>
                    <a:sysClr val="windowText" lastClr="000000">
                      <a:lumMod val="65000"/>
                      <a:lumOff val="35000"/>
                    </a:sysClr>
                  </a:solidFill>
                  <a:latin typeface="Calibri" panose="020F0502020204030204"/>
                </a:rPr>
                <a:t>Age Categories</a:t>
              </a:r>
            </a:p>
          </cx:txPr>
        </cx:title>
        <cx:tickLabels/>
        <cx:txPr>
          <a:bodyPr spcFirstLastPara="1" vertOverflow="ellipsis" horzOverflow="overflow" wrap="square" lIns="0" tIns="0" rIns="0" bIns="0" anchor="ctr" anchorCtr="1"/>
          <a:lstStyle/>
          <a:p>
            <a:pPr algn="ctr" rtl="0">
              <a:defRPr sz="800"/>
            </a:pPr>
            <a:endParaRPr lang="en-US" sz="800" b="0" i="0" u="none" strike="noStrike" baseline="0">
              <a:solidFill>
                <a:sysClr val="windowText" lastClr="000000">
                  <a:lumMod val="65000"/>
                  <a:lumOff val="35000"/>
                </a:sysClr>
              </a:solidFill>
              <a:latin typeface="Calibri" panose="020F0502020204030204"/>
            </a:endParaRPr>
          </a:p>
        </cx:txPr>
      </cx:axis>
      <cx:axis id="1">
        <cx:valScaling/>
        <cx:title>
          <cx:tx>
            <cx:rich>
              <a:bodyPr spcFirstLastPara="1" vertOverflow="ellipsis" horzOverflow="overflow" wrap="square" lIns="0" tIns="0" rIns="0" bIns="0" anchor="ctr" anchorCtr="1"/>
              <a:lstStyle/>
              <a:p>
                <a:pPr algn="ctr" rtl="0">
                  <a:defRPr sz="800"/>
                </a:pPr>
                <a:r>
                  <a:rPr lang="en-US" sz="800" b="0" i="0" baseline="0">
                    <a:effectLst/>
                    <a:sym typeface="Symbol" pitchFamily="2" charset="2"/>
                  </a:rPr>
                  <a:t></a:t>
                </a:r>
                <a:r>
                  <a:rPr lang="en-US" sz="800" b="0" i="0" baseline="30000">
                    <a:effectLst/>
                  </a:rPr>
                  <a:t>13</a:t>
                </a:r>
                <a:r>
                  <a:rPr lang="en-US" sz="800" b="0" i="0" baseline="0">
                    <a:effectLst/>
                  </a:rPr>
                  <a:t>C (VPBD)</a:t>
                </a:r>
                <a:r>
                  <a:rPr lang="en-US" sz="800"/>
                  <a:t> </a:t>
                </a:r>
                <a:endParaRPr lang="en-US" sz="800" b="0" i="0" u="none" strike="noStrike" baseline="0">
                  <a:solidFill>
                    <a:sysClr val="windowText" lastClr="000000">
                      <a:lumMod val="65000"/>
                      <a:lumOff val="35000"/>
                    </a:sysClr>
                  </a:solidFill>
                  <a:latin typeface="Calibri" panose="020F0502020204030204"/>
                </a:endParaRPr>
              </a:p>
            </cx:rich>
          </cx:tx>
        </cx:title>
        <cx:majorTickMarks type="out"/>
        <cx:tickLabels/>
        <cx:numFmt formatCode="#,##0.0" sourceLinked="0"/>
        <cx:txPr>
          <a:bodyPr spcFirstLastPara="1" vertOverflow="ellipsis" horzOverflow="overflow" wrap="square" lIns="0" tIns="0" rIns="0" bIns="0" anchor="ctr" anchorCtr="1"/>
          <a:lstStyle/>
          <a:p>
            <a:pPr algn="ctr" rtl="0">
              <a:defRPr sz="800"/>
            </a:pPr>
            <a:endParaRPr lang="en-US" sz="800" b="0" i="0" u="none" strike="noStrike" baseline="0">
              <a:solidFill>
                <a:sysClr val="windowText" lastClr="000000">
                  <a:lumMod val="65000"/>
                  <a:lumOff val="35000"/>
                </a:sysClr>
              </a:solidFill>
              <a:latin typeface="Calibri" panose="020F0502020204030204"/>
            </a:endParaRPr>
          </a:p>
        </cx:txPr>
      </cx:axis>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nonsurv!$P$20:$P$87</cx:f>
        <cx:lvl ptCount="68">
          <cx:pt idx="0">0 - 6 months</cx:pt>
          <cx:pt idx="1">0 - 6 months</cx:pt>
          <cx:pt idx="2">0 - 6 months</cx:pt>
          <cx:pt idx="3">6 - 12 months</cx:pt>
          <cx:pt idx="4">6 - 12 months</cx:pt>
          <cx:pt idx="5">1 year - 20 months</cx:pt>
          <cx:pt idx="6">1 year - 20 months</cx:pt>
          <cx:pt idx="7">1 year - 20 months</cx:pt>
          <cx:pt idx="8">1 year - 20 months</cx:pt>
          <cx:pt idx="9">1 year - 20 months</cx:pt>
          <cx:pt idx="10">20 - 28 months</cx:pt>
          <cx:pt idx="11">20 - 28 months</cx:pt>
          <cx:pt idx="12">20 - 28 months</cx:pt>
          <cx:pt idx="13">20 - 28 months</cx:pt>
          <cx:pt idx="14">20 - 28 months</cx:pt>
          <cx:pt idx="15">28 months - 3 years</cx:pt>
          <cx:pt idx="16">28 months - 3 years</cx:pt>
          <cx:pt idx="17">28 months - 3 years</cx:pt>
          <cx:pt idx="18">28 months - 3 years</cx:pt>
          <cx:pt idx="19">28 months - 3 years</cx:pt>
          <cx:pt idx="20">28 months - 3 years</cx:pt>
          <cx:pt idx="21">28 months - 3 years</cx:pt>
          <cx:pt idx="22">28 months - 3 years</cx:pt>
          <cx:pt idx="23">28 months - 3 years</cx:pt>
          <cx:pt idx="24">28 months - 3 years</cx:pt>
          <cx:pt idx="25">28 months - 3 years</cx:pt>
          <cx:pt idx="26">28 months - 3 years</cx:pt>
          <cx:pt idx="27">3 - 4 years</cx:pt>
          <cx:pt idx="28">3 - 4 years</cx:pt>
          <cx:pt idx="29">3 - 4 years</cx:pt>
          <cx:pt idx="30">3 - 4 years</cx:pt>
          <cx:pt idx="31">3 - 4 years</cx:pt>
          <cx:pt idx="32">3 - 4 years</cx:pt>
          <cx:pt idx="33">3 - 4 years</cx:pt>
          <cx:pt idx="34">3 - 4 years</cx:pt>
          <cx:pt idx="35">3 - 4 years</cx:pt>
          <cx:pt idx="36">0 - 6 months</cx:pt>
          <cx:pt idx="37">0 - 6 months</cx:pt>
          <cx:pt idx="38">0 - 6 months</cx:pt>
          <cx:pt idx="39">0 - 6 months</cx:pt>
          <cx:pt idx="40">6 - 12 months</cx:pt>
          <cx:pt idx="41">6 - 12 months</cx:pt>
          <cx:pt idx="42">6 - 12 months</cx:pt>
          <cx:pt idx="43">6 - 12 months</cx:pt>
          <cx:pt idx="44">6 - 12 months</cx:pt>
          <cx:pt idx="45">6 - 12 months</cx:pt>
          <cx:pt idx="46">6 - 12 months</cx:pt>
          <cx:pt idx="47">6 - 12 months</cx:pt>
          <cx:pt idx="48">1 year - 20 months</cx:pt>
          <cx:pt idx="49">1 year - 20 months</cx:pt>
          <cx:pt idx="50">1 year - 20 months</cx:pt>
          <cx:pt idx="51">1 year - 20 months</cx:pt>
          <cx:pt idx="52">1 year - 20 months</cx:pt>
          <cx:pt idx="53">1 year - 20 months</cx:pt>
          <cx:pt idx="54">1 year - 20 months</cx:pt>
          <cx:pt idx="55">1 year - 20 months</cx:pt>
          <cx:pt idx="56">20 - 28 months</cx:pt>
          <cx:pt idx="57">20 - 28 months</cx:pt>
          <cx:pt idx="58">20 - 28 months</cx:pt>
          <cx:pt idx="59">20 - 28 months</cx:pt>
          <cx:pt idx="60">28 months - 3 years</cx:pt>
          <cx:pt idx="61">28 months - 3 years</cx:pt>
          <cx:pt idx="62">20 - 28 months</cx:pt>
          <cx:pt idx="63">28 months - 3 years</cx:pt>
          <cx:pt idx="64">28 months - 3 years</cx:pt>
          <cx:pt idx="65">3 - 4 years</cx:pt>
          <cx:pt idx="66">3 - 4 years</cx:pt>
          <cx:pt idx="67">3 - 4 years</cx:pt>
        </cx:lvl>
      </cx:strDim>
      <cx:numDim type="val">
        <cx:f>nonsurv!$Q$20:$Q$87</cx:f>
        <cx:lvl ptCount="68" formatCode="General">
          <cx:pt idx="0">15.56</cx:pt>
          <cx:pt idx="1">11.91</cx:pt>
          <cx:pt idx="2">12.720000000000001</cx:pt>
          <cx:pt idx="3">10.48</cx:pt>
          <cx:pt idx="4">9.5199999999999996</cx:pt>
          <cx:pt idx="5">14.9</cx:pt>
          <cx:pt idx="6">9.1699999999999999</cx:pt>
          <cx:pt idx="7">14.02</cx:pt>
          <cx:pt idx="8">14.15</cx:pt>
          <cx:pt idx="9">10.1</cx:pt>
          <cx:pt idx="10">12.59</cx:pt>
          <cx:pt idx="11">13.789999999999999</cx:pt>
          <cx:pt idx="12">13.279999999999999</cx:pt>
          <cx:pt idx="13">11.94</cx:pt>
          <cx:pt idx="14">9.4199999999999999</cx:pt>
          <cx:pt idx="15">12.369999999999999</cx:pt>
          <cx:pt idx="16">11.42</cx:pt>
          <cx:pt idx="17">13.23</cx:pt>
          <cx:pt idx="18">10.050000000000001</cx:pt>
          <cx:pt idx="19">9.5999999999999996</cx:pt>
          <cx:pt idx="20">11.210000000000001</cx:pt>
          <cx:pt idx="21">8.9600000000000009</cx:pt>
          <cx:pt idx="23">10.779999999999999</cx:pt>
          <cx:pt idx="24">12.25</cx:pt>
          <cx:pt idx="25">8.7899999999999991</cx:pt>
          <cx:pt idx="26">12.449999999999999</cx:pt>
          <cx:pt idx="27">12.02</cx:pt>
          <cx:pt idx="28">12.25</cx:pt>
          <cx:pt idx="29">9.7799999999999994</cx:pt>
          <cx:pt idx="30">9.0600000000000005</cx:pt>
          <cx:pt idx="31">9.7599999999999998</cx:pt>
          <cx:pt idx="32">10.779999999999999</cx:pt>
          <cx:pt idx="33">10.59</cx:pt>
          <cx:pt idx="34">7.7300000000000004</cx:pt>
          <cx:pt idx="35">8.9199999999999999</cx:pt>
        </cx:lvl>
      </cx:numDim>
    </cx:data>
    <cx:data id="1">
      <cx:strDim type="cat">
        <cx:f>nonsurv!$P$20:$P$87</cx:f>
        <cx:lvl ptCount="68">
          <cx:pt idx="0">0 - 6 months</cx:pt>
          <cx:pt idx="1">0 - 6 months</cx:pt>
          <cx:pt idx="2">0 - 6 months</cx:pt>
          <cx:pt idx="3">6 - 12 months</cx:pt>
          <cx:pt idx="4">6 - 12 months</cx:pt>
          <cx:pt idx="5">1 year - 20 months</cx:pt>
          <cx:pt idx="6">1 year - 20 months</cx:pt>
          <cx:pt idx="7">1 year - 20 months</cx:pt>
          <cx:pt idx="8">1 year - 20 months</cx:pt>
          <cx:pt idx="9">1 year - 20 months</cx:pt>
          <cx:pt idx="10">20 - 28 months</cx:pt>
          <cx:pt idx="11">20 - 28 months</cx:pt>
          <cx:pt idx="12">20 - 28 months</cx:pt>
          <cx:pt idx="13">20 - 28 months</cx:pt>
          <cx:pt idx="14">20 - 28 months</cx:pt>
          <cx:pt idx="15">28 months - 3 years</cx:pt>
          <cx:pt idx="16">28 months - 3 years</cx:pt>
          <cx:pt idx="17">28 months - 3 years</cx:pt>
          <cx:pt idx="18">28 months - 3 years</cx:pt>
          <cx:pt idx="19">28 months - 3 years</cx:pt>
          <cx:pt idx="20">28 months - 3 years</cx:pt>
          <cx:pt idx="21">28 months - 3 years</cx:pt>
          <cx:pt idx="22">28 months - 3 years</cx:pt>
          <cx:pt idx="23">28 months - 3 years</cx:pt>
          <cx:pt idx="24">28 months - 3 years</cx:pt>
          <cx:pt idx="25">28 months - 3 years</cx:pt>
          <cx:pt idx="26">28 months - 3 years</cx:pt>
          <cx:pt idx="27">3 - 4 years</cx:pt>
          <cx:pt idx="28">3 - 4 years</cx:pt>
          <cx:pt idx="29">3 - 4 years</cx:pt>
          <cx:pt idx="30">3 - 4 years</cx:pt>
          <cx:pt idx="31">3 - 4 years</cx:pt>
          <cx:pt idx="32">3 - 4 years</cx:pt>
          <cx:pt idx="33">3 - 4 years</cx:pt>
          <cx:pt idx="34">3 - 4 years</cx:pt>
          <cx:pt idx="35">3 - 4 years</cx:pt>
          <cx:pt idx="36">0 - 6 months</cx:pt>
          <cx:pt idx="37">0 - 6 months</cx:pt>
          <cx:pt idx="38">0 - 6 months</cx:pt>
          <cx:pt idx="39">0 - 6 months</cx:pt>
          <cx:pt idx="40">6 - 12 months</cx:pt>
          <cx:pt idx="41">6 - 12 months</cx:pt>
          <cx:pt idx="42">6 - 12 months</cx:pt>
          <cx:pt idx="43">6 - 12 months</cx:pt>
          <cx:pt idx="44">6 - 12 months</cx:pt>
          <cx:pt idx="45">6 - 12 months</cx:pt>
          <cx:pt idx="46">6 - 12 months</cx:pt>
          <cx:pt idx="47">6 - 12 months</cx:pt>
          <cx:pt idx="48">1 year - 20 months</cx:pt>
          <cx:pt idx="49">1 year - 20 months</cx:pt>
          <cx:pt idx="50">1 year - 20 months</cx:pt>
          <cx:pt idx="51">1 year - 20 months</cx:pt>
          <cx:pt idx="52">1 year - 20 months</cx:pt>
          <cx:pt idx="53">1 year - 20 months</cx:pt>
          <cx:pt idx="54">1 year - 20 months</cx:pt>
          <cx:pt idx="55">1 year - 20 months</cx:pt>
          <cx:pt idx="56">20 - 28 months</cx:pt>
          <cx:pt idx="57">20 - 28 months</cx:pt>
          <cx:pt idx="58">20 - 28 months</cx:pt>
          <cx:pt idx="59">20 - 28 months</cx:pt>
          <cx:pt idx="60">28 months - 3 years</cx:pt>
          <cx:pt idx="61">28 months - 3 years</cx:pt>
          <cx:pt idx="62">20 - 28 months</cx:pt>
          <cx:pt idx="63">28 months - 3 years</cx:pt>
          <cx:pt idx="64">28 months - 3 years</cx:pt>
          <cx:pt idx="65">3 - 4 years</cx:pt>
          <cx:pt idx="66">3 - 4 years</cx:pt>
          <cx:pt idx="67">3 - 4 years</cx:pt>
        </cx:lvl>
      </cx:strDim>
      <cx:numDim type="val">
        <cx:f>nonsurv!$R$20:$R$87</cx:f>
        <cx:lvl ptCount="68" formatCode="General">
          <cx:pt idx="36">13.449999999999999</cx:pt>
          <cx:pt idx="37">14.43</cx:pt>
          <cx:pt idx="38">14.23</cx:pt>
          <cx:pt idx="39">16.050000000000001</cx:pt>
          <cx:pt idx="40">12.75</cx:pt>
          <cx:pt idx="41">13.42</cx:pt>
          <cx:pt idx="42">13.119999999999999</cx:pt>
          <cx:pt idx="43">14.43</cx:pt>
          <cx:pt idx="44">15.31</cx:pt>
          <cx:pt idx="45">13.66</cx:pt>
          <cx:pt idx="46">12.140000000000001</cx:pt>
          <cx:pt idx="47">13.289999999999999</cx:pt>
          <cx:pt idx="48">12.91</cx:pt>
          <cx:pt idx="49">11.460000000000001</cx:pt>
          <cx:pt idx="50">12.18</cx:pt>
          <cx:pt idx="51">12.699999999999999</cx:pt>
          <cx:pt idx="52">13.91</cx:pt>
          <cx:pt idx="53">11.130000000000001</cx:pt>
          <cx:pt idx="54">10.91</cx:pt>
          <cx:pt idx="55">12.07</cx:pt>
          <cx:pt idx="56">12.18</cx:pt>
          <cx:pt idx="57">11.99</cx:pt>
          <cx:pt idx="58">13.539999999999999</cx:pt>
          <cx:pt idx="59">10.970000000000001</cx:pt>
          <cx:pt idx="60">11.67</cx:pt>
          <cx:pt idx="61">12.220000000000001</cx:pt>
          <cx:pt idx="62">13.4</cx:pt>
          <cx:pt idx="63">10.029999999999999</cx:pt>
          <cx:pt idx="64">11.49</cx:pt>
          <cx:pt idx="65">10.58</cx:pt>
          <cx:pt idx="66">11.09</cx:pt>
          <cx:pt idx="67">12.81</cx:pt>
        </cx:lvl>
      </cx:numDim>
    </cx:data>
  </cx:chartData>
  <cx:chart>
    <cx:plotArea>
      <cx:plotAreaRegion>
        <cx:series layoutId="boxWhisker" uniqueId="{6B8F2044-239D-DD45-80E0-E40AB9652BCB}">
          <cx:tx>
            <cx:txData>
              <cx:f>nonsurv!$Q$19</cx:f>
              <cx:v>Survivors</cx:v>
            </cx:txData>
          </cx:tx>
          <cx:spPr>
            <a:noFill/>
          </cx:spPr>
          <cx:dataId val="0"/>
          <cx:layoutPr>
            <cx:visibility meanLine="0" meanMarker="1" nonoutliers="1" outliers="1"/>
            <cx:statistics quartileMethod="inclusive"/>
          </cx:layoutPr>
        </cx:series>
        <cx:series layoutId="boxWhisker" uniqueId="{83A1F96B-0205-5248-A4D3-F3EC47DDE49D}">
          <cx:tx>
            <cx:txData>
              <cx:f>nonsurv!$R$19</cx:f>
              <cx:v>Non-Survivors</cx:v>
            </cx:txData>
          </cx:tx>
          <cx:spPr>
            <a:noFill/>
          </cx:spPr>
          <cx:dataId val="1"/>
          <cx:layoutPr>
            <cx:visibility meanLine="0" meanMarker="1" nonoutliers="1" outliers="1"/>
            <cx:statistics quartileMethod="inclusive"/>
          </cx:layoutPr>
        </cx:series>
      </cx:plotAreaRegion>
      <cx:axis id="0">
        <cx:catScaling gapWidth="1"/>
        <cx:title>
          <cx:tx>
            <cx:txData>
              <cx:v>Age Categories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Age Categories</a:t>
              </a:r>
            </a:p>
          </cx:txPr>
        </cx:title>
        <cx:majorTickMarks type="out"/>
        <cx:tickLabels/>
        <cx:txPr>
          <a:bodyPr spcFirstLastPara="1" vertOverflow="ellipsis" horzOverflow="overflow" wrap="square" lIns="0" tIns="0" rIns="0" bIns="0" anchor="ctr" anchorCtr="1"/>
          <a:lstStyle/>
          <a:p>
            <a:pPr algn="ctr" rtl="0">
              <a:defRPr sz="800"/>
            </a:pPr>
            <a:endParaRPr lang="en-US" sz="800" b="0" i="0" u="none" strike="noStrike" baseline="0">
              <a:solidFill>
                <a:sysClr val="windowText" lastClr="000000">
                  <a:lumMod val="65000"/>
                  <a:lumOff val="35000"/>
                </a:sysClr>
              </a:solidFill>
              <a:latin typeface="Calibri" panose="020F0502020204030204"/>
            </a:endParaRPr>
          </a:p>
        </cx:txPr>
      </cx:axis>
      <cx:axis id="1">
        <cx:valScaling max="17" min="7"/>
        <cx:title>
          <cx:tx>
            <cx:rich>
              <a:bodyPr spcFirstLastPara="1" vertOverflow="ellipsis" horzOverflow="overflow" wrap="square" lIns="0" tIns="0" rIns="0" bIns="0" anchor="ctr" anchorCtr="1"/>
              <a:lstStyle/>
              <a:p>
                <a:pPr rtl="0"/>
                <a:r>
                  <a:rPr lang="en-US" sz="800" b="0" i="0" baseline="0">
                    <a:solidFill>
                      <a:schemeClr val="tx1">
                        <a:lumMod val="65000"/>
                        <a:lumOff val="35000"/>
                      </a:schemeClr>
                    </a:solidFill>
                    <a:effectLst/>
                    <a:sym typeface="Symbol" pitchFamily="2" charset="2"/>
                  </a:rPr>
                  <a:t></a:t>
                </a:r>
                <a:r>
                  <a:rPr lang="en-US" sz="800" b="0" i="0" baseline="30000">
                    <a:solidFill>
                      <a:schemeClr val="tx1">
                        <a:lumMod val="65000"/>
                        <a:lumOff val="35000"/>
                      </a:schemeClr>
                    </a:solidFill>
                    <a:effectLst/>
                  </a:rPr>
                  <a:t>15</a:t>
                </a:r>
                <a:r>
                  <a:rPr lang="en-US" sz="800" b="0" i="0" baseline="0">
                    <a:solidFill>
                      <a:schemeClr val="tx1">
                        <a:lumMod val="65000"/>
                        <a:lumOff val="35000"/>
                      </a:schemeClr>
                    </a:solidFill>
                    <a:effectLst/>
                  </a:rPr>
                  <a:t>N</a:t>
                </a:r>
                <a:r>
                  <a:rPr lang="en-CA" sz="800" b="0" i="0" baseline="0">
                    <a:solidFill>
                      <a:schemeClr val="tx1">
                        <a:lumMod val="65000"/>
                        <a:lumOff val="35000"/>
                      </a:schemeClr>
                    </a:solidFill>
                    <a:effectLst/>
                  </a:rPr>
                  <a:t> (AIR)</a:t>
                </a:r>
                <a:endParaRPr lang="en-CA" sz="800">
                  <a:solidFill>
                    <a:schemeClr val="tx1">
                      <a:lumMod val="65000"/>
                      <a:lumOff val="35000"/>
                    </a:schemeClr>
                  </a:solidFill>
                  <a:effectLst/>
                </a:endParaRPr>
              </a:p>
            </cx:rich>
          </cx:tx>
        </cx:title>
        <cx:majorTickMarks type="out"/>
        <cx:tickLabels/>
        <cx:numFmt formatCode="#,##0" sourceLinked="0"/>
        <cx:txPr>
          <a:bodyPr spcFirstLastPara="1" vertOverflow="ellipsis" horzOverflow="overflow" wrap="square" lIns="0" tIns="0" rIns="0" bIns="0" anchor="ctr" anchorCtr="1"/>
          <a:lstStyle/>
          <a:p>
            <a:pPr algn="ctr" rtl="0">
              <a:defRPr sz="800"/>
            </a:pPr>
            <a:endParaRPr lang="en-US" sz="800" b="0" i="0" u="none" strike="noStrike" baseline="0">
              <a:solidFill>
                <a:sysClr val="windowText" lastClr="000000">
                  <a:lumMod val="65000"/>
                  <a:lumOff val="35000"/>
                </a:sysClr>
              </a:solidFill>
              <a:latin typeface="Calibri" panose="020F0502020204030204"/>
            </a:endParaRPr>
          </a:p>
        </cx:txPr>
      </cx:axis>
    </cx:plotArea>
    <cx:legend pos="t" align="ctr" overlay="0"/>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31D58-7EE5-2442-94B9-BA6B0C06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211</Pages>
  <Words>47134</Words>
  <Characters>268670</Characters>
  <Application>Microsoft Office Word</Application>
  <DocSecurity>0</DocSecurity>
  <Lines>2238</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Salahuddin</dc:creator>
  <cp:keywords/>
  <dc:description/>
  <cp:lastModifiedBy>Hana Salahuddin</cp:lastModifiedBy>
  <cp:revision>4</cp:revision>
  <cp:lastPrinted>2019-06-17T22:16:00Z</cp:lastPrinted>
  <dcterms:created xsi:type="dcterms:W3CDTF">2019-07-29T16:03:00Z</dcterms:created>
  <dcterms:modified xsi:type="dcterms:W3CDTF">2019-07-29T16:17:00Z</dcterms:modified>
</cp:coreProperties>
</file>