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6A6C4B" w14:textId="77777777" w:rsidR="00945A0C" w:rsidRDefault="00945A0C" w:rsidP="00C135E1">
      <w:pPr>
        <w:ind w:firstLine="0"/>
        <w:jc w:val="center"/>
        <w:rPr>
          <w:rFonts w:ascii="Times New Roman" w:hAnsi="Times New Roman" w:cs="Times New Roman"/>
        </w:rPr>
      </w:pPr>
    </w:p>
    <w:p w14:paraId="43C9356A" w14:textId="77777777" w:rsidR="00945A0C" w:rsidRDefault="00945A0C" w:rsidP="00C135E1">
      <w:pPr>
        <w:ind w:firstLine="0"/>
        <w:jc w:val="center"/>
        <w:rPr>
          <w:rFonts w:ascii="Times New Roman" w:hAnsi="Times New Roman" w:cs="Times New Roman"/>
        </w:rPr>
      </w:pPr>
    </w:p>
    <w:p w14:paraId="1912F7E1" w14:textId="77777777" w:rsidR="00945A0C" w:rsidRDefault="00945A0C" w:rsidP="00C135E1">
      <w:pPr>
        <w:ind w:firstLine="0"/>
        <w:jc w:val="center"/>
        <w:rPr>
          <w:rFonts w:ascii="Times New Roman" w:hAnsi="Times New Roman" w:cs="Times New Roman"/>
        </w:rPr>
      </w:pPr>
    </w:p>
    <w:p w14:paraId="07BC3A73" w14:textId="77777777" w:rsidR="00945A0C" w:rsidRDefault="00945A0C" w:rsidP="00C135E1">
      <w:pPr>
        <w:ind w:firstLine="0"/>
        <w:jc w:val="center"/>
        <w:rPr>
          <w:rFonts w:ascii="Times New Roman" w:hAnsi="Times New Roman" w:cs="Times New Roman"/>
        </w:rPr>
      </w:pPr>
    </w:p>
    <w:p w14:paraId="5B1AFABC" w14:textId="77777777" w:rsidR="00945A0C" w:rsidRDefault="00945A0C" w:rsidP="00C135E1">
      <w:pPr>
        <w:ind w:firstLine="0"/>
        <w:jc w:val="center"/>
        <w:rPr>
          <w:rFonts w:ascii="Times New Roman" w:hAnsi="Times New Roman" w:cs="Times New Roman"/>
        </w:rPr>
      </w:pPr>
    </w:p>
    <w:p w14:paraId="511882F8" w14:textId="77777777" w:rsidR="00874514" w:rsidRDefault="00874514" w:rsidP="00945A0C">
      <w:pPr>
        <w:ind w:firstLine="0"/>
        <w:jc w:val="center"/>
        <w:rPr>
          <w:rFonts w:ascii="Times New Roman" w:hAnsi="Times New Roman" w:cs="Times New Roman"/>
          <w:b/>
          <w:bCs/>
        </w:rPr>
      </w:pPr>
      <w:r w:rsidRPr="00874514">
        <w:rPr>
          <w:rFonts w:ascii="Times New Roman" w:hAnsi="Times New Roman" w:cs="Times New Roman"/>
          <w:b/>
          <w:bCs/>
        </w:rPr>
        <w:t>UNDERSTANDING THE PREFERENCES AND SUITABILITY OF CONSUMERS FOR ELECTRIC VEHICLE ADOPTION IN CANADA</w:t>
      </w:r>
      <w:r>
        <w:rPr>
          <w:rFonts w:ascii="Times New Roman" w:hAnsi="Times New Roman" w:cs="Times New Roman"/>
          <w:b/>
          <w:bCs/>
        </w:rPr>
        <w:t xml:space="preserve"> </w:t>
      </w:r>
    </w:p>
    <w:p w14:paraId="0886896D" w14:textId="77777777" w:rsidR="00945A0C" w:rsidRDefault="00945A0C" w:rsidP="00C135E1">
      <w:pPr>
        <w:ind w:firstLine="0"/>
        <w:jc w:val="center"/>
        <w:rPr>
          <w:rFonts w:ascii="Times New Roman" w:hAnsi="Times New Roman" w:cs="Times New Roman"/>
        </w:rPr>
      </w:pPr>
    </w:p>
    <w:p w14:paraId="2C52C83B" w14:textId="77777777" w:rsidR="00945A0C" w:rsidRDefault="00945A0C" w:rsidP="00C135E1">
      <w:pPr>
        <w:ind w:firstLine="0"/>
        <w:jc w:val="center"/>
        <w:rPr>
          <w:rFonts w:ascii="Times New Roman" w:hAnsi="Times New Roman" w:cs="Times New Roman"/>
        </w:rPr>
      </w:pPr>
    </w:p>
    <w:p w14:paraId="7ED84AA8" w14:textId="77777777" w:rsidR="00945A0C" w:rsidRDefault="00945A0C" w:rsidP="00C135E1">
      <w:pPr>
        <w:ind w:firstLine="0"/>
        <w:jc w:val="center"/>
        <w:rPr>
          <w:rFonts w:ascii="Times New Roman" w:hAnsi="Times New Roman" w:cs="Times New Roman"/>
        </w:rPr>
      </w:pPr>
    </w:p>
    <w:p w14:paraId="4AB51D52" w14:textId="77777777" w:rsidR="00945A0C" w:rsidRDefault="00945A0C" w:rsidP="00C135E1">
      <w:pPr>
        <w:ind w:firstLine="0"/>
        <w:jc w:val="center"/>
        <w:rPr>
          <w:rFonts w:ascii="Times New Roman" w:hAnsi="Times New Roman" w:cs="Times New Roman"/>
        </w:rPr>
      </w:pPr>
    </w:p>
    <w:p w14:paraId="2132AA3C" w14:textId="77777777" w:rsidR="00945A0C" w:rsidRDefault="00945A0C" w:rsidP="00C135E1">
      <w:pPr>
        <w:ind w:firstLine="0"/>
        <w:jc w:val="center"/>
        <w:rPr>
          <w:rFonts w:ascii="Times New Roman" w:hAnsi="Times New Roman" w:cs="Times New Roman"/>
        </w:rPr>
      </w:pPr>
    </w:p>
    <w:p w14:paraId="2FB9724D" w14:textId="77777777" w:rsidR="00945A0C" w:rsidRDefault="00945A0C" w:rsidP="00C135E1">
      <w:pPr>
        <w:ind w:firstLine="0"/>
        <w:jc w:val="center"/>
        <w:rPr>
          <w:rFonts w:ascii="Times New Roman" w:hAnsi="Times New Roman" w:cs="Times New Roman"/>
        </w:rPr>
      </w:pPr>
    </w:p>
    <w:p w14:paraId="7862B7C8" w14:textId="77777777" w:rsidR="00945A0C" w:rsidRDefault="00945A0C" w:rsidP="00C135E1">
      <w:pPr>
        <w:ind w:firstLine="0"/>
        <w:jc w:val="center"/>
        <w:rPr>
          <w:rFonts w:ascii="Times New Roman" w:hAnsi="Times New Roman" w:cs="Times New Roman"/>
        </w:rPr>
      </w:pPr>
    </w:p>
    <w:p w14:paraId="7E315C41" w14:textId="77777777" w:rsidR="00945A0C" w:rsidRDefault="00945A0C" w:rsidP="00C135E1">
      <w:pPr>
        <w:ind w:firstLine="0"/>
        <w:jc w:val="center"/>
        <w:rPr>
          <w:rFonts w:ascii="Times New Roman" w:hAnsi="Times New Roman" w:cs="Times New Roman"/>
        </w:rPr>
      </w:pPr>
    </w:p>
    <w:p w14:paraId="79B1A51F" w14:textId="77777777" w:rsidR="00945A0C" w:rsidRDefault="00945A0C" w:rsidP="00945A0C">
      <w:pPr>
        <w:ind w:firstLine="0"/>
        <w:rPr>
          <w:rFonts w:ascii="Times New Roman" w:hAnsi="Times New Roman" w:cs="Times New Roman"/>
        </w:rPr>
      </w:pPr>
    </w:p>
    <w:p w14:paraId="066E5C05" w14:textId="77777777" w:rsidR="000C78CD" w:rsidRDefault="000C78CD" w:rsidP="00C135E1">
      <w:pPr>
        <w:ind w:firstLine="0"/>
        <w:jc w:val="center"/>
        <w:rPr>
          <w:rFonts w:ascii="Times New Roman" w:hAnsi="Times New Roman" w:cs="Times New Roman"/>
          <w:b/>
          <w:bCs/>
        </w:rPr>
      </w:pPr>
    </w:p>
    <w:p w14:paraId="7FED665F" w14:textId="67FAA808" w:rsidR="00874514" w:rsidRDefault="00874514" w:rsidP="00C135E1">
      <w:pPr>
        <w:ind w:firstLine="0"/>
        <w:jc w:val="center"/>
        <w:rPr>
          <w:rFonts w:ascii="Times New Roman" w:hAnsi="Times New Roman" w:cs="Times New Roman"/>
          <w:b/>
          <w:bCs/>
        </w:rPr>
      </w:pPr>
      <w:r w:rsidRPr="00874514">
        <w:rPr>
          <w:rFonts w:ascii="Times New Roman" w:hAnsi="Times New Roman" w:cs="Times New Roman"/>
          <w:b/>
          <w:bCs/>
        </w:rPr>
        <w:t>UNDERSTANDING THE PREFERENCES AND SUITABILITY OF CONSUMERS FOR ELECTRIC VEHICLE ADOPTION IN CANADA</w:t>
      </w:r>
    </w:p>
    <w:p w14:paraId="5C2ED21D" w14:textId="77777777" w:rsidR="003C3597" w:rsidRDefault="003C3597" w:rsidP="003C3597">
      <w:pPr>
        <w:jc w:val="center"/>
        <w:rPr>
          <w:rFonts w:ascii="Times New Roman" w:hAnsi="Times New Roman" w:cs="Times New Roman"/>
        </w:rPr>
      </w:pPr>
    </w:p>
    <w:p w14:paraId="0B3F8418" w14:textId="77777777" w:rsidR="003C3597" w:rsidRDefault="003C3597" w:rsidP="003C3597">
      <w:pPr>
        <w:jc w:val="center"/>
        <w:rPr>
          <w:rFonts w:ascii="Times New Roman" w:hAnsi="Times New Roman" w:cs="Times New Roman"/>
        </w:rPr>
      </w:pPr>
      <w:r>
        <w:rPr>
          <w:rFonts w:ascii="Times New Roman" w:hAnsi="Times New Roman" w:cs="Times New Roman"/>
        </w:rPr>
        <w:t>By ELNAZ HAJ ABOTALEBI</w:t>
      </w:r>
    </w:p>
    <w:p w14:paraId="1EBB533B" w14:textId="77777777" w:rsidR="003C3597" w:rsidRDefault="003C3597" w:rsidP="003C3597">
      <w:pPr>
        <w:jc w:val="center"/>
        <w:rPr>
          <w:rFonts w:ascii="Times New Roman" w:hAnsi="Times New Roman" w:cs="Times New Roman"/>
        </w:rPr>
      </w:pPr>
    </w:p>
    <w:p w14:paraId="1374AEFD" w14:textId="77777777" w:rsidR="0099249B" w:rsidRDefault="003C3597" w:rsidP="003C3597">
      <w:pPr>
        <w:jc w:val="center"/>
        <w:rPr>
          <w:rFonts w:ascii="Times New Roman" w:hAnsi="Times New Roman" w:cs="Times New Roman"/>
        </w:rPr>
      </w:pPr>
      <w:r w:rsidRPr="005B2C4B">
        <w:rPr>
          <w:rFonts w:ascii="Times New Roman" w:hAnsi="Times New Roman" w:cs="Times New Roman"/>
        </w:rPr>
        <w:t xml:space="preserve">A Thesis Submitted to the School of Graduate Studies </w:t>
      </w:r>
    </w:p>
    <w:p w14:paraId="7E69EE5B" w14:textId="77777777" w:rsidR="0099249B" w:rsidRDefault="0099249B" w:rsidP="0099249B">
      <w:pPr>
        <w:jc w:val="center"/>
        <w:rPr>
          <w:rFonts w:ascii="Times New Roman" w:hAnsi="Times New Roman" w:cs="Times New Roman"/>
        </w:rPr>
      </w:pPr>
      <w:r>
        <w:rPr>
          <w:rFonts w:ascii="Times New Roman" w:hAnsi="Times New Roman" w:cs="Times New Roman"/>
        </w:rPr>
        <w:t xml:space="preserve">in Partial Fulfilment of the </w:t>
      </w:r>
      <w:r w:rsidR="003C3597" w:rsidRPr="005B2C4B">
        <w:rPr>
          <w:rFonts w:ascii="Times New Roman" w:hAnsi="Times New Roman" w:cs="Times New Roman"/>
        </w:rPr>
        <w:t xml:space="preserve">Requirements </w:t>
      </w:r>
    </w:p>
    <w:p w14:paraId="40EA2014" w14:textId="77777777" w:rsidR="0099249B" w:rsidRDefault="003C3597" w:rsidP="0099249B">
      <w:pPr>
        <w:jc w:val="center"/>
        <w:rPr>
          <w:rFonts w:ascii="Times New Roman" w:hAnsi="Times New Roman" w:cs="Times New Roman"/>
        </w:rPr>
      </w:pPr>
      <w:r w:rsidRPr="005B2C4B">
        <w:rPr>
          <w:rFonts w:ascii="Times New Roman" w:hAnsi="Times New Roman" w:cs="Times New Roman"/>
        </w:rPr>
        <w:t xml:space="preserve">for the Degree </w:t>
      </w:r>
    </w:p>
    <w:p w14:paraId="70DD8564" w14:textId="77777777" w:rsidR="003C3597" w:rsidRDefault="003C3597" w:rsidP="003C3597">
      <w:pPr>
        <w:jc w:val="center"/>
        <w:rPr>
          <w:rFonts w:ascii="Times New Roman" w:hAnsi="Times New Roman" w:cs="Times New Roman"/>
        </w:rPr>
      </w:pPr>
      <w:r w:rsidRPr="005B2C4B">
        <w:rPr>
          <w:rFonts w:ascii="Times New Roman" w:hAnsi="Times New Roman" w:cs="Times New Roman"/>
        </w:rPr>
        <w:t>Doctor of Philosophy</w:t>
      </w:r>
      <w:r w:rsidRPr="005B2C4B">
        <w:rPr>
          <w:rFonts w:ascii="Times New Roman" w:hAnsi="Times New Roman" w:cs="Times New Roman"/>
        </w:rPr>
        <w:cr/>
      </w:r>
    </w:p>
    <w:p w14:paraId="7D533D45" w14:textId="77777777" w:rsidR="003C3597" w:rsidRDefault="003C3597" w:rsidP="003C3597">
      <w:pPr>
        <w:jc w:val="center"/>
        <w:rPr>
          <w:rFonts w:ascii="Times New Roman" w:hAnsi="Times New Roman" w:cs="Times New Roman"/>
        </w:rPr>
      </w:pPr>
    </w:p>
    <w:p w14:paraId="7D62684A" w14:textId="77777777" w:rsidR="003C3597" w:rsidRPr="005B2C4B" w:rsidRDefault="003C3597" w:rsidP="003C3597">
      <w:pPr>
        <w:jc w:val="center"/>
        <w:rPr>
          <w:rFonts w:ascii="Times New Roman" w:hAnsi="Times New Roman" w:cs="Times New Roman"/>
        </w:rPr>
      </w:pPr>
      <w:r w:rsidRPr="005B2C4B">
        <w:rPr>
          <w:rFonts w:ascii="Times New Roman" w:hAnsi="Times New Roman" w:cs="Times New Roman"/>
        </w:rPr>
        <w:t>McMaster University</w:t>
      </w:r>
    </w:p>
    <w:p w14:paraId="4347D233" w14:textId="77777777" w:rsidR="003C3597" w:rsidRDefault="003C3597" w:rsidP="003C3597">
      <w:pPr>
        <w:jc w:val="center"/>
        <w:rPr>
          <w:rFonts w:ascii="Times New Roman" w:hAnsi="Times New Roman" w:cs="Times New Roman"/>
        </w:rPr>
      </w:pPr>
      <w:r w:rsidRPr="005B2C4B">
        <w:rPr>
          <w:rFonts w:ascii="Times New Roman" w:hAnsi="Times New Roman" w:cs="Times New Roman"/>
        </w:rPr>
        <w:t xml:space="preserve">© Copyright by </w:t>
      </w:r>
      <w:r>
        <w:rPr>
          <w:rFonts w:ascii="Times New Roman" w:hAnsi="Times New Roman" w:cs="Times New Roman"/>
        </w:rPr>
        <w:t>Elnaz Haj Abotalebi</w:t>
      </w:r>
      <w:r w:rsidRPr="005B2C4B">
        <w:rPr>
          <w:rFonts w:ascii="Times New Roman" w:hAnsi="Times New Roman" w:cs="Times New Roman"/>
        </w:rPr>
        <w:t xml:space="preserve">, </w:t>
      </w:r>
      <w:r w:rsidR="001C1412">
        <w:rPr>
          <w:rFonts w:ascii="Times New Roman" w:hAnsi="Times New Roman" w:cs="Times New Roman"/>
        </w:rPr>
        <w:t>December</w:t>
      </w:r>
      <w:r>
        <w:rPr>
          <w:rFonts w:ascii="Times New Roman" w:hAnsi="Times New Roman" w:cs="Times New Roman"/>
        </w:rPr>
        <w:t xml:space="preserve"> 2018</w:t>
      </w:r>
    </w:p>
    <w:p w14:paraId="3557B6FC" w14:textId="77777777" w:rsidR="003C3597" w:rsidRDefault="003C3597" w:rsidP="003C3597">
      <w:pPr>
        <w:jc w:val="center"/>
        <w:rPr>
          <w:rFonts w:ascii="Times New Roman" w:hAnsi="Times New Roman" w:cs="Times New Roman"/>
        </w:rPr>
      </w:pPr>
    </w:p>
    <w:p w14:paraId="0113ADD4" w14:textId="77777777" w:rsidR="003C3597" w:rsidRDefault="003C3597" w:rsidP="003C3597">
      <w:pPr>
        <w:jc w:val="center"/>
        <w:rPr>
          <w:rFonts w:ascii="Times New Roman" w:hAnsi="Times New Roman" w:cs="Times New Roman"/>
        </w:rPr>
      </w:pPr>
    </w:p>
    <w:p w14:paraId="05BEE666" w14:textId="77777777" w:rsidR="00C135E1" w:rsidRDefault="00C135E1" w:rsidP="00C135E1">
      <w:pPr>
        <w:ind w:firstLine="0"/>
        <w:rPr>
          <w:rFonts w:ascii="Times New Roman" w:hAnsi="Times New Roman" w:cs="Times New Roman"/>
        </w:rPr>
      </w:pPr>
    </w:p>
    <w:p w14:paraId="07999360" w14:textId="77777777" w:rsidR="003C3597" w:rsidRPr="005B2C4B" w:rsidRDefault="003C3597" w:rsidP="003C3597">
      <w:pPr>
        <w:rPr>
          <w:rFonts w:ascii="Times New Roman" w:hAnsi="Times New Roman" w:cs="Times New Roman"/>
        </w:rPr>
      </w:pPr>
      <w:r w:rsidRPr="005B2C4B">
        <w:rPr>
          <w:rFonts w:ascii="Times New Roman" w:hAnsi="Times New Roman" w:cs="Times New Roman"/>
        </w:rPr>
        <w:lastRenderedPageBreak/>
        <w:t>DOCTOR OF PHILOSOPHY (</w:t>
      </w:r>
      <w:r>
        <w:rPr>
          <w:rFonts w:ascii="Times New Roman" w:hAnsi="Times New Roman" w:cs="Times New Roman"/>
        </w:rPr>
        <w:t>2018</w:t>
      </w:r>
      <w:r w:rsidRPr="005B2C4B">
        <w:rPr>
          <w:rFonts w:ascii="Times New Roman" w:hAnsi="Times New Roman" w:cs="Times New Roman"/>
        </w:rPr>
        <w:t xml:space="preserve">) </w:t>
      </w:r>
      <w:r w:rsidR="00945A0C">
        <w:rPr>
          <w:rFonts w:ascii="Times New Roman" w:hAnsi="Times New Roman" w:cs="Times New Roman"/>
        </w:rPr>
        <w:tab/>
      </w:r>
      <w:r w:rsidR="00945A0C">
        <w:rPr>
          <w:rFonts w:ascii="Times New Roman" w:hAnsi="Times New Roman" w:cs="Times New Roman"/>
        </w:rPr>
        <w:tab/>
      </w:r>
      <w:r w:rsidR="00945A0C">
        <w:rPr>
          <w:rFonts w:ascii="Times New Roman" w:hAnsi="Times New Roman" w:cs="Times New Roman"/>
        </w:rPr>
        <w:tab/>
      </w:r>
      <w:r w:rsidRPr="005B2C4B">
        <w:rPr>
          <w:rFonts w:ascii="Times New Roman" w:hAnsi="Times New Roman" w:cs="Times New Roman"/>
        </w:rPr>
        <w:t>McMaster University</w:t>
      </w:r>
    </w:p>
    <w:p w14:paraId="29B785D2" w14:textId="77777777" w:rsidR="003C3597" w:rsidRPr="005B2C4B" w:rsidRDefault="003C3597" w:rsidP="003C3597">
      <w:pPr>
        <w:rPr>
          <w:rFonts w:ascii="Times New Roman" w:hAnsi="Times New Roman" w:cs="Times New Roman"/>
        </w:rPr>
      </w:pPr>
      <w:r w:rsidRPr="005B2C4B">
        <w:rPr>
          <w:rFonts w:ascii="Times New Roman" w:hAnsi="Times New Roman" w:cs="Times New Roman"/>
        </w:rPr>
        <w:t>(School of Geography and Earth Sciences)</w:t>
      </w:r>
      <w:r w:rsidR="00945A0C">
        <w:rPr>
          <w:rFonts w:ascii="Times New Roman" w:hAnsi="Times New Roman" w:cs="Times New Roman"/>
        </w:rPr>
        <w:tab/>
      </w:r>
      <w:r w:rsidRPr="005B2C4B">
        <w:rPr>
          <w:rFonts w:ascii="Times New Roman" w:hAnsi="Times New Roman" w:cs="Times New Roman"/>
        </w:rPr>
        <w:t xml:space="preserve"> </w:t>
      </w:r>
      <w:r w:rsidR="00945A0C">
        <w:rPr>
          <w:rFonts w:ascii="Times New Roman" w:hAnsi="Times New Roman" w:cs="Times New Roman"/>
        </w:rPr>
        <w:tab/>
      </w:r>
      <w:r w:rsidR="00945A0C">
        <w:rPr>
          <w:rFonts w:ascii="Times New Roman" w:hAnsi="Times New Roman" w:cs="Times New Roman"/>
        </w:rPr>
        <w:tab/>
      </w:r>
      <w:r w:rsidRPr="005B2C4B">
        <w:rPr>
          <w:rFonts w:ascii="Times New Roman" w:hAnsi="Times New Roman" w:cs="Times New Roman"/>
        </w:rPr>
        <w:t>Hamilton, Ontario</w:t>
      </w:r>
    </w:p>
    <w:p w14:paraId="009588C2" w14:textId="77777777" w:rsidR="003C3597" w:rsidRDefault="003C3597" w:rsidP="003C3597">
      <w:pPr>
        <w:rPr>
          <w:rFonts w:ascii="Times New Roman" w:hAnsi="Times New Roman" w:cs="Times New Roman"/>
        </w:rPr>
      </w:pPr>
    </w:p>
    <w:p w14:paraId="03AC2830" w14:textId="77777777" w:rsidR="003C3597" w:rsidRPr="005B2C4B" w:rsidRDefault="003C3597" w:rsidP="00945A0C">
      <w:pPr>
        <w:rPr>
          <w:rFonts w:ascii="Times New Roman" w:hAnsi="Times New Roman" w:cs="Times New Roman"/>
        </w:rPr>
      </w:pPr>
      <w:r w:rsidRPr="005B2C4B">
        <w:rPr>
          <w:rFonts w:ascii="Times New Roman" w:hAnsi="Times New Roman" w:cs="Times New Roman"/>
        </w:rPr>
        <w:t xml:space="preserve">TITLE: </w:t>
      </w:r>
      <w:r w:rsidR="00945A0C">
        <w:rPr>
          <w:rFonts w:ascii="Times New Roman" w:hAnsi="Times New Roman" w:cs="Times New Roman"/>
        </w:rPr>
        <w:t>CONSUMER</w:t>
      </w:r>
      <w:r w:rsidR="00945A0C" w:rsidRPr="005B2C4B">
        <w:rPr>
          <w:rFonts w:ascii="Times New Roman" w:hAnsi="Times New Roman" w:cs="Times New Roman"/>
        </w:rPr>
        <w:t xml:space="preserve"> DEMAND FOR ELECTRIC VEHICLES IN CANADA</w:t>
      </w:r>
    </w:p>
    <w:p w14:paraId="7E8E6545" w14:textId="77777777" w:rsidR="003C3597" w:rsidRPr="005B2C4B" w:rsidRDefault="003C3597" w:rsidP="003C3597">
      <w:pPr>
        <w:rPr>
          <w:rFonts w:ascii="Times New Roman" w:hAnsi="Times New Roman" w:cs="Times New Roman"/>
        </w:rPr>
      </w:pPr>
      <w:r w:rsidRPr="005B2C4B">
        <w:rPr>
          <w:rFonts w:ascii="Times New Roman" w:hAnsi="Times New Roman" w:cs="Times New Roman"/>
        </w:rPr>
        <w:t xml:space="preserve">AUTHOR: </w:t>
      </w:r>
      <w:r>
        <w:rPr>
          <w:rFonts w:ascii="Times New Roman" w:hAnsi="Times New Roman" w:cs="Times New Roman"/>
        </w:rPr>
        <w:t>Elnaz Haj Abotalebi</w:t>
      </w:r>
    </w:p>
    <w:p w14:paraId="37CFF75E" w14:textId="77777777" w:rsidR="003C3597" w:rsidRPr="005B2C4B" w:rsidRDefault="001C1412" w:rsidP="003C3597">
      <w:pPr>
        <w:rPr>
          <w:rFonts w:ascii="Times New Roman" w:hAnsi="Times New Roman" w:cs="Times New Roman"/>
        </w:rPr>
      </w:pPr>
      <w:r>
        <w:rPr>
          <w:rFonts w:ascii="Times New Roman" w:hAnsi="Times New Roman" w:cs="Times New Roman"/>
        </w:rPr>
        <w:t>Bachelor and Master of Architecture Engineering</w:t>
      </w:r>
      <w:r w:rsidR="003C3597" w:rsidRPr="005B2C4B">
        <w:rPr>
          <w:rFonts w:ascii="Times New Roman" w:hAnsi="Times New Roman" w:cs="Times New Roman"/>
        </w:rPr>
        <w:t xml:space="preserve"> (</w:t>
      </w:r>
      <w:r w:rsidR="003C3597">
        <w:rPr>
          <w:rFonts w:ascii="Times New Roman" w:hAnsi="Times New Roman" w:cs="Times New Roman"/>
        </w:rPr>
        <w:t>Iran, 2010</w:t>
      </w:r>
      <w:r w:rsidR="003C3597" w:rsidRPr="005B2C4B">
        <w:rPr>
          <w:rFonts w:ascii="Times New Roman" w:hAnsi="Times New Roman" w:cs="Times New Roman"/>
        </w:rPr>
        <w:t>)</w:t>
      </w:r>
    </w:p>
    <w:p w14:paraId="4051AFEF" w14:textId="77777777" w:rsidR="003C3597" w:rsidRPr="005B2C4B" w:rsidRDefault="001C1412" w:rsidP="003C3597">
      <w:pPr>
        <w:rPr>
          <w:rFonts w:ascii="Times New Roman" w:hAnsi="Times New Roman" w:cs="Times New Roman"/>
        </w:rPr>
      </w:pPr>
      <w:r>
        <w:rPr>
          <w:rFonts w:ascii="Times New Roman" w:hAnsi="Times New Roman" w:cs="Times New Roman"/>
        </w:rPr>
        <w:t>Master of Urban Planning</w:t>
      </w:r>
      <w:r w:rsidR="003C3597" w:rsidRPr="005B2C4B">
        <w:rPr>
          <w:rFonts w:ascii="Times New Roman" w:hAnsi="Times New Roman" w:cs="Times New Roman"/>
        </w:rPr>
        <w:t xml:space="preserve"> (</w:t>
      </w:r>
      <w:r w:rsidR="003C3597">
        <w:rPr>
          <w:rFonts w:ascii="Times New Roman" w:hAnsi="Times New Roman" w:cs="Times New Roman"/>
        </w:rPr>
        <w:t>University at Buffalo</w:t>
      </w:r>
      <w:r w:rsidR="003C3597" w:rsidRPr="005B2C4B">
        <w:rPr>
          <w:rFonts w:ascii="Times New Roman" w:hAnsi="Times New Roman" w:cs="Times New Roman"/>
        </w:rPr>
        <w:t>,</w:t>
      </w:r>
      <w:r w:rsidR="003C3597">
        <w:rPr>
          <w:rFonts w:ascii="Times New Roman" w:hAnsi="Times New Roman" w:cs="Times New Roman"/>
        </w:rPr>
        <w:t xml:space="preserve"> NY,</w:t>
      </w:r>
      <w:r w:rsidR="003C3597" w:rsidRPr="005B2C4B">
        <w:rPr>
          <w:rFonts w:ascii="Times New Roman" w:hAnsi="Times New Roman" w:cs="Times New Roman"/>
        </w:rPr>
        <w:t xml:space="preserve"> </w:t>
      </w:r>
      <w:r w:rsidR="003C3597">
        <w:rPr>
          <w:rFonts w:ascii="Times New Roman" w:hAnsi="Times New Roman" w:cs="Times New Roman"/>
        </w:rPr>
        <w:t>2012</w:t>
      </w:r>
      <w:r w:rsidR="003C3597" w:rsidRPr="005B2C4B">
        <w:rPr>
          <w:rFonts w:ascii="Times New Roman" w:hAnsi="Times New Roman" w:cs="Times New Roman"/>
        </w:rPr>
        <w:t>)</w:t>
      </w:r>
    </w:p>
    <w:p w14:paraId="18D7350D" w14:textId="77777777" w:rsidR="00CB0C16" w:rsidRDefault="003C3597" w:rsidP="00CB0C16">
      <w:pPr>
        <w:rPr>
          <w:rFonts w:ascii="Times New Roman" w:hAnsi="Times New Roman" w:cs="Times New Roman"/>
        </w:rPr>
      </w:pPr>
      <w:r w:rsidRPr="005B2C4B">
        <w:rPr>
          <w:rFonts w:ascii="Times New Roman" w:hAnsi="Times New Roman" w:cs="Times New Roman"/>
        </w:rPr>
        <w:t xml:space="preserve">SUPERVISOR: Professor </w:t>
      </w:r>
      <w:r>
        <w:rPr>
          <w:rFonts w:ascii="Times New Roman" w:hAnsi="Times New Roman" w:cs="Times New Roman"/>
        </w:rPr>
        <w:t>Darren</w:t>
      </w:r>
      <w:r w:rsidRPr="005B2C4B">
        <w:rPr>
          <w:rFonts w:ascii="Times New Roman" w:hAnsi="Times New Roman" w:cs="Times New Roman"/>
        </w:rPr>
        <w:t xml:space="preserve"> </w:t>
      </w:r>
      <w:r>
        <w:rPr>
          <w:rFonts w:ascii="Times New Roman" w:hAnsi="Times New Roman" w:cs="Times New Roman"/>
        </w:rPr>
        <w:t>M</w:t>
      </w:r>
      <w:r w:rsidRPr="005B2C4B">
        <w:rPr>
          <w:rFonts w:ascii="Times New Roman" w:hAnsi="Times New Roman" w:cs="Times New Roman"/>
        </w:rPr>
        <w:t xml:space="preserve">. </w:t>
      </w:r>
      <w:r>
        <w:rPr>
          <w:rFonts w:ascii="Times New Roman" w:hAnsi="Times New Roman" w:cs="Times New Roman"/>
        </w:rPr>
        <w:t>Scott</w:t>
      </w:r>
    </w:p>
    <w:p w14:paraId="131AE34E" w14:textId="389C952C" w:rsidR="00CB0C16" w:rsidRPr="00E1100F" w:rsidRDefault="003C3597" w:rsidP="00CB0C16">
      <w:pPr>
        <w:rPr>
          <w:rFonts w:ascii="Times New Roman" w:hAnsi="Times New Roman" w:cs="Times New Roman"/>
        </w:rPr>
      </w:pPr>
      <w:r w:rsidRPr="005B2C4B">
        <w:rPr>
          <w:rFonts w:ascii="Times New Roman" w:hAnsi="Times New Roman" w:cs="Times New Roman"/>
        </w:rPr>
        <w:t xml:space="preserve">NUMBER OF PAGES: </w:t>
      </w:r>
      <w:sdt>
        <w:sdtPr>
          <w:rPr>
            <w:rFonts w:ascii="Times New Roman" w:hAnsi="Times New Roman" w:cs="Times New Roman"/>
          </w:rPr>
          <w:id w:val="-922868163"/>
          <w:docPartObj>
            <w:docPartGallery w:val="Page Numbers (Bottom of Page)"/>
            <w:docPartUnique/>
          </w:docPartObj>
        </w:sdtPr>
        <w:sdtEndPr>
          <w:rPr>
            <w:noProof/>
          </w:rPr>
        </w:sdtEndPr>
        <w:sdtContent>
          <w:r w:rsidR="00C2675F">
            <w:rPr>
              <w:rFonts w:ascii="Times New Roman" w:hAnsi="Times New Roman" w:cs="Times New Roman"/>
            </w:rPr>
            <w:t>xiv</w:t>
          </w:r>
          <w:r w:rsidR="008A1CD2">
            <w:rPr>
              <w:rFonts w:ascii="Times New Roman" w:hAnsi="Times New Roman" w:cs="Times New Roman"/>
              <w:noProof/>
            </w:rPr>
            <w:t>, 123</w:t>
          </w:r>
        </w:sdtContent>
      </w:sdt>
    </w:p>
    <w:p w14:paraId="098EE7EE" w14:textId="77777777" w:rsidR="003C3597" w:rsidRDefault="003C3597" w:rsidP="003C3597">
      <w:pPr>
        <w:rPr>
          <w:rFonts w:ascii="Times New Roman" w:hAnsi="Times New Roman" w:cs="Times New Roman"/>
        </w:rPr>
      </w:pPr>
    </w:p>
    <w:p w14:paraId="4A64389A" w14:textId="77777777" w:rsidR="003C3597" w:rsidRPr="005B2C4B" w:rsidRDefault="003C3597" w:rsidP="003C3597">
      <w:pPr>
        <w:rPr>
          <w:rFonts w:ascii="Times New Roman" w:hAnsi="Times New Roman" w:cs="Times New Roman"/>
        </w:rPr>
      </w:pPr>
    </w:p>
    <w:p w14:paraId="01DC4D0E" w14:textId="77777777" w:rsidR="003C3597" w:rsidRDefault="003C3597" w:rsidP="003C3597">
      <w:pPr>
        <w:rPr>
          <w:rFonts w:ascii="Times New Roman" w:hAnsi="Times New Roman" w:cs="Times New Roman"/>
        </w:rPr>
      </w:pPr>
    </w:p>
    <w:p w14:paraId="52CCE822" w14:textId="77777777" w:rsidR="000C78CD" w:rsidRPr="005B2C4B" w:rsidRDefault="000C78CD" w:rsidP="003C3597">
      <w:pPr>
        <w:rPr>
          <w:rFonts w:ascii="Times New Roman" w:hAnsi="Times New Roman" w:cs="Times New Roman"/>
        </w:rPr>
      </w:pPr>
    </w:p>
    <w:p w14:paraId="26951B46" w14:textId="77777777" w:rsidR="00945A0C" w:rsidRDefault="00945A0C" w:rsidP="00C135E1">
      <w:pPr>
        <w:ind w:firstLine="0"/>
        <w:rPr>
          <w:rFonts w:ascii="Times New Roman" w:hAnsi="Times New Roman" w:cs="Times New Roman"/>
        </w:rPr>
      </w:pPr>
    </w:p>
    <w:p w14:paraId="414419C2" w14:textId="77777777" w:rsidR="003C3597" w:rsidRPr="009C2319" w:rsidRDefault="00945A0C" w:rsidP="00945A0C">
      <w:pPr>
        <w:pStyle w:val="Heading1"/>
        <w:numPr>
          <w:ilvl w:val="0"/>
          <w:numId w:val="0"/>
        </w:numPr>
        <w:jc w:val="center"/>
        <w:rPr>
          <w:rFonts w:ascii="Times New Roman" w:hAnsi="Times New Roman"/>
          <w:b w:val="0"/>
          <w:szCs w:val="24"/>
        </w:rPr>
      </w:pPr>
      <w:bookmarkStart w:id="0" w:name="_Toc528602052"/>
      <w:bookmarkStart w:id="1" w:name="_Toc528650838"/>
      <w:r w:rsidRPr="009C2319">
        <w:rPr>
          <w:rFonts w:ascii="Times New Roman" w:hAnsi="Times New Roman"/>
          <w:szCs w:val="24"/>
        </w:rPr>
        <w:lastRenderedPageBreak/>
        <w:t>Abstract</w:t>
      </w:r>
      <w:bookmarkEnd w:id="0"/>
      <w:bookmarkEnd w:id="1"/>
    </w:p>
    <w:p w14:paraId="6C9CEC55" w14:textId="77777777" w:rsidR="003C3597" w:rsidRPr="00912DA8" w:rsidRDefault="003C3597" w:rsidP="00C135E1">
      <w:pPr>
        <w:pStyle w:val="NormalWeb"/>
        <w:spacing w:before="160" w:beforeAutospacing="0" w:after="160" w:afterAutospacing="0"/>
        <w:rPr>
          <w:rFonts w:ascii="Times New Roman" w:eastAsiaTheme="minorHAnsi" w:hAnsi="Times New Roman"/>
          <w:lang w:eastAsia="en-US"/>
        </w:rPr>
      </w:pPr>
      <w:r w:rsidRPr="005E5785">
        <w:rPr>
          <w:rFonts w:ascii="Times New Roman" w:eastAsiaTheme="minorHAnsi" w:hAnsi="Times New Roman"/>
          <w:lang w:eastAsia="en-US"/>
        </w:rPr>
        <w:t xml:space="preserve">In Canada, road transportation accounts for more than one-fourth of secondary energy use, and thus is one of the main contributors to greenhouse gas (GHG) emissions </w:t>
      </w:r>
      <w:r w:rsidRPr="005E5785">
        <w:rPr>
          <w:rFonts w:ascii="Times New Roman" w:eastAsiaTheme="minorHAnsi" w:hAnsi="Times New Roman"/>
          <w:lang w:eastAsia="en-US"/>
        </w:rPr>
        <w:fldChar w:fldCharType="begin" w:fldLock="1"/>
      </w:r>
      <w:r w:rsidRPr="005E5785">
        <w:rPr>
          <w:rFonts w:ascii="Times New Roman" w:eastAsiaTheme="minorHAnsi" w:hAnsi="Times New Roman"/>
          <w:lang w:eastAsia="en-US"/>
        </w:rPr>
        <w:instrText>ADDIN CSL_CITATION { "citationItems" : [ { "id" : "ITEM-1", "itemData" : { "author" : [ { "dropping-particle" : "", "family" : "Environment Canada", "given" : "", "non-dropping-particle" : "", "parse-names" : false, "suffix" : "" } ], "id" : "ITEM-1", "issued" : { "date-parts" : [ [ "2016" ] ] }, "title" : "National Inventory Report 1990-2012: Greenhouse Gas Sources and Sinks in Canada", "type" : "report" }, "uris" : [ "http://www.mendeley.com/documents/?uuid=529ff4cb-d715-4a4e-8472-71b07800326d" ] } ], "mendeley" : { "formattedCitation" : "(Environment Canada, 2016)", "plainTextFormattedCitation" : "(Environment Canada, 2016)", "previouslyFormattedCitation" : "(Environment Canada, 2016)" }, "properties" : {  }, "schema" : "https://github.com/citation-style-language/schema/raw/master/csl-citation.json" }</w:instrText>
      </w:r>
      <w:r w:rsidRPr="005E5785">
        <w:rPr>
          <w:rFonts w:ascii="Times New Roman" w:eastAsiaTheme="minorHAnsi" w:hAnsi="Times New Roman"/>
          <w:lang w:eastAsia="en-US"/>
        </w:rPr>
        <w:fldChar w:fldCharType="separate"/>
      </w:r>
      <w:r w:rsidRPr="005E5785">
        <w:rPr>
          <w:rFonts w:ascii="Times New Roman" w:eastAsiaTheme="minorHAnsi" w:hAnsi="Times New Roman"/>
          <w:lang w:eastAsia="en-US"/>
        </w:rPr>
        <w:t>(Environment Canada, 2016)</w:t>
      </w:r>
      <w:r w:rsidRPr="005E5785">
        <w:rPr>
          <w:rFonts w:ascii="Times New Roman" w:eastAsiaTheme="minorHAnsi" w:hAnsi="Times New Roman"/>
          <w:lang w:eastAsia="en-US"/>
        </w:rPr>
        <w:fldChar w:fldCharType="end"/>
      </w:r>
      <w:r w:rsidRPr="005E5785">
        <w:rPr>
          <w:rFonts w:ascii="Times New Roman" w:eastAsiaTheme="minorHAnsi" w:hAnsi="Times New Roman"/>
          <w:lang w:eastAsia="en-US"/>
        </w:rPr>
        <w:t xml:space="preserve">. With around 81% of Canadian households having at least one vehicle, the automobile is an important element of household mobility, while the transportation sector relies heavily on petroleum products for on-road use </w:t>
      </w:r>
      <w:r w:rsidRPr="005E5785">
        <w:rPr>
          <w:rFonts w:ascii="Times New Roman" w:eastAsiaTheme="minorHAnsi" w:hAnsi="Times New Roman"/>
          <w:lang w:eastAsia="en-US"/>
        </w:rPr>
        <w:fldChar w:fldCharType="begin" w:fldLock="1"/>
      </w:r>
      <w:r w:rsidRPr="005E5785">
        <w:rPr>
          <w:rFonts w:ascii="Times New Roman" w:eastAsiaTheme="minorHAnsi" w:hAnsi="Times New Roman"/>
          <w:lang w:eastAsia="en-US"/>
        </w:rPr>
        <w:instrText>ADDIN CSL_CITATION { "citationItems" : [ { "id" : "ITEM-1", "itemData" : { "author" : [ { "dropping-particle" : "", "family" : "Statistics Canada", "given" : "", "non-dropping-particle" : "", "parse-names" : false, "suffix" : "" } ], "id" : "ITEM-1", "issued" : { "date-parts" : [ [ "2009" ] ] }, "title" : "Household and Environment Survey", "type" : "report" }, "uris" : [ "http://www.mendeley.com/documents/?uuid=d3c5d748-eec7-4f4d-bd9a-edc40ceb6d37" ] }, { "id" : "ITEM-2", "itemData" : { "author" : [ { "dropping-particle" : "", "family" : "Natural Resources Canada", "given" : "", "non-dropping-particle" : "", "parse-names" : false, "suffix" : "" } ], "id" : "ITEM-2", "issued" : { "date-parts" : [ [ "2009" ] ] }, "title" : "Canadian Vehicle Survey; Summary Report", "type" : "report" }, "uris" : [ "http://www.mendeley.com/documents/?uuid=ca7455e1-d8b2-410f-a29a-dce28d182aa0" ] } ], "mendeley" : { "formattedCitation" : "(Natural Resources Canada, 2009; Statistics Canada, 2009)", "manualFormatting" : "(Statistics Canada, 2016)", "plainTextFormattedCitation" : "(Natural Resources Canada, 2009; Statistics Canada, 2009)", "previouslyFormattedCitation" : "(Natural Resources Canada, 2009; Statistics Canada, 2009)" }, "properties" : {  }, "schema" : "https://github.com/citation-style-language/schema/raw/master/csl-citation.json" }</w:instrText>
      </w:r>
      <w:r w:rsidRPr="005E5785">
        <w:rPr>
          <w:rFonts w:ascii="Times New Roman" w:eastAsiaTheme="minorHAnsi" w:hAnsi="Times New Roman"/>
          <w:lang w:eastAsia="en-US"/>
        </w:rPr>
        <w:fldChar w:fldCharType="separate"/>
      </w:r>
      <w:r w:rsidRPr="005E5785">
        <w:rPr>
          <w:rFonts w:ascii="Times New Roman" w:eastAsiaTheme="minorHAnsi" w:hAnsi="Times New Roman"/>
          <w:lang w:eastAsia="en-US"/>
        </w:rPr>
        <w:t>(Statistics Canada, 2016)</w:t>
      </w:r>
      <w:r w:rsidRPr="005E5785">
        <w:rPr>
          <w:rFonts w:ascii="Times New Roman" w:eastAsiaTheme="minorHAnsi" w:hAnsi="Times New Roman"/>
          <w:lang w:eastAsia="en-US"/>
        </w:rPr>
        <w:fldChar w:fldCharType="end"/>
      </w:r>
      <w:r w:rsidRPr="005E5785">
        <w:rPr>
          <w:rFonts w:ascii="Times New Roman" w:eastAsiaTheme="minorHAnsi" w:hAnsi="Times New Roman"/>
          <w:lang w:eastAsia="en-US"/>
        </w:rPr>
        <w:t xml:space="preserve">. Despite this situation, Canada has accepted to reduce its GHG emissions by 30% below 2005 levels by 2030 under the 2015 Paris agreement </w:t>
      </w:r>
      <w:r w:rsidRPr="005E5785">
        <w:rPr>
          <w:rFonts w:ascii="Times New Roman" w:eastAsiaTheme="minorHAnsi" w:hAnsi="Times New Roman"/>
          <w:lang w:eastAsia="en-US"/>
        </w:rPr>
        <w:fldChar w:fldCharType="begin" w:fldLock="1"/>
      </w:r>
      <w:r w:rsidRPr="005E5785">
        <w:rPr>
          <w:rFonts w:ascii="Times New Roman" w:eastAsiaTheme="minorHAnsi" w:hAnsi="Times New Roman"/>
          <w:lang w:eastAsia="en-US"/>
        </w:rPr>
        <w:instrText>ADDIN CSL_CITATION { "citationItems" : [ { "id" : "ITEM-1", "itemData" : { "author" : [ { "dropping-particle" : "", "family" : "Environment Canada", "given" : "", "non-dropping-particle" : "", "parse-names" : false, "suffix" : "" } ], "id" : "ITEM-1", "issued" : { "date-parts" : [ [ "2016" ] ] }, "title" : "National Inventory Report 1990-2012: Greenhouse Gas Sources and Sinks in Canada", "type" : "report" }, "uris" : [ "http://www.mendeley.com/documents/?uuid=529ff4cb-d715-4a4e-8472-71b07800326d" ] } ], "mendeley" : { "formattedCitation" : "(Environment Canada, 2016)", "plainTextFormattedCitation" : "(Environment Canada, 2016)", "previouslyFormattedCitation" : "(Environment Canada, 2016)" }, "properties" : {  }, "schema" : "https://github.com/citation-style-language/schema/raw/master/csl-citation.json" }</w:instrText>
      </w:r>
      <w:r w:rsidRPr="005E5785">
        <w:rPr>
          <w:rFonts w:ascii="Times New Roman" w:eastAsiaTheme="minorHAnsi" w:hAnsi="Times New Roman"/>
          <w:lang w:eastAsia="en-US"/>
        </w:rPr>
        <w:fldChar w:fldCharType="separate"/>
      </w:r>
      <w:r w:rsidRPr="005E5785">
        <w:rPr>
          <w:rFonts w:ascii="Times New Roman" w:eastAsiaTheme="minorHAnsi" w:hAnsi="Times New Roman"/>
          <w:lang w:eastAsia="en-US"/>
        </w:rPr>
        <w:t>(Environment Canada, 2016)</w:t>
      </w:r>
      <w:r w:rsidRPr="005E5785">
        <w:rPr>
          <w:rFonts w:ascii="Times New Roman" w:eastAsiaTheme="minorHAnsi" w:hAnsi="Times New Roman"/>
          <w:lang w:eastAsia="en-US"/>
        </w:rPr>
        <w:fldChar w:fldCharType="end"/>
      </w:r>
      <w:r w:rsidRPr="005E5785">
        <w:rPr>
          <w:rFonts w:ascii="Times New Roman" w:eastAsiaTheme="minorHAnsi" w:hAnsi="Times New Roman"/>
          <w:lang w:eastAsia="en-US"/>
        </w:rPr>
        <w:t xml:space="preserve">. This emissions reduction goal, however, is unlikely to happen without transitioning to carbon-free alternatives, such as electric vehicles, for daily transportation. </w:t>
      </w:r>
      <w:r w:rsidRPr="005E5785">
        <w:rPr>
          <w:rFonts w:ascii="Times New Roman" w:hAnsi="Times New Roman"/>
        </w:rPr>
        <w:t>Despite many advancements in electric mobility, Canada still lags many other countries with respect to electric vehicle (EV) adoption among private consumers.</w:t>
      </w:r>
    </w:p>
    <w:p w14:paraId="5B23764F" w14:textId="77777777" w:rsidR="003C3597" w:rsidRPr="005E5785" w:rsidRDefault="003C3597" w:rsidP="003C3597">
      <w:pPr>
        <w:rPr>
          <w:rFonts w:ascii="Times New Roman" w:hAnsi="Times New Roman" w:cs="Times New Roman"/>
        </w:rPr>
      </w:pPr>
      <w:r w:rsidRPr="005E5785">
        <w:rPr>
          <w:rFonts w:ascii="Times New Roman" w:hAnsi="Times New Roman" w:cs="Times New Roman"/>
        </w:rPr>
        <w:t xml:space="preserve">To address this issue, the present dissertation discusses details of a survey that was developed to </w:t>
      </w:r>
      <w:r w:rsidRPr="005E5785">
        <w:rPr>
          <w:rFonts w:ascii="Times New Roman" w:eastAsia="Times New Roman" w:hAnsi="Times New Roman" w:cs="Times New Roman"/>
          <w:color w:val="000000" w:themeColor="text1"/>
        </w:rPr>
        <w:t xml:space="preserve">investigate electric mobility prospects in Canada through a series of socioeconomic, attitudinal, and stated preference (SP) questions. </w:t>
      </w:r>
      <w:r w:rsidRPr="005E5785">
        <w:rPr>
          <w:rFonts w:ascii="Times New Roman" w:hAnsi="Times New Roman" w:cs="Times New Roman"/>
        </w:rPr>
        <w:t>The acronym “SPACE” (</w:t>
      </w:r>
      <w:r w:rsidRPr="005E5785">
        <w:rPr>
          <w:rFonts w:ascii="Times New Roman" w:hAnsi="Times New Roman" w:cs="Times New Roman"/>
          <w:b/>
        </w:rPr>
        <w:t>S</w:t>
      </w:r>
      <w:r w:rsidRPr="005E5785">
        <w:rPr>
          <w:rFonts w:ascii="Times New Roman" w:hAnsi="Times New Roman" w:cs="Times New Roman"/>
        </w:rPr>
        <w:t xml:space="preserve">urvey for </w:t>
      </w:r>
      <w:r w:rsidRPr="005E5785">
        <w:rPr>
          <w:rFonts w:ascii="Times New Roman" w:hAnsi="Times New Roman" w:cs="Times New Roman"/>
          <w:b/>
        </w:rPr>
        <w:t>P</w:t>
      </w:r>
      <w:r w:rsidRPr="005E5785">
        <w:rPr>
          <w:rFonts w:ascii="Times New Roman" w:hAnsi="Times New Roman" w:cs="Times New Roman"/>
        </w:rPr>
        <w:t xml:space="preserve">references and </w:t>
      </w:r>
      <w:r w:rsidRPr="005E5785">
        <w:rPr>
          <w:rFonts w:ascii="Times New Roman" w:hAnsi="Times New Roman" w:cs="Times New Roman"/>
          <w:b/>
        </w:rPr>
        <w:t>A</w:t>
      </w:r>
      <w:r w:rsidRPr="005E5785">
        <w:rPr>
          <w:rFonts w:ascii="Times New Roman" w:hAnsi="Times New Roman" w:cs="Times New Roman"/>
        </w:rPr>
        <w:t xml:space="preserve">ttitudes of </w:t>
      </w:r>
      <w:r w:rsidRPr="005E5785">
        <w:rPr>
          <w:rFonts w:ascii="Times New Roman" w:hAnsi="Times New Roman" w:cs="Times New Roman"/>
          <w:b/>
        </w:rPr>
        <w:t>C</w:t>
      </w:r>
      <w:r w:rsidRPr="005E5785">
        <w:rPr>
          <w:rFonts w:ascii="Times New Roman" w:hAnsi="Times New Roman" w:cs="Times New Roman"/>
        </w:rPr>
        <w:t xml:space="preserve">anadians towards </w:t>
      </w:r>
      <w:r w:rsidRPr="005E5785">
        <w:rPr>
          <w:rFonts w:ascii="Times New Roman" w:hAnsi="Times New Roman" w:cs="Times New Roman"/>
          <w:b/>
        </w:rPr>
        <w:t>E</w:t>
      </w:r>
      <w:r w:rsidRPr="005E5785">
        <w:rPr>
          <w:rFonts w:ascii="Times New Roman" w:hAnsi="Times New Roman" w:cs="Times New Roman"/>
        </w:rPr>
        <w:t xml:space="preserve">lectric Vehicles) is used for the purpose of present thesis to identify the survey instrument. </w:t>
      </w:r>
      <w:r w:rsidRPr="005E5785">
        <w:rPr>
          <w:rFonts w:ascii="Times New Roman" w:eastAsia="Times New Roman" w:hAnsi="Times New Roman" w:cs="Times New Roman"/>
          <w:color w:val="000000" w:themeColor="text1"/>
        </w:rPr>
        <w:t xml:space="preserve">The SPACE dataset is then utilized to </w:t>
      </w:r>
      <w:r w:rsidRPr="005E5785">
        <w:rPr>
          <w:rFonts w:ascii="Times New Roman" w:hAnsi="Times New Roman" w:cs="Times New Roman"/>
        </w:rPr>
        <w:t xml:space="preserve">conduct econometric analyses (latent class modelling approach) of vehicle powertrain in Atlantic Canada, a lagging region in terms of EV uptake, and to compare results with those obtained for leading adoption provinces (Ontario and British Columbia). </w:t>
      </w:r>
      <w:r w:rsidR="00711DF8">
        <w:rPr>
          <w:rFonts w:ascii="Times New Roman" w:hAnsi="Times New Roman" w:cs="Times New Roman"/>
        </w:rPr>
        <w:t>This</w:t>
      </w:r>
      <w:r w:rsidRPr="005E5785">
        <w:rPr>
          <w:rFonts w:ascii="Times New Roman" w:hAnsi="Times New Roman" w:cs="Times New Roman"/>
        </w:rPr>
        <w:t xml:space="preserve"> comparison highlights potential differences and similarities in terms of openness towards EVs and willingness to pay for different vehicular features of EVs. </w:t>
      </w:r>
      <w:r w:rsidRPr="005E5785">
        <w:rPr>
          <w:rFonts w:ascii="Times New Roman" w:hAnsi="Times New Roman" w:cs="Times New Roman"/>
        </w:rPr>
        <w:lastRenderedPageBreak/>
        <w:t xml:space="preserve">The thesis also investigates economic suitability of battery electric vehicles (BEV) for Canadian households to gain insights on characteristics of households for whom adopting a BEV would make economic sense. </w:t>
      </w:r>
    </w:p>
    <w:p w14:paraId="7A7E913B" w14:textId="77777777" w:rsidR="00C135E1" w:rsidRPr="005B2C4B" w:rsidRDefault="003C3597" w:rsidP="003C3597">
      <w:pPr>
        <w:rPr>
          <w:rFonts w:ascii="Times New Roman" w:hAnsi="Times New Roman" w:cs="Times New Roman"/>
        </w:rPr>
      </w:pPr>
      <w:r w:rsidRPr="005E5785">
        <w:rPr>
          <w:rFonts w:ascii="Times New Roman" w:hAnsi="Times New Roman" w:cs="Times New Roman"/>
        </w:rPr>
        <w:t xml:space="preserve">Results of econometric analysis indicate that despite the very low penetration level of EVs, there is widespread openness to the idea of electric vehicles in Atlantic Canada, although less than leading adoption provinces. The main obstacles to the widespread adoption of EVs </w:t>
      </w:r>
      <w:r w:rsidR="00711DF8">
        <w:rPr>
          <w:rFonts w:ascii="Times New Roman" w:hAnsi="Times New Roman" w:cs="Times New Roman"/>
        </w:rPr>
        <w:t xml:space="preserve">in Atlantic Canada </w:t>
      </w:r>
      <w:r w:rsidRPr="005E5785">
        <w:rPr>
          <w:rFonts w:ascii="Times New Roman" w:hAnsi="Times New Roman" w:cs="Times New Roman"/>
        </w:rPr>
        <w:t xml:space="preserve">can be explained as higher purchase prices of </w:t>
      </w:r>
      <w:r w:rsidR="00711DF8">
        <w:rPr>
          <w:rFonts w:ascii="Times New Roman" w:hAnsi="Times New Roman" w:cs="Times New Roman"/>
        </w:rPr>
        <w:t xml:space="preserve">EVs </w:t>
      </w:r>
      <w:r w:rsidRPr="005E5785">
        <w:rPr>
          <w:rFonts w:ascii="Times New Roman" w:hAnsi="Times New Roman" w:cs="Times New Roman"/>
        </w:rPr>
        <w:t xml:space="preserve">relative to </w:t>
      </w:r>
      <w:r w:rsidR="00711DF8">
        <w:rPr>
          <w:rFonts w:ascii="Times New Roman" w:hAnsi="Times New Roman" w:cs="Times New Roman"/>
        </w:rPr>
        <w:t>internal combustion engines (</w:t>
      </w:r>
      <w:r w:rsidRPr="005E5785">
        <w:rPr>
          <w:rFonts w:ascii="Times New Roman" w:hAnsi="Times New Roman" w:cs="Times New Roman"/>
        </w:rPr>
        <w:t>ICE</w:t>
      </w:r>
      <w:r w:rsidR="00711DF8">
        <w:rPr>
          <w:rFonts w:ascii="Times New Roman" w:hAnsi="Times New Roman" w:cs="Times New Roman"/>
        </w:rPr>
        <w:t>)</w:t>
      </w:r>
      <w:r w:rsidRPr="005E5785">
        <w:rPr>
          <w:rFonts w:ascii="Times New Roman" w:hAnsi="Times New Roman" w:cs="Times New Roman"/>
        </w:rPr>
        <w:t xml:space="preserve">, </w:t>
      </w:r>
      <w:r w:rsidR="00711DF8">
        <w:rPr>
          <w:rFonts w:ascii="Times New Roman" w:hAnsi="Times New Roman" w:cs="Times New Roman"/>
        </w:rPr>
        <w:t>current and historical absence</w:t>
      </w:r>
      <w:r w:rsidRPr="005E5785">
        <w:rPr>
          <w:rFonts w:ascii="Times New Roman" w:hAnsi="Times New Roman" w:cs="Times New Roman"/>
        </w:rPr>
        <w:t xml:space="preserve"> of financial incentives, limited exposure to EV, and inadequate charging stations. With economic suitability analysis, it was found that even with today’s electric vehicles present in the market, that are considered to have high purchase price, a sizable share of Canadian households (18%) are economically suited to buy a battery electric vehicle.</w:t>
      </w:r>
      <w:r w:rsidR="00711DF8" w:rsidRPr="00711DF8">
        <w:rPr>
          <w:rFonts w:ascii="Times New Roman" w:hAnsi="Times New Roman" w:cs="Times New Roman"/>
        </w:rPr>
        <w:t xml:space="preserve"> A bivariate ordered probit model is </w:t>
      </w:r>
      <w:r w:rsidR="00711DF8">
        <w:rPr>
          <w:rFonts w:ascii="Times New Roman" w:hAnsi="Times New Roman" w:cs="Times New Roman"/>
        </w:rPr>
        <w:t>also</w:t>
      </w:r>
      <w:r w:rsidR="00711DF8" w:rsidRPr="00711DF8">
        <w:rPr>
          <w:rFonts w:ascii="Times New Roman" w:hAnsi="Times New Roman" w:cs="Times New Roman"/>
        </w:rPr>
        <w:t xml:space="preserve"> utilized</w:t>
      </w:r>
      <w:r w:rsidR="00711DF8">
        <w:rPr>
          <w:rFonts w:ascii="Times New Roman" w:hAnsi="Times New Roman" w:cs="Times New Roman"/>
        </w:rPr>
        <w:t xml:space="preserve"> in the thesis</w:t>
      </w:r>
      <w:r w:rsidR="00711DF8" w:rsidRPr="00711DF8">
        <w:rPr>
          <w:rFonts w:ascii="Times New Roman" w:hAnsi="Times New Roman" w:cs="Times New Roman"/>
        </w:rPr>
        <w:t xml:space="preserve"> to estimate annual mileage and vehicle ownership time</w:t>
      </w:r>
      <w:r w:rsidR="00711DF8">
        <w:rPr>
          <w:rFonts w:ascii="Times New Roman" w:hAnsi="Times New Roman" w:cs="Times New Roman"/>
        </w:rPr>
        <w:t xml:space="preserve">, </w:t>
      </w:r>
      <w:r w:rsidR="00711DF8" w:rsidRPr="00711DF8">
        <w:rPr>
          <w:rFonts w:ascii="Times New Roman" w:hAnsi="Times New Roman" w:cs="Times New Roman"/>
        </w:rPr>
        <w:t xml:space="preserve">the most influential factors on </w:t>
      </w:r>
      <w:r w:rsidR="00711DF8">
        <w:rPr>
          <w:rFonts w:ascii="Times New Roman" w:hAnsi="Times New Roman" w:cs="Times New Roman"/>
        </w:rPr>
        <w:t>economic suitability of BEVs</w:t>
      </w:r>
      <w:r w:rsidR="00711DF8" w:rsidRPr="00711DF8">
        <w:rPr>
          <w:rFonts w:ascii="Times New Roman" w:hAnsi="Times New Roman" w:cs="Times New Roman"/>
        </w:rPr>
        <w:t xml:space="preserve">. </w:t>
      </w:r>
      <w:r w:rsidR="00711DF8">
        <w:rPr>
          <w:rFonts w:ascii="Times New Roman" w:hAnsi="Times New Roman" w:cs="Times New Roman"/>
        </w:rPr>
        <w:t>T</w:t>
      </w:r>
      <w:r w:rsidR="00711DF8" w:rsidRPr="00711DF8">
        <w:rPr>
          <w:rFonts w:ascii="Times New Roman" w:hAnsi="Times New Roman" w:cs="Times New Roman"/>
        </w:rPr>
        <w:t>he</w:t>
      </w:r>
      <w:r w:rsidR="00711DF8">
        <w:rPr>
          <w:rFonts w:ascii="Times New Roman" w:hAnsi="Times New Roman" w:cs="Times New Roman"/>
        </w:rPr>
        <w:t xml:space="preserve"> </w:t>
      </w:r>
      <w:r w:rsidR="00711DF8">
        <w:rPr>
          <w:rFonts w:ascii="Times New Roman" w:hAnsi="Times New Roman"/>
        </w:rPr>
        <w:t>bivariate probit model</w:t>
      </w:r>
      <w:r w:rsidR="00711DF8">
        <w:rPr>
          <w:rFonts w:ascii="Times New Roman" w:hAnsi="Times New Roman" w:cs="Times New Roman"/>
        </w:rPr>
        <w:t xml:space="preserve"> results show that</w:t>
      </w:r>
      <w:r w:rsidR="00711DF8" w:rsidRPr="00711DF8">
        <w:rPr>
          <w:rFonts w:ascii="Times New Roman" w:hAnsi="Times New Roman" w:cs="Times New Roman"/>
        </w:rPr>
        <w:t xml:space="preserve"> </w:t>
      </w:r>
      <w:r w:rsidR="00711DF8" w:rsidRPr="004F0847">
        <w:rPr>
          <w:rFonts w:ascii="Times New Roman" w:hAnsi="Times New Roman"/>
        </w:rPr>
        <w:t xml:space="preserve">multi-vehicle households with children in the suburbs </w:t>
      </w:r>
      <w:r w:rsidR="00711DF8">
        <w:rPr>
          <w:rFonts w:ascii="Times New Roman" w:hAnsi="Times New Roman"/>
        </w:rPr>
        <w:t>have higher mileages, while e</w:t>
      </w:r>
      <w:r w:rsidR="00711DF8" w:rsidRPr="004F0847">
        <w:rPr>
          <w:rFonts w:ascii="Times New Roman" w:hAnsi="Times New Roman"/>
        </w:rPr>
        <w:t>ducation and income have positive impacts on both annual mileage and ownership time, and thus on increasing the economic suitability of BEVs.</w:t>
      </w:r>
      <w:r w:rsidR="00711DF8">
        <w:rPr>
          <w:rFonts w:ascii="Times New Roman" w:hAnsi="Times New Roman"/>
        </w:rPr>
        <w:t xml:space="preserve"> </w:t>
      </w:r>
      <w:r w:rsidRPr="005E5785">
        <w:rPr>
          <w:rFonts w:ascii="Times New Roman" w:hAnsi="Times New Roman" w:cs="Times New Roman"/>
        </w:rPr>
        <w:t>Together, results of present thesis would help policy makers and stakeholders to make targeted decisions regarding EV marketing in Canada, especially in lagging adoptio</w:t>
      </w:r>
      <w:r w:rsidR="00711DF8">
        <w:rPr>
          <w:rFonts w:ascii="Times New Roman" w:hAnsi="Times New Roman" w:cs="Times New Roman"/>
        </w:rPr>
        <w:t>n regions like Atlantic Canada.</w:t>
      </w:r>
    </w:p>
    <w:p w14:paraId="64969126" w14:textId="08E31F35" w:rsidR="003C3597" w:rsidRPr="009C2319" w:rsidRDefault="00945A0C" w:rsidP="00F85B74">
      <w:pPr>
        <w:pStyle w:val="Heading1"/>
        <w:numPr>
          <w:ilvl w:val="0"/>
          <w:numId w:val="0"/>
        </w:numPr>
        <w:jc w:val="center"/>
        <w:rPr>
          <w:rFonts w:ascii="Times New Roman" w:hAnsi="Times New Roman"/>
          <w:szCs w:val="24"/>
        </w:rPr>
      </w:pPr>
      <w:bookmarkStart w:id="2" w:name="_Toc528650839"/>
      <w:r w:rsidRPr="009C2319">
        <w:rPr>
          <w:rFonts w:ascii="Times New Roman" w:hAnsi="Times New Roman"/>
          <w:szCs w:val="24"/>
        </w:rPr>
        <w:lastRenderedPageBreak/>
        <w:t>Acknowledgements</w:t>
      </w:r>
      <w:bookmarkEnd w:id="2"/>
    </w:p>
    <w:p w14:paraId="7F4B3D70" w14:textId="77777777" w:rsidR="00711DF8" w:rsidRDefault="003C3597" w:rsidP="003C3597">
      <w:pPr>
        <w:rPr>
          <w:rFonts w:ascii="Times New Roman" w:hAnsi="Times New Roman" w:cs="Times New Roman"/>
        </w:rPr>
      </w:pPr>
      <w:r>
        <w:rPr>
          <w:rFonts w:ascii="Times New Roman" w:hAnsi="Times New Roman" w:cs="Times New Roman"/>
        </w:rPr>
        <w:t xml:space="preserve">I am deeply grateful to my former supervisor, Professor Pavlos Kanaroglou (1948-2016) who had great influences in the development of my professional life. Without his amazing support and expertise, this dissertation would have never been carried out. </w:t>
      </w:r>
    </w:p>
    <w:p w14:paraId="0480DB57" w14:textId="77777777" w:rsidR="003C3597" w:rsidRDefault="003C3597" w:rsidP="003C3597">
      <w:pPr>
        <w:rPr>
          <w:rFonts w:ascii="Times New Roman" w:hAnsi="Times New Roman" w:cs="Times New Roman"/>
        </w:rPr>
      </w:pPr>
      <w:r>
        <w:rPr>
          <w:rFonts w:ascii="Times New Roman" w:hAnsi="Times New Roman" w:cs="Times New Roman"/>
        </w:rPr>
        <w:t xml:space="preserve">My </w:t>
      </w:r>
      <w:r w:rsidR="00711DF8">
        <w:rPr>
          <w:rFonts w:ascii="Times New Roman" w:hAnsi="Times New Roman" w:cs="Times New Roman"/>
        </w:rPr>
        <w:t xml:space="preserve">special </w:t>
      </w:r>
      <w:r>
        <w:rPr>
          <w:rFonts w:ascii="Times New Roman" w:hAnsi="Times New Roman" w:cs="Times New Roman"/>
        </w:rPr>
        <w:t>gratitude would go to Dr. Darren Scott for his continuous guidance, encouragement, and support serving both as supervisor and committee member through my entire PhD studies.</w:t>
      </w:r>
      <w:r w:rsidR="009C2319">
        <w:rPr>
          <w:rFonts w:ascii="Times New Roman" w:hAnsi="Times New Roman" w:cs="Times New Roman"/>
        </w:rPr>
        <w:t xml:space="preserve"> It would have never been possible to take this work to completion without his incredible help and proficiency.</w:t>
      </w:r>
      <w:r>
        <w:rPr>
          <w:rFonts w:ascii="Times New Roman" w:hAnsi="Times New Roman" w:cs="Times New Roman"/>
        </w:rPr>
        <w:t xml:space="preserve"> I would also like to thank Dr. Mark Ferguson for his support since my first steps in my PhD studies whose knowledge and suggestions made significant improvements to the present thesis.  </w:t>
      </w:r>
    </w:p>
    <w:p w14:paraId="5E6B5093" w14:textId="77777777" w:rsidR="003C3597" w:rsidRDefault="003C3597" w:rsidP="003C3597">
      <w:pPr>
        <w:rPr>
          <w:rFonts w:ascii="Times New Roman" w:hAnsi="Times New Roman" w:cs="Times New Roman"/>
        </w:rPr>
      </w:pPr>
      <w:r>
        <w:rPr>
          <w:rFonts w:ascii="Times New Roman" w:hAnsi="Times New Roman" w:cs="Times New Roman"/>
        </w:rPr>
        <w:t xml:space="preserve">My sincere thank also goes to my committee members Dr. Hanna Moah and Dr. Antonio Paez for serving as my committee members and guiding me through my PhD studies. I am also thankful to all my colleagues and friends at </w:t>
      </w:r>
      <w:r w:rsidR="00254EE2">
        <w:rPr>
          <w:rFonts w:ascii="Times New Roman" w:hAnsi="Times New Roman" w:cs="Times New Roman"/>
        </w:rPr>
        <w:t xml:space="preserve">former </w:t>
      </w:r>
      <w:r>
        <w:rPr>
          <w:rFonts w:ascii="Times New Roman" w:hAnsi="Times New Roman" w:cs="Times New Roman"/>
        </w:rPr>
        <w:t xml:space="preserve">Centre for Spatial Analysis (CSpA) and McMaster Institute for Transportation and Logistics (MITL) including Deane Maynard, Pat DeLuca, and Laura Labate, as well as </w:t>
      </w:r>
      <w:r w:rsidR="00254EE2">
        <w:rPr>
          <w:rFonts w:ascii="Times New Roman" w:hAnsi="Times New Roman" w:cs="Times New Roman"/>
        </w:rPr>
        <w:t xml:space="preserve">Dr. Bruce Newbold and </w:t>
      </w:r>
      <w:r w:rsidRPr="00537111">
        <w:rPr>
          <w:rFonts w:ascii="Times New Roman" w:hAnsi="Times New Roman" w:cs="Times New Roman"/>
        </w:rPr>
        <w:t>Salomé Santos-Blagusk</w:t>
      </w:r>
      <w:r>
        <w:rPr>
          <w:rFonts w:ascii="Times New Roman" w:hAnsi="Times New Roman" w:cs="Times New Roman"/>
        </w:rPr>
        <w:t xml:space="preserve">i and other faculty and staff in the School of Geography </w:t>
      </w:r>
      <w:r w:rsidR="009C2319">
        <w:rPr>
          <w:rFonts w:ascii="Times New Roman" w:hAnsi="Times New Roman" w:cs="Times New Roman"/>
        </w:rPr>
        <w:t>and Earth Sciences</w:t>
      </w:r>
      <w:r>
        <w:rPr>
          <w:rFonts w:ascii="Times New Roman" w:hAnsi="Times New Roman" w:cs="Times New Roman"/>
        </w:rPr>
        <w:t xml:space="preserve">.  </w:t>
      </w:r>
    </w:p>
    <w:p w14:paraId="55FF0B8A" w14:textId="77777777" w:rsidR="00C135E1" w:rsidRPr="009C2319" w:rsidRDefault="003C3597" w:rsidP="009C2319">
      <w:pPr>
        <w:rPr>
          <w:rFonts w:ascii="Times New Roman" w:hAnsi="Times New Roman" w:cs="Times New Roman"/>
        </w:rPr>
      </w:pPr>
      <w:r>
        <w:rPr>
          <w:rFonts w:ascii="Times New Roman" w:hAnsi="Times New Roman" w:cs="Times New Roman"/>
        </w:rPr>
        <w:t xml:space="preserve">Finally, my special thank goes to my beloved parents for their continuous support all the way through my studies, this PhD thesis included, and to my husband for his sacrifices and encouragement and to my son, Adrian. </w:t>
      </w:r>
    </w:p>
    <w:p w14:paraId="346A9BCE" w14:textId="77777777" w:rsidR="003C3597" w:rsidRPr="009C2319" w:rsidRDefault="00945A0C" w:rsidP="00945A0C">
      <w:pPr>
        <w:pStyle w:val="Heading1"/>
        <w:numPr>
          <w:ilvl w:val="0"/>
          <w:numId w:val="0"/>
        </w:numPr>
        <w:jc w:val="center"/>
        <w:rPr>
          <w:rFonts w:ascii="Times New Roman" w:hAnsi="Times New Roman"/>
          <w:b w:val="0"/>
          <w:szCs w:val="24"/>
        </w:rPr>
      </w:pPr>
      <w:bookmarkStart w:id="3" w:name="_Toc528602053"/>
      <w:bookmarkStart w:id="4" w:name="_Toc528650840"/>
      <w:r w:rsidRPr="009C2319">
        <w:rPr>
          <w:rFonts w:ascii="Times New Roman" w:hAnsi="Times New Roman"/>
          <w:szCs w:val="24"/>
        </w:rPr>
        <w:lastRenderedPageBreak/>
        <w:t>Preface</w:t>
      </w:r>
      <w:bookmarkEnd w:id="3"/>
      <w:bookmarkEnd w:id="4"/>
    </w:p>
    <w:p w14:paraId="78E7EC2C" w14:textId="77777777" w:rsidR="003C3597" w:rsidRDefault="003C3597" w:rsidP="00C2675F">
      <w:pPr>
        <w:tabs>
          <w:tab w:val="left" w:pos="5220"/>
        </w:tabs>
        <w:rPr>
          <w:rFonts w:ascii="Times New Roman" w:hAnsi="Times New Roman" w:cs="Times New Roman"/>
        </w:rPr>
      </w:pPr>
      <w:r w:rsidRPr="005B2C4B">
        <w:rPr>
          <w:rFonts w:ascii="Times New Roman" w:hAnsi="Times New Roman" w:cs="Times New Roman"/>
        </w:rPr>
        <w:t>The present dissertation is a compendium of</w:t>
      </w:r>
      <w:r>
        <w:rPr>
          <w:rFonts w:ascii="Times New Roman" w:hAnsi="Times New Roman" w:cs="Times New Roman"/>
        </w:rPr>
        <w:t xml:space="preserve"> five chapters that include an introduction, three research papers, and a conclusion. The research papers are </w:t>
      </w:r>
      <w:r w:rsidRPr="005B2C4B">
        <w:rPr>
          <w:rFonts w:ascii="Times New Roman" w:hAnsi="Times New Roman" w:cs="Times New Roman"/>
        </w:rPr>
        <w:t xml:space="preserve">either </w:t>
      </w:r>
      <w:r>
        <w:rPr>
          <w:rFonts w:ascii="Times New Roman" w:hAnsi="Times New Roman" w:cs="Times New Roman"/>
        </w:rPr>
        <w:t xml:space="preserve">under-review or submitted </w:t>
      </w:r>
      <w:r w:rsidRPr="005B2C4B">
        <w:rPr>
          <w:rFonts w:ascii="Times New Roman" w:hAnsi="Times New Roman" w:cs="Times New Roman"/>
        </w:rPr>
        <w:t xml:space="preserve">for publication in peer-reviewed journals. </w:t>
      </w:r>
      <w:r>
        <w:rPr>
          <w:rFonts w:ascii="Times New Roman" w:hAnsi="Times New Roman" w:cs="Times New Roman"/>
        </w:rPr>
        <w:t>All three articles focus on prospects for electric vehicle adoption among Canadian consumers</w:t>
      </w:r>
      <w:r w:rsidRPr="003F0C55">
        <w:rPr>
          <w:rFonts w:ascii="Times New Roman" w:hAnsi="Times New Roman" w:cs="Times New Roman"/>
        </w:rPr>
        <w:t xml:space="preserve"> </w:t>
      </w:r>
      <w:r>
        <w:rPr>
          <w:rFonts w:ascii="Times New Roman" w:hAnsi="Times New Roman" w:cs="Times New Roman"/>
        </w:rPr>
        <w:t xml:space="preserve">using a survey (SPACE) dataset. The first research paper mainly review the process of design and implementation of SPACE that was conducted in May-June 2015. </w:t>
      </w:r>
      <w:r w:rsidRPr="005B2C4B">
        <w:rPr>
          <w:rFonts w:ascii="Times New Roman" w:hAnsi="Times New Roman" w:cs="Times New Roman"/>
        </w:rPr>
        <w:t>For this reason,</w:t>
      </w:r>
      <w:r>
        <w:rPr>
          <w:rFonts w:ascii="Times New Roman" w:hAnsi="Times New Roman" w:cs="Times New Roman"/>
        </w:rPr>
        <w:t xml:space="preserve"> </w:t>
      </w:r>
      <w:r w:rsidRPr="005B2C4B">
        <w:rPr>
          <w:rFonts w:ascii="Times New Roman" w:hAnsi="Times New Roman" w:cs="Times New Roman"/>
        </w:rPr>
        <w:t>there is some element of repetition among chapters, particularly as it relates to overlap in</w:t>
      </w:r>
      <w:r>
        <w:rPr>
          <w:rFonts w:ascii="Times New Roman" w:hAnsi="Times New Roman" w:cs="Times New Roman"/>
        </w:rPr>
        <w:t xml:space="preserve"> description of the survey and dataset used for the analysis</w:t>
      </w:r>
      <w:r w:rsidRPr="005B2C4B">
        <w:rPr>
          <w:rFonts w:ascii="Times New Roman" w:hAnsi="Times New Roman" w:cs="Times New Roman"/>
        </w:rPr>
        <w:t xml:space="preserve">. </w:t>
      </w:r>
    </w:p>
    <w:p w14:paraId="745C58FB" w14:textId="7389F913" w:rsidR="003C3597" w:rsidRDefault="003C3597" w:rsidP="003C3597">
      <w:pPr>
        <w:tabs>
          <w:tab w:val="left" w:pos="5220"/>
        </w:tabs>
        <w:rPr>
          <w:rFonts w:ascii="Times New Roman" w:hAnsi="Times New Roman" w:cs="Times New Roman"/>
        </w:rPr>
      </w:pPr>
      <w:r>
        <w:rPr>
          <w:rFonts w:ascii="Times New Roman" w:hAnsi="Times New Roman" w:cs="Times New Roman"/>
        </w:rPr>
        <w:t xml:space="preserve">For all three articles, the dissertation author conducted </w:t>
      </w:r>
      <w:r w:rsidR="007D0B88">
        <w:rPr>
          <w:rFonts w:ascii="Times New Roman" w:hAnsi="Times New Roman" w:cs="Times New Roman"/>
        </w:rPr>
        <w:t xml:space="preserve">the </w:t>
      </w:r>
      <w:r>
        <w:rPr>
          <w:rFonts w:ascii="Times New Roman" w:hAnsi="Times New Roman" w:cs="Times New Roman"/>
        </w:rPr>
        <w:t>literature review</w:t>
      </w:r>
      <w:r w:rsidR="007D0B88">
        <w:rPr>
          <w:rFonts w:ascii="Times New Roman" w:hAnsi="Times New Roman" w:cs="Times New Roman"/>
        </w:rPr>
        <w:t>s</w:t>
      </w:r>
      <w:r>
        <w:rPr>
          <w:rFonts w:ascii="Times New Roman" w:hAnsi="Times New Roman" w:cs="Times New Roman"/>
        </w:rPr>
        <w:t xml:space="preserve">, stated preference design of </w:t>
      </w:r>
      <w:r w:rsidR="007D0B88">
        <w:rPr>
          <w:rFonts w:ascii="Times New Roman" w:hAnsi="Times New Roman" w:cs="Times New Roman"/>
        </w:rPr>
        <w:t xml:space="preserve">the </w:t>
      </w:r>
      <w:r>
        <w:rPr>
          <w:rFonts w:ascii="Times New Roman" w:hAnsi="Times New Roman" w:cs="Times New Roman"/>
        </w:rPr>
        <w:t xml:space="preserve">survey, census data collection, data cleaning, quantitative analysis of </w:t>
      </w:r>
      <w:r w:rsidR="007D0B88">
        <w:rPr>
          <w:rFonts w:ascii="Times New Roman" w:hAnsi="Times New Roman" w:cs="Times New Roman"/>
        </w:rPr>
        <w:t xml:space="preserve">the </w:t>
      </w:r>
      <w:r>
        <w:rPr>
          <w:rFonts w:ascii="Times New Roman" w:hAnsi="Times New Roman" w:cs="Times New Roman"/>
        </w:rPr>
        <w:t>dataset, model estimation, result interpretation and manuscript writing.</w:t>
      </w:r>
      <w:r w:rsidR="00995257">
        <w:rPr>
          <w:rFonts w:ascii="Times New Roman" w:hAnsi="Times New Roman" w:cs="Times New Roman"/>
        </w:rPr>
        <w:t xml:space="preserve"> In the first research paper, the dissertation author initiated and led the design of </w:t>
      </w:r>
      <w:r w:rsidR="007D0B88">
        <w:rPr>
          <w:rFonts w:ascii="Times New Roman" w:hAnsi="Times New Roman" w:cs="Times New Roman"/>
        </w:rPr>
        <w:t xml:space="preserve">the </w:t>
      </w:r>
      <w:r w:rsidR="00995257">
        <w:rPr>
          <w:rFonts w:ascii="Times New Roman" w:hAnsi="Times New Roman" w:cs="Times New Roman"/>
        </w:rPr>
        <w:t xml:space="preserve">survey questionnaire. She designed the stated preference scenarios using statistical </w:t>
      </w:r>
      <w:r w:rsidR="00345BEC">
        <w:rPr>
          <w:rFonts w:ascii="Times New Roman" w:hAnsi="Times New Roman" w:cs="Times New Roman"/>
        </w:rPr>
        <w:t xml:space="preserve">methods, and </w:t>
      </w:r>
      <w:r w:rsidR="00995257">
        <w:rPr>
          <w:rFonts w:ascii="Times New Roman" w:hAnsi="Times New Roman" w:cs="Times New Roman"/>
        </w:rPr>
        <w:t xml:space="preserve">conducted the </w:t>
      </w:r>
      <w:r w:rsidR="00345BEC">
        <w:rPr>
          <w:rFonts w:ascii="Times New Roman" w:hAnsi="Times New Roman" w:cs="Times New Roman"/>
        </w:rPr>
        <w:t>McMaster University E</w:t>
      </w:r>
      <w:r w:rsidR="00995257">
        <w:rPr>
          <w:rFonts w:ascii="Times New Roman" w:hAnsi="Times New Roman" w:cs="Times New Roman"/>
        </w:rPr>
        <w:t>thics approval</w:t>
      </w:r>
      <w:r w:rsidR="00345BEC">
        <w:rPr>
          <w:rFonts w:ascii="Times New Roman" w:hAnsi="Times New Roman" w:cs="Times New Roman"/>
        </w:rPr>
        <w:t xml:space="preserve"> process. </w:t>
      </w:r>
      <w:r>
        <w:rPr>
          <w:rFonts w:ascii="Times New Roman" w:hAnsi="Times New Roman" w:cs="Times New Roman"/>
        </w:rPr>
        <w:t>Dr. Darren Scott and Dr. Mark Ferguson are co-authored in all three papers. Dr. Scott supervised the whole process from the beginning through completion and submission by providing valuable feedback, developing research methodologies, and manuscript revising. Dr. Ferguson who is the project manager for ‘electric mobility’ research</w:t>
      </w:r>
      <w:r w:rsidR="009C2319">
        <w:rPr>
          <w:rFonts w:ascii="Times New Roman" w:hAnsi="Times New Roman" w:cs="Times New Roman"/>
        </w:rPr>
        <w:t xml:space="preserve"> project</w:t>
      </w:r>
      <w:r>
        <w:rPr>
          <w:rFonts w:ascii="Times New Roman" w:hAnsi="Times New Roman" w:cs="Times New Roman"/>
        </w:rPr>
        <w:t xml:space="preserve"> provided professional contribution specifically in developing the first research paper that conducted critical appraisal and editing to the manuscript. Dr. Moataz Mohamed is also co-authored on the first paper </w:t>
      </w:r>
      <w:r>
        <w:rPr>
          <w:rFonts w:ascii="Times New Roman" w:hAnsi="Times New Roman" w:cs="Times New Roman"/>
        </w:rPr>
        <w:lastRenderedPageBreak/>
        <w:t>by contributing to the design of survey and also providing feedback on the first paper’s manuscript. The three research papers</w:t>
      </w:r>
      <w:r w:rsidRPr="005B2C4B">
        <w:rPr>
          <w:rFonts w:ascii="Times New Roman" w:hAnsi="Times New Roman" w:cs="Times New Roman"/>
        </w:rPr>
        <w:t xml:space="preserve"> are as follows:</w:t>
      </w:r>
    </w:p>
    <w:p w14:paraId="15CE7EE9" w14:textId="77777777" w:rsidR="00BB41CC" w:rsidRDefault="00BB41CC" w:rsidP="00945A0C">
      <w:pPr>
        <w:tabs>
          <w:tab w:val="left" w:pos="5220"/>
        </w:tabs>
        <w:ind w:firstLine="0"/>
        <w:rPr>
          <w:rFonts w:ascii="Times New Roman" w:hAnsi="Times New Roman" w:cs="Times New Roman"/>
        </w:rPr>
      </w:pPr>
    </w:p>
    <w:p w14:paraId="2DE76F83" w14:textId="77777777" w:rsidR="003C3597" w:rsidRDefault="003C3597" w:rsidP="003C3597">
      <w:pPr>
        <w:tabs>
          <w:tab w:val="left" w:pos="5220"/>
        </w:tabs>
        <w:ind w:firstLine="0"/>
        <w:rPr>
          <w:rFonts w:ascii="Times New Roman" w:hAnsi="Times New Roman" w:cs="Times New Roman"/>
        </w:rPr>
      </w:pPr>
      <w:r>
        <w:rPr>
          <w:rFonts w:ascii="Times New Roman" w:hAnsi="Times New Roman" w:cs="Times New Roman"/>
        </w:rPr>
        <w:t>Chapter 2:</w:t>
      </w:r>
    </w:p>
    <w:p w14:paraId="22ADB747" w14:textId="76D2078D" w:rsidR="003C3597" w:rsidRPr="00A06C2E" w:rsidRDefault="003C3597" w:rsidP="005B0597">
      <w:pPr>
        <w:autoSpaceDE w:val="0"/>
        <w:autoSpaceDN w:val="0"/>
        <w:adjustRightInd w:val="0"/>
        <w:spacing w:before="0" w:after="0"/>
        <w:ind w:firstLine="0"/>
        <w:jc w:val="left"/>
        <w:rPr>
          <w:rFonts w:ascii="Times New Roman" w:hAnsi="Times New Roman"/>
          <w:bCs/>
        </w:rPr>
      </w:pPr>
      <w:r w:rsidRPr="00122632">
        <w:rPr>
          <w:rFonts w:ascii="Times New Roman" w:hAnsi="Times New Roman"/>
          <w:bCs/>
        </w:rPr>
        <w:t>Abotalebi, E., Ferguson, M. R., Mohamed, M., Scott, D. M.</w:t>
      </w:r>
      <w:r w:rsidR="00C57385" w:rsidRPr="007B1A0B">
        <w:rPr>
          <w:rFonts w:ascii="Times New Roman" w:hAnsi="Times New Roman"/>
          <w:bCs/>
        </w:rPr>
        <w:t xml:space="preserve"> </w:t>
      </w:r>
      <w:r w:rsidRPr="00A06C2E">
        <w:rPr>
          <w:rFonts w:ascii="Times New Roman" w:hAnsi="Times New Roman"/>
          <w:bCs/>
        </w:rPr>
        <w:t>2018</w:t>
      </w:r>
      <w:r w:rsidRPr="00D337BF">
        <w:rPr>
          <w:rFonts w:ascii="Times New Roman" w:hAnsi="Times New Roman"/>
          <w:bCs/>
        </w:rPr>
        <w:t xml:space="preserve">. Design of a Survey to Assess Prospects for Consumer Electric Mobility in Canada:  A Retrospective Appraisal. </w:t>
      </w:r>
      <w:r w:rsidRPr="005B0597">
        <w:rPr>
          <w:rFonts w:ascii="Times New Roman" w:hAnsi="Times New Roman"/>
          <w:bCs/>
        </w:rPr>
        <w:t>Transportation</w:t>
      </w:r>
      <w:r w:rsidR="00C57385" w:rsidRPr="005B0597">
        <w:rPr>
          <w:rFonts w:ascii="Times New Roman" w:hAnsi="Times New Roman"/>
          <w:bCs/>
        </w:rPr>
        <w:t>, 1-28.</w:t>
      </w:r>
      <w:r w:rsidR="00C57385" w:rsidRPr="00122632">
        <w:rPr>
          <w:rFonts w:ascii="Times New Roman" w:hAnsi="Times New Roman"/>
          <w:bCs/>
        </w:rPr>
        <w:t xml:space="preserve"> </w:t>
      </w:r>
      <w:r w:rsidR="00C57385" w:rsidRPr="005B0597">
        <w:rPr>
          <w:rFonts w:ascii="Times New Roman" w:hAnsi="Times New Roman"/>
          <w:bCs/>
        </w:rPr>
        <w:t>https://doi.org/10.1007</w:t>
      </w:r>
      <w:r w:rsidR="00C57385" w:rsidRPr="00122632">
        <w:rPr>
          <w:rFonts w:ascii="Times New Roman" w:hAnsi="Times New Roman"/>
          <w:bCs/>
        </w:rPr>
        <w:t>/s11116-018-9952-x</w:t>
      </w:r>
    </w:p>
    <w:p w14:paraId="7D5CEB97" w14:textId="77777777" w:rsidR="003C3597" w:rsidRDefault="003C3597" w:rsidP="003C3597">
      <w:pPr>
        <w:tabs>
          <w:tab w:val="left" w:pos="5220"/>
        </w:tabs>
        <w:ind w:firstLine="0"/>
        <w:rPr>
          <w:rFonts w:ascii="Times New Roman" w:hAnsi="Times New Roman" w:cs="Times New Roman"/>
        </w:rPr>
      </w:pPr>
      <w:r>
        <w:rPr>
          <w:rFonts w:ascii="Times New Roman" w:hAnsi="Times New Roman" w:cs="Times New Roman"/>
        </w:rPr>
        <w:t>Chapter 3:</w:t>
      </w:r>
    </w:p>
    <w:p w14:paraId="70C70706" w14:textId="182BB8BD" w:rsidR="003C3597" w:rsidRPr="00BB41CC" w:rsidRDefault="003C3597" w:rsidP="00C2675F">
      <w:pPr>
        <w:tabs>
          <w:tab w:val="left" w:pos="5220"/>
        </w:tabs>
        <w:ind w:firstLine="0"/>
        <w:rPr>
          <w:rFonts w:ascii="Times New Roman" w:hAnsi="Times New Roman"/>
          <w:b/>
          <w:bCs/>
        </w:rPr>
      </w:pPr>
      <w:r>
        <w:rPr>
          <w:rFonts w:ascii="Times New Roman" w:hAnsi="Times New Roman" w:cs="Times New Roman"/>
        </w:rPr>
        <w:t>Abotalebi, E., Scott, D. M., Ferguson, M. R.</w:t>
      </w:r>
      <w:r w:rsidR="002D4F20">
        <w:rPr>
          <w:rFonts w:ascii="Times New Roman" w:hAnsi="Times New Roman" w:cs="Times New Roman"/>
        </w:rPr>
        <w:t xml:space="preserve"> </w:t>
      </w:r>
      <w:r>
        <w:rPr>
          <w:rFonts w:ascii="Times New Roman" w:hAnsi="Times New Roman" w:cs="Times New Roman"/>
        </w:rPr>
        <w:t>201</w:t>
      </w:r>
      <w:r w:rsidR="002D4F20">
        <w:rPr>
          <w:rFonts w:ascii="Times New Roman" w:hAnsi="Times New Roman" w:cs="Times New Roman"/>
        </w:rPr>
        <w:t>9</w:t>
      </w:r>
      <w:r>
        <w:rPr>
          <w:rFonts w:ascii="Times New Roman" w:hAnsi="Times New Roman" w:cs="Times New Roman"/>
        </w:rPr>
        <w:t>.</w:t>
      </w:r>
      <w:r w:rsidR="00BB41CC" w:rsidRPr="00BB41CC">
        <w:rPr>
          <w:rFonts w:ascii="Times New Roman" w:eastAsia="Times New Roman" w:hAnsi="Times New Roman" w:cs="Times New Roman"/>
          <w:b/>
          <w:bCs/>
          <w:color w:val="000000" w:themeColor="text1"/>
          <w:sz w:val="32"/>
          <w:szCs w:val="32"/>
        </w:rPr>
        <w:t xml:space="preserve"> </w:t>
      </w:r>
      <w:r w:rsidR="00BB41CC" w:rsidRPr="00BB41CC">
        <w:rPr>
          <w:rFonts w:ascii="Times New Roman" w:hAnsi="Times New Roman"/>
          <w:bCs/>
        </w:rPr>
        <w:t>Why is electric vehicle uptake low in Atlantic Canada? A comparison to leading adoption provinces</w:t>
      </w:r>
      <w:r w:rsidRPr="00122632">
        <w:rPr>
          <w:rFonts w:ascii="Times New Roman" w:hAnsi="Times New Roman" w:cs="Times New Roman"/>
        </w:rPr>
        <w:t>.</w:t>
      </w:r>
      <w:r w:rsidR="00BB41CC" w:rsidRPr="007B1A0B">
        <w:rPr>
          <w:rFonts w:ascii="Times New Roman" w:hAnsi="Times New Roman"/>
          <w:b/>
          <w:bCs/>
        </w:rPr>
        <w:t xml:space="preserve"> </w:t>
      </w:r>
      <w:r w:rsidRPr="005B0597">
        <w:rPr>
          <w:rFonts w:ascii="Times New Roman" w:hAnsi="Times New Roman" w:cs="Times New Roman"/>
        </w:rPr>
        <w:t>Journal of Transport Geography</w:t>
      </w:r>
      <w:r w:rsidR="002D4F20" w:rsidRPr="00122632">
        <w:rPr>
          <w:rFonts w:ascii="Times New Roman" w:hAnsi="Times New Roman" w:cs="Times New Roman"/>
        </w:rPr>
        <w:t xml:space="preserve"> 74</w:t>
      </w:r>
      <w:r w:rsidR="002D4F20">
        <w:rPr>
          <w:rFonts w:ascii="Times New Roman" w:hAnsi="Times New Roman" w:cs="Times New Roman"/>
        </w:rPr>
        <w:t>, 289-298</w:t>
      </w:r>
      <w:r w:rsidR="00BB41CC">
        <w:rPr>
          <w:rFonts w:ascii="Times New Roman" w:hAnsi="Times New Roman" w:cs="Times New Roman"/>
        </w:rPr>
        <w:t>.</w:t>
      </w:r>
      <w:r w:rsidR="002D4F20">
        <w:rPr>
          <w:rFonts w:ascii="Times New Roman" w:hAnsi="Times New Roman" w:cs="Times New Roman"/>
        </w:rPr>
        <w:t xml:space="preserve"> </w:t>
      </w:r>
      <w:hyperlink r:id="rId8" w:tgtFrame="_blank" w:tooltip="Persistent link using digital object identifier" w:history="1">
        <w:r w:rsidR="002D4F20" w:rsidRPr="005B0597">
          <w:rPr>
            <w:rFonts w:ascii="Times New Roman" w:hAnsi="Times New Roman"/>
            <w:bCs/>
          </w:rPr>
          <w:t>https://doi.org/10.1016/j.jtrangeo.2018.12.001</w:t>
        </w:r>
      </w:hyperlink>
      <w:r w:rsidR="002D4F20" w:rsidRPr="005B0597">
        <w:rPr>
          <w:rFonts w:ascii="Times New Roman" w:hAnsi="Times New Roman"/>
          <w:bCs/>
        </w:rPr>
        <w:t>.</w:t>
      </w:r>
    </w:p>
    <w:p w14:paraId="1E656519" w14:textId="77777777" w:rsidR="003C3597" w:rsidRDefault="003C3597" w:rsidP="003C3597">
      <w:pPr>
        <w:tabs>
          <w:tab w:val="left" w:pos="5220"/>
        </w:tabs>
        <w:ind w:firstLine="0"/>
        <w:rPr>
          <w:rFonts w:ascii="Times New Roman" w:hAnsi="Times New Roman" w:cs="Times New Roman"/>
        </w:rPr>
      </w:pPr>
      <w:r>
        <w:rPr>
          <w:rFonts w:ascii="Times New Roman" w:hAnsi="Times New Roman" w:cs="Times New Roman"/>
        </w:rPr>
        <w:t>Chapter 4:</w:t>
      </w:r>
    </w:p>
    <w:p w14:paraId="32E4238F" w14:textId="1B337D6E" w:rsidR="003C3597" w:rsidRDefault="003C3597" w:rsidP="003C3597">
      <w:pPr>
        <w:tabs>
          <w:tab w:val="left" w:pos="5220"/>
        </w:tabs>
        <w:ind w:firstLine="0"/>
        <w:rPr>
          <w:rFonts w:ascii="Times New Roman" w:hAnsi="Times New Roman" w:cs="Times New Roman"/>
        </w:rPr>
      </w:pPr>
      <w:r>
        <w:rPr>
          <w:rFonts w:ascii="Times New Roman" w:hAnsi="Times New Roman" w:cs="Times New Roman"/>
        </w:rPr>
        <w:t>Abotalebi, E., Scott, D. M., Ferguson, M. R.</w:t>
      </w:r>
      <w:r w:rsidR="002D4F20">
        <w:rPr>
          <w:rFonts w:ascii="Times New Roman" w:hAnsi="Times New Roman" w:cs="Times New Roman"/>
        </w:rPr>
        <w:t xml:space="preserve"> </w:t>
      </w:r>
      <w:r>
        <w:rPr>
          <w:rFonts w:ascii="Times New Roman" w:hAnsi="Times New Roman" w:cs="Times New Roman"/>
        </w:rPr>
        <w:t>201</w:t>
      </w:r>
      <w:r w:rsidR="002D4F20">
        <w:rPr>
          <w:rFonts w:ascii="Times New Roman" w:hAnsi="Times New Roman" w:cs="Times New Roman"/>
        </w:rPr>
        <w:t>9</w:t>
      </w:r>
      <w:r>
        <w:rPr>
          <w:rFonts w:ascii="Times New Roman" w:hAnsi="Times New Roman" w:cs="Times New Roman"/>
        </w:rPr>
        <w:t xml:space="preserve">. </w:t>
      </w:r>
      <w:r w:rsidRPr="0042427E">
        <w:rPr>
          <w:rFonts w:ascii="Times New Roman" w:hAnsi="Times New Roman" w:cs="Times New Roman"/>
        </w:rPr>
        <w:t xml:space="preserve">Can Canadian households benefit economically from purchasing battery electric vehicles? An investigation of the total cost of ownership based on </w:t>
      </w:r>
      <w:r w:rsidRPr="00122632">
        <w:rPr>
          <w:rFonts w:ascii="Times New Roman" w:hAnsi="Times New Roman" w:cs="Times New Roman"/>
        </w:rPr>
        <w:t>consumer context</w:t>
      </w:r>
      <w:r w:rsidRPr="007B1A0B">
        <w:rPr>
          <w:rFonts w:ascii="Times New Roman" w:hAnsi="Times New Roman" w:cs="Times New Roman"/>
        </w:rPr>
        <w:t>.</w:t>
      </w:r>
      <w:r w:rsidR="00BB41CC" w:rsidRPr="00A06C2E">
        <w:rPr>
          <w:rFonts w:ascii="Times New Roman" w:hAnsi="Times New Roman" w:cs="Times New Roman"/>
        </w:rPr>
        <w:t xml:space="preserve"> Submitted</w:t>
      </w:r>
      <w:r w:rsidR="009C2319" w:rsidRPr="00A06C2E">
        <w:rPr>
          <w:rFonts w:ascii="Times New Roman" w:hAnsi="Times New Roman" w:cs="Times New Roman"/>
        </w:rPr>
        <w:t xml:space="preserve"> to</w:t>
      </w:r>
      <w:r w:rsidR="00BB41CC" w:rsidRPr="002D4F20">
        <w:rPr>
          <w:rFonts w:ascii="Times New Roman" w:hAnsi="Times New Roman" w:cs="Times New Roman"/>
        </w:rPr>
        <w:t xml:space="preserve"> </w:t>
      </w:r>
      <w:r w:rsidR="00BB41CC" w:rsidRPr="005B0597">
        <w:rPr>
          <w:rFonts w:ascii="Times New Roman" w:hAnsi="Times New Roman" w:cs="Times New Roman"/>
        </w:rPr>
        <w:t>Transportation Research Part D: Transport and Environment.</w:t>
      </w:r>
      <w:r w:rsidR="00BB41CC" w:rsidRPr="00122632">
        <w:rPr>
          <w:rFonts w:ascii="Times New Roman" w:hAnsi="Times New Roman" w:cs="Times New Roman"/>
        </w:rPr>
        <w:t xml:space="preserve"> </w:t>
      </w:r>
      <w:r w:rsidR="00BB41CC" w:rsidRPr="007B1A0B">
        <w:rPr>
          <w:rFonts w:ascii="Times New Roman" w:hAnsi="Times New Roman" w:cs="Times New Roman"/>
        </w:rPr>
        <w:t>Submitted.</w:t>
      </w:r>
    </w:p>
    <w:p w14:paraId="7534F69E" w14:textId="77777777" w:rsidR="0033141A" w:rsidRPr="005E5785" w:rsidRDefault="0033141A" w:rsidP="00076EDC">
      <w:pPr>
        <w:rPr>
          <w:rFonts w:ascii="Times New Roman" w:hAnsi="Times New Roman" w:cs="Times New Roman"/>
        </w:rPr>
      </w:pPr>
    </w:p>
    <w:p w14:paraId="6D264E48" w14:textId="77777777" w:rsidR="00BB41CC" w:rsidRPr="005E5785" w:rsidRDefault="00BB41CC" w:rsidP="00E1100F">
      <w:pPr>
        <w:ind w:firstLine="0"/>
        <w:jc w:val="center"/>
        <w:rPr>
          <w:rFonts w:ascii="Times New Roman" w:hAnsi="Times New Roman" w:cs="Times New Roman"/>
        </w:rPr>
      </w:pPr>
    </w:p>
    <w:p w14:paraId="71960169" w14:textId="77777777" w:rsidR="007E62D4" w:rsidRPr="00485DA0" w:rsidRDefault="00485DA0" w:rsidP="00485DA0">
      <w:pPr>
        <w:pStyle w:val="Heading1"/>
        <w:numPr>
          <w:ilvl w:val="0"/>
          <w:numId w:val="0"/>
        </w:numPr>
        <w:jc w:val="center"/>
        <w:rPr>
          <w:rFonts w:ascii="Times New Roman" w:hAnsi="Times New Roman"/>
        </w:rPr>
      </w:pPr>
      <w:bookmarkStart w:id="5" w:name="_Toc528650841"/>
      <w:r w:rsidRPr="00485DA0">
        <w:rPr>
          <w:rFonts w:ascii="Times New Roman" w:hAnsi="Times New Roman"/>
        </w:rPr>
        <w:lastRenderedPageBreak/>
        <w:t>Table of Contents</w:t>
      </w:r>
      <w:bookmarkEnd w:id="5"/>
    </w:p>
    <w:sdt>
      <w:sdtPr>
        <w:rPr>
          <w:rFonts w:asciiTheme="minorHAnsi" w:eastAsiaTheme="minorHAnsi" w:hAnsiTheme="minorHAnsi" w:cstheme="minorBidi"/>
          <w:color w:val="auto"/>
          <w:sz w:val="24"/>
          <w:szCs w:val="24"/>
          <w:lang w:val="en-CA"/>
        </w:rPr>
        <w:id w:val="-1722051022"/>
        <w:docPartObj>
          <w:docPartGallery w:val="Table of Contents"/>
          <w:docPartUnique/>
        </w:docPartObj>
      </w:sdtPr>
      <w:sdtEndPr>
        <w:rPr>
          <w:b/>
          <w:bCs/>
          <w:noProof/>
        </w:rPr>
      </w:sdtEndPr>
      <w:sdtContent>
        <w:p w14:paraId="22C110A8" w14:textId="77777777" w:rsidR="007E62D4" w:rsidRDefault="007E62D4">
          <w:pPr>
            <w:pStyle w:val="TOCHeading"/>
          </w:pPr>
        </w:p>
        <w:p w14:paraId="63A8CC14" w14:textId="77777777" w:rsidR="00485DA0" w:rsidRPr="00485DA0" w:rsidRDefault="007E62D4" w:rsidP="00485DA0">
          <w:pPr>
            <w:pStyle w:val="TOC1"/>
            <w:tabs>
              <w:tab w:val="right" w:leader="dot" w:pos="9394"/>
            </w:tabs>
            <w:spacing w:before="0" w:after="0" w:line="240" w:lineRule="auto"/>
            <w:rPr>
              <w:rFonts w:ascii="Times New Roman" w:eastAsiaTheme="minorEastAsia" w:hAnsi="Times New Roman" w:cs="Times New Roman"/>
              <w:noProof/>
              <w:sz w:val="22"/>
              <w:szCs w:val="22"/>
              <w:lang w:eastAsia="en-CA"/>
            </w:rPr>
          </w:pPr>
          <w:r w:rsidRPr="00485DA0">
            <w:rPr>
              <w:rFonts w:ascii="Times New Roman" w:hAnsi="Times New Roman" w:cs="Times New Roman"/>
              <w:bCs/>
              <w:noProof/>
            </w:rPr>
            <w:fldChar w:fldCharType="begin"/>
          </w:r>
          <w:r w:rsidRPr="00485DA0">
            <w:rPr>
              <w:rFonts w:ascii="Times New Roman" w:hAnsi="Times New Roman" w:cs="Times New Roman"/>
              <w:bCs/>
              <w:noProof/>
            </w:rPr>
            <w:instrText xml:space="preserve"> TOC \o "1-3" \h \z \u </w:instrText>
          </w:r>
          <w:r w:rsidRPr="00485DA0">
            <w:rPr>
              <w:rFonts w:ascii="Times New Roman" w:hAnsi="Times New Roman" w:cs="Times New Roman"/>
              <w:bCs/>
              <w:noProof/>
            </w:rPr>
            <w:fldChar w:fldCharType="separate"/>
          </w:r>
          <w:hyperlink w:anchor="_Toc528650838" w:history="1">
            <w:r w:rsidR="00485DA0" w:rsidRPr="00485DA0">
              <w:rPr>
                <w:rStyle w:val="Hyperlink"/>
                <w:rFonts w:ascii="Times New Roman" w:hAnsi="Times New Roman" w:cs="Times New Roman"/>
                <w:noProof/>
              </w:rPr>
              <w:t>Abstract</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_Toc528650838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iv</w:t>
            </w:r>
            <w:r w:rsidR="00485DA0" w:rsidRPr="00485DA0">
              <w:rPr>
                <w:rFonts w:ascii="Times New Roman" w:hAnsi="Times New Roman" w:cs="Times New Roman"/>
                <w:noProof/>
                <w:webHidden/>
              </w:rPr>
              <w:fldChar w:fldCharType="end"/>
            </w:r>
          </w:hyperlink>
        </w:p>
        <w:p w14:paraId="5DAA0D4E" w14:textId="77777777" w:rsidR="00485DA0" w:rsidRPr="00485DA0" w:rsidRDefault="00A27D2B" w:rsidP="00485DA0">
          <w:pPr>
            <w:pStyle w:val="TOC1"/>
            <w:tabs>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39" w:history="1">
            <w:r w:rsidR="00485DA0" w:rsidRPr="00485DA0">
              <w:rPr>
                <w:rStyle w:val="Hyperlink"/>
                <w:rFonts w:ascii="Times New Roman" w:hAnsi="Times New Roman" w:cs="Times New Roman"/>
                <w:noProof/>
              </w:rPr>
              <w:t>Acknowledgements</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_Toc528650839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vi</w:t>
            </w:r>
            <w:r w:rsidR="00485DA0" w:rsidRPr="00485DA0">
              <w:rPr>
                <w:rFonts w:ascii="Times New Roman" w:hAnsi="Times New Roman" w:cs="Times New Roman"/>
                <w:noProof/>
                <w:webHidden/>
              </w:rPr>
              <w:fldChar w:fldCharType="end"/>
            </w:r>
          </w:hyperlink>
        </w:p>
        <w:p w14:paraId="5FCD54B5" w14:textId="77777777" w:rsidR="00485DA0" w:rsidRPr="00485DA0" w:rsidRDefault="00A27D2B" w:rsidP="00485DA0">
          <w:pPr>
            <w:pStyle w:val="TOC1"/>
            <w:tabs>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40" w:history="1">
            <w:r w:rsidR="00485DA0" w:rsidRPr="00485DA0">
              <w:rPr>
                <w:rStyle w:val="Hyperlink"/>
                <w:rFonts w:ascii="Times New Roman" w:hAnsi="Times New Roman" w:cs="Times New Roman"/>
                <w:noProof/>
              </w:rPr>
              <w:t>Preface</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_Toc528650840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vii</w:t>
            </w:r>
            <w:r w:rsidR="00485DA0" w:rsidRPr="00485DA0">
              <w:rPr>
                <w:rFonts w:ascii="Times New Roman" w:hAnsi="Times New Roman" w:cs="Times New Roman"/>
                <w:noProof/>
                <w:webHidden/>
              </w:rPr>
              <w:fldChar w:fldCharType="end"/>
            </w:r>
          </w:hyperlink>
        </w:p>
        <w:p w14:paraId="633788C1" w14:textId="77777777" w:rsidR="00485DA0" w:rsidRPr="00485DA0" w:rsidRDefault="00A27D2B" w:rsidP="00485DA0">
          <w:pPr>
            <w:pStyle w:val="TOC1"/>
            <w:tabs>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41" w:history="1">
            <w:r w:rsidR="00485DA0" w:rsidRPr="00485DA0">
              <w:rPr>
                <w:rStyle w:val="Hyperlink"/>
                <w:rFonts w:ascii="Times New Roman" w:hAnsi="Times New Roman" w:cs="Times New Roman"/>
                <w:noProof/>
              </w:rPr>
              <w:t>Table of Contents</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_Toc528650841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ix</w:t>
            </w:r>
            <w:r w:rsidR="00485DA0" w:rsidRPr="00485DA0">
              <w:rPr>
                <w:rFonts w:ascii="Times New Roman" w:hAnsi="Times New Roman" w:cs="Times New Roman"/>
                <w:noProof/>
                <w:webHidden/>
              </w:rPr>
              <w:fldChar w:fldCharType="end"/>
            </w:r>
          </w:hyperlink>
        </w:p>
        <w:p w14:paraId="64864E9E" w14:textId="77777777" w:rsidR="00485DA0" w:rsidRPr="00485DA0" w:rsidRDefault="00A27D2B" w:rsidP="00485DA0">
          <w:pPr>
            <w:pStyle w:val="TOC1"/>
            <w:tabs>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42" w:history="1">
            <w:r w:rsidR="00485DA0" w:rsidRPr="00485DA0">
              <w:rPr>
                <w:rStyle w:val="Hyperlink"/>
                <w:rFonts w:ascii="Times New Roman" w:hAnsi="Times New Roman" w:cs="Times New Roman"/>
                <w:noProof/>
              </w:rPr>
              <w:t>List of Figures</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_Toc528650842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xi</w:t>
            </w:r>
            <w:r w:rsidR="00485DA0" w:rsidRPr="00485DA0">
              <w:rPr>
                <w:rFonts w:ascii="Times New Roman" w:hAnsi="Times New Roman" w:cs="Times New Roman"/>
                <w:noProof/>
                <w:webHidden/>
              </w:rPr>
              <w:fldChar w:fldCharType="end"/>
            </w:r>
          </w:hyperlink>
        </w:p>
        <w:p w14:paraId="0F8302EE" w14:textId="77777777" w:rsidR="00485DA0" w:rsidRPr="00485DA0" w:rsidRDefault="00A27D2B" w:rsidP="00485DA0">
          <w:pPr>
            <w:pStyle w:val="TOC1"/>
            <w:tabs>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43" w:history="1">
            <w:r w:rsidR="00485DA0" w:rsidRPr="00485DA0">
              <w:rPr>
                <w:rStyle w:val="Hyperlink"/>
                <w:rFonts w:ascii="Times New Roman" w:hAnsi="Times New Roman" w:cs="Times New Roman"/>
                <w:noProof/>
              </w:rPr>
              <w:t>List of Tables</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_Toc528650843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xii</w:t>
            </w:r>
            <w:r w:rsidR="00485DA0" w:rsidRPr="00485DA0">
              <w:rPr>
                <w:rFonts w:ascii="Times New Roman" w:hAnsi="Times New Roman" w:cs="Times New Roman"/>
                <w:noProof/>
                <w:webHidden/>
              </w:rPr>
              <w:fldChar w:fldCharType="end"/>
            </w:r>
          </w:hyperlink>
        </w:p>
        <w:p w14:paraId="30141DC8" w14:textId="77777777" w:rsidR="00485DA0" w:rsidRPr="00485DA0" w:rsidRDefault="00A27D2B" w:rsidP="00485DA0">
          <w:pPr>
            <w:pStyle w:val="TOC1"/>
            <w:tabs>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44" w:history="1">
            <w:r w:rsidR="00485DA0" w:rsidRPr="00485DA0">
              <w:rPr>
                <w:rStyle w:val="Hyperlink"/>
                <w:rFonts w:ascii="Times New Roman" w:hAnsi="Times New Roman" w:cs="Times New Roman"/>
                <w:noProof/>
              </w:rPr>
              <w:t>List of Abbreviations</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_Toc528650844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xiii</w:t>
            </w:r>
            <w:r w:rsidR="00485DA0" w:rsidRPr="00485DA0">
              <w:rPr>
                <w:rFonts w:ascii="Times New Roman" w:hAnsi="Times New Roman" w:cs="Times New Roman"/>
                <w:noProof/>
                <w:webHidden/>
              </w:rPr>
              <w:fldChar w:fldCharType="end"/>
            </w:r>
          </w:hyperlink>
        </w:p>
        <w:p w14:paraId="0EC759C6" w14:textId="77777777" w:rsidR="00485DA0" w:rsidRPr="00485DA0" w:rsidRDefault="00A27D2B" w:rsidP="00485DA0">
          <w:pPr>
            <w:pStyle w:val="TOC1"/>
            <w:tabs>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45" w:history="1">
            <w:r w:rsidR="00485DA0" w:rsidRPr="00485DA0">
              <w:rPr>
                <w:rStyle w:val="Hyperlink"/>
                <w:rFonts w:ascii="Times New Roman" w:hAnsi="Times New Roman" w:cs="Times New Roman"/>
                <w:noProof/>
              </w:rPr>
              <w:t>Chapter 1</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_Toc528650845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1</w:t>
            </w:r>
            <w:r w:rsidR="00485DA0" w:rsidRPr="00485DA0">
              <w:rPr>
                <w:rFonts w:ascii="Times New Roman" w:hAnsi="Times New Roman" w:cs="Times New Roman"/>
                <w:noProof/>
                <w:webHidden/>
              </w:rPr>
              <w:fldChar w:fldCharType="end"/>
            </w:r>
          </w:hyperlink>
        </w:p>
        <w:p w14:paraId="10CBCBC9" w14:textId="77777777" w:rsidR="00485DA0" w:rsidRPr="00485DA0" w:rsidRDefault="00A27D2B" w:rsidP="00485DA0">
          <w:pPr>
            <w:pStyle w:val="TOC2"/>
            <w:tabs>
              <w:tab w:val="left" w:pos="154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46" w:history="1">
            <w:r w:rsidR="00485DA0" w:rsidRPr="00485DA0">
              <w:rPr>
                <w:rStyle w:val="Hyperlink"/>
                <w:rFonts w:ascii="Times New Roman" w:hAnsi="Times New Roman" w:cs="Times New Roman"/>
                <w:noProof/>
              </w:rPr>
              <w:t>1.1</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noProof/>
              </w:rPr>
              <w:t>Background and research problems</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_Toc528650846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1</w:t>
            </w:r>
            <w:r w:rsidR="00485DA0" w:rsidRPr="00485DA0">
              <w:rPr>
                <w:rFonts w:ascii="Times New Roman" w:hAnsi="Times New Roman" w:cs="Times New Roman"/>
                <w:noProof/>
                <w:webHidden/>
              </w:rPr>
              <w:fldChar w:fldCharType="end"/>
            </w:r>
          </w:hyperlink>
        </w:p>
        <w:p w14:paraId="7555A31A" w14:textId="77777777" w:rsidR="00485DA0" w:rsidRPr="00485DA0" w:rsidRDefault="00A27D2B" w:rsidP="00485DA0">
          <w:pPr>
            <w:pStyle w:val="TOC2"/>
            <w:tabs>
              <w:tab w:val="left" w:pos="154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47" w:history="1">
            <w:r w:rsidR="00485DA0" w:rsidRPr="00485DA0">
              <w:rPr>
                <w:rStyle w:val="Hyperlink"/>
                <w:rFonts w:ascii="Times New Roman" w:hAnsi="Times New Roman" w:cs="Times New Roman"/>
                <w:noProof/>
              </w:rPr>
              <w:t>1.2</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noProof/>
              </w:rPr>
              <w:t>Research questions and objectives</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_Toc528650847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4</w:t>
            </w:r>
            <w:r w:rsidR="00485DA0" w:rsidRPr="00485DA0">
              <w:rPr>
                <w:rFonts w:ascii="Times New Roman" w:hAnsi="Times New Roman" w:cs="Times New Roman"/>
                <w:noProof/>
                <w:webHidden/>
              </w:rPr>
              <w:fldChar w:fldCharType="end"/>
            </w:r>
          </w:hyperlink>
        </w:p>
        <w:p w14:paraId="715F086A" w14:textId="77777777" w:rsidR="00485DA0" w:rsidRPr="00485DA0" w:rsidRDefault="00A27D2B" w:rsidP="00485DA0">
          <w:pPr>
            <w:pStyle w:val="TOC2"/>
            <w:tabs>
              <w:tab w:val="left" w:pos="154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48" w:history="1">
            <w:r w:rsidR="00485DA0" w:rsidRPr="00485DA0">
              <w:rPr>
                <w:rStyle w:val="Hyperlink"/>
                <w:rFonts w:ascii="Times New Roman" w:hAnsi="Times New Roman" w:cs="Times New Roman"/>
                <w:noProof/>
              </w:rPr>
              <w:t>1.3</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noProof/>
              </w:rPr>
              <w:t>Dissertation contents</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_Toc528650848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6</w:t>
            </w:r>
            <w:r w:rsidR="00485DA0" w:rsidRPr="00485DA0">
              <w:rPr>
                <w:rFonts w:ascii="Times New Roman" w:hAnsi="Times New Roman" w:cs="Times New Roman"/>
                <w:noProof/>
                <w:webHidden/>
              </w:rPr>
              <w:fldChar w:fldCharType="end"/>
            </w:r>
          </w:hyperlink>
        </w:p>
        <w:p w14:paraId="65D2C0F8" w14:textId="77777777" w:rsidR="00485DA0" w:rsidRPr="00485DA0" w:rsidRDefault="00A27D2B" w:rsidP="00485DA0">
          <w:pPr>
            <w:pStyle w:val="TOC2"/>
            <w:tabs>
              <w:tab w:val="left" w:pos="154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49" w:history="1">
            <w:r w:rsidR="00485DA0" w:rsidRPr="00485DA0">
              <w:rPr>
                <w:rStyle w:val="Hyperlink"/>
                <w:rFonts w:ascii="Times New Roman" w:hAnsi="Times New Roman" w:cs="Times New Roman"/>
                <w:noProof/>
              </w:rPr>
              <w:t>1.4</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noProof/>
              </w:rPr>
              <w:t>References</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_Toc528650849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8</w:t>
            </w:r>
            <w:r w:rsidR="00485DA0" w:rsidRPr="00485DA0">
              <w:rPr>
                <w:rFonts w:ascii="Times New Roman" w:hAnsi="Times New Roman" w:cs="Times New Roman"/>
                <w:noProof/>
                <w:webHidden/>
              </w:rPr>
              <w:fldChar w:fldCharType="end"/>
            </w:r>
          </w:hyperlink>
        </w:p>
        <w:p w14:paraId="6141CAAD" w14:textId="77777777" w:rsidR="00485DA0" w:rsidRPr="00485DA0" w:rsidRDefault="00A27D2B" w:rsidP="00485DA0">
          <w:pPr>
            <w:pStyle w:val="TOC1"/>
            <w:tabs>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50" w:history="1">
            <w:r w:rsidR="00485DA0" w:rsidRPr="00485DA0">
              <w:rPr>
                <w:rStyle w:val="Hyperlink"/>
                <w:rFonts w:ascii="Times New Roman" w:hAnsi="Times New Roman" w:cs="Times New Roman"/>
                <w:noProof/>
              </w:rPr>
              <w:t>Chapter 2</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_Toc528650850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10</w:t>
            </w:r>
            <w:r w:rsidR="00485DA0" w:rsidRPr="00485DA0">
              <w:rPr>
                <w:rFonts w:ascii="Times New Roman" w:hAnsi="Times New Roman" w:cs="Times New Roman"/>
                <w:noProof/>
                <w:webHidden/>
              </w:rPr>
              <w:fldChar w:fldCharType="end"/>
            </w:r>
          </w:hyperlink>
        </w:p>
        <w:p w14:paraId="34092DDC" w14:textId="77777777" w:rsidR="00485DA0" w:rsidRPr="00485DA0" w:rsidRDefault="00A27D2B" w:rsidP="00485DA0">
          <w:pPr>
            <w:pStyle w:val="TOC2"/>
            <w:tabs>
              <w:tab w:val="left" w:pos="154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51" w:history="1">
            <w:r w:rsidR="00485DA0" w:rsidRPr="00485DA0">
              <w:rPr>
                <w:rStyle w:val="Hyperlink"/>
                <w:rFonts w:ascii="Times New Roman" w:hAnsi="Times New Roman" w:cs="Times New Roman"/>
                <w:noProof/>
              </w:rPr>
              <w:t>2.1</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noProof/>
              </w:rPr>
              <w:t>Introduction</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_Toc528650851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10</w:t>
            </w:r>
            <w:r w:rsidR="00485DA0" w:rsidRPr="00485DA0">
              <w:rPr>
                <w:rFonts w:ascii="Times New Roman" w:hAnsi="Times New Roman" w:cs="Times New Roman"/>
                <w:noProof/>
                <w:webHidden/>
              </w:rPr>
              <w:fldChar w:fldCharType="end"/>
            </w:r>
          </w:hyperlink>
        </w:p>
        <w:p w14:paraId="5F3110AF" w14:textId="77777777" w:rsidR="00485DA0" w:rsidRPr="00485DA0" w:rsidRDefault="00A27D2B" w:rsidP="00485DA0">
          <w:pPr>
            <w:pStyle w:val="TOC2"/>
            <w:tabs>
              <w:tab w:val="left" w:pos="154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52" w:history="1">
            <w:r w:rsidR="00485DA0" w:rsidRPr="00485DA0">
              <w:rPr>
                <w:rStyle w:val="Hyperlink"/>
                <w:rFonts w:ascii="Times New Roman" w:hAnsi="Times New Roman" w:cs="Times New Roman"/>
                <w:noProof/>
              </w:rPr>
              <w:t>2.2</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noProof/>
              </w:rPr>
              <w:t>Overview of the Survey Instrument and Rationale for Target Population</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_Toc528650852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16</w:t>
            </w:r>
            <w:r w:rsidR="00485DA0" w:rsidRPr="00485DA0">
              <w:rPr>
                <w:rFonts w:ascii="Times New Roman" w:hAnsi="Times New Roman" w:cs="Times New Roman"/>
                <w:noProof/>
                <w:webHidden/>
              </w:rPr>
              <w:fldChar w:fldCharType="end"/>
            </w:r>
          </w:hyperlink>
        </w:p>
        <w:p w14:paraId="7859F984" w14:textId="77777777" w:rsidR="00485DA0" w:rsidRPr="00485DA0" w:rsidRDefault="00A27D2B" w:rsidP="00485DA0">
          <w:pPr>
            <w:pStyle w:val="TOC2"/>
            <w:tabs>
              <w:tab w:val="left" w:pos="154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53" w:history="1">
            <w:r w:rsidR="00485DA0" w:rsidRPr="00485DA0">
              <w:rPr>
                <w:rStyle w:val="Hyperlink"/>
                <w:rFonts w:ascii="Times New Roman" w:hAnsi="Times New Roman" w:cs="Times New Roman"/>
                <w:noProof/>
              </w:rPr>
              <w:t>2.3</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noProof/>
              </w:rPr>
              <w:t>Significant Survey Design Decisions</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_Toc528650853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20</w:t>
            </w:r>
            <w:r w:rsidR="00485DA0" w:rsidRPr="00485DA0">
              <w:rPr>
                <w:rFonts w:ascii="Times New Roman" w:hAnsi="Times New Roman" w:cs="Times New Roman"/>
                <w:noProof/>
                <w:webHidden/>
              </w:rPr>
              <w:fldChar w:fldCharType="end"/>
            </w:r>
          </w:hyperlink>
        </w:p>
        <w:p w14:paraId="2EC62508" w14:textId="77777777" w:rsidR="00485DA0" w:rsidRPr="00485DA0" w:rsidRDefault="00A27D2B" w:rsidP="00485DA0">
          <w:pPr>
            <w:pStyle w:val="TOC3"/>
            <w:tabs>
              <w:tab w:val="left" w:pos="190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54" w:history="1">
            <w:r w:rsidR="00485DA0" w:rsidRPr="00485DA0">
              <w:rPr>
                <w:rStyle w:val="Hyperlink"/>
                <w:rFonts w:ascii="Times New Roman" w:hAnsi="Times New Roman" w:cs="Times New Roman"/>
                <w:noProof/>
              </w:rPr>
              <w:t>2.3.1</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noProof/>
              </w:rPr>
              <w:t>In-house or Outsourced Data Collection</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_Toc528650854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20</w:t>
            </w:r>
            <w:r w:rsidR="00485DA0" w:rsidRPr="00485DA0">
              <w:rPr>
                <w:rFonts w:ascii="Times New Roman" w:hAnsi="Times New Roman" w:cs="Times New Roman"/>
                <w:noProof/>
                <w:webHidden/>
              </w:rPr>
              <w:fldChar w:fldCharType="end"/>
            </w:r>
          </w:hyperlink>
        </w:p>
        <w:p w14:paraId="028762ED" w14:textId="77777777" w:rsidR="00485DA0" w:rsidRPr="00485DA0" w:rsidRDefault="00A27D2B" w:rsidP="00485DA0">
          <w:pPr>
            <w:pStyle w:val="TOC3"/>
            <w:tabs>
              <w:tab w:val="left" w:pos="190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55" w:history="1">
            <w:r w:rsidR="00485DA0" w:rsidRPr="00485DA0">
              <w:rPr>
                <w:rStyle w:val="Hyperlink"/>
                <w:rFonts w:ascii="Times New Roman" w:hAnsi="Times New Roman" w:cs="Times New Roman"/>
                <w:noProof/>
              </w:rPr>
              <w:t>2.3.2</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noProof/>
              </w:rPr>
              <w:t>Conceptualization of Respondent and Implications for Screening</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_Toc528650855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22</w:t>
            </w:r>
            <w:r w:rsidR="00485DA0" w:rsidRPr="00485DA0">
              <w:rPr>
                <w:rFonts w:ascii="Times New Roman" w:hAnsi="Times New Roman" w:cs="Times New Roman"/>
                <w:noProof/>
                <w:webHidden/>
              </w:rPr>
              <w:fldChar w:fldCharType="end"/>
            </w:r>
          </w:hyperlink>
        </w:p>
        <w:p w14:paraId="1EEAC85C" w14:textId="77777777" w:rsidR="00485DA0" w:rsidRPr="00485DA0" w:rsidRDefault="00A27D2B" w:rsidP="00485DA0">
          <w:pPr>
            <w:pStyle w:val="TOC3"/>
            <w:tabs>
              <w:tab w:val="left" w:pos="190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56" w:history="1">
            <w:r w:rsidR="00485DA0" w:rsidRPr="00485DA0">
              <w:rPr>
                <w:rStyle w:val="Hyperlink"/>
                <w:rFonts w:ascii="Times New Roman" w:hAnsi="Times New Roman" w:cs="Times New Roman"/>
                <w:noProof/>
              </w:rPr>
              <w:t>2.3.3</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noProof/>
              </w:rPr>
              <w:t>Educating Respondents on Powertrains and Vehicle Attributes</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_Toc528650856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26</w:t>
            </w:r>
            <w:r w:rsidR="00485DA0" w:rsidRPr="00485DA0">
              <w:rPr>
                <w:rFonts w:ascii="Times New Roman" w:hAnsi="Times New Roman" w:cs="Times New Roman"/>
                <w:noProof/>
                <w:webHidden/>
              </w:rPr>
              <w:fldChar w:fldCharType="end"/>
            </w:r>
          </w:hyperlink>
        </w:p>
        <w:p w14:paraId="301535FC" w14:textId="77777777" w:rsidR="00485DA0" w:rsidRPr="00485DA0" w:rsidRDefault="00A27D2B" w:rsidP="00485DA0">
          <w:pPr>
            <w:pStyle w:val="TOC3"/>
            <w:tabs>
              <w:tab w:val="left" w:pos="190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57" w:history="1">
            <w:r w:rsidR="00485DA0" w:rsidRPr="00485DA0">
              <w:rPr>
                <w:rStyle w:val="Hyperlink"/>
                <w:rFonts w:ascii="Times New Roman" w:hAnsi="Times New Roman" w:cs="Times New Roman"/>
                <w:noProof/>
              </w:rPr>
              <w:t>2.3.4</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noProof/>
              </w:rPr>
              <w:t>Selection of SP Attributes and Levels</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_Toc528650857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28</w:t>
            </w:r>
            <w:r w:rsidR="00485DA0" w:rsidRPr="00485DA0">
              <w:rPr>
                <w:rFonts w:ascii="Times New Roman" w:hAnsi="Times New Roman" w:cs="Times New Roman"/>
                <w:noProof/>
                <w:webHidden/>
              </w:rPr>
              <w:fldChar w:fldCharType="end"/>
            </w:r>
          </w:hyperlink>
        </w:p>
        <w:p w14:paraId="38C4D6BE" w14:textId="77777777" w:rsidR="00485DA0" w:rsidRPr="00485DA0" w:rsidRDefault="00A27D2B" w:rsidP="00485DA0">
          <w:pPr>
            <w:pStyle w:val="TOC3"/>
            <w:tabs>
              <w:tab w:val="left" w:pos="190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58" w:history="1">
            <w:r w:rsidR="00485DA0" w:rsidRPr="00485DA0">
              <w:rPr>
                <w:rStyle w:val="Hyperlink"/>
                <w:rFonts w:ascii="Times New Roman" w:hAnsi="Times New Roman" w:cs="Times New Roman"/>
                <w:noProof/>
              </w:rPr>
              <w:t>2.3.5</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noProof/>
              </w:rPr>
              <w:t>SP Alternatives and their Identification to Respondents</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_Toc528650858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31</w:t>
            </w:r>
            <w:r w:rsidR="00485DA0" w:rsidRPr="00485DA0">
              <w:rPr>
                <w:rFonts w:ascii="Times New Roman" w:hAnsi="Times New Roman" w:cs="Times New Roman"/>
                <w:noProof/>
                <w:webHidden/>
              </w:rPr>
              <w:fldChar w:fldCharType="end"/>
            </w:r>
          </w:hyperlink>
        </w:p>
        <w:p w14:paraId="726F1AD3" w14:textId="77777777" w:rsidR="00485DA0" w:rsidRPr="00485DA0" w:rsidRDefault="00A27D2B" w:rsidP="00485DA0">
          <w:pPr>
            <w:pStyle w:val="TOC3"/>
            <w:tabs>
              <w:tab w:val="left" w:pos="190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59" w:history="1">
            <w:r w:rsidR="00485DA0" w:rsidRPr="00485DA0">
              <w:rPr>
                <w:rStyle w:val="Hyperlink"/>
                <w:rFonts w:ascii="Times New Roman" w:hAnsi="Times New Roman" w:cs="Times New Roman"/>
                <w:noProof/>
              </w:rPr>
              <w:t>2.3.6</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noProof/>
              </w:rPr>
              <w:t>Choice of Design Technique for SP Scenarios and Implications</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_Toc528650859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33</w:t>
            </w:r>
            <w:r w:rsidR="00485DA0" w:rsidRPr="00485DA0">
              <w:rPr>
                <w:rFonts w:ascii="Times New Roman" w:hAnsi="Times New Roman" w:cs="Times New Roman"/>
                <w:noProof/>
                <w:webHidden/>
              </w:rPr>
              <w:fldChar w:fldCharType="end"/>
            </w:r>
          </w:hyperlink>
        </w:p>
        <w:p w14:paraId="2B650EC2" w14:textId="77777777" w:rsidR="00485DA0" w:rsidRPr="00485DA0" w:rsidRDefault="00A27D2B" w:rsidP="00485DA0">
          <w:pPr>
            <w:pStyle w:val="TOC3"/>
            <w:tabs>
              <w:tab w:val="left" w:pos="190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60" w:history="1">
            <w:r w:rsidR="00485DA0" w:rsidRPr="00485DA0">
              <w:rPr>
                <w:rStyle w:val="Hyperlink"/>
                <w:rFonts w:ascii="Times New Roman" w:hAnsi="Times New Roman" w:cs="Times New Roman"/>
                <w:noProof/>
              </w:rPr>
              <w:t>2.3.7</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noProof/>
              </w:rPr>
              <w:t>Respondent Cognitive Burden</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_Toc528650860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35</w:t>
            </w:r>
            <w:r w:rsidR="00485DA0" w:rsidRPr="00485DA0">
              <w:rPr>
                <w:rFonts w:ascii="Times New Roman" w:hAnsi="Times New Roman" w:cs="Times New Roman"/>
                <w:noProof/>
                <w:webHidden/>
              </w:rPr>
              <w:fldChar w:fldCharType="end"/>
            </w:r>
          </w:hyperlink>
        </w:p>
        <w:p w14:paraId="5EF3F6ED" w14:textId="77777777" w:rsidR="00485DA0" w:rsidRPr="00485DA0" w:rsidRDefault="00A27D2B" w:rsidP="00485DA0">
          <w:pPr>
            <w:pStyle w:val="TOC2"/>
            <w:tabs>
              <w:tab w:val="left" w:pos="154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61" w:history="1">
            <w:r w:rsidR="00485DA0" w:rsidRPr="00485DA0">
              <w:rPr>
                <w:rStyle w:val="Hyperlink"/>
                <w:rFonts w:ascii="Times New Roman" w:hAnsi="Times New Roman" w:cs="Times New Roman"/>
                <w:noProof/>
              </w:rPr>
              <w:t>2.4</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noProof/>
              </w:rPr>
              <w:t>Novel Aspects of the Survey Design</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_Toc528650861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39</w:t>
            </w:r>
            <w:r w:rsidR="00485DA0" w:rsidRPr="00485DA0">
              <w:rPr>
                <w:rFonts w:ascii="Times New Roman" w:hAnsi="Times New Roman" w:cs="Times New Roman"/>
                <w:noProof/>
                <w:webHidden/>
              </w:rPr>
              <w:fldChar w:fldCharType="end"/>
            </w:r>
          </w:hyperlink>
        </w:p>
        <w:p w14:paraId="5054C2C1" w14:textId="77777777" w:rsidR="00485DA0" w:rsidRPr="00485DA0" w:rsidRDefault="00A27D2B" w:rsidP="00485DA0">
          <w:pPr>
            <w:pStyle w:val="TOC3"/>
            <w:tabs>
              <w:tab w:val="left" w:pos="190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62" w:history="1">
            <w:r w:rsidR="00485DA0" w:rsidRPr="00485DA0">
              <w:rPr>
                <w:rStyle w:val="Hyperlink"/>
                <w:rFonts w:ascii="Times New Roman" w:hAnsi="Times New Roman" w:cs="Times New Roman"/>
                <w:noProof/>
              </w:rPr>
              <w:t>2.4.1</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noProof/>
              </w:rPr>
              <w:t>Vehicle Body Type Conceptualization</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_Toc528650862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39</w:t>
            </w:r>
            <w:r w:rsidR="00485DA0" w:rsidRPr="00485DA0">
              <w:rPr>
                <w:rFonts w:ascii="Times New Roman" w:hAnsi="Times New Roman" w:cs="Times New Roman"/>
                <w:noProof/>
                <w:webHidden/>
              </w:rPr>
              <w:fldChar w:fldCharType="end"/>
            </w:r>
          </w:hyperlink>
        </w:p>
        <w:p w14:paraId="5EC04C17" w14:textId="77777777" w:rsidR="00485DA0" w:rsidRPr="00485DA0" w:rsidRDefault="00A27D2B" w:rsidP="00485DA0">
          <w:pPr>
            <w:pStyle w:val="TOC3"/>
            <w:tabs>
              <w:tab w:val="left" w:pos="190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63" w:history="1">
            <w:r w:rsidR="00485DA0" w:rsidRPr="00485DA0">
              <w:rPr>
                <w:rStyle w:val="Hyperlink"/>
                <w:rFonts w:ascii="Times New Roman" w:hAnsi="Times New Roman" w:cs="Times New Roman"/>
                <w:noProof/>
              </w:rPr>
              <w:t>2.4.2</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noProof/>
              </w:rPr>
              <w:t>Emphasis on Detailed Geography and Location</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_Toc528650863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41</w:t>
            </w:r>
            <w:r w:rsidR="00485DA0" w:rsidRPr="00485DA0">
              <w:rPr>
                <w:rFonts w:ascii="Times New Roman" w:hAnsi="Times New Roman" w:cs="Times New Roman"/>
                <w:noProof/>
                <w:webHidden/>
              </w:rPr>
              <w:fldChar w:fldCharType="end"/>
            </w:r>
          </w:hyperlink>
        </w:p>
        <w:p w14:paraId="1233F05D" w14:textId="77777777" w:rsidR="00485DA0" w:rsidRPr="00485DA0" w:rsidRDefault="00A27D2B" w:rsidP="00485DA0">
          <w:pPr>
            <w:pStyle w:val="TOC3"/>
            <w:tabs>
              <w:tab w:val="left" w:pos="190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64" w:history="1">
            <w:r w:rsidR="00485DA0" w:rsidRPr="00485DA0">
              <w:rPr>
                <w:rStyle w:val="Hyperlink"/>
                <w:rFonts w:ascii="Times New Roman" w:hAnsi="Times New Roman" w:cs="Times New Roman"/>
                <w:noProof/>
              </w:rPr>
              <w:t>2.4.3</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noProof/>
              </w:rPr>
              <w:t>Emphasis on Collection of Attitudes</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_Toc528650864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42</w:t>
            </w:r>
            <w:r w:rsidR="00485DA0" w:rsidRPr="00485DA0">
              <w:rPr>
                <w:rFonts w:ascii="Times New Roman" w:hAnsi="Times New Roman" w:cs="Times New Roman"/>
                <w:noProof/>
                <w:webHidden/>
              </w:rPr>
              <w:fldChar w:fldCharType="end"/>
            </w:r>
          </w:hyperlink>
        </w:p>
        <w:p w14:paraId="6D98E9BD" w14:textId="77777777" w:rsidR="00485DA0" w:rsidRPr="00485DA0" w:rsidRDefault="00A27D2B" w:rsidP="00485DA0">
          <w:pPr>
            <w:pStyle w:val="TOC3"/>
            <w:tabs>
              <w:tab w:val="left" w:pos="190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65" w:history="1">
            <w:r w:rsidR="00485DA0" w:rsidRPr="00485DA0">
              <w:rPr>
                <w:rStyle w:val="Hyperlink"/>
                <w:rFonts w:ascii="Times New Roman" w:hAnsi="Times New Roman" w:cs="Times New Roman"/>
                <w:noProof/>
              </w:rPr>
              <w:t>2.4.4</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noProof/>
              </w:rPr>
              <w:t>Context Sensitivity</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_Toc528650865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44</w:t>
            </w:r>
            <w:r w:rsidR="00485DA0" w:rsidRPr="00485DA0">
              <w:rPr>
                <w:rFonts w:ascii="Times New Roman" w:hAnsi="Times New Roman" w:cs="Times New Roman"/>
                <w:noProof/>
                <w:webHidden/>
              </w:rPr>
              <w:fldChar w:fldCharType="end"/>
            </w:r>
          </w:hyperlink>
        </w:p>
        <w:p w14:paraId="1E4BDC37" w14:textId="77777777" w:rsidR="00485DA0" w:rsidRPr="00485DA0" w:rsidRDefault="00A27D2B" w:rsidP="00485DA0">
          <w:pPr>
            <w:pStyle w:val="TOC2"/>
            <w:tabs>
              <w:tab w:val="left" w:pos="154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66" w:history="1">
            <w:r w:rsidR="00485DA0" w:rsidRPr="00485DA0">
              <w:rPr>
                <w:rStyle w:val="Hyperlink"/>
                <w:rFonts w:ascii="Times New Roman" w:hAnsi="Times New Roman" w:cs="Times New Roman"/>
                <w:noProof/>
              </w:rPr>
              <w:t>2.5</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noProof/>
              </w:rPr>
              <w:t>Conclusions</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_Toc528650866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46</w:t>
            </w:r>
            <w:r w:rsidR="00485DA0" w:rsidRPr="00485DA0">
              <w:rPr>
                <w:rFonts w:ascii="Times New Roman" w:hAnsi="Times New Roman" w:cs="Times New Roman"/>
                <w:noProof/>
                <w:webHidden/>
              </w:rPr>
              <w:fldChar w:fldCharType="end"/>
            </w:r>
          </w:hyperlink>
        </w:p>
        <w:p w14:paraId="5F4BFAD4" w14:textId="77777777" w:rsidR="00485DA0" w:rsidRPr="00485DA0" w:rsidRDefault="00A27D2B" w:rsidP="00485DA0">
          <w:pPr>
            <w:pStyle w:val="TOC2"/>
            <w:tabs>
              <w:tab w:val="left" w:pos="154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67" w:history="1">
            <w:r w:rsidR="00485DA0" w:rsidRPr="00485DA0">
              <w:rPr>
                <w:rStyle w:val="Hyperlink"/>
                <w:rFonts w:ascii="Times New Roman" w:hAnsi="Times New Roman" w:cs="Times New Roman"/>
                <w:noProof/>
                <w:lang w:val="en-US"/>
              </w:rPr>
              <w:t>2.6</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noProof/>
                <w:lang w:val="en-US"/>
              </w:rPr>
              <w:t>Acknowledgment</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_Toc528650867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49</w:t>
            </w:r>
            <w:r w:rsidR="00485DA0" w:rsidRPr="00485DA0">
              <w:rPr>
                <w:rFonts w:ascii="Times New Roman" w:hAnsi="Times New Roman" w:cs="Times New Roman"/>
                <w:noProof/>
                <w:webHidden/>
              </w:rPr>
              <w:fldChar w:fldCharType="end"/>
            </w:r>
          </w:hyperlink>
        </w:p>
        <w:p w14:paraId="00E2707C" w14:textId="77777777" w:rsidR="00485DA0" w:rsidRPr="00485DA0" w:rsidRDefault="00A27D2B" w:rsidP="00485DA0">
          <w:pPr>
            <w:pStyle w:val="TOC2"/>
            <w:tabs>
              <w:tab w:val="left" w:pos="154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68" w:history="1">
            <w:r w:rsidR="00485DA0" w:rsidRPr="00485DA0">
              <w:rPr>
                <w:rStyle w:val="Hyperlink"/>
                <w:rFonts w:ascii="Times New Roman" w:hAnsi="Times New Roman" w:cs="Times New Roman"/>
                <w:noProof/>
              </w:rPr>
              <w:t>2.7</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noProof/>
              </w:rPr>
              <w:t>References</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_Toc528650868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50</w:t>
            </w:r>
            <w:r w:rsidR="00485DA0" w:rsidRPr="00485DA0">
              <w:rPr>
                <w:rFonts w:ascii="Times New Roman" w:hAnsi="Times New Roman" w:cs="Times New Roman"/>
                <w:noProof/>
                <w:webHidden/>
              </w:rPr>
              <w:fldChar w:fldCharType="end"/>
            </w:r>
          </w:hyperlink>
        </w:p>
        <w:p w14:paraId="0A01F3E1" w14:textId="77777777" w:rsidR="00485DA0" w:rsidRPr="00485DA0" w:rsidRDefault="00A27D2B" w:rsidP="00485DA0">
          <w:pPr>
            <w:pStyle w:val="TOC1"/>
            <w:tabs>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69" w:history="1">
            <w:r w:rsidR="00485DA0" w:rsidRPr="00485DA0">
              <w:rPr>
                <w:rStyle w:val="Hyperlink"/>
                <w:rFonts w:ascii="Times New Roman" w:hAnsi="Times New Roman" w:cs="Times New Roman"/>
                <w:noProof/>
              </w:rPr>
              <w:t>Chapter 3</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_Toc528650869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55</w:t>
            </w:r>
            <w:r w:rsidR="00485DA0" w:rsidRPr="00485DA0">
              <w:rPr>
                <w:rFonts w:ascii="Times New Roman" w:hAnsi="Times New Roman" w:cs="Times New Roman"/>
                <w:noProof/>
                <w:webHidden/>
              </w:rPr>
              <w:fldChar w:fldCharType="end"/>
            </w:r>
          </w:hyperlink>
        </w:p>
        <w:p w14:paraId="07F5C660" w14:textId="77777777" w:rsidR="00485DA0" w:rsidRPr="00485DA0" w:rsidRDefault="00A27D2B" w:rsidP="00485DA0">
          <w:pPr>
            <w:pStyle w:val="TOC2"/>
            <w:tabs>
              <w:tab w:val="left" w:pos="154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70" w:history="1">
            <w:r w:rsidR="00485DA0" w:rsidRPr="00485DA0">
              <w:rPr>
                <w:rStyle w:val="Hyperlink"/>
                <w:rFonts w:ascii="Times New Roman" w:hAnsi="Times New Roman" w:cs="Times New Roman"/>
                <w:bCs/>
                <w:noProof/>
              </w:rPr>
              <w:t>3.1</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bCs/>
                <w:noProof/>
              </w:rPr>
              <w:t>Introduction</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_Toc528650870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55</w:t>
            </w:r>
            <w:r w:rsidR="00485DA0" w:rsidRPr="00485DA0">
              <w:rPr>
                <w:rFonts w:ascii="Times New Roman" w:hAnsi="Times New Roman" w:cs="Times New Roman"/>
                <w:noProof/>
                <w:webHidden/>
              </w:rPr>
              <w:fldChar w:fldCharType="end"/>
            </w:r>
          </w:hyperlink>
        </w:p>
        <w:p w14:paraId="7AC8025D" w14:textId="77777777" w:rsidR="00485DA0" w:rsidRPr="00485DA0" w:rsidRDefault="00A27D2B" w:rsidP="00485DA0">
          <w:pPr>
            <w:pStyle w:val="TOC2"/>
            <w:tabs>
              <w:tab w:val="left" w:pos="154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71" w:history="1">
            <w:r w:rsidR="00485DA0" w:rsidRPr="00485DA0">
              <w:rPr>
                <w:rStyle w:val="Hyperlink"/>
                <w:rFonts w:ascii="Times New Roman" w:hAnsi="Times New Roman" w:cs="Times New Roman"/>
                <w:bCs/>
                <w:noProof/>
              </w:rPr>
              <w:t>3.2</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bCs/>
                <w:noProof/>
              </w:rPr>
              <w:t>Studies Exploring EV Preferences</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_Toc528650871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57</w:t>
            </w:r>
            <w:r w:rsidR="00485DA0" w:rsidRPr="00485DA0">
              <w:rPr>
                <w:rFonts w:ascii="Times New Roman" w:hAnsi="Times New Roman" w:cs="Times New Roman"/>
                <w:noProof/>
                <w:webHidden/>
              </w:rPr>
              <w:fldChar w:fldCharType="end"/>
            </w:r>
          </w:hyperlink>
        </w:p>
        <w:p w14:paraId="660F95CB" w14:textId="77777777" w:rsidR="00485DA0" w:rsidRPr="00485DA0" w:rsidRDefault="00A27D2B" w:rsidP="00485DA0">
          <w:pPr>
            <w:pStyle w:val="TOC2"/>
            <w:tabs>
              <w:tab w:val="left" w:pos="154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72" w:history="1">
            <w:r w:rsidR="00485DA0" w:rsidRPr="00485DA0">
              <w:rPr>
                <w:rStyle w:val="Hyperlink"/>
                <w:rFonts w:ascii="Times New Roman" w:hAnsi="Times New Roman" w:cs="Times New Roman"/>
                <w:bCs/>
                <w:noProof/>
              </w:rPr>
              <w:t>3.3</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bCs/>
                <w:noProof/>
              </w:rPr>
              <w:t>Study Area</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_Toc528650872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61</w:t>
            </w:r>
            <w:r w:rsidR="00485DA0" w:rsidRPr="00485DA0">
              <w:rPr>
                <w:rFonts w:ascii="Times New Roman" w:hAnsi="Times New Roman" w:cs="Times New Roman"/>
                <w:noProof/>
                <w:webHidden/>
              </w:rPr>
              <w:fldChar w:fldCharType="end"/>
            </w:r>
          </w:hyperlink>
        </w:p>
        <w:p w14:paraId="7EF27378" w14:textId="77777777" w:rsidR="00485DA0" w:rsidRPr="00485DA0" w:rsidRDefault="00A27D2B" w:rsidP="00485DA0">
          <w:pPr>
            <w:pStyle w:val="TOC2"/>
            <w:tabs>
              <w:tab w:val="left" w:pos="154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73" w:history="1">
            <w:r w:rsidR="00485DA0" w:rsidRPr="00485DA0">
              <w:rPr>
                <w:rStyle w:val="Hyperlink"/>
                <w:rFonts w:ascii="Times New Roman" w:hAnsi="Times New Roman" w:cs="Times New Roman"/>
                <w:bCs/>
                <w:noProof/>
              </w:rPr>
              <w:t>3.4</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bCs/>
                <w:noProof/>
              </w:rPr>
              <w:t>SPACE Survey</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_Toc528650873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63</w:t>
            </w:r>
            <w:r w:rsidR="00485DA0" w:rsidRPr="00485DA0">
              <w:rPr>
                <w:rFonts w:ascii="Times New Roman" w:hAnsi="Times New Roman" w:cs="Times New Roman"/>
                <w:noProof/>
                <w:webHidden/>
              </w:rPr>
              <w:fldChar w:fldCharType="end"/>
            </w:r>
          </w:hyperlink>
        </w:p>
        <w:p w14:paraId="3644C3EC" w14:textId="77777777" w:rsidR="00485DA0" w:rsidRPr="00485DA0" w:rsidRDefault="00A27D2B" w:rsidP="00485DA0">
          <w:pPr>
            <w:pStyle w:val="TOC2"/>
            <w:tabs>
              <w:tab w:val="left" w:pos="154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74" w:history="1">
            <w:r w:rsidR="00485DA0" w:rsidRPr="00485DA0">
              <w:rPr>
                <w:rStyle w:val="Hyperlink"/>
                <w:rFonts w:ascii="Times New Roman" w:hAnsi="Times New Roman" w:cs="Times New Roman"/>
                <w:bCs/>
                <w:noProof/>
              </w:rPr>
              <w:t>3.5</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bCs/>
                <w:noProof/>
              </w:rPr>
              <w:t>Methods</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_Toc528650874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68</w:t>
            </w:r>
            <w:r w:rsidR="00485DA0" w:rsidRPr="00485DA0">
              <w:rPr>
                <w:rFonts w:ascii="Times New Roman" w:hAnsi="Times New Roman" w:cs="Times New Roman"/>
                <w:noProof/>
                <w:webHidden/>
              </w:rPr>
              <w:fldChar w:fldCharType="end"/>
            </w:r>
          </w:hyperlink>
        </w:p>
        <w:p w14:paraId="071CFBFF" w14:textId="77777777" w:rsidR="00485DA0" w:rsidRPr="00485DA0" w:rsidRDefault="00A27D2B" w:rsidP="00485DA0">
          <w:pPr>
            <w:pStyle w:val="TOC3"/>
            <w:tabs>
              <w:tab w:val="left" w:pos="190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75" w:history="1">
            <w:r w:rsidR="00485DA0" w:rsidRPr="00485DA0">
              <w:rPr>
                <w:rStyle w:val="Hyperlink"/>
                <w:rFonts w:ascii="Times New Roman" w:hAnsi="Times New Roman" w:cs="Times New Roman"/>
                <w:noProof/>
              </w:rPr>
              <w:t>3.5.1</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noProof/>
              </w:rPr>
              <w:t>Latent Class Choice Model</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_Toc528650875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68</w:t>
            </w:r>
            <w:r w:rsidR="00485DA0" w:rsidRPr="00485DA0">
              <w:rPr>
                <w:rFonts w:ascii="Times New Roman" w:hAnsi="Times New Roman" w:cs="Times New Roman"/>
                <w:noProof/>
                <w:webHidden/>
              </w:rPr>
              <w:fldChar w:fldCharType="end"/>
            </w:r>
          </w:hyperlink>
        </w:p>
        <w:p w14:paraId="7DFC0F25" w14:textId="77777777" w:rsidR="00485DA0" w:rsidRPr="00485DA0" w:rsidRDefault="00A27D2B" w:rsidP="00485DA0">
          <w:pPr>
            <w:pStyle w:val="TOC3"/>
            <w:tabs>
              <w:tab w:val="left" w:pos="190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76" w:history="1">
            <w:r w:rsidR="00485DA0" w:rsidRPr="00485DA0">
              <w:rPr>
                <w:rStyle w:val="Hyperlink"/>
                <w:rFonts w:ascii="Times New Roman" w:hAnsi="Times New Roman" w:cs="Times New Roman"/>
                <w:noProof/>
              </w:rPr>
              <w:t>3.5.2</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noProof/>
              </w:rPr>
              <w:t>Determining the Number of Latent Classes</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_Toc528650876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69</w:t>
            </w:r>
            <w:r w:rsidR="00485DA0" w:rsidRPr="00485DA0">
              <w:rPr>
                <w:rFonts w:ascii="Times New Roman" w:hAnsi="Times New Roman" w:cs="Times New Roman"/>
                <w:noProof/>
                <w:webHidden/>
              </w:rPr>
              <w:fldChar w:fldCharType="end"/>
            </w:r>
          </w:hyperlink>
        </w:p>
        <w:p w14:paraId="49DDF068" w14:textId="77777777" w:rsidR="00485DA0" w:rsidRPr="00485DA0" w:rsidRDefault="00A27D2B" w:rsidP="00485DA0">
          <w:pPr>
            <w:pStyle w:val="TOC2"/>
            <w:tabs>
              <w:tab w:val="left" w:pos="154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77" w:history="1">
            <w:r w:rsidR="00485DA0" w:rsidRPr="00485DA0">
              <w:rPr>
                <w:rStyle w:val="Hyperlink"/>
                <w:rFonts w:ascii="Times New Roman" w:hAnsi="Times New Roman" w:cs="Times New Roman"/>
                <w:bCs/>
                <w:noProof/>
              </w:rPr>
              <w:t>3.6</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bCs/>
                <w:noProof/>
              </w:rPr>
              <w:t>Results</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_Toc528650877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70</w:t>
            </w:r>
            <w:r w:rsidR="00485DA0" w:rsidRPr="00485DA0">
              <w:rPr>
                <w:rFonts w:ascii="Times New Roman" w:hAnsi="Times New Roman" w:cs="Times New Roman"/>
                <w:noProof/>
                <w:webHidden/>
              </w:rPr>
              <w:fldChar w:fldCharType="end"/>
            </w:r>
          </w:hyperlink>
        </w:p>
        <w:p w14:paraId="625CAA42" w14:textId="77777777" w:rsidR="00485DA0" w:rsidRPr="00485DA0" w:rsidRDefault="00A27D2B" w:rsidP="00485DA0">
          <w:pPr>
            <w:pStyle w:val="TOC3"/>
            <w:tabs>
              <w:tab w:val="left" w:pos="190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78" w:history="1">
            <w:r w:rsidR="00485DA0" w:rsidRPr="00485DA0">
              <w:rPr>
                <w:rStyle w:val="Hyperlink"/>
                <w:rFonts w:ascii="Times New Roman" w:hAnsi="Times New Roman" w:cs="Times New Roman"/>
                <w:noProof/>
              </w:rPr>
              <w:t>3.6.1</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noProof/>
              </w:rPr>
              <w:t>Descriptive Statistics</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_Toc528650878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70</w:t>
            </w:r>
            <w:r w:rsidR="00485DA0" w:rsidRPr="00485DA0">
              <w:rPr>
                <w:rFonts w:ascii="Times New Roman" w:hAnsi="Times New Roman" w:cs="Times New Roman"/>
                <w:noProof/>
                <w:webHidden/>
              </w:rPr>
              <w:fldChar w:fldCharType="end"/>
            </w:r>
          </w:hyperlink>
        </w:p>
        <w:p w14:paraId="17FC9612" w14:textId="77777777" w:rsidR="00485DA0" w:rsidRPr="00485DA0" w:rsidRDefault="00A27D2B" w:rsidP="00485DA0">
          <w:pPr>
            <w:pStyle w:val="TOC3"/>
            <w:tabs>
              <w:tab w:val="left" w:pos="190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79" w:history="1">
            <w:r w:rsidR="00485DA0" w:rsidRPr="00485DA0">
              <w:rPr>
                <w:rStyle w:val="Hyperlink"/>
                <w:rFonts w:ascii="Times New Roman" w:hAnsi="Times New Roman" w:cs="Times New Roman"/>
                <w:noProof/>
              </w:rPr>
              <w:t>3.6.2</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noProof/>
              </w:rPr>
              <w:t>Class membership sub-model</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_Toc528650879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72</w:t>
            </w:r>
            <w:r w:rsidR="00485DA0" w:rsidRPr="00485DA0">
              <w:rPr>
                <w:rFonts w:ascii="Times New Roman" w:hAnsi="Times New Roman" w:cs="Times New Roman"/>
                <w:noProof/>
                <w:webHidden/>
              </w:rPr>
              <w:fldChar w:fldCharType="end"/>
            </w:r>
          </w:hyperlink>
        </w:p>
        <w:p w14:paraId="50160030" w14:textId="77777777" w:rsidR="00485DA0" w:rsidRPr="00485DA0" w:rsidRDefault="00A27D2B" w:rsidP="00485DA0">
          <w:pPr>
            <w:pStyle w:val="TOC3"/>
            <w:tabs>
              <w:tab w:val="left" w:pos="190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80" w:history="1">
            <w:r w:rsidR="00485DA0" w:rsidRPr="00485DA0">
              <w:rPr>
                <w:rStyle w:val="Hyperlink"/>
                <w:rFonts w:ascii="Times New Roman" w:hAnsi="Times New Roman" w:cs="Times New Roman"/>
                <w:noProof/>
              </w:rPr>
              <w:t>3.6.3</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noProof/>
              </w:rPr>
              <w:t>Class specific sub-model</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_Toc528650880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74</w:t>
            </w:r>
            <w:r w:rsidR="00485DA0" w:rsidRPr="00485DA0">
              <w:rPr>
                <w:rFonts w:ascii="Times New Roman" w:hAnsi="Times New Roman" w:cs="Times New Roman"/>
                <w:noProof/>
                <w:webHidden/>
              </w:rPr>
              <w:fldChar w:fldCharType="end"/>
            </w:r>
          </w:hyperlink>
        </w:p>
        <w:p w14:paraId="77120E7F" w14:textId="77777777" w:rsidR="00485DA0" w:rsidRPr="00485DA0" w:rsidRDefault="00A27D2B" w:rsidP="00485DA0">
          <w:pPr>
            <w:pStyle w:val="TOC3"/>
            <w:tabs>
              <w:tab w:val="left" w:pos="190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81" w:history="1">
            <w:r w:rsidR="00485DA0" w:rsidRPr="00485DA0">
              <w:rPr>
                <w:rStyle w:val="Hyperlink"/>
                <w:rFonts w:ascii="Times New Roman" w:hAnsi="Times New Roman" w:cs="Times New Roman"/>
                <w:noProof/>
              </w:rPr>
              <w:t>3.6.4</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noProof/>
              </w:rPr>
              <w:t>Willingness-to-pay</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_Toc528650881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78</w:t>
            </w:r>
            <w:r w:rsidR="00485DA0" w:rsidRPr="00485DA0">
              <w:rPr>
                <w:rFonts w:ascii="Times New Roman" w:hAnsi="Times New Roman" w:cs="Times New Roman"/>
                <w:noProof/>
                <w:webHidden/>
              </w:rPr>
              <w:fldChar w:fldCharType="end"/>
            </w:r>
          </w:hyperlink>
        </w:p>
        <w:p w14:paraId="0AC30EE8" w14:textId="77777777" w:rsidR="00485DA0" w:rsidRPr="00485DA0" w:rsidRDefault="00A27D2B" w:rsidP="00485DA0">
          <w:pPr>
            <w:pStyle w:val="TOC2"/>
            <w:tabs>
              <w:tab w:val="left" w:pos="154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82" w:history="1">
            <w:r w:rsidR="00485DA0" w:rsidRPr="00485DA0">
              <w:rPr>
                <w:rStyle w:val="Hyperlink"/>
                <w:rFonts w:ascii="Times New Roman" w:hAnsi="Times New Roman" w:cs="Times New Roman"/>
                <w:bCs/>
                <w:noProof/>
              </w:rPr>
              <w:t>3.7</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bCs/>
                <w:noProof/>
              </w:rPr>
              <w:t>Discussion and Conclusions</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_Toc528650882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82</w:t>
            </w:r>
            <w:r w:rsidR="00485DA0" w:rsidRPr="00485DA0">
              <w:rPr>
                <w:rFonts w:ascii="Times New Roman" w:hAnsi="Times New Roman" w:cs="Times New Roman"/>
                <w:noProof/>
                <w:webHidden/>
              </w:rPr>
              <w:fldChar w:fldCharType="end"/>
            </w:r>
          </w:hyperlink>
        </w:p>
        <w:p w14:paraId="781F9BFE" w14:textId="77777777" w:rsidR="00485DA0" w:rsidRPr="00485DA0" w:rsidRDefault="00A27D2B" w:rsidP="00485DA0">
          <w:pPr>
            <w:pStyle w:val="TOC2"/>
            <w:tabs>
              <w:tab w:val="left" w:pos="154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83" w:history="1">
            <w:r w:rsidR="00485DA0" w:rsidRPr="00485DA0">
              <w:rPr>
                <w:rStyle w:val="Hyperlink"/>
                <w:rFonts w:ascii="Times New Roman" w:hAnsi="Times New Roman" w:cs="Times New Roman"/>
                <w:bCs/>
                <w:noProof/>
              </w:rPr>
              <w:t>3.8</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bCs/>
                <w:noProof/>
              </w:rPr>
              <w:t>Acknowledgements</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_Toc528650883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85</w:t>
            </w:r>
            <w:r w:rsidR="00485DA0" w:rsidRPr="00485DA0">
              <w:rPr>
                <w:rFonts w:ascii="Times New Roman" w:hAnsi="Times New Roman" w:cs="Times New Roman"/>
                <w:noProof/>
                <w:webHidden/>
              </w:rPr>
              <w:fldChar w:fldCharType="end"/>
            </w:r>
          </w:hyperlink>
        </w:p>
        <w:p w14:paraId="6FB04493" w14:textId="77777777" w:rsidR="00485DA0" w:rsidRPr="00485DA0" w:rsidRDefault="00A27D2B" w:rsidP="00485DA0">
          <w:pPr>
            <w:pStyle w:val="TOC2"/>
            <w:tabs>
              <w:tab w:val="left" w:pos="154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84" w:history="1">
            <w:r w:rsidR="00485DA0" w:rsidRPr="00485DA0">
              <w:rPr>
                <w:rStyle w:val="Hyperlink"/>
                <w:rFonts w:ascii="Times New Roman" w:hAnsi="Times New Roman" w:cs="Times New Roman"/>
                <w:bCs/>
                <w:noProof/>
              </w:rPr>
              <w:t>3.9</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bCs/>
                <w:noProof/>
              </w:rPr>
              <w:t>References</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_Toc528650884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86</w:t>
            </w:r>
            <w:r w:rsidR="00485DA0" w:rsidRPr="00485DA0">
              <w:rPr>
                <w:rFonts w:ascii="Times New Roman" w:hAnsi="Times New Roman" w:cs="Times New Roman"/>
                <w:noProof/>
                <w:webHidden/>
              </w:rPr>
              <w:fldChar w:fldCharType="end"/>
            </w:r>
          </w:hyperlink>
        </w:p>
        <w:p w14:paraId="5843AB6B" w14:textId="77777777" w:rsidR="00485DA0" w:rsidRPr="00485DA0" w:rsidRDefault="00A27D2B" w:rsidP="00485DA0">
          <w:pPr>
            <w:pStyle w:val="TOC1"/>
            <w:tabs>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85" w:history="1">
            <w:r w:rsidR="00485DA0" w:rsidRPr="00485DA0">
              <w:rPr>
                <w:rStyle w:val="Hyperlink"/>
                <w:rFonts w:ascii="Times New Roman" w:hAnsi="Times New Roman" w:cs="Times New Roman"/>
                <w:noProof/>
              </w:rPr>
              <w:t>Chapter 4</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_Toc528650885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91</w:t>
            </w:r>
            <w:r w:rsidR="00485DA0" w:rsidRPr="00485DA0">
              <w:rPr>
                <w:rFonts w:ascii="Times New Roman" w:hAnsi="Times New Roman" w:cs="Times New Roman"/>
                <w:noProof/>
                <w:webHidden/>
              </w:rPr>
              <w:fldChar w:fldCharType="end"/>
            </w:r>
          </w:hyperlink>
        </w:p>
        <w:p w14:paraId="371416FE" w14:textId="77777777" w:rsidR="00485DA0" w:rsidRPr="00485DA0" w:rsidRDefault="00A27D2B" w:rsidP="00485DA0">
          <w:pPr>
            <w:pStyle w:val="TOC2"/>
            <w:tabs>
              <w:tab w:val="left" w:pos="154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86" w:history="1">
            <w:r w:rsidR="00485DA0" w:rsidRPr="00485DA0">
              <w:rPr>
                <w:rStyle w:val="Hyperlink"/>
                <w:rFonts w:ascii="Times New Roman" w:hAnsi="Times New Roman" w:cs="Times New Roman"/>
                <w:noProof/>
              </w:rPr>
              <w:t>4.1</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noProof/>
              </w:rPr>
              <w:t>Introduction</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_Toc528650886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91</w:t>
            </w:r>
            <w:r w:rsidR="00485DA0" w:rsidRPr="00485DA0">
              <w:rPr>
                <w:rFonts w:ascii="Times New Roman" w:hAnsi="Times New Roman" w:cs="Times New Roman"/>
                <w:noProof/>
                <w:webHidden/>
              </w:rPr>
              <w:fldChar w:fldCharType="end"/>
            </w:r>
          </w:hyperlink>
        </w:p>
        <w:p w14:paraId="18C2D010" w14:textId="77777777" w:rsidR="00485DA0" w:rsidRPr="00485DA0" w:rsidRDefault="00A27D2B" w:rsidP="00485DA0">
          <w:pPr>
            <w:pStyle w:val="TOC2"/>
            <w:tabs>
              <w:tab w:val="left" w:pos="154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87" w:history="1">
            <w:r w:rsidR="00485DA0" w:rsidRPr="00485DA0">
              <w:rPr>
                <w:rStyle w:val="Hyperlink"/>
                <w:rFonts w:ascii="Times New Roman" w:hAnsi="Times New Roman" w:cs="Times New Roman"/>
                <w:noProof/>
              </w:rPr>
              <w:t>4.2</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noProof/>
              </w:rPr>
              <w:t>Studies Considering Economic Suitability</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_Toc528650887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93</w:t>
            </w:r>
            <w:r w:rsidR="00485DA0" w:rsidRPr="00485DA0">
              <w:rPr>
                <w:rFonts w:ascii="Times New Roman" w:hAnsi="Times New Roman" w:cs="Times New Roman"/>
                <w:noProof/>
                <w:webHidden/>
              </w:rPr>
              <w:fldChar w:fldCharType="end"/>
            </w:r>
          </w:hyperlink>
        </w:p>
        <w:p w14:paraId="04B4BBB9" w14:textId="77777777" w:rsidR="00485DA0" w:rsidRPr="00485DA0" w:rsidRDefault="00A27D2B" w:rsidP="00485DA0">
          <w:pPr>
            <w:pStyle w:val="TOC2"/>
            <w:tabs>
              <w:tab w:val="left" w:pos="154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88" w:history="1">
            <w:r w:rsidR="00485DA0" w:rsidRPr="00485DA0">
              <w:rPr>
                <w:rStyle w:val="Hyperlink"/>
                <w:rFonts w:ascii="Times New Roman" w:hAnsi="Times New Roman" w:cs="Times New Roman"/>
                <w:noProof/>
              </w:rPr>
              <w:t>4.3</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noProof/>
              </w:rPr>
              <w:t>Data and Methods</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_Toc528650888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97</w:t>
            </w:r>
            <w:r w:rsidR="00485DA0" w:rsidRPr="00485DA0">
              <w:rPr>
                <w:rFonts w:ascii="Times New Roman" w:hAnsi="Times New Roman" w:cs="Times New Roman"/>
                <w:noProof/>
                <w:webHidden/>
              </w:rPr>
              <w:fldChar w:fldCharType="end"/>
            </w:r>
          </w:hyperlink>
        </w:p>
        <w:p w14:paraId="24926DBE" w14:textId="77777777" w:rsidR="00485DA0" w:rsidRPr="00485DA0" w:rsidRDefault="00A27D2B" w:rsidP="00485DA0">
          <w:pPr>
            <w:pStyle w:val="TOC3"/>
            <w:tabs>
              <w:tab w:val="left" w:pos="190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89" w:history="1">
            <w:r w:rsidR="00485DA0" w:rsidRPr="00485DA0">
              <w:rPr>
                <w:rStyle w:val="Hyperlink"/>
                <w:rFonts w:ascii="Times New Roman" w:hAnsi="Times New Roman" w:cs="Times New Roman"/>
                <w:noProof/>
              </w:rPr>
              <w:t>4.3.1</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noProof/>
              </w:rPr>
              <w:t>Survey Data</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_Toc528650889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97</w:t>
            </w:r>
            <w:r w:rsidR="00485DA0" w:rsidRPr="00485DA0">
              <w:rPr>
                <w:rFonts w:ascii="Times New Roman" w:hAnsi="Times New Roman" w:cs="Times New Roman"/>
                <w:noProof/>
                <w:webHidden/>
              </w:rPr>
              <w:fldChar w:fldCharType="end"/>
            </w:r>
          </w:hyperlink>
        </w:p>
        <w:p w14:paraId="2088DB15" w14:textId="77777777" w:rsidR="00485DA0" w:rsidRPr="00485DA0" w:rsidRDefault="00A27D2B" w:rsidP="00485DA0">
          <w:pPr>
            <w:pStyle w:val="TOC3"/>
            <w:tabs>
              <w:tab w:val="left" w:pos="190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90" w:history="1">
            <w:r w:rsidR="00485DA0" w:rsidRPr="00485DA0">
              <w:rPr>
                <w:rStyle w:val="Hyperlink"/>
                <w:rFonts w:ascii="Times New Roman" w:hAnsi="Times New Roman" w:cs="Times New Roman"/>
                <w:noProof/>
              </w:rPr>
              <w:t>4.3.2</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noProof/>
              </w:rPr>
              <w:t>Total Cost of Ownership Model</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_Toc528650890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98</w:t>
            </w:r>
            <w:r w:rsidR="00485DA0" w:rsidRPr="00485DA0">
              <w:rPr>
                <w:rFonts w:ascii="Times New Roman" w:hAnsi="Times New Roman" w:cs="Times New Roman"/>
                <w:noProof/>
                <w:webHidden/>
              </w:rPr>
              <w:fldChar w:fldCharType="end"/>
            </w:r>
          </w:hyperlink>
        </w:p>
        <w:p w14:paraId="3D496BED" w14:textId="77777777" w:rsidR="00485DA0" w:rsidRPr="00485DA0" w:rsidRDefault="00A27D2B" w:rsidP="00485DA0">
          <w:pPr>
            <w:pStyle w:val="TOC2"/>
            <w:tabs>
              <w:tab w:val="left" w:pos="154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91" w:history="1">
            <w:r w:rsidR="00485DA0" w:rsidRPr="00485DA0">
              <w:rPr>
                <w:rStyle w:val="Hyperlink"/>
                <w:rFonts w:ascii="Times New Roman" w:hAnsi="Times New Roman" w:cs="Times New Roman"/>
                <w:noProof/>
              </w:rPr>
              <w:t>4.4</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noProof/>
              </w:rPr>
              <w:t>Results</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_Toc528650891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102</w:t>
            </w:r>
            <w:r w:rsidR="00485DA0" w:rsidRPr="00485DA0">
              <w:rPr>
                <w:rFonts w:ascii="Times New Roman" w:hAnsi="Times New Roman" w:cs="Times New Roman"/>
                <w:noProof/>
                <w:webHidden/>
              </w:rPr>
              <w:fldChar w:fldCharType="end"/>
            </w:r>
          </w:hyperlink>
        </w:p>
        <w:p w14:paraId="44BE3EE3" w14:textId="77777777" w:rsidR="00485DA0" w:rsidRPr="00485DA0" w:rsidRDefault="00A27D2B" w:rsidP="00485DA0">
          <w:pPr>
            <w:pStyle w:val="TOC3"/>
            <w:tabs>
              <w:tab w:val="left" w:pos="190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92" w:history="1">
            <w:r w:rsidR="00485DA0" w:rsidRPr="00485DA0">
              <w:rPr>
                <w:rStyle w:val="Hyperlink"/>
                <w:rFonts w:ascii="Times New Roman" w:hAnsi="Times New Roman" w:cs="Times New Roman"/>
                <w:noProof/>
              </w:rPr>
              <w:t>4.4.1</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noProof/>
              </w:rPr>
              <w:t>Share of BEV-suited Households</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_Toc528650892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102</w:t>
            </w:r>
            <w:r w:rsidR="00485DA0" w:rsidRPr="00485DA0">
              <w:rPr>
                <w:rFonts w:ascii="Times New Roman" w:hAnsi="Times New Roman" w:cs="Times New Roman"/>
                <w:noProof/>
                <w:webHidden/>
              </w:rPr>
              <w:fldChar w:fldCharType="end"/>
            </w:r>
          </w:hyperlink>
        </w:p>
        <w:p w14:paraId="517F517F" w14:textId="77777777" w:rsidR="00485DA0" w:rsidRPr="00485DA0" w:rsidRDefault="00A27D2B" w:rsidP="00485DA0">
          <w:pPr>
            <w:pStyle w:val="TOC3"/>
            <w:tabs>
              <w:tab w:val="left" w:pos="190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93" w:history="1">
            <w:r w:rsidR="00485DA0" w:rsidRPr="00485DA0">
              <w:rPr>
                <w:rStyle w:val="Hyperlink"/>
                <w:rFonts w:ascii="Times New Roman" w:hAnsi="Times New Roman" w:cs="Times New Roman"/>
                <w:noProof/>
              </w:rPr>
              <w:t>4.4.2</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noProof/>
              </w:rPr>
              <w:t>Bivariate Ordered Probit Model</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_Toc528650893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104</w:t>
            </w:r>
            <w:r w:rsidR="00485DA0" w:rsidRPr="00485DA0">
              <w:rPr>
                <w:rFonts w:ascii="Times New Roman" w:hAnsi="Times New Roman" w:cs="Times New Roman"/>
                <w:noProof/>
                <w:webHidden/>
              </w:rPr>
              <w:fldChar w:fldCharType="end"/>
            </w:r>
          </w:hyperlink>
        </w:p>
        <w:p w14:paraId="1C665679" w14:textId="77777777" w:rsidR="00485DA0" w:rsidRPr="00485DA0" w:rsidRDefault="00A27D2B" w:rsidP="00485DA0">
          <w:pPr>
            <w:pStyle w:val="TOC2"/>
            <w:tabs>
              <w:tab w:val="left" w:pos="154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94" w:history="1">
            <w:r w:rsidR="00485DA0" w:rsidRPr="00485DA0">
              <w:rPr>
                <w:rStyle w:val="Hyperlink"/>
                <w:rFonts w:ascii="Times New Roman" w:hAnsi="Times New Roman" w:cs="Times New Roman"/>
                <w:noProof/>
              </w:rPr>
              <w:t>4.5</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noProof/>
              </w:rPr>
              <w:t>Conclusion and Policy Implications</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_Toc528650894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112</w:t>
            </w:r>
            <w:r w:rsidR="00485DA0" w:rsidRPr="00485DA0">
              <w:rPr>
                <w:rFonts w:ascii="Times New Roman" w:hAnsi="Times New Roman" w:cs="Times New Roman"/>
                <w:noProof/>
                <w:webHidden/>
              </w:rPr>
              <w:fldChar w:fldCharType="end"/>
            </w:r>
          </w:hyperlink>
        </w:p>
        <w:p w14:paraId="1D101190" w14:textId="77777777" w:rsidR="00485DA0" w:rsidRPr="00485DA0" w:rsidRDefault="00A27D2B" w:rsidP="00485DA0">
          <w:pPr>
            <w:pStyle w:val="TOC2"/>
            <w:tabs>
              <w:tab w:val="left" w:pos="154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95" w:history="1">
            <w:r w:rsidR="00485DA0" w:rsidRPr="00485DA0">
              <w:rPr>
                <w:rStyle w:val="Hyperlink"/>
                <w:rFonts w:ascii="Times New Roman" w:hAnsi="Times New Roman" w:cs="Times New Roman"/>
                <w:noProof/>
              </w:rPr>
              <w:t>4.6</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noProof/>
              </w:rPr>
              <w:t>Acknowledgements</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_Toc528650895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115</w:t>
            </w:r>
            <w:r w:rsidR="00485DA0" w:rsidRPr="00485DA0">
              <w:rPr>
                <w:rFonts w:ascii="Times New Roman" w:hAnsi="Times New Roman" w:cs="Times New Roman"/>
                <w:noProof/>
                <w:webHidden/>
              </w:rPr>
              <w:fldChar w:fldCharType="end"/>
            </w:r>
          </w:hyperlink>
        </w:p>
        <w:p w14:paraId="0C7E7E3C" w14:textId="77777777" w:rsidR="00485DA0" w:rsidRPr="00485DA0" w:rsidRDefault="00A27D2B" w:rsidP="00485DA0">
          <w:pPr>
            <w:pStyle w:val="TOC2"/>
            <w:tabs>
              <w:tab w:val="left" w:pos="154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96" w:history="1">
            <w:r w:rsidR="00485DA0" w:rsidRPr="00485DA0">
              <w:rPr>
                <w:rStyle w:val="Hyperlink"/>
                <w:rFonts w:ascii="Times New Roman" w:hAnsi="Times New Roman" w:cs="Times New Roman"/>
                <w:noProof/>
              </w:rPr>
              <w:t>4.7</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noProof/>
              </w:rPr>
              <w:t>References</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_Toc528650896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115</w:t>
            </w:r>
            <w:r w:rsidR="00485DA0" w:rsidRPr="00485DA0">
              <w:rPr>
                <w:rFonts w:ascii="Times New Roman" w:hAnsi="Times New Roman" w:cs="Times New Roman"/>
                <w:noProof/>
                <w:webHidden/>
              </w:rPr>
              <w:fldChar w:fldCharType="end"/>
            </w:r>
          </w:hyperlink>
        </w:p>
        <w:p w14:paraId="6BBD6AC2" w14:textId="77777777" w:rsidR="00485DA0" w:rsidRPr="00485DA0" w:rsidRDefault="00A27D2B" w:rsidP="00485DA0">
          <w:pPr>
            <w:pStyle w:val="TOC1"/>
            <w:tabs>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97" w:history="1">
            <w:r w:rsidR="00485DA0" w:rsidRPr="00485DA0">
              <w:rPr>
                <w:rStyle w:val="Hyperlink"/>
                <w:rFonts w:ascii="Times New Roman" w:hAnsi="Times New Roman" w:cs="Times New Roman"/>
                <w:noProof/>
              </w:rPr>
              <w:t>Chapter 5</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_Toc528650897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119</w:t>
            </w:r>
            <w:r w:rsidR="00485DA0" w:rsidRPr="00485DA0">
              <w:rPr>
                <w:rFonts w:ascii="Times New Roman" w:hAnsi="Times New Roman" w:cs="Times New Roman"/>
                <w:noProof/>
                <w:webHidden/>
              </w:rPr>
              <w:fldChar w:fldCharType="end"/>
            </w:r>
          </w:hyperlink>
        </w:p>
        <w:p w14:paraId="5CB57FB3" w14:textId="77777777" w:rsidR="00485DA0" w:rsidRPr="00485DA0" w:rsidRDefault="00A27D2B" w:rsidP="00485DA0">
          <w:pPr>
            <w:pStyle w:val="TOC2"/>
            <w:tabs>
              <w:tab w:val="left" w:pos="154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98" w:history="1">
            <w:r w:rsidR="00485DA0" w:rsidRPr="00485DA0">
              <w:rPr>
                <w:rStyle w:val="Hyperlink"/>
                <w:rFonts w:ascii="Times New Roman" w:hAnsi="Times New Roman" w:cs="Times New Roman"/>
                <w:noProof/>
              </w:rPr>
              <w:t>5.1</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noProof/>
              </w:rPr>
              <w:t>Contributions and novel aspects</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_Toc528650898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120</w:t>
            </w:r>
            <w:r w:rsidR="00485DA0" w:rsidRPr="00485DA0">
              <w:rPr>
                <w:rFonts w:ascii="Times New Roman" w:hAnsi="Times New Roman" w:cs="Times New Roman"/>
                <w:noProof/>
                <w:webHidden/>
              </w:rPr>
              <w:fldChar w:fldCharType="end"/>
            </w:r>
          </w:hyperlink>
        </w:p>
        <w:p w14:paraId="39F0CD2B" w14:textId="77777777" w:rsidR="00485DA0" w:rsidRPr="00485DA0" w:rsidRDefault="00A27D2B" w:rsidP="00485DA0">
          <w:pPr>
            <w:pStyle w:val="TOC2"/>
            <w:tabs>
              <w:tab w:val="left" w:pos="154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899" w:history="1">
            <w:r w:rsidR="00485DA0" w:rsidRPr="00485DA0">
              <w:rPr>
                <w:rStyle w:val="Hyperlink"/>
                <w:rFonts w:ascii="Times New Roman" w:hAnsi="Times New Roman" w:cs="Times New Roman"/>
                <w:noProof/>
              </w:rPr>
              <w:t>5.2</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noProof/>
              </w:rPr>
              <w:t>Future research</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_Toc528650899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124</w:t>
            </w:r>
            <w:r w:rsidR="00485DA0" w:rsidRPr="00485DA0">
              <w:rPr>
                <w:rFonts w:ascii="Times New Roman" w:hAnsi="Times New Roman" w:cs="Times New Roman"/>
                <w:noProof/>
                <w:webHidden/>
              </w:rPr>
              <w:fldChar w:fldCharType="end"/>
            </w:r>
          </w:hyperlink>
        </w:p>
        <w:p w14:paraId="65FBCDF9" w14:textId="77777777" w:rsidR="00485DA0" w:rsidRPr="00485DA0" w:rsidRDefault="00A27D2B" w:rsidP="00485DA0">
          <w:pPr>
            <w:pStyle w:val="TOC2"/>
            <w:tabs>
              <w:tab w:val="left" w:pos="1540"/>
              <w:tab w:val="right" w:leader="dot" w:pos="9394"/>
            </w:tabs>
            <w:spacing w:before="0" w:after="0" w:line="240" w:lineRule="auto"/>
            <w:rPr>
              <w:rFonts w:ascii="Times New Roman" w:eastAsiaTheme="minorEastAsia" w:hAnsi="Times New Roman" w:cs="Times New Roman"/>
              <w:noProof/>
              <w:sz w:val="22"/>
              <w:szCs w:val="22"/>
              <w:lang w:eastAsia="en-CA"/>
            </w:rPr>
          </w:pPr>
          <w:hyperlink w:anchor="_Toc528650900" w:history="1">
            <w:r w:rsidR="00485DA0" w:rsidRPr="00485DA0">
              <w:rPr>
                <w:rStyle w:val="Hyperlink"/>
                <w:rFonts w:ascii="Times New Roman" w:hAnsi="Times New Roman" w:cs="Times New Roman"/>
                <w:noProof/>
              </w:rPr>
              <w:t>5.3</w:t>
            </w:r>
            <w:r w:rsidR="00485DA0" w:rsidRPr="00485DA0">
              <w:rPr>
                <w:rFonts w:ascii="Times New Roman" w:eastAsiaTheme="minorEastAsia" w:hAnsi="Times New Roman" w:cs="Times New Roman"/>
                <w:noProof/>
                <w:sz w:val="22"/>
                <w:szCs w:val="22"/>
                <w:lang w:eastAsia="en-CA"/>
              </w:rPr>
              <w:tab/>
            </w:r>
            <w:r w:rsidR="00485DA0" w:rsidRPr="00485DA0">
              <w:rPr>
                <w:rStyle w:val="Hyperlink"/>
                <w:rFonts w:ascii="Times New Roman" w:hAnsi="Times New Roman" w:cs="Times New Roman"/>
                <w:noProof/>
              </w:rPr>
              <w:t>References</w:t>
            </w:r>
            <w:r w:rsidR="00485DA0" w:rsidRPr="00485DA0">
              <w:rPr>
                <w:rFonts w:ascii="Times New Roman" w:hAnsi="Times New Roman" w:cs="Times New Roman"/>
                <w:noProof/>
                <w:webHidden/>
              </w:rPr>
              <w:tab/>
            </w:r>
            <w:r w:rsidR="00485DA0" w:rsidRPr="00485DA0">
              <w:rPr>
                <w:rFonts w:ascii="Times New Roman" w:hAnsi="Times New Roman" w:cs="Times New Roman"/>
                <w:noProof/>
                <w:webHidden/>
              </w:rPr>
              <w:fldChar w:fldCharType="begin"/>
            </w:r>
            <w:r w:rsidR="00485DA0" w:rsidRPr="00485DA0">
              <w:rPr>
                <w:rFonts w:ascii="Times New Roman" w:hAnsi="Times New Roman" w:cs="Times New Roman"/>
                <w:noProof/>
                <w:webHidden/>
              </w:rPr>
              <w:instrText xml:space="preserve"> PAGEREF _Toc528650900 \h </w:instrText>
            </w:r>
            <w:r w:rsidR="00485DA0" w:rsidRPr="00485DA0">
              <w:rPr>
                <w:rFonts w:ascii="Times New Roman" w:hAnsi="Times New Roman" w:cs="Times New Roman"/>
                <w:noProof/>
                <w:webHidden/>
              </w:rPr>
            </w:r>
            <w:r w:rsidR="00485DA0" w:rsidRPr="00485DA0">
              <w:rPr>
                <w:rFonts w:ascii="Times New Roman" w:hAnsi="Times New Roman" w:cs="Times New Roman"/>
                <w:noProof/>
                <w:webHidden/>
              </w:rPr>
              <w:fldChar w:fldCharType="separate"/>
            </w:r>
            <w:r w:rsidR="00BC70AE">
              <w:rPr>
                <w:rFonts w:ascii="Times New Roman" w:hAnsi="Times New Roman" w:cs="Times New Roman"/>
                <w:noProof/>
                <w:webHidden/>
              </w:rPr>
              <w:t>126</w:t>
            </w:r>
            <w:r w:rsidR="00485DA0" w:rsidRPr="00485DA0">
              <w:rPr>
                <w:rFonts w:ascii="Times New Roman" w:hAnsi="Times New Roman" w:cs="Times New Roman"/>
                <w:noProof/>
                <w:webHidden/>
              </w:rPr>
              <w:fldChar w:fldCharType="end"/>
            </w:r>
          </w:hyperlink>
        </w:p>
        <w:p w14:paraId="0819C41E" w14:textId="77777777" w:rsidR="007E62D4" w:rsidRDefault="007E62D4" w:rsidP="00485DA0">
          <w:pPr>
            <w:spacing w:before="0" w:after="0" w:line="240" w:lineRule="auto"/>
          </w:pPr>
          <w:r w:rsidRPr="00485DA0">
            <w:rPr>
              <w:rFonts w:ascii="Times New Roman" w:hAnsi="Times New Roman" w:cs="Times New Roman"/>
              <w:bCs/>
              <w:noProof/>
            </w:rPr>
            <w:fldChar w:fldCharType="end"/>
          </w:r>
        </w:p>
      </w:sdtContent>
    </w:sdt>
    <w:p w14:paraId="5F8573A3" w14:textId="77777777" w:rsidR="00BB41CC" w:rsidRDefault="00BB41CC" w:rsidP="00BB41CC">
      <w:pPr>
        <w:tabs>
          <w:tab w:val="left" w:pos="5220"/>
        </w:tabs>
        <w:jc w:val="center"/>
        <w:rPr>
          <w:rFonts w:ascii="Times New Roman" w:hAnsi="Times New Roman" w:cs="Times New Roman"/>
          <w:b/>
        </w:rPr>
      </w:pPr>
    </w:p>
    <w:p w14:paraId="1DB20BA9" w14:textId="77777777" w:rsidR="00B02EB5" w:rsidRDefault="00B02EB5" w:rsidP="00BB41CC">
      <w:pPr>
        <w:tabs>
          <w:tab w:val="left" w:pos="5220"/>
        </w:tabs>
        <w:jc w:val="center"/>
        <w:rPr>
          <w:rFonts w:ascii="Times New Roman" w:hAnsi="Times New Roman" w:cs="Times New Roman"/>
          <w:b/>
        </w:rPr>
      </w:pPr>
    </w:p>
    <w:p w14:paraId="527604E5" w14:textId="77777777" w:rsidR="00B02EB5" w:rsidRDefault="00B02EB5" w:rsidP="00BB41CC">
      <w:pPr>
        <w:tabs>
          <w:tab w:val="left" w:pos="5220"/>
        </w:tabs>
        <w:jc w:val="center"/>
        <w:rPr>
          <w:rFonts w:ascii="Times New Roman" w:hAnsi="Times New Roman" w:cs="Times New Roman"/>
          <w:b/>
        </w:rPr>
      </w:pPr>
    </w:p>
    <w:p w14:paraId="14A6AF5E" w14:textId="77777777" w:rsidR="00772798" w:rsidRDefault="00772798" w:rsidP="00BB41CC">
      <w:pPr>
        <w:tabs>
          <w:tab w:val="left" w:pos="5220"/>
        </w:tabs>
        <w:jc w:val="center"/>
        <w:rPr>
          <w:rFonts w:ascii="Times New Roman" w:hAnsi="Times New Roman" w:cs="Times New Roman"/>
          <w:b/>
        </w:rPr>
      </w:pPr>
    </w:p>
    <w:p w14:paraId="59A26B62" w14:textId="77777777" w:rsidR="00BB41CC" w:rsidRPr="00485DA0" w:rsidRDefault="00485DA0" w:rsidP="00F85B74">
      <w:pPr>
        <w:pStyle w:val="Heading1"/>
        <w:numPr>
          <w:ilvl w:val="0"/>
          <w:numId w:val="0"/>
        </w:numPr>
        <w:jc w:val="center"/>
        <w:rPr>
          <w:rFonts w:ascii="Times New Roman" w:hAnsi="Times New Roman"/>
        </w:rPr>
      </w:pPr>
      <w:bookmarkStart w:id="6" w:name="_Toc528650842"/>
      <w:r w:rsidRPr="00485DA0">
        <w:rPr>
          <w:rFonts w:ascii="Times New Roman" w:hAnsi="Times New Roman"/>
        </w:rPr>
        <w:lastRenderedPageBreak/>
        <w:t>List of Figures</w:t>
      </w:r>
      <w:bookmarkEnd w:id="6"/>
    </w:p>
    <w:p w14:paraId="46FE7E52" w14:textId="77777777" w:rsidR="009A70C3" w:rsidRPr="00B02EB5" w:rsidRDefault="009A70C3" w:rsidP="00772798">
      <w:pPr>
        <w:spacing w:line="240" w:lineRule="auto"/>
      </w:pPr>
    </w:p>
    <w:p w14:paraId="5FC7372D" w14:textId="77777777" w:rsidR="00765604" w:rsidRPr="00765604" w:rsidRDefault="00A27D2B" w:rsidP="00765604">
      <w:pPr>
        <w:pStyle w:val="TableofFigures"/>
        <w:tabs>
          <w:tab w:val="right" w:leader="dot" w:pos="9394"/>
        </w:tabs>
        <w:spacing w:line="240" w:lineRule="auto"/>
        <w:ind w:left="720" w:firstLine="0"/>
        <w:rPr>
          <w:rFonts w:ascii="Times New Roman" w:eastAsiaTheme="minorEastAsia" w:hAnsi="Times New Roman" w:cs="Times New Roman"/>
          <w:noProof/>
          <w:sz w:val="22"/>
          <w:szCs w:val="22"/>
          <w:lang w:eastAsia="en-CA"/>
        </w:rPr>
      </w:pPr>
      <w:hyperlink w:anchor="_Toc528649563" w:history="1">
        <w:r w:rsidR="00765604" w:rsidRPr="005B0597">
          <w:rPr>
            <w:rStyle w:val="Hyperlink"/>
            <w:rFonts w:ascii="Times New Roman" w:hAnsi="Times New Roman" w:cs="Times New Roman"/>
            <w:noProof/>
            <w:color w:val="auto"/>
            <w:u w:val="none"/>
          </w:rPr>
          <w:t>Figure 2.1 Inventory of outcomes for all panelists who considered the survey, the counts of respondents for each part are shown in parenthesis</w:t>
        </w:r>
        <w:r w:rsidR="00765604" w:rsidRPr="00765604">
          <w:rPr>
            <w:rFonts w:ascii="Times New Roman" w:hAnsi="Times New Roman" w:cs="Times New Roman"/>
            <w:noProof/>
            <w:webHidden/>
          </w:rPr>
          <w:tab/>
          <w:t>24</w:t>
        </w:r>
      </w:hyperlink>
    </w:p>
    <w:p w14:paraId="789CA025" w14:textId="77777777" w:rsidR="00765604" w:rsidRPr="00765604" w:rsidRDefault="00A27D2B" w:rsidP="00765604">
      <w:pPr>
        <w:pStyle w:val="TableofFigures"/>
        <w:tabs>
          <w:tab w:val="right" w:leader="dot" w:pos="9394"/>
        </w:tabs>
        <w:spacing w:line="240" w:lineRule="auto"/>
        <w:rPr>
          <w:rFonts w:ascii="Times New Roman" w:eastAsiaTheme="minorEastAsia" w:hAnsi="Times New Roman" w:cs="Times New Roman"/>
          <w:noProof/>
          <w:sz w:val="22"/>
          <w:szCs w:val="22"/>
          <w:lang w:eastAsia="en-CA"/>
        </w:rPr>
      </w:pPr>
      <w:hyperlink w:anchor="_Toc528649564" w:history="1">
        <w:r w:rsidR="00765604" w:rsidRPr="005B0597">
          <w:rPr>
            <w:rStyle w:val="Hyperlink"/>
            <w:rFonts w:ascii="Times New Roman" w:hAnsi="Times New Roman" w:cs="Times New Roman"/>
            <w:noProof/>
            <w:color w:val="auto"/>
            <w:u w:val="none"/>
          </w:rPr>
          <w:t>Figure 2.2 Educational materials; four powertrains and their features.</w:t>
        </w:r>
        <w:r w:rsidR="00765604" w:rsidRPr="00765604">
          <w:rPr>
            <w:rFonts w:ascii="Times New Roman" w:hAnsi="Times New Roman" w:cs="Times New Roman"/>
            <w:noProof/>
            <w:webHidden/>
          </w:rPr>
          <w:tab/>
          <w:t>27</w:t>
        </w:r>
      </w:hyperlink>
    </w:p>
    <w:p w14:paraId="2BB8B3BD" w14:textId="77777777" w:rsidR="00765604" w:rsidRPr="00765604" w:rsidRDefault="00A27D2B" w:rsidP="00765604">
      <w:pPr>
        <w:pStyle w:val="TableofFigures"/>
        <w:tabs>
          <w:tab w:val="right" w:leader="dot" w:pos="9394"/>
        </w:tabs>
        <w:spacing w:line="240" w:lineRule="auto"/>
        <w:rPr>
          <w:rFonts w:ascii="Times New Roman" w:eastAsiaTheme="minorEastAsia" w:hAnsi="Times New Roman" w:cs="Times New Roman"/>
          <w:noProof/>
          <w:sz w:val="22"/>
          <w:szCs w:val="22"/>
          <w:lang w:eastAsia="en-CA"/>
        </w:rPr>
      </w:pPr>
      <w:hyperlink w:anchor="_Toc528649565" w:history="1">
        <w:r w:rsidR="00765604" w:rsidRPr="005B0597">
          <w:rPr>
            <w:rStyle w:val="Hyperlink"/>
            <w:rFonts w:ascii="Times New Roman" w:hAnsi="Times New Roman" w:cs="Times New Roman"/>
            <w:noProof/>
            <w:color w:val="auto"/>
            <w:u w:val="none"/>
          </w:rPr>
          <w:t>Figure 2.3 A sample stated preference choice scenario</w:t>
        </w:r>
        <w:r w:rsidR="00765604" w:rsidRPr="00765604">
          <w:rPr>
            <w:rFonts w:ascii="Times New Roman" w:hAnsi="Times New Roman" w:cs="Times New Roman"/>
            <w:noProof/>
            <w:webHidden/>
          </w:rPr>
          <w:tab/>
          <w:t>29</w:t>
        </w:r>
      </w:hyperlink>
    </w:p>
    <w:p w14:paraId="67D41CB8" w14:textId="77777777" w:rsidR="00765604" w:rsidRPr="00765604" w:rsidRDefault="00A27D2B" w:rsidP="00765604">
      <w:pPr>
        <w:pStyle w:val="TableofFigures"/>
        <w:tabs>
          <w:tab w:val="right" w:leader="dot" w:pos="9394"/>
        </w:tabs>
        <w:spacing w:line="240" w:lineRule="auto"/>
        <w:rPr>
          <w:rFonts w:ascii="Times New Roman" w:eastAsiaTheme="minorEastAsia" w:hAnsi="Times New Roman" w:cs="Times New Roman"/>
          <w:noProof/>
          <w:sz w:val="22"/>
          <w:szCs w:val="22"/>
          <w:lang w:eastAsia="en-CA"/>
        </w:rPr>
      </w:pPr>
      <w:hyperlink w:anchor="_Toc528649566" w:history="1">
        <w:r w:rsidR="00765604" w:rsidRPr="005B0597">
          <w:rPr>
            <w:rStyle w:val="Hyperlink"/>
            <w:rFonts w:ascii="Times New Roman" w:hAnsi="Times New Roman" w:cs="Times New Roman"/>
            <w:noProof/>
            <w:color w:val="auto"/>
            <w:u w:val="none"/>
          </w:rPr>
          <w:t>Figure 2.4 Survey overview material on selected SP vehicle attributes</w:t>
        </w:r>
        <w:r w:rsidR="00765604" w:rsidRPr="00765604">
          <w:rPr>
            <w:rFonts w:ascii="Times New Roman" w:hAnsi="Times New Roman" w:cs="Times New Roman"/>
            <w:noProof/>
            <w:webHidden/>
          </w:rPr>
          <w:tab/>
          <w:t>31</w:t>
        </w:r>
      </w:hyperlink>
    </w:p>
    <w:p w14:paraId="4F5EAE7C" w14:textId="77777777" w:rsidR="00765604" w:rsidRPr="005B0597" w:rsidRDefault="00A27D2B" w:rsidP="00765604">
      <w:pPr>
        <w:pStyle w:val="TableofFigures"/>
        <w:tabs>
          <w:tab w:val="right" w:leader="dot" w:pos="9394"/>
        </w:tabs>
        <w:spacing w:line="240" w:lineRule="auto"/>
        <w:ind w:left="720" w:firstLine="0"/>
        <w:rPr>
          <w:rStyle w:val="Hyperlink"/>
          <w:rFonts w:ascii="Times New Roman" w:hAnsi="Times New Roman" w:cs="Times New Roman"/>
          <w:noProof/>
          <w:color w:val="auto"/>
          <w:u w:val="none"/>
        </w:rPr>
      </w:pPr>
      <w:hyperlink w:anchor="_Toc528649567" w:history="1">
        <w:r w:rsidR="00765604" w:rsidRPr="005B0597">
          <w:rPr>
            <w:rStyle w:val="Hyperlink"/>
            <w:rFonts w:ascii="Times New Roman" w:hAnsi="Times New Roman" w:cs="Times New Roman"/>
            <w:noProof/>
            <w:color w:val="auto"/>
            <w:u w:val="none"/>
          </w:rPr>
          <w:t>Figure 2.5 Median survey completion time by combination of household size, number of vehicles and age groups</w:t>
        </w:r>
        <w:r w:rsidR="00765604" w:rsidRPr="00765604">
          <w:rPr>
            <w:rFonts w:ascii="Times New Roman" w:hAnsi="Times New Roman" w:cs="Times New Roman"/>
            <w:noProof/>
            <w:webHidden/>
          </w:rPr>
          <w:tab/>
          <w:t>37</w:t>
        </w:r>
      </w:hyperlink>
    </w:p>
    <w:p w14:paraId="7E58BD9C" w14:textId="77777777" w:rsidR="00765604" w:rsidRPr="00765604" w:rsidRDefault="00A27D2B" w:rsidP="00765604">
      <w:pPr>
        <w:pStyle w:val="TableofFigures"/>
        <w:tabs>
          <w:tab w:val="right" w:leader="dot" w:pos="9394"/>
        </w:tabs>
        <w:spacing w:line="240" w:lineRule="auto"/>
        <w:rPr>
          <w:rFonts w:ascii="Times New Roman" w:eastAsiaTheme="minorEastAsia" w:hAnsi="Times New Roman" w:cs="Times New Roman"/>
          <w:noProof/>
          <w:sz w:val="22"/>
          <w:szCs w:val="22"/>
          <w:lang w:eastAsia="en-CA"/>
        </w:rPr>
      </w:pPr>
      <w:hyperlink w:anchor="_Toc528649656" w:history="1">
        <w:r w:rsidR="00765604" w:rsidRPr="005B0597">
          <w:rPr>
            <w:rStyle w:val="Hyperlink"/>
            <w:rFonts w:ascii="Times New Roman" w:hAnsi="Times New Roman" w:cs="Times New Roman"/>
            <w:noProof/>
            <w:color w:val="auto"/>
            <w:u w:val="none"/>
          </w:rPr>
          <w:t>Figure 3.1 Study area (BC = British Columbia, ON = Ontario)</w:t>
        </w:r>
        <w:r w:rsidR="00765604" w:rsidRPr="00765604">
          <w:rPr>
            <w:rFonts w:ascii="Times New Roman" w:hAnsi="Times New Roman" w:cs="Times New Roman"/>
            <w:noProof/>
            <w:webHidden/>
          </w:rPr>
          <w:tab/>
          <w:t>62</w:t>
        </w:r>
      </w:hyperlink>
    </w:p>
    <w:p w14:paraId="2D6EFF76" w14:textId="77777777" w:rsidR="00765604" w:rsidRPr="00765604" w:rsidRDefault="00A27D2B" w:rsidP="00765604">
      <w:pPr>
        <w:pStyle w:val="TableofFigures"/>
        <w:tabs>
          <w:tab w:val="right" w:leader="dot" w:pos="9394"/>
        </w:tabs>
        <w:spacing w:line="240" w:lineRule="auto"/>
        <w:rPr>
          <w:rFonts w:ascii="Times New Roman" w:eastAsiaTheme="minorEastAsia" w:hAnsi="Times New Roman" w:cs="Times New Roman"/>
          <w:noProof/>
          <w:sz w:val="22"/>
          <w:szCs w:val="22"/>
          <w:lang w:eastAsia="en-CA"/>
        </w:rPr>
      </w:pPr>
      <w:hyperlink w:anchor="_Toc528649657" w:history="1">
        <w:r w:rsidR="00765604" w:rsidRPr="005B0597">
          <w:rPr>
            <w:rStyle w:val="Hyperlink"/>
            <w:rFonts w:ascii="Times New Roman" w:hAnsi="Times New Roman" w:cs="Times New Roman"/>
            <w:noProof/>
            <w:color w:val="auto"/>
            <w:u w:val="none"/>
          </w:rPr>
          <w:t>Figure 3.2 Vehicle body type preferences by province</w:t>
        </w:r>
        <w:r w:rsidR="00765604" w:rsidRPr="00765604">
          <w:rPr>
            <w:rFonts w:ascii="Times New Roman" w:hAnsi="Times New Roman" w:cs="Times New Roman"/>
            <w:noProof/>
            <w:webHidden/>
          </w:rPr>
          <w:tab/>
          <w:t>72</w:t>
        </w:r>
      </w:hyperlink>
    </w:p>
    <w:p w14:paraId="164B1A07" w14:textId="77777777" w:rsidR="00765604" w:rsidRPr="00765604" w:rsidRDefault="00A27D2B" w:rsidP="00765604">
      <w:pPr>
        <w:pStyle w:val="TableofFigures"/>
        <w:tabs>
          <w:tab w:val="right" w:leader="dot" w:pos="9394"/>
        </w:tabs>
        <w:spacing w:line="240" w:lineRule="auto"/>
        <w:ind w:left="720" w:firstLine="0"/>
        <w:rPr>
          <w:rFonts w:eastAsiaTheme="minorEastAsia"/>
          <w:noProof/>
          <w:sz w:val="22"/>
          <w:szCs w:val="22"/>
          <w:lang w:eastAsia="en-CA"/>
        </w:rPr>
      </w:pPr>
      <w:hyperlink w:anchor="_Toc528649703" w:history="1">
        <w:r w:rsidR="00765604" w:rsidRPr="005B0597">
          <w:rPr>
            <w:rStyle w:val="Hyperlink"/>
            <w:rFonts w:ascii="Times New Roman" w:hAnsi="Times New Roman" w:cs="Times New Roman"/>
            <w:noProof/>
            <w:color w:val="auto"/>
            <w:u w:val="none"/>
          </w:rPr>
          <w:t>Figure 4.1 Share of BEV-suited households sensitive towards incentive and purchase price values segmented by province/region and preferred vehicle class</w:t>
        </w:r>
        <w:r w:rsidR="00765604" w:rsidRPr="00765604">
          <w:rPr>
            <w:noProof/>
            <w:webHidden/>
          </w:rPr>
          <w:tab/>
        </w:r>
        <w:r w:rsidR="00765604" w:rsidRPr="00765604">
          <w:rPr>
            <w:rFonts w:ascii="Times New Roman" w:hAnsi="Times New Roman" w:cs="Times New Roman"/>
            <w:noProof/>
            <w:webHidden/>
          </w:rPr>
          <w:t>103</w:t>
        </w:r>
      </w:hyperlink>
    </w:p>
    <w:p w14:paraId="47AABDAD" w14:textId="77777777" w:rsidR="00485DA0" w:rsidRDefault="00485DA0" w:rsidP="00B02EB5"/>
    <w:p w14:paraId="7C3B6245" w14:textId="77777777" w:rsidR="00485DA0" w:rsidRDefault="00485DA0" w:rsidP="00B02EB5"/>
    <w:p w14:paraId="0D35FBC3" w14:textId="77777777" w:rsidR="00485DA0" w:rsidRDefault="00485DA0" w:rsidP="00B02EB5"/>
    <w:p w14:paraId="6B0823B5" w14:textId="77777777" w:rsidR="00485DA0" w:rsidRDefault="00485DA0" w:rsidP="00B02EB5"/>
    <w:p w14:paraId="324EB59D" w14:textId="77777777" w:rsidR="00485DA0" w:rsidRDefault="00485DA0" w:rsidP="00B02EB5"/>
    <w:p w14:paraId="109A2061" w14:textId="77777777" w:rsidR="00485DA0" w:rsidRPr="00B02EB5" w:rsidRDefault="00485DA0" w:rsidP="00B02EB5"/>
    <w:p w14:paraId="03D8E2A3" w14:textId="77777777" w:rsidR="00BB41CC" w:rsidRPr="00485DA0" w:rsidRDefault="00485DA0" w:rsidP="00F85B74">
      <w:pPr>
        <w:pStyle w:val="Heading1"/>
        <w:numPr>
          <w:ilvl w:val="0"/>
          <w:numId w:val="0"/>
        </w:numPr>
        <w:jc w:val="center"/>
        <w:rPr>
          <w:rFonts w:ascii="Times New Roman" w:hAnsi="Times New Roman"/>
        </w:rPr>
      </w:pPr>
      <w:bookmarkStart w:id="7" w:name="_Toc528650843"/>
      <w:r w:rsidRPr="00485DA0">
        <w:rPr>
          <w:rFonts w:ascii="Times New Roman" w:hAnsi="Times New Roman"/>
        </w:rPr>
        <w:lastRenderedPageBreak/>
        <w:t>List of Tables</w:t>
      </w:r>
      <w:bookmarkEnd w:id="7"/>
    </w:p>
    <w:p w14:paraId="3D577452" w14:textId="77777777" w:rsidR="00765604" w:rsidRPr="00765604" w:rsidRDefault="00A27D2B" w:rsidP="00765604">
      <w:pPr>
        <w:pStyle w:val="TableofFigures"/>
        <w:tabs>
          <w:tab w:val="right" w:leader="dot" w:pos="9394"/>
        </w:tabs>
        <w:spacing w:line="240" w:lineRule="auto"/>
        <w:rPr>
          <w:rFonts w:ascii="Times New Roman" w:eastAsiaTheme="minorEastAsia" w:hAnsi="Times New Roman" w:cs="Times New Roman"/>
          <w:noProof/>
          <w:sz w:val="22"/>
          <w:szCs w:val="22"/>
          <w:lang w:eastAsia="en-CA"/>
        </w:rPr>
      </w:pPr>
      <w:hyperlink w:anchor="_Toc528649786" w:history="1">
        <w:r w:rsidR="00765604" w:rsidRPr="005B0597">
          <w:rPr>
            <w:rStyle w:val="Hyperlink"/>
            <w:rFonts w:ascii="Times New Roman" w:hAnsi="Times New Roman" w:cs="Times New Roman"/>
            <w:noProof/>
            <w:color w:val="auto"/>
            <w:u w:val="none"/>
          </w:rPr>
          <w:t>Table 2.1 An overview of selected EV Studies</w:t>
        </w:r>
        <w:r w:rsidR="00765604" w:rsidRPr="00765604">
          <w:rPr>
            <w:rFonts w:ascii="Times New Roman" w:hAnsi="Times New Roman" w:cs="Times New Roman"/>
            <w:noProof/>
            <w:webHidden/>
          </w:rPr>
          <w:tab/>
          <w:t>12</w:t>
        </w:r>
      </w:hyperlink>
    </w:p>
    <w:p w14:paraId="5F163173" w14:textId="77777777" w:rsidR="00765604" w:rsidRPr="00765604" w:rsidRDefault="00A27D2B" w:rsidP="00765604">
      <w:pPr>
        <w:pStyle w:val="TableofFigures"/>
        <w:tabs>
          <w:tab w:val="right" w:leader="dot" w:pos="9394"/>
        </w:tabs>
        <w:spacing w:line="240" w:lineRule="auto"/>
        <w:rPr>
          <w:rFonts w:ascii="Times New Roman" w:eastAsiaTheme="minorEastAsia" w:hAnsi="Times New Roman" w:cs="Times New Roman"/>
          <w:noProof/>
          <w:sz w:val="22"/>
          <w:szCs w:val="22"/>
          <w:lang w:eastAsia="en-CA"/>
        </w:rPr>
      </w:pPr>
      <w:hyperlink w:anchor="_Toc528649787" w:history="1">
        <w:r w:rsidR="00765604" w:rsidRPr="005B0597">
          <w:rPr>
            <w:rStyle w:val="Hyperlink"/>
            <w:rFonts w:ascii="Times New Roman" w:hAnsi="Times New Roman" w:cs="Times New Roman"/>
            <w:noProof/>
            <w:color w:val="auto"/>
            <w:u w:val="none"/>
          </w:rPr>
          <w:t>Table 2.2 SPACE sections and question types</w:t>
        </w:r>
        <w:r w:rsidR="00765604" w:rsidRPr="00765604">
          <w:rPr>
            <w:rFonts w:ascii="Times New Roman" w:hAnsi="Times New Roman" w:cs="Times New Roman"/>
            <w:noProof/>
            <w:webHidden/>
          </w:rPr>
          <w:tab/>
          <w:t>19</w:t>
        </w:r>
      </w:hyperlink>
    </w:p>
    <w:p w14:paraId="7173E370" w14:textId="77777777" w:rsidR="00765604" w:rsidRPr="00765604" w:rsidRDefault="00A27D2B" w:rsidP="00765604">
      <w:pPr>
        <w:pStyle w:val="TableofFigures"/>
        <w:tabs>
          <w:tab w:val="right" w:leader="dot" w:pos="9394"/>
        </w:tabs>
        <w:spacing w:line="240" w:lineRule="auto"/>
        <w:rPr>
          <w:rFonts w:ascii="Times New Roman" w:eastAsiaTheme="minorEastAsia" w:hAnsi="Times New Roman" w:cs="Times New Roman"/>
          <w:noProof/>
          <w:sz w:val="22"/>
          <w:szCs w:val="22"/>
          <w:lang w:eastAsia="en-CA"/>
        </w:rPr>
      </w:pPr>
      <w:hyperlink w:anchor="_Toc528649788" w:history="1">
        <w:r w:rsidR="00765604" w:rsidRPr="005B0597">
          <w:rPr>
            <w:rStyle w:val="Hyperlink"/>
            <w:rFonts w:ascii="Times New Roman" w:hAnsi="Times New Roman" w:cs="Times New Roman"/>
            <w:noProof/>
            <w:color w:val="auto"/>
            <w:u w:val="none"/>
          </w:rPr>
          <w:t>Table 2.3 Sample vs. Canadian households as derived from census.</w:t>
        </w:r>
        <w:r w:rsidR="00765604" w:rsidRPr="00765604">
          <w:rPr>
            <w:rFonts w:ascii="Times New Roman" w:hAnsi="Times New Roman" w:cs="Times New Roman"/>
            <w:noProof/>
            <w:webHidden/>
          </w:rPr>
          <w:tab/>
          <w:t>25</w:t>
        </w:r>
      </w:hyperlink>
    </w:p>
    <w:p w14:paraId="05E937A7" w14:textId="77777777" w:rsidR="00765604" w:rsidRPr="00765604" w:rsidRDefault="00A27D2B" w:rsidP="00765604">
      <w:pPr>
        <w:pStyle w:val="TableofFigures"/>
        <w:tabs>
          <w:tab w:val="right" w:leader="dot" w:pos="9394"/>
        </w:tabs>
        <w:spacing w:line="240" w:lineRule="auto"/>
        <w:rPr>
          <w:rFonts w:ascii="Times New Roman" w:eastAsiaTheme="minorEastAsia" w:hAnsi="Times New Roman" w:cs="Times New Roman"/>
          <w:noProof/>
          <w:sz w:val="22"/>
          <w:szCs w:val="22"/>
          <w:lang w:eastAsia="en-CA"/>
        </w:rPr>
      </w:pPr>
      <w:hyperlink w:anchor="_Toc528649789" w:history="1">
        <w:r w:rsidR="00765604" w:rsidRPr="005B0597">
          <w:rPr>
            <w:rStyle w:val="Hyperlink"/>
            <w:rFonts w:ascii="Times New Roman" w:hAnsi="Times New Roman" w:cs="Times New Roman"/>
            <w:noProof/>
            <w:color w:val="auto"/>
            <w:u w:val="none"/>
          </w:rPr>
          <w:t>Table 2.4  Base values for SP scenarios</w:t>
        </w:r>
        <w:r w:rsidR="00765604" w:rsidRPr="00765604">
          <w:rPr>
            <w:rFonts w:ascii="Times New Roman" w:hAnsi="Times New Roman" w:cs="Times New Roman"/>
            <w:noProof/>
            <w:webHidden/>
          </w:rPr>
          <w:tab/>
          <w:t>40</w:t>
        </w:r>
      </w:hyperlink>
    </w:p>
    <w:p w14:paraId="5F08ADCD" w14:textId="77777777" w:rsidR="00765604" w:rsidRPr="00765604" w:rsidRDefault="00A27D2B" w:rsidP="00765604">
      <w:pPr>
        <w:pStyle w:val="TableofFigures"/>
        <w:tabs>
          <w:tab w:val="right" w:leader="dot" w:pos="9394"/>
        </w:tabs>
        <w:spacing w:line="240" w:lineRule="auto"/>
        <w:rPr>
          <w:rFonts w:ascii="Times New Roman" w:eastAsiaTheme="minorEastAsia" w:hAnsi="Times New Roman" w:cs="Times New Roman"/>
          <w:noProof/>
          <w:sz w:val="22"/>
          <w:szCs w:val="22"/>
          <w:lang w:eastAsia="en-CA"/>
        </w:rPr>
      </w:pPr>
      <w:hyperlink w:anchor="_Toc528649790" w:history="1">
        <w:r w:rsidR="00765604" w:rsidRPr="005B0597">
          <w:rPr>
            <w:rStyle w:val="Hyperlink"/>
            <w:rFonts w:ascii="Times New Roman" w:hAnsi="Times New Roman" w:cs="Times New Roman"/>
            <w:noProof/>
            <w:color w:val="auto"/>
            <w:u w:val="none"/>
          </w:rPr>
          <w:t>Table 2.5 Relative attribute levels used in SP scenarios</w:t>
        </w:r>
        <w:r w:rsidR="00765604" w:rsidRPr="00765604">
          <w:rPr>
            <w:rFonts w:ascii="Times New Roman" w:hAnsi="Times New Roman" w:cs="Times New Roman"/>
            <w:noProof/>
            <w:webHidden/>
          </w:rPr>
          <w:tab/>
          <w:t>41</w:t>
        </w:r>
      </w:hyperlink>
    </w:p>
    <w:p w14:paraId="6B006AC9" w14:textId="77777777" w:rsidR="00765604" w:rsidRPr="00765604" w:rsidRDefault="00A27D2B" w:rsidP="00765604">
      <w:pPr>
        <w:pStyle w:val="TableofFigures"/>
        <w:tabs>
          <w:tab w:val="right" w:leader="dot" w:pos="9394"/>
        </w:tabs>
        <w:spacing w:line="240" w:lineRule="auto"/>
        <w:rPr>
          <w:rFonts w:ascii="Times New Roman" w:eastAsiaTheme="minorEastAsia" w:hAnsi="Times New Roman" w:cs="Times New Roman"/>
          <w:noProof/>
          <w:sz w:val="22"/>
          <w:szCs w:val="22"/>
          <w:lang w:eastAsia="en-CA"/>
        </w:rPr>
      </w:pPr>
      <w:hyperlink w:anchor="_Toc528649794" w:history="1">
        <w:r w:rsidR="00765604" w:rsidRPr="005B0597">
          <w:rPr>
            <w:rStyle w:val="Hyperlink"/>
            <w:rFonts w:ascii="Times New Roman" w:hAnsi="Times New Roman" w:cs="Times New Roman"/>
            <w:noProof/>
            <w:color w:val="auto"/>
            <w:u w:val="none"/>
          </w:rPr>
          <w:t>Table 3.1 Selected EV studies by region</w:t>
        </w:r>
        <w:r w:rsidR="00765604" w:rsidRPr="00765604">
          <w:rPr>
            <w:rFonts w:ascii="Times New Roman" w:hAnsi="Times New Roman" w:cs="Times New Roman"/>
            <w:noProof/>
            <w:webHidden/>
          </w:rPr>
          <w:tab/>
          <w:t>60</w:t>
        </w:r>
      </w:hyperlink>
    </w:p>
    <w:p w14:paraId="0A0D8EA5" w14:textId="77777777" w:rsidR="00765604" w:rsidRPr="00765604" w:rsidRDefault="00A27D2B" w:rsidP="00765604">
      <w:pPr>
        <w:pStyle w:val="TableofFigures"/>
        <w:tabs>
          <w:tab w:val="right" w:leader="dot" w:pos="9394"/>
        </w:tabs>
        <w:spacing w:line="240" w:lineRule="auto"/>
        <w:rPr>
          <w:rFonts w:ascii="Times New Roman" w:eastAsiaTheme="minorEastAsia" w:hAnsi="Times New Roman" w:cs="Times New Roman"/>
          <w:noProof/>
          <w:sz w:val="22"/>
          <w:szCs w:val="22"/>
          <w:lang w:eastAsia="en-CA"/>
        </w:rPr>
      </w:pPr>
      <w:hyperlink w:anchor="_Toc528649795" w:history="1">
        <w:r w:rsidR="00765604" w:rsidRPr="005B0597">
          <w:rPr>
            <w:rStyle w:val="Hyperlink"/>
            <w:rFonts w:ascii="Times New Roman" w:hAnsi="Times New Roman" w:cs="Times New Roman"/>
            <w:noProof/>
            <w:color w:val="auto"/>
            <w:u w:val="none"/>
          </w:rPr>
          <w:t>Table 3.2 Demographic characteristics by province (Source: Statistics Canada, 2016)</w:t>
        </w:r>
        <w:r w:rsidR="00765604" w:rsidRPr="00765604">
          <w:rPr>
            <w:rFonts w:ascii="Times New Roman" w:hAnsi="Times New Roman" w:cs="Times New Roman"/>
            <w:noProof/>
            <w:webHidden/>
          </w:rPr>
          <w:tab/>
          <w:t>63</w:t>
        </w:r>
      </w:hyperlink>
    </w:p>
    <w:p w14:paraId="4525F987" w14:textId="5B147AFB" w:rsidR="00765604" w:rsidRPr="00765604" w:rsidRDefault="00A27D2B" w:rsidP="00765604">
      <w:pPr>
        <w:pStyle w:val="TableofFigures"/>
        <w:tabs>
          <w:tab w:val="right" w:leader="dot" w:pos="9394"/>
        </w:tabs>
        <w:spacing w:line="240" w:lineRule="auto"/>
        <w:rPr>
          <w:rFonts w:ascii="Times New Roman" w:eastAsiaTheme="minorEastAsia" w:hAnsi="Times New Roman" w:cs="Times New Roman"/>
          <w:noProof/>
          <w:sz w:val="22"/>
          <w:szCs w:val="22"/>
          <w:lang w:eastAsia="en-CA"/>
        </w:rPr>
      </w:pPr>
      <w:hyperlink w:anchor="_Toc528649796" w:history="1">
        <w:r w:rsidR="00765604" w:rsidRPr="005B0597">
          <w:rPr>
            <w:rStyle w:val="Hyperlink"/>
            <w:rFonts w:ascii="Times New Roman" w:hAnsi="Times New Roman" w:cs="Times New Roman"/>
            <w:noProof/>
            <w:color w:val="auto"/>
            <w:u w:val="none"/>
          </w:rPr>
          <w:t>Table 3.3 Base values for the SP scenarios</w:t>
        </w:r>
        <w:r w:rsidR="00765604" w:rsidRPr="00765604">
          <w:rPr>
            <w:rFonts w:ascii="Times New Roman" w:hAnsi="Times New Roman" w:cs="Times New Roman"/>
            <w:noProof/>
            <w:webHidden/>
          </w:rPr>
          <w:tab/>
        </w:r>
        <w:r w:rsidR="00C40462">
          <w:rPr>
            <w:rFonts w:ascii="Times New Roman" w:hAnsi="Times New Roman" w:cs="Times New Roman"/>
            <w:noProof/>
            <w:webHidden/>
          </w:rPr>
          <w:t>67</w:t>
        </w:r>
      </w:hyperlink>
    </w:p>
    <w:p w14:paraId="5CE2829D" w14:textId="77777777" w:rsidR="00765604" w:rsidRPr="00765604" w:rsidRDefault="00A27D2B" w:rsidP="00765604">
      <w:pPr>
        <w:pStyle w:val="TableofFigures"/>
        <w:tabs>
          <w:tab w:val="right" w:leader="dot" w:pos="9394"/>
        </w:tabs>
        <w:spacing w:line="240" w:lineRule="auto"/>
        <w:rPr>
          <w:rFonts w:ascii="Times New Roman" w:eastAsiaTheme="minorEastAsia" w:hAnsi="Times New Roman" w:cs="Times New Roman"/>
          <w:noProof/>
          <w:sz w:val="22"/>
          <w:szCs w:val="22"/>
          <w:lang w:eastAsia="en-CA"/>
        </w:rPr>
      </w:pPr>
      <w:hyperlink w:anchor="_Toc528649797" w:history="1">
        <w:r w:rsidR="00765604" w:rsidRPr="005B0597">
          <w:rPr>
            <w:rStyle w:val="Hyperlink"/>
            <w:rFonts w:ascii="Times New Roman" w:hAnsi="Times New Roman" w:cs="Times New Roman"/>
            <w:noProof/>
            <w:color w:val="auto"/>
            <w:u w:val="none"/>
          </w:rPr>
          <w:t>Table 3.4 Attribute levels for the experimental design</w:t>
        </w:r>
        <w:r w:rsidR="00765604" w:rsidRPr="00765604">
          <w:rPr>
            <w:rFonts w:ascii="Times New Roman" w:hAnsi="Times New Roman" w:cs="Times New Roman"/>
            <w:noProof/>
            <w:webHidden/>
          </w:rPr>
          <w:tab/>
          <w:t>67</w:t>
        </w:r>
      </w:hyperlink>
    </w:p>
    <w:p w14:paraId="78B9A151" w14:textId="77777777" w:rsidR="00765604" w:rsidRPr="00765604" w:rsidRDefault="00A27D2B" w:rsidP="00765604">
      <w:pPr>
        <w:pStyle w:val="TableofFigures"/>
        <w:tabs>
          <w:tab w:val="right" w:leader="dot" w:pos="9394"/>
        </w:tabs>
        <w:spacing w:line="240" w:lineRule="auto"/>
        <w:rPr>
          <w:rFonts w:ascii="Times New Roman" w:eastAsiaTheme="minorEastAsia" w:hAnsi="Times New Roman" w:cs="Times New Roman"/>
          <w:noProof/>
          <w:sz w:val="22"/>
          <w:szCs w:val="22"/>
          <w:lang w:eastAsia="en-CA"/>
        </w:rPr>
      </w:pPr>
      <w:hyperlink w:anchor="_Toc528649798" w:history="1">
        <w:r w:rsidR="00765604" w:rsidRPr="005B0597">
          <w:rPr>
            <w:rStyle w:val="Hyperlink"/>
            <w:rFonts w:ascii="Times New Roman" w:hAnsi="Times New Roman" w:cs="Times New Roman"/>
            <w:noProof/>
            <w:color w:val="auto"/>
            <w:u w:val="none"/>
          </w:rPr>
          <w:t>Table 3.5 Latent class model statistics for assessing the optimum number of classes</w:t>
        </w:r>
        <w:r w:rsidR="00765604" w:rsidRPr="00765604">
          <w:rPr>
            <w:rFonts w:ascii="Times New Roman" w:hAnsi="Times New Roman" w:cs="Times New Roman"/>
            <w:noProof/>
            <w:webHidden/>
          </w:rPr>
          <w:tab/>
          <w:t>70</w:t>
        </w:r>
      </w:hyperlink>
    </w:p>
    <w:p w14:paraId="046E89EE" w14:textId="77777777" w:rsidR="00765604" w:rsidRPr="00765604" w:rsidRDefault="00A27D2B" w:rsidP="00765604">
      <w:pPr>
        <w:pStyle w:val="TableofFigures"/>
        <w:tabs>
          <w:tab w:val="right" w:leader="dot" w:pos="9394"/>
        </w:tabs>
        <w:spacing w:line="240" w:lineRule="auto"/>
        <w:rPr>
          <w:rFonts w:ascii="Times New Roman" w:eastAsiaTheme="minorEastAsia" w:hAnsi="Times New Roman" w:cs="Times New Roman"/>
          <w:noProof/>
          <w:sz w:val="22"/>
          <w:szCs w:val="22"/>
          <w:lang w:eastAsia="en-CA"/>
        </w:rPr>
      </w:pPr>
      <w:hyperlink w:anchor="_Toc528649799" w:history="1">
        <w:r w:rsidR="00765604" w:rsidRPr="005B0597">
          <w:rPr>
            <w:rStyle w:val="Hyperlink"/>
            <w:rFonts w:ascii="Times New Roman" w:hAnsi="Times New Roman" w:cs="Times New Roman"/>
            <w:noProof/>
            <w:color w:val="auto"/>
            <w:u w:val="none"/>
          </w:rPr>
          <w:t>Table 3.6 Variable definitions and statistics</w:t>
        </w:r>
        <w:r w:rsidR="00765604" w:rsidRPr="00765604">
          <w:rPr>
            <w:rFonts w:ascii="Times New Roman" w:hAnsi="Times New Roman" w:cs="Times New Roman"/>
            <w:noProof/>
            <w:webHidden/>
          </w:rPr>
          <w:tab/>
          <w:t>71</w:t>
        </w:r>
      </w:hyperlink>
    </w:p>
    <w:p w14:paraId="1FAE1959" w14:textId="77777777" w:rsidR="00765604" w:rsidRPr="00765604" w:rsidRDefault="00A27D2B" w:rsidP="00765604">
      <w:pPr>
        <w:pStyle w:val="TableofFigures"/>
        <w:tabs>
          <w:tab w:val="right" w:leader="dot" w:pos="9394"/>
        </w:tabs>
        <w:spacing w:line="240" w:lineRule="auto"/>
        <w:rPr>
          <w:rFonts w:ascii="Times New Roman" w:eastAsiaTheme="minorEastAsia" w:hAnsi="Times New Roman" w:cs="Times New Roman"/>
          <w:noProof/>
          <w:sz w:val="22"/>
          <w:szCs w:val="22"/>
          <w:lang w:eastAsia="en-CA"/>
        </w:rPr>
      </w:pPr>
      <w:hyperlink w:anchor="_Toc528649800" w:history="1">
        <w:r w:rsidR="00765604" w:rsidRPr="005B0597">
          <w:rPr>
            <w:rStyle w:val="Hyperlink"/>
            <w:rFonts w:ascii="Times New Roman" w:hAnsi="Times New Roman" w:cs="Times New Roman"/>
            <w:noProof/>
            <w:color w:val="auto"/>
            <w:u w:val="none"/>
          </w:rPr>
          <w:t>Table 3.7 Latent class membership model results</w:t>
        </w:r>
        <w:r w:rsidR="00765604" w:rsidRPr="00765604">
          <w:rPr>
            <w:rFonts w:ascii="Times New Roman" w:hAnsi="Times New Roman" w:cs="Times New Roman"/>
            <w:noProof/>
            <w:webHidden/>
          </w:rPr>
          <w:tab/>
          <w:t>73</w:t>
        </w:r>
      </w:hyperlink>
    </w:p>
    <w:p w14:paraId="750F3369" w14:textId="77777777" w:rsidR="00765604" w:rsidRPr="00765604" w:rsidRDefault="00A27D2B" w:rsidP="00765604">
      <w:pPr>
        <w:pStyle w:val="TableofFigures"/>
        <w:tabs>
          <w:tab w:val="right" w:leader="dot" w:pos="9394"/>
        </w:tabs>
        <w:spacing w:line="240" w:lineRule="auto"/>
        <w:rPr>
          <w:rFonts w:ascii="Times New Roman" w:eastAsiaTheme="minorEastAsia" w:hAnsi="Times New Roman" w:cs="Times New Roman"/>
          <w:noProof/>
          <w:sz w:val="22"/>
          <w:szCs w:val="22"/>
          <w:lang w:eastAsia="en-CA"/>
        </w:rPr>
      </w:pPr>
      <w:hyperlink w:anchor="_Toc528649801" w:history="1">
        <w:r w:rsidR="00765604" w:rsidRPr="005B0597">
          <w:rPr>
            <w:rStyle w:val="Hyperlink"/>
            <w:rFonts w:ascii="Times New Roman" w:hAnsi="Times New Roman" w:cs="Times New Roman"/>
            <w:noProof/>
            <w:color w:val="auto"/>
            <w:u w:val="none"/>
          </w:rPr>
          <w:t>Table 3.8 MNL and latent class-specific choice model results</w:t>
        </w:r>
        <w:r w:rsidR="00765604" w:rsidRPr="00765604">
          <w:rPr>
            <w:rFonts w:ascii="Times New Roman" w:hAnsi="Times New Roman" w:cs="Times New Roman"/>
            <w:noProof/>
            <w:webHidden/>
          </w:rPr>
          <w:tab/>
          <w:t>76</w:t>
        </w:r>
      </w:hyperlink>
    </w:p>
    <w:p w14:paraId="6334394E" w14:textId="77777777" w:rsidR="00765604" w:rsidRPr="00765604" w:rsidRDefault="00A27D2B" w:rsidP="00765604">
      <w:pPr>
        <w:pStyle w:val="TableofFigures"/>
        <w:tabs>
          <w:tab w:val="right" w:leader="dot" w:pos="9394"/>
        </w:tabs>
        <w:spacing w:line="240" w:lineRule="auto"/>
        <w:rPr>
          <w:rFonts w:ascii="Times New Roman" w:eastAsiaTheme="minorEastAsia" w:hAnsi="Times New Roman" w:cs="Times New Roman"/>
          <w:noProof/>
          <w:sz w:val="22"/>
          <w:szCs w:val="22"/>
          <w:lang w:eastAsia="en-CA"/>
        </w:rPr>
      </w:pPr>
      <w:hyperlink w:anchor="_Toc528649802" w:history="1">
        <w:r w:rsidR="00765604" w:rsidRPr="005B0597">
          <w:rPr>
            <w:rStyle w:val="Hyperlink"/>
            <w:rFonts w:ascii="Times New Roman" w:hAnsi="Times New Roman" w:cs="Times New Roman"/>
            <w:noProof/>
            <w:color w:val="auto"/>
            <w:u w:val="none"/>
          </w:rPr>
          <w:t>Table 3.9 Willingness to pay</w:t>
        </w:r>
        <w:r w:rsidR="00765604" w:rsidRPr="00765604">
          <w:rPr>
            <w:rFonts w:ascii="Times New Roman" w:hAnsi="Times New Roman" w:cs="Times New Roman"/>
            <w:noProof/>
            <w:webHidden/>
          </w:rPr>
          <w:tab/>
          <w:t>80</w:t>
        </w:r>
      </w:hyperlink>
    </w:p>
    <w:p w14:paraId="65875068" w14:textId="77777777" w:rsidR="00765604" w:rsidRPr="00765604" w:rsidRDefault="00A27D2B" w:rsidP="00765604">
      <w:pPr>
        <w:pStyle w:val="TableofFigures"/>
        <w:tabs>
          <w:tab w:val="right" w:leader="dot" w:pos="9394"/>
        </w:tabs>
        <w:spacing w:line="240" w:lineRule="auto"/>
        <w:rPr>
          <w:rFonts w:ascii="Times New Roman" w:eastAsiaTheme="minorEastAsia" w:hAnsi="Times New Roman" w:cs="Times New Roman"/>
          <w:noProof/>
          <w:sz w:val="22"/>
          <w:szCs w:val="22"/>
          <w:lang w:eastAsia="en-CA"/>
        </w:rPr>
      </w:pPr>
      <w:hyperlink w:anchor="_Toc528649805" w:history="1">
        <w:r w:rsidR="00765604" w:rsidRPr="005B0597">
          <w:rPr>
            <w:rStyle w:val="Hyperlink"/>
            <w:rFonts w:ascii="Times New Roman" w:hAnsi="Times New Roman" w:cs="Times New Roman"/>
            <w:noProof/>
            <w:color w:val="auto"/>
            <w:u w:val="none"/>
          </w:rPr>
          <w:t>Table 4.1 Input parameters for the TCO model: household specific variables</w:t>
        </w:r>
        <w:r w:rsidR="00765604" w:rsidRPr="00765604">
          <w:rPr>
            <w:rFonts w:ascii="Times New Roman" w:hAnsi="Times New Roman" w:cs="Times New Roman"/>
            <w:noProof/>
            <w:webHidden/>
          </w:rPr>
          <w:tab/>
          <w:t>101</w:t>
        </w:r>
      </w:hyperlink>
    </w:p>
    <w:p w14:paraId="13249547" w14:textId="77777777" w:rsidR="00765604" w:rsidRPr="00765604" w:rsidRDefault="00A27D2B" w:rsidP="00765604">
      <w:pPr>
        <w:pStyle w:val="TableofFigures"/>
        <w:tabs>
          <w:tab w:val="right" w:leader="dot" w:pos="9394"/>
        </w:tabs>
        <w:spacing w:line="240" w:lineRule="auto"/>
        <w:rPr>
          <w:rFonts w:ascii="Times New Roman" w:eastAsiaTheme="minorEastAsia" w:hAnsi="Times New Roman" w:cs="Times New Roman"/>
          <w:noProof/>
          <w:sz w:val="22"/>
          <w:szCs w:val="22"/>
          <w:lang w:eastAsia="en-CA"/>
        </w:rPr>
      </w:pPr>
      <w:hyperlink w:anchor="_Toc528649806" w:history="1">
        <w:r w:rsidR="00765604" w:rsidRPr="005B0597">
          <w:rPr>
            <w:rStyle w:val="Hyperlink"/>
            <w:rFonts w:ascii="Times New Roman" w:hAnsi="Times New Roman" w:cs="Times New Roman"/>
            <w:noProof/>
            <w:color w:val="auto"/>
            <w:u w:val="none"/>
          </w:rPr>
          <w:t>Table 4.2 Input parameters for the TCO model: market variables</w:t>
        </w:r>
        <w:r w:rsidR="00765604" w:rsidRPr="00765604">
          <w:rPr>
            <w:rFonts w:ascii="Times New Roman" w:hAnsi="Times New Roman" w:cs="Times New Roman"/>
            <w:noProof/>
            <w:webHidden/>
          </w:rPr>
          <w:tab/>
          <w:t>101</w:t>
        </w:r>
      </w:hyperlink>
    </w:p>
    <w:p w14:paraId="7D7F830E" w14:textId="77777777" w:rsidR="00765604" w:rsidRPr="00765604" w:rsidRDefault="00A27D2B" w:rsidP="00765604">
      <w:pPr>
        <w:pStyle w:val="TableofFigures"/>
        <w:tabs>
          <w:tab w:val="right" w:leader="dot" w:pos="9394"/>
        </w:tabs>
        <w:spacing w:line="240" w:lineRule="auto"/>
        <w:rPr>
          <w:rFonts w:ascii="Times New Roman" w:eastAsiaTheme="minorEastAsia" w:hAnsi="Times New Roman" w:cs="Times New Roman"/>
          <w:noProof/>
          <w:sz w:val="22"/>
          <w:szCs w:val="22"/>
          <w:lang w:eastAsia="en-CA"/>
        </w:rPr>
      </w:pPr>
      <w:hyperlink w:anchor="_Toc528649807" w:history="1">
        <w:r w:rsidR="00765604" w:rsidRPr="005B0597">
          <w:rPr>
            <w:rStyle w:val="Hyperlink"/>
            <w:rFonts w:ascii="Times New Roman" w:hAnsi="Times New Roman" w:cs="Times New Roman"/>
            <w:noProof/>
            <w:color w:val="auto"/>
            <w:u w:val="none"/>
          </w:rPr>
          <w:t>Table 4.3 Independent variables, their definitions, and statistics</w:t>
        </w:r>
        <w:r w:rsidR="00765604" w:rsidRPr="00765604">
          <w:rPr>
            <w:rFonts w:ascii="Times New Roman" w:hAnsi="Times New Roman" w:cs="Times New Roman"/>
            <w:noProof/>
            <w:webHidden/>
          </w:rPr>
          <w:tab/>
          <w:t>106</w:t>
        </w:r>
      </w:hyperlink>
    </w:p>
    <w:p w14:paraId="1FD3AE1E" w14:textId="77777777" w:rsidR="00765604" w:rsidRPr="00765604" w:rsidRDefault="00A27D2B" w:rsidP="00765604">
      <w:pPr>
        <w:pStyle w:val="TableofFigures"/>
        <w:tabs>
          <w:tab w:val="right" w:leader="dot" w:pos="9394"/>
        </w:tabs>
        <w:spacing w:line="240" w:lineRule="auto"/>
        <w:rPr>
          <w:rFonts w:ascii="Times New Roman" w:eastAsiaTheme="minorEastAsia" w:hAnsi="Times New Roman" w:cs="Times New Roman"/>
          <w:noProof/>
          <w:sz w:val="22"/>
          <w:szCs w:val="22"/>
          <w:lang w:eastAsia="en-CA"/>
        </w:rPr>
      </w:pPr>
      <w:hyperlink w:anchor="_Toc528649808" w:history="1">
        <w:r w:rsidR="00765604" w:rsidRPr="005B0597">
          <w:rPr>
            <w:rStyle w:val="Hyperlink"/>
            <w:rFonts w:ascii="Times New Roman" w:hAnsi="Times New Roman" w:cs="Times New Roman"/>
            <w:noProof/>
            <w:color w:val="auto"/>
            <w:u w:val="none"/>
          </w:rPr>
          <w:t>Table 4.4 Estimation results for bivariate ordered probit model</w:t>
        </w:r>
        <w:r w:rsidR="00765604" w:rsidRPr="00765604">
          <w:rPr>
            <w:rFonts w:ascii="Times New Roman" w:hAnsi="Times New Roman" w:cs="Times New Roman"/>
            <w:noProof/>
            <w:webHidden/>
          </w:rPr>
          <w:tab/>
          <w:t>110</w:t>
        </w:r>
      </w:hyperlink>
    </w:p>
    <w:p w14:paraId="0A61F4F3" w14:textId="77777777" w:rsidR="00485DA0" w:rsidRDefault="00485DA0" w:rsidP="00BB41CC">
      <w:pPr>
        <w:tabs>
          <w:tab w:val="left" w:pos="5220"/>
        </w:tabs>
        <w:jc w:val="center"/>
        <w:rPr>
          <w:rFonts w:ascii="Times New Roman" w:hAnsi="Times New Roman" w:cs="Times New Roman"/>
          <w:b/>
        </w:rPr>
      </w:pPr>
    </w:p>
    <w:p w14:paraId="6AFECC64" w14:textId="77777777" w:rsidR="00485DA0" w:rsidRDefault="00485DA0" w:rsidP="00BB41CC">
      <w:pPr>
        <w:tabs>
          <w:tab w:val="left" w:pos="5220"/>
        </w:tabs>
        <w:jc w:val="center"/>
        <w:rPr>
          <w:rFonts w:ascii="Times New Roman" w:hAnsi="Times New Roman" w:cs="Times New Roman"/>
          <w:b/>
        </w:rPr>
      </w:pPr>
    </w:p>
    <w:p w14:paraId="4BF4086C" w14:textId="77777777" w:rsidR="00485DA0" w:rsidRDefault="00485DA0" w:rsidP="00BB41CC">
      <w:pPr>
        <w:tabs>
          <w:tab w:val="left" w:pos="5220"/>
        </w:tabs>
        <w:jc w:val="center"/>
        <w:rPr>
          <w:rFonts w:ascii="Times New Roman" w:hAnsi="Times New Roman" w:cs="Times New Roman"/>
          <w:b/>
        </w:rPr>
      </w:pPr>
    </w:p>
    <w:p w14:paraId="6BF3E6E1" w14:textId="77777777" w:rsidR="00485DA0" w:rsidRDefault="00485DA0" w:rsidP="00BB41CC">
      <w:pPr>
        <w:tabs>
          <w:tab w:val="left" w:pos="5220"/>
        </w:tabs>
        <w:jc w:val="center"/>
        <w:rPr>
          <w:rFonts w:ascii="Times New Roman" w:hAnsi="Times New Roman" w:cs="Times New Roman"/>
          <w:b/>
        </w:rPr>
      </w:pPr>
    </w:p>
    <w:p w14:paraId="06ED492B" w14:textId="77777777" w:rsidR="003A6160" w:rsidRPr="003A6160" w:rsidRDefault="00485DA0" w:rsidP="00F85B74">
      <w:pPr>
        <w:pStyle w:val="Heading1"/>
        <w:numPr>
          <w:ilvl w:val="0"/>
          <w:numId w:val="0"/>
        </w:numPr>
        <w:jc w:val="center"/>
        <w:rPr>
          <w:rFonts w:ascii="Times New Roman" w:hAnsi="Times New Roman"/>
          <w:szCs w:val="24"/>
        </w:rPr>
      </w:pPr>
      <w:bookmarkStart w:id="8" w:name="_Toc528650844"/>
      <w:r w:rsidRPr="00485DA0">
        <w:rPr>
          <w:rFonts w:ascii="Times New Roman" w:hAnsi="Times New Roman"/>
          <w:szCs w:val="24"/>
        </w:rPr>
        <w:lastRenderedPageBreak/>
        <w:t>List of Abbreviations</w:t>
      </w:r>
      <w:bookmarkEnd w:id="8"/>
    </w:p>
    <w:p w14:paraId="581C9ACF" w14:textId="77777777" w:rsidR="003A6160" w:rsidRDefault="003A6160" w:rsidP="003A6160">
      <w:pPr>
        <w:spacing w:line="240" w:lineRule="auto"/>
        <w:rPr>
          <w:rFonts w:ascii="Times New Roman" w:hAnsi="Times New Roman" w:cs="Times New Roman"/>
          <w:color w:val="000000"/>
        </w:rPr>
      </w:pPr>
      <w:r w:rsidRPr="003C3597">
        <w:rPr>
          <w:rFonts w:ascii="Times New Roman" w:hAnsi="Times New Roman" w:cs="Times New Roman"/>
          <w:color w:val="000000"/>
        </w:rPr>
        <w:t>AIC</w:t>
      </w:r>
      <w:r w:rsidRPr="005E5785">
        <w:rPr>
          <w:rFonts w:ascii="Times New Roman" w:hAnsi="Times New Roman" w:cs="Times New Roman"/>
          <w:color w:val="000000"/>
        </w:rPr>
        <w:t xml:space="preserve"> </w:t>
      </w:r>
      <w:r>
        <w:rPr>
          <w:rFonts w:ascii="Times New Roman" w:hAnsi="Times New Roman" w:cs="Times New Roman"/>
          <w:color w:val="000000"/>
        </w:rPr>
        <w:tab/>
      </w:r>
      <w:r>
        <w:rPr>
          <w:rFonts w:ascii="Times New Roman" w:hAnsi="Times New Roman" w:cs="Times New Roman"/>
          <w:color w:val="000000"/>
        </w:rPr>
        <w:tab/>
      </w:r>
      <w:r w:rsidRPr="003C3597">
        <w:rPr>
          <w:rFonts w:ascii="Times New Roman" w:hAnsi="Times New Roman" w:cs="Times New Roman"/>
          <w:color w:val="000000"/>
        </w:rPr>
        <w:t xml:space="preserve">Akaike Information Criterion </w:t>
      </w:r>
    </w:p>
    <w:p w14:paraId="5C6BED23" w14:textId="77777777" w:rsidR="003A6160" w:rsidRDefault="003A6160" w:rsidP="003A6160">
      <w:pPr>
        <w:spacing w:line="240" w:lineRule="auto"/>
        <w:rPr>
          <w:rFonts w:ascii="Times New Roman" w:hAnsi="Times New Roman" w:cs="Times New Roman"/>
          <w:color w:val="000000"/>
        </w:rPr>
      </w:pPr>
      <w:r w:rsidRPr="005E5785">
        <w:rPr>
          <w:rFonts w:ascii="Times New Roman" w:hAnsi="Times New Roman" w:cs="Times New Roman"/>
          <w:color w:val="000000"/>
        </w:rPr>
        <w:t xml:space="preserve">BEV </w:t>
      </w:r>
      <w:r>
        <w:rPr>
          <w:rFonts w:ascii="Times New Roman" w:hAnsi="Times New Roman" w:cs="Times New Roman"/>
          <w:color w:val="000000"/>
        </w:rPr>
        <w:tab/>
      </w:r>
      <w:r>
        <w:rPr>
          <w:rFonts w:ascii="Times New Roman" w:hAnsi="Times New Roman" w:cs="Times New Roman"/>
          <w:color w:val="000000"/>
        </w:rPr>
        <w:tab/>
      </w:r>
      <w:r w:rsidR="00FD5D9C">
        <w:rPr>
          <w:rFonts w:ascii="Times New Roman" w:hAnsi="Times New Roman" w:cs="Times New Roman"/>
          <w:color w:val="000000"/>
        </w:rPr>
        <w:t xml:space="preserve">Battery electric vehicles </w:t>
      </w:r>
    </w:p>
    <w:p w14:paraId="33752DCF" w14:textId="77777777" w:rsidR="003A6160" w:rsidRDefault="003A6160" w:rsidP="003A6160">
      <w:pPr>
        <w:spacing w:line="240" w:lineRule="auto"/>
        <w:rPr>
          <w:rFonts w:ascii="Times New Roman" w:hAnsi="Times New Roman" w:cs="Times New Roman"/>
          <w:color w:val="000000"/>
        </w:rPr>
      </w:pPr>
      <w:r>
        <w:rPr>
          <w:rFonts w:ascii="Times New Roman" w:hAnsi="Times New Roman" w:cs="Times New Roman"/>
          <w:color w:val="000000"/>
        </w:rPr>
        <w:t>BIC</w:t>
      </w:r>
      <w:r w:rsidRPr="003C3597">
        <w:rPr>
          <w:rFonts w:ascii="Times New Roman" w:hAnsi="Times New Roman" w:cs="Times New Roman"/>
          <w:color w:val="000000"/>
        </w:rPr>
        <w:t xml:space="preserve"> </w:t>
      </w:r>
      <w:r>
        <w:rPr>
          <w:rFonts w:ascii="Times New Roman" w:hAnsi="Times New Roman" w:cs="Times New Roman"/>
          <w:color w:val="000000"/>
        </w:rPr>
        <w:tab/>
      </w:r>
      <w:r>
        <w:rPr>
          <w:rFonts w:ascii="Times New Roman" w:hAnsi="Times New Roman" w:cs="Times New Roman"/>
          <w:color w:val="000000"/>
        </w:rPr>
        <w:tab/>
      </w:r>
      <w:r w:rsidRPr="003C3597">
        <w:rPr>
          <w:rFonts w:ascii="Times New Roman" w:hAnsi="Times New Roman" w:cs="Times New Roman"/>
          <w:color w:val="000000"/>
        </w:rPr>
        <w:t>Bayes</w:t>
      </w:r>
      <w:r w:rsidR="00FD5D9C">
        <w:rPr>
          <w:rFonts w:ascii="Times New Roman" w:hAnsi="Times New Roman" w:cs="Times New Roman"/>
          <w:color w:val="000000"/>
        </w:rPr>
        <w:t xml:space="preserve">ian Information Criterion </w:t>
      </w:r>
    </w:p>
    <w:p w14:paraId="316B2CBA" w14:textId="77777777" w:rsidR="003A6160" w:rsidRDefault="003A6160" w:rsidP="003A6160">
      <w:pPr>
        <w:spacing w:line="240" w:lineRule="auto"/>
        <w:rPr>
          <w:rFonts w:ascii="Times New Roman" w:hAnsi="Times New Roman" w:cs="Times New Roman"/>
          <w:color w:val="000000"/>
        </w:rPr>
      </w:pPr>
      <w:r>
        <w:rPr>
          <w:rFonts w:ascii="Times New Roman" w:hAnsi="Times New Roman" w:cs="Times New Roman"/>
          <w:color w:val="000000"/>
        </w:rPr>
        <w:t xml:space="preserve">BC </w:t>
      </w:r>
      <w:r>
        <w:rPr>
          <w:rFonts w:ascii="Times New Roman" w:hAnsi="Times New Roman" w:cs="Times New Roman"/>
          <w:color w:val="000000"/>
        </w:rPr>
        <w:tab/>
      </w:r>
      <w:r>
        <w:rPr>
          <w:rFonts w:ascii="Times New Roman" w:hAnsi="Times New Roman" w:cs="Times New Roman"/>
          <w:color w:val="000000"/>
        </w:rPr>
        <w:tab/>
      </w:r>
      <w:r w:rsidRPr="003A6160">
        <w:rPr>
          <w:rFonts w:ascii="Times New Roman" w:hAnsi="Times New Roman" w:cs="Times New Roman"/>
          <w:color w:val="000000"/>
        </w:rPr>
        <w:t>British Columbia</w:t>
      </w:r>
    </w:p>
    <w:p w14:paraId="779F9CD4" w14:textId="77777777" w:rsidR="003A6160" w:rsidRPr="003A6160" w:rsidRDefault="003A6160" w:rsidP="003A6160">
      <w:pPr>
        <w:spacing w:line="240" w:lineRule="auto"/>
        <w:rPr>
          <w:rFonts w:ascii="Times New Roman" w:hAnsi="Times New Roman" w:cs="Times New Roman"/>
          <w:color w:val="000000"/>
        </w:rPr>
      </w:pPr>
      <w:r>
        <w:rPr>
          <w:rFonts w:ascii="Times New Roman" w:hAnsi="Times New Roman" w:cs="Times New Roman"/>
          <w:color w:val="000000"/>
        </w:rPr>
        <w:t>CAA</w:t>
      </w:r>
      <w:r>
        <w:rPr>
          <w:rFonts w:ascii="Times New Roman" w:hAnsi="Times New Roman" w:cs="Times New Roman"/>
          <w:color w:val="000000"/>
        </w:rPr>
        <w:tab/>
      </w:r>
      <w:r>
        <w:rPr>
          <w:rFonts w:ascii="Times New Roman" w:hAnsi="Times New Roman" w:cs="Times New Roman"/>
          <w:color w:val="000000"/>
        </w:rPr>
        <w:tab/>
        <w:t xml:space="preserve">Canadian Automobile Association </w:t>
      </w:r>
    </w:p>
    <w:p w14:paraId="4150793C" w14:textId="77777777" w:rsidR="003A6160" w:rsidRDefault="003A6160" w:rsidP="003A6160">
      <w:pPr>
        <w:spacing w:line="240" w:lineRule="auto"/>
      </w:pPr>
      <w:r w:rsidRPr="005E5785">
        <w:rPr>
          <w:rFonts w:ascii="Times New Roman" w:hAnsi="Times New Roman" w:cs="Times New Roman"/>
          <w:color w:val="000000"/>
        </w:rPr>
        <w:t>CO2</w:t>
      </w:r>
      <w:r>
        <w:rPr>
          <w:rFonts w:ascii="Times New Roman" w:hAnsi="Times New Roman" w:cs="Times New Roman"/>
          <w:color w:val="000000"/>
        </w:rPr>
        <w:tab/>
      </w:r>
      <w:r>
        <w:rPr>
          <w:rFonts w:ascii="Times New Roman" w:hAnsi="Times New Roman" w:cs="Times New Roman"/>
          <w:color w:val="000000"/>
        </w:rPr>
        <w:tab/>
      </w:r>
      <w:r w:rsidRPr="0039028B">
        <w:rPr>
          <w:rFonts w:ascii="Times New Roman" w:hAnsi="Times New Roman" w:cs="Times New Roman"/>
          <w:color w:val="000000"/>
        </w:rPr>
        <w:t xml:space="preserve">Carbon dioxide </w:t>
      </w:r>
    </w:p>
    <w:p w14:paraId="4747D554" w14:textId="77777777" w:rsidR="003A6160" w:rsidRDefault="003A6160" w:rsidP="003A6160">
      <w:pPr>
        <w:spacing w:line="240" w:lineRule="auto"/>
        <w:rPr>
          <w:rFonts w:ascii="Times New Roman" w:hAnsi="Times New Roman" w:cs="Times New Roman"/>
          <w:color w:val="000000"/>
        </w:rPr>
      </w:pPr>
      <w:r>
        <w:rPr>
          <w:rFonts w:ascii="Times New Roman" w:hAnsi="Times New Roman" w:cs="Times New Roman"/>
          <w:color w:val="000000"/>
        </w:rPr>
        <w:t>EV</w:t>
      </w:r>
      <w:r>
        <w:rPr>
          <w:rFonts w:ascii="Times New Roman" w:hAnsi="Times New Roman" w:cs="Times New Roman"/>
          <w:color w:val="000000"/>
        </w:rPr>
        <w:tab/>
      </w:r>
      <w:r>
        <w:rPr>
          <w:rFonts w:ascii="Times New Roman" w:hAnsi="Times New Roman" w:cs="Times New Roman"/>
          <w:color w:val="000000"/>
        </w:rPr>
        <w:tab/>
        <w:t xml:space="preserve">electric vehicles </w:t>
      </w:r>
    </w:p>
    <w:p w14:paraId="29CFCBE3" w14:textId="77777777" w:rsidR="003A6160" w:rsidRDefault="003A6160" w:rsidP="003A6160">
      <w:pPr>
        <w:spacing w:line="240" w:lineRule="auto"/>
      </w:pPr>
      <w:r w:rsidRPr="00D26D51">
        <w:rPr>
          <w:rFonts w:ascii="Times New Roman" w:hAnsi="Times New Roman" w:cs="Times New Roman"/>
          <w:color w:val="000000"/>
        </w:rPr>
        <w:t xml:space="preserve">GTHA </w:t>
      </w:r>
      <w:r>
        <w:rPr>
          <w:rFonts w:ascii="Times New Roman" w:hAnsi="Times New Roman" w:cs="Times New Roman"/>
          <w:color w:val="000000"/>
        </w:rPr>
        <w:tab/>
      </w:r>
      <w:r w:rsidRPr="00D26D51">
        <w:rPr>
          <w:rFonts w:ascii="Times New Roman" w:hAnsi="Times New Roman" w:cs="Times New Roman"/>
          <w:color w:val="000000"/>
        </w:rPr>
        <w:t>Greater Toro</w:t>
      </w:r>
      <w:r w:rsidR="00FD5D9C">
        <w:rPr>
          <w:rFonts w:ascii="Times New Roman" w:hAnsi="Times New Roman" w:cs="Times New Roman"/>
          <w:color w:val="000000"/>
        </w:rPr>
        <w:t xml:space="preserve">nto and Hamilton Area </w:t>
      </w:r>
    </w:p>
    <w:p w14:paraId="23CD8B2C" w14:textId="77777777" w:rsidR="003A6160" w:rsidRDefault="003A6160" w:rsidP="003A6160">
      <w:pPr>
        <w:spacing w:line="240" w:lineRule="auto"/>
        <w:rPr>
          <w:rFonts w:ascii="Times New Roman" w:hAnsi="Times New Roman" w:cs="Times New Roman"/>
          <w:color w:val="000000"/>
        </w:rPr>
      </w:pPr>
      <w:r w:rsidRPr="005E5785">
        <w:rPr>
          <w:rFonts w:ascii="Times New Roman" w:hAnsi="Times New Roman" w:cs="Times New Roman"/>
          <w:color w:val="000000"/>
        </w:rPr>
        <w:t xml:space="preserve">GHG </w:t>
      </w:r>
      <w:r>
        <w:rPr>
          <w:rFonts w:ascii="Times New Roman" w:hAnsi="Times New Roman" w:cs="Times New Roman"/>
          <w:color w:val="000000"/>
        </w:rPr>
        <w:tab/>
      </w:r>
      <w:r>
        <w:rPr>
          <w:rFonts w:ascii="Times New Roman" w:hAnsi="Times New Roman" w:cs="Times New Roman"/>
          <w:color w:val="000000"/>
        </w:rPr>
        <w:tab/>
      </w:r>
      <w:r w:rsidR="00FD5D9C">
        <w:rPr>
          <w:rFonts w:ascii="Times New Roman" w:hAnsi="Times New Roman" w:cs="Times New Roman"/>
          <w:color w:val="000000"/>
        </w:rPr>
        <w:t xml:space="preserve">Greenhouse Gas </w:t>
      </w:r>
    </w:p>
    <w:p w14:paraId="1F60EA4F" w14:textId="77777777" w:rsidR="003A6160" w:rsidRDefault="003A6160" w:rsidP="003A6160">
      <w:pPr>
        <w:spacing w:line="240" w:lineRule="auto"/>
        <w:rPr>
          <w:rFonts w:ascii="Times New Roman" w:hAnsi="Times New Roman" w:cs="Times New Roman"/>
          <w:color w:val="000000"/>
        </w:rPr>
      </w:pPr>
      <w:r w:rsidRPr="003C3597">
        <w:rPr>
          <w:rFonts w:ascii="Times New Roman" w:hAnsi="Times New Roman" w:cs="Times New Roman"/>
          <w:color w:val="000000"/>
        </w:rPr>
        <w:t xml:space="preserve">HOV </w:t>
      </w:r>
      <w:r>
        <w:rPr>
          <w:rFonts w:ascii="Times New Roman" w:hAnsi="Times New Roman" w:cs="Times New Roman"/>
          <w:color w:val="000000"/>
        </w:rPr>
        <w:tab/>
      </w:r>
      <w:r>
        <w:rPr>
          <w:rFonts w:ascii="Times New Roman" w:hAnsi="Times New Roman" w:cs="Times New Roman"/>
          <w:color w:val="000000"/>
        </w:rPr>
        <w:tab/>
      </w:r>
      <w:r w:rsidRPr="003C3597">
        <w:rPr>
          <w:rFonts w:ascii="Times New Roman" w:hAnsi="Times New Roman" w:cs="Times New Roman"/>
          <w:color w:val="000000"/>
        </w:rPr>
        <w:t>High occupancy veh</w:t>
      </w:r>
      <w:r w:rsidR="00FD5D9C">
        <w:rPr>
          <w:rFonts w:ascii="Times New Roman" w:hAnsi="Times New Roman" w:cs="Times New Roman"/>
          <w:color w:val="000000"/>
        </w:rPr>
        <w:t xml:space="preserve">icle </w:t>
      </w:r>
    </w:p>
    <w:p w14:paraId="64098B93" w14:textId="77777777" w:rsidR="003A6160" w:rsidRDefault="003A6160" w:rsidP="003A6160">
      <w:pPr>
        <w:spacing w:line="240" w:lineRule="auto"/>
        <w:rPr>
          <w:rFonts w:ascii="Times New Roman" w:hAnsi="Times New Roman" w:cs="Times New Roman"/>
          <w:color w:val="000000"/>
        </w:rPr>
      </w:pPr>
      <w:r w:rsidRPr="005E5785">
        <w:rPr>
          <w:rFonts w:ascii="Times New Roman" w:hAnsi="Times New Roman" w:cs="Times New Roman"/>
          <w:color w:val="000000"/>
        </w:rPr>
        <w:t xml:space="preserve">HEV </w:t>
      </w:r>
      <w:r>
        <w:rPr>
          <w:rFonts w:ascii="Times New Roman" w:hAnsi="Times New Roman" w:cs="Times New Roman"/>
          <w:color w:val="000000"/>
        </w:rPr>
        <w:tab/>
      </w:r>
      <w:r>
        <w:rPr>
          <w:rFonts w:ascii="Times New Roman" w:hAnsi="Times New Roman" w:cs="Times New Roman"/>
          <w:color w:val="000000"/>
        </w:rPr>
        <w:tab/>
      </w:r>
      <w:r w:rsidRPr="005E5785">
        <w:rPr>
          <w:rFonts w:ascii="Times New Roman" w:hAnsi="Times New Roman" w:cs="Times New Roman"/>
          <w:color w:val="000000"/>
        </w:rPr>
        <w:t xml:space="preserve">hybridized </w:t>
      </w:r>
      <w:r w:rsidR="00FD5D9C">
        <w:rPr>
          <w:rFonts w:ascii="Times New Roman" w:hAnsi="Times New Roman" w:cs="Times New Roman"/>
          <w:color w:val="000000"/>
        </w:rPr>
        <w:t xml:space="preserve">engine vehicles </w:t>
      </w:r>
    </w:p>
    <w:p w14:paraId="5D3C6D0D" w14:textId="77777777" w:rsidR="003A6160" w:rsidRDefault="003A6160" w:rsidP="003A6160">
      <w:pPr>
        <w:spacing w:line="240" w:lineRule="auto"/>
        <w:rPr>
          <w:rFonts w:ascii="Times New Roman" w:hAnsi="Times New Roman" w:cs="Times New Roman"/>
        </w:rPr>
      </w:pPr>
      <w:r w:rsidRPr="005E5785">
        <w:rPr>
          <w:rFonts w:ascii="Times New Roman" w:hAnsi="Times New Roman" w:cs="Times New Roman"/>
        </w:rPr>
        <w:t xml:space="preserve">ICE </w:t>
      </w:r>
      <w:r>
        <w:rPr>
          <w:rFonts w:ascii="Times New Roman" w:hAnsi="Times New Roman" w:cs="Times New Roman"/>
        </w:rPr>
        <w:tab/>
      </w:r>
      <w:r>
        <w:rPr>
          <w:rFonts w:ascii="Times New Roman" w:hAnsi="Times New Roman" w:cs="Times New Roman"/>
        </w:rPr>
        <w:tab/>
      </w:r>
      <w:r w:rsidRPr="005E5785">
        <w:rPr>
          <w:rFonts w:ascii="Times New Roman" w:hAnsi="Times New Roman" w:cs="Times New Roman"/>
        </w:rPr>
        <w:t>Internal</w:t>
      </w:r>
      <w:r w:rsidR="00FD5D9C">
        <w:rPr>
          <w:rFonts w:ascii="Times New Roman" w:hAnsi="Times New Roman" w:cs="Times New Roman"/>
        </w:rPr>
        <w:t xml:space="preserve"> Combustion Engine vehicle </w:t>
      </w:r>
    </w:p>
    <w:p w14:paraId="72308614" w14:textId="77777777" w:rsidR="003A6160" w:rsidRDefault="003A6160" w:rsidP="003A6160">
      <w:pPr>
        <w:spacing w:line="240" w:lineRule="auto"/>
        <w:rPr>
          <w:rFonts w:ascii="Times New Roman" w:hAnsi="Times New Roman" w:cs="Times New Roman"/>
          <w:color w:val="000000"/>
        </w:rPr>
      </w:pPr>
      <w:r w:rsidRPr="00D26D51">
        <w:rPr>
          <w:rFonts w:ascii="Times New Roman" w:hAnsi="Times New Roman" w:cs="Times New Roman"/>
          <w:color w:val="000000"/>
        </w:rPr>
        <w:t>IEA</w:t>
      </w:r>
      <w:r>
        <w:rPr>
          <w:rFonts w:ascii="Times New Roman" w:hAnsi="Times New Roman" w:cs="Times New Roman"/>
          <w:color w:val="000000"/>
        </w:rPr>
        <w:tab/>
      </w:r>
      <w:r>
        <w:rPr>
          <w:rFonts w:ascii="Times New Roman" w:hAnsi="Times New Roman" w:cs="Times New Roman"/>
          <w:color w:val="000000"/>
        </w:rPr>
        <w:tab/>
        <w:t>International Energy Agency</w:t>
      </w:r>
    </w:p>
    <w:p w14:paraId="4A949EDB" w14:textId="77777777" w:rsidR="003A6160" w:rsidRDefault="003A6160" w:rsidP="003A6160">
      <w:pPr>
        <w:spacing w:line="240" w:lineRule="auto"/>
        <w:rPr>
          <w:rFonts w:ascii="Times New Roman" w:hAnsi="Times New Roman" w:cs="Times New Roman"/>
          <w:color w:val="000000"/>
        </w:rPr>
      </w:pPr>
      <w:r w:rsidRPr="005E5785">
        <w:rPr>
          <w:rFonts w:ascii="Times New Roman" w:hAnsi="Times New Roman" w:cs="Times New Roman"/>
          <w:color w:val="000000"/>
        </w:rPr>
        <w:t xml:space="preserve">LC </w:t>
      </w:r>
      <w:r>
        <w:rPr>
          <w:rFonts w:ascii="Times New Roman" w:hAnsi="Times New Roman" w:cs="Times New Roman"/>
          <w:color w:val="000000"/>
        </w:rPr>
        <w:tab/>
      </w:r>
      <w:r>
        <w:rPr>
          <w:rFonts w:ascii="Times New Roman" w:hAnsi="Times New Roman" w:cs="Times New Roman"/>
          <w:color w:val="000000"/>
        </w:rPr>
        <w:tab/>
        <w:t>Latent C</w:t>
      </w:r>
      <w:r w:rsidRPr="005E5785">
        <w:rPr>
          <w:rFonts w:ascii="Times New Roman" w:hAnsi="Times New Roman" w:cs="Times New Roman"/>
          <w:color w:val="000000"/>
        </w:rPr>
        <w:t>lass</w:t>
      </w:r>
      <w:r>
        <w:rPr>
          <w:rFonts w:ascii="Times New Roman" w:hAnsi="Times New Roman" w:cs="Times New Roman"/>
          <w:color w:val="000000"/>
        </w:rPr>
        <w:t xml:space="preserve"> model</w:t>
      </w:r>
      <w:r w:rsidR="00FD5D9C">
        <w:rPr>
          <w:rFonts w:ascii="Times New Roman" w:hAnsi="Times New Roman" w:cs="Times New Roman"/>
          <w:color w:val="000000"/>
        </w:rPr>
        <w:t xml:space="preserve"> </w:t>
      </w:r>
    </w:p>
    <w:p w14:paraId="429F1F7C" w14:textId="77777777" w:rsidR="003A6160" w:rsidRDefault="003A6160" w:rsidP="003A6160">
      <w:pPr>
        <w:spacing w:line="240" w:lineRule="auto"/>
        <w:rPr>
          <w:rFonts w:ascii="Times New Roman" w:hAnsi="Times New Roman" w:cs="Times New Roman"/>
          <w:color w:val="000000"/>
        </w:rPr>
      </w:pPr>
      <w:r w:rsidRPr="003C3597">
        <w:rPr>
          <w:rFonts w:ascii="Times New Roman" w:hAnsi="Times New Roman" w:cs="Times New Roman"/>
          <w:color w:val="000000"/>
        </w:rPr>
        <w:t xml:space="preserve">MNL </w:t>
      </w:r>
      <w:r>
        <w:rPr>
          <w:rFonts w:ascii="Times New Roman" w:hAnsi="Times New Roman" w:cs="Times New Roman"/>
          <w:color w:val="000000"/>
        </w:rPr>
        <w:tab/>
      </w:r>
      <w:r>
        <w:rPr>
          <w:rFonts w:ascii="Times New Roman" w:hAnsi="Times New Roman" w:cs="Times New Roman"/>
          <w:color w:val="000000"/>
        </w:rPr>
        <w:tab/>
        <w:t>Multinomial L</w:t>
      </w:r>
      <w:r w:rsidR="00FD5D9C">
        <w:rPr>
          <w:rFonts w:ascii="Times New Roman" w:hAnsi="Times New Roman" w:cs="Times New Roman"/>
          <w:color w:val="000000"/>
        </w:rPr>
        <w:t xml:space="preserve">ogit model </w:t>
      </w:r>
    </w:p>
    <w:p w14:paraId="6D87AF69" w14:textId="77777777" w:rsidR="003A6160" w:rsidRDefault="00FD5D9C" w:rsidP="003A6160">
      <w:pPr>
        <w:spacing w:line="240" w:lineRule="auto"/>
        <w:rPr>
          <w:rFonts w:ascii="Times New Roman" w:hAnsi="Times New Roman" w:cs="Times New Roman"/>
          <w:color w:val="000000"/>
        </w:rPr>
      </w:pPr>
      <w:r w:rsidRPr="003C3597">
        <w:rPr>
          <w:rFonts w:ascii="Times New Roman" w:hAnsi="Times New Roman" w:cs="Times New Roman"/>
          <w:color w:val="000000"/>
        </w:rPr>
        <w:t xml:space="preserve">MNP </w:t>
      </w:r>
      <w:r>
        <w:rPr>
          <w:rFonts w:ascii="Times New Roman" w:hAnsi="Times New Roman" w:cs="Times New Roman"/>
          <w:color w:val="000000"/>
        </w:rPr>
        <w:tab/>
      </w:r>
      <w:r>
        <w:rPr>
          <w:rFonts w:ascii="Times New Roman" w:hAnsi="Times New Roman" w:cs="Times New Roman"/>
          <w:color w:val="000000"/>
        </w:rPr>
        <w:tab/>
        <w:t xml:space="preserve">Multinomial Probit model </w:t>
      </w:r>
    </w:p>
    <w:p w14:paraId="09614768" w14:textId="77777777" w:rsidR="003A6160" w:rsidRDefault="00FD5D9C" w:rsidP="003A6160">
      <w:pPr>
        <w:spacing w:line="240" w:lineRule="auto"/>
        <w:rPr>
          <w:rFonts w:ascii="Times New Roman" w:hAnsi="Times New Roman" w:cs="Times New Roman"/>
          <w:color w:val="000000"/>
        </w:rPr>
      </w:pPr>
      <w:r>
        <w:rPr>
          <w:rFonts w:ascii="Times New Roman" w:hAnsi="Times New Roman" w:cs="Times New Roman"/>
          <w:color w:val="000000"/>
        </w:rPr>
        <w:t xml:space="preserve">NB </w:t>
      </w:r>
      <w:r>
        <w:rPr>
          <w:rFonts w:ascii="Times New Roman" w:hAnsi="Times New Roman" w:cs="Times New Roman"/>
          <w:color w:val="000000"/>
        </w:rPr>
        <w:tab/>
      </w:r>
      <w:r>
        <w:rPr>
          <w:rFonts w:ascii="Times New Roman" w:hAnsi="Times New Roman" w:cs="Times New Roman"/>
          <w:color w:val="000000"/>
        </w:rPr>
        <w:tab/>
        <w:t xml:space="preserve">New Brunswick </w:t>
      </w:r>
    </w:p>
    <w:p w14:paraId="73FD28C9" w14:textId="77777777" w:rsidR="003A6160" w:rsidRDefault="00FD5D9C" w:rsidP="003A6160">
      <w:pPr>
        <w:spacing w:line="240" w:lineRule="auto"/>
        <w:rPr>
          <w:rFonts w:ascii="Times New Roman" w:hAnsi="Times New Roman" w:cs="Times New Roman"/>
          <w:color w:val="000000"/>
        </w:rPr>
      </w:pPr>
      <w:r w:rsidRPr="003C3597">
        <w:rPr>
          <w:rFonts w:ascii="Times New Roman" w:hAnsi="Times New Roman" w:cs="Times New Roman"/>
          <w:color w:val="000000"/>
        </w:rPr>
        <w:t xml:space="preserve">NL </w:t>
      </w:r>
      <w:r>
        <w:rPr>
          <w:rFonts w:ascii="Times New Roman" w:hAnsi="Times New Roman" w:cs="Times New Roman"/>
          <w:color w:val="000000"/>
        </w:rPr>
        <w:tab/>
      </w:r>
      <w:r>
        <w:rPr>
          <w:rFonts w:ascii="Times New Roman" w:hAnsi="Times New Roman" w:cs="Times New Roman"/>
          <w:color w:val="000000"/>
        </w:rPr>
        <w:tab/>
        <w:t xml:space="preserve">Newfoundland and Labrador </w:t>
      </w:r>
    </w:p>
    <w:p w14:paraId="52129636" w14:textId="77777777" w:rsidR="003A6160" w:rsidRDefault="00FD5D9C" w:rsidP="003A6160">
      <w:pPr>
        <w:spacing w:line="240" w:lineRule="auto"/>
        <w:rPr>
          <w:rFonts w:ascii="Times New Roman" w:hAnsi="Times New Roman" w:cs="Times New Roman"/>
          <w:color w:val="000000"/>
        </w:rPr>
      </w:pPr>
      <w:r>
        <w:rPr>
          <w:rFonts w:ascii="Times New Roman" w:hAnsi="Times New Roman" w:cs="Times New Roman"/>
          <w:color w:val="000000"/>
        </w:rPr>
        <w:t xml:space="preserve">NS </w:t>
      </w:r>
      <w:r>
        <w:rPr>
          <w:rFonts w:ascii="Times New Roman" w:hAnsi="Times New Roman" w:cs="Times New Roman"/>
          <w:color w:val="000000"/>
        </w:rPr>
        <w:tab/>
      </w:r>
      <w:r>
        <w:rPr>
          <w:rFonts w:ascii="Times New Roman" w:hAnsi="Times New Roman" w:cs="Times New Roman"/>
          <w:color w:val="000000"/>
        </w:rPr>
        <w:tab/>
        <w:t xml:space="preserve">Nova Scotia </w:t>
      </w:r>
    </w:p>
    <w:p w14:paraId="2E1984BD" w14:textId="77777777" w:rsidR="003A6160" w:rsidRDefault="00FD5D9C" w:rsidP="003A6160">
      <w:pPr>
        <w:spacing w:line="240" w:lineRule="auto"/>
        <w:rPr>
          <w:rFonts w:ascii="Times New Roman" w:hAnsi="Times New Roman" w:cs="Times New Roman"/>
          <w:color w:val="000000"/>
        </w:rPr>
      </w:pPr>
      <w:r>
        <w:rPr>
          <w:rFonts w:ascii="Times New Roman" w:hAnsi="Times New Roman" w:cs="Times New Roman"/>
          <w:color w:val="000000"/>
        </w:rPr>
        <w:t xml:space="preserve">ON </w:t>
      </w:r>
      <w:r>
        <w:rPr>
          <w:rFonts w:ascii="Times New Roman" w:hAnsi="Times New Roman" w:cs="Times New Roman"/>
          <w:color w:val="000000"/>
        </w:rPr>
        <w:tab/>
      </w:r>
      <w:r>
        <w:rPr>
          <w:rFonts w:ascii="Times New Roman" w:hAnsi="Times New Roman" w:cs="Times New Roman"/>
          <w:color w:val="000000"/>
        </w:rPr>
        <w:tab/>
      </w:r>
      <w:r w:rsidR="003A6160" w:rsidRPr="00FD5D9C">
        <w:rPr>
          <w:rFonts w:ascii="Times New Roman" w:hAnsi="Times New Roman" w:cs="Times New Roman"/>
          <w:color w:val="000000"/>
        </w:rPr>
        <w:t>Ontario</w:t>
      </w:r>
    </w:p>
    <w:p w14:paraId="24060873" w14:textId="77777777" w:rsidR="003A6160" w:rsidRDefault="00FD5D9C" w:rsidP="003A6160">
      <w:pPr>
        <w:spacing w:line="240" w:lineRule="auto"/>
        <w:rPr>
          <w:rFonts w:ascii="Times New Roman" w:hAnsi="Times New Roman" w:cs="Times New Roman"/>
          <w:color w:val="000000"/>
        </w:rPr>
      </w:pPr>
      <w:r w:rsidRPr="003C3597">
        <w:rPr>
          <w:rFonts w:ascii="Times New Roman" w:hAnsi="Times New Roman" w:cs="Times New Roman"/>
          <w:color w:val="000000"/>
        </w:rPr>
        <w:t xml:space="preserve">PEV </w:t>
      </w:r>
      <w:r>
        <w:rPr>
          <w:rFonts w:ascii="Times New Roman" w:hAnsi="Times New Roman" w:cs="Times New Roman"/>
          <w:color w:val="000000"/>
        </w:rPr>
        <w:tab/>
      </w:r>
      <w:r>
        <w:rPr>
          <w:rFonts w:ascii="Times New Roman" w:hAnsi="Times New Roman" w:cs="Times New Roman"/>
          <w:color w:val="000000"/>
        </w:rPr>
        <w:tab/>
        <w:t xml:space="preserve">Plug-in Elective Vehicle </w:t>
      </w:r>
    </w:p>
    <w:p w14:paraId="167EE9B0" w14:textId="77777777" w:rsidR="003A6160" w:rsidRDefault="00FD5D9C" w:rsidP="003A6160">
      <w:pPr>
        <w:spacing w:line="240" w:lineRule="auto"/>
        <w:rPr>
          <w:rFonts w:ascii="Times New Roman" w:hAnsi="Times New Roman" w:cs="Times New Roman"/>
          <w:color w:val="000000"/>
        </w:rPr>
      </w:pPr>
      <w:r w:rsidRPr="005E5785">
        <w:rPr>
          <w:rFonts w:ascii="Times New Roman" w:hAnsi="Times New Roman" w:cs="Times New Roman"/>
          <w:color w:val="000000"/>
        </w:rPr>
        <w:t xml:space="preserve">PHEV </w:t>
      </w:r>
      <w:r>
        <w:rPr>
          <w:rFonts w:ascii="Times New Roman" w:hAnsi="Times New Roman" w:cs="Times New Roman"/>
          <w:color w:val="000000"/>
        </w:rPr>
        <w:tab/>
      </w:r>
      <w:r>
        <w:rPr>
          <w:rFonts w:ascii="Times New Roman" w:hAnsi="Times New Roman" w:cs="Times New Roman"/>
          <w:color w:val="000000"/>
        </w:rPr>
        <w:tab/>
        <w:t xml:space="preserve">Plug-in Hybrid Electric Vehicles </w:t>
      </w:r>
    </w:p>
    <w:p w14:paraId="1DD7CA79" w14:textId="77777777" w:rsidR="003A6160" w:rsidRDefault="00FD5D9C" w:rsidP="003A6160">
      <w:pPr>
        <w:spacing w:line="240" w:lineRule="auto"/>
        <w:rPr>
          <w:rFonts w:ascii="Times New Roman" w:hAnsi="Times New Roman" w:cs="Times New Roman"/>
          <w:color w:val="000000"/>
        </w:rPr>
      </w:pPr>
      <w:r>
        <w:rPr>
          <w:rFonts w:ascii="Times New Roman" w:hAnsi="Times New Roman" w:cs="Times New Roman"/>
          <w:color w:val="000000"/>
        </w:rPr>
        <w:t xml:space="preserve">PEI </w:t>
      </w:r>
      <w:r>
        <w:rPr>
          <w:rFonts w:ascii="Times New Roman" w:hAnsi="Times New Roman" w:cs="Times New Roman"/>
          <w:color w:val="000000"/>
        </w:rPr>
        <w:tab/>
      </w:r>
      <w:r>
        <w:rPr>
          <w:rFonts w:ascii="Times New Roman" w:hAnsi="Times New Roman" w:cs="Times New Roman"/>
          <w:color w:val="000000"/>
        </w:rPr>
        <w:tab/>
        <w:t xml:space="preserve">Prince Edward Island </w:t>
      </w:r>
    </w:p>
    <w:p w14:paraId="7A7F4D02" w14:textId="77777777" w:rsidR="003A6160" w:rsidRDefault="00FD5D9C" w:rsidP="003A6160">
      <w:pPr>
        <w:spacing w:line="240" w:lineRule="auto"/>
        <w:rPr>
          <w:rFonts w:ascii="Times New Roman" w:hAnsi="Times New Roman" w:cs="Times New Roman"/>
          <w:color w:val="000000"/>
        </w:rPr>
      </w:pPr>
      <w:r>
        <w:rPr>
          <w:rFonts w:ascii="Times New Roman" w:hAnsi="Times New Roman" w:cs="Times New Roman"/>
          <w:color w:val="000000"/>
        </w:rPr>
        <w:t>QC</w:t>
      </w:r>
      <w:r>
        <w:rPr>
          <w:rFonts w:ascii="Times New Roman" w:hAnsi="Times New Roman" w:cs="Times New Roman"/>
          <w:color w:val="000000"/>
        </w:rPr>
        <w:tab/>
      </w:r>
      <w:r>
        <w:rPr>
          <w:rFonts w:ascii="Times New Roman" w:hAnsi="Times New Roman" w:cs="Times New Roman"/>
          <w:color w:val="000000"/>
        </w:rPr>
        <w:tab/>
      </w:r>
      <w:r w:rsidR="003A6160" w:rsidRPr="00D26D51">
        <w:rPr>
          <w:rFonts w:ascii="Times New Roman" w:hAnsi="Times New Roman" w:cs="Times New Roman"/>
          <w:color w:val="000000"/>
        </w:rPr>
        <w:t>Quebec</w:t>
      </w:r>
    </w:p>
    <w:p w14:paraId="00BA49C1" w14:textId="77777777" w:rsidR="003A6160" w:rsidRDefault="00FD5D9C" w:rsidP="003A6160">
      <w:pPr>
        <w:spacing w:line="240" w:lineRule="auto"/>
        <w:rPr>
          <w:rFonts w:ascii="Times New Roman" w:hAnsi="Times New Roman" w:cs="Times New Roman"/>
          <w:color w:val="000000"/>
        </w:rPr>
      </w:pPr>
      <w:r w:rsidRPr="005E5785">
        <w:rPr>
          <w:rFonts w:ascii="Times New Roman" w:hAnsi="Times New Roman" w:cs="Times New Roman"/>
          <w:color w:val="000000"/>
        </w:rPr>
        <w:lastRenderedPageBreak/>
        <w:t xml:space="preserve">RP </w:t>
      </w:r>
      <w:r>
        <w:rPr>
          <w:rFonts w:ascii="Times New Roman" w:hAnsi="Times New Roman" w:cs="Times New Roman"/>
          <w:color w:val="000000"/>
        </w:rPr>
        <w:tab/>
      </w:r>
      <w:r>
        <w:rPr>
          <w:rFonts w:ascii="Times New Roman" w:hAnsi="Times New Roman" w:cs="Times New Roman"/>
          <w:color w:val="000000"/>
        </w:rPr>
        <w:tab/>
        <w:t xml:space="preserve">Revealed Preference </w:t>
      </w:r>
    </w:p>
    <w:p w14:paraId="05AC26B1" w14:textId="77777777" w:rsidR="003A6160" w:rsidRDefault="00FD5D9C" w:rsidP="003A6160">
      <w:pPr>
        <w:spacing w:line="240" w:lineRule="auto"/>
        <w:rPr>
          <w:rFonts w:ascii="Times New Roman" w:hAnsi="Times New Roman" w:cs="Times New Roman"/>
          <w:color w:val="000000"/>
        </w:rPr>
      </w:pPr>
      <w:r w:rsidRPr="00FD5D9C">
        <w:rPr>
          <w:rFonts w:ascii="Times New Roman" w:hAnsi="Times New Roman" w:cs="Times New Roman"/>
          <w:bCs/>
          <w:color w:val="000000"/>
        </w:rPr>
        <w:t>SPACE</w:t>
      </w:r>
      <w:r>
        <w:rPr>
          <w:rFonts w:ascii="Times New Roman" w:hAnsi="Times New Roman" w:cs="Times New Roman"/>
          <w:color w:val="000000"/>
        </w:rPr>
        <w:t xml:space="preserve"> </w:t>
      </w:r>
      <w:r>
        <w:rPr>
          <w:rFonts w:ascii="Times New Roman" w:hAnsi="Times New Roman" w:cs="Times New Roman"/>
          <w:color w:val="000000"/>
        </w:rPr>
        <w:tab/>
      </w:r>
      <w:r w:rsidR="003A6160" w:rsidRPr="00FD5D9C">
        <w:rPr>
          <w:rFonts w:ascii="Times New Roman" w:hAnsi="Times New Roman" w:cs="Times New Roman"/>
          <w:bCs/>
          <w:color w:val="000000"/>
        </w:rPr>
        <w:t>S</w:t>
      </w:r>
      <w:r w:rsidR="003A6160" w:rsidRPr="00FD5D9C">
        <w:rPr>
          <w:rFonts w:ascii="Times New Roman" w:hAnsi="Times New Roman" w:cs="Times New Roman"/>
          <w:color w:val="000000"/>
        </w:rPr>
        <w:t xml:space="preserve">urvey for </w:t>
      </w:r>
      <w:r w:rsidR="003A6160" w:rsidRPr="00FD5D9C">
        <w:rPr>
          <w:rFonts w:ascii="Times New Roman" w:hAnsi="Times New Roman" w:cs="Times New Roman"/>
          <w:bCs/>
          <w:color w:val="000000"/>
        </w:rPr>
        <w:t>P</w:t>
      </w:r>
      <w:r w:rsidR="003A6160" w:rsidRPr="00FD5D9C">
        <w:rPr>
          <w:rFonts w:ascii="Times New Roman" w:hAnsi="Times New Roman" w:cs="Times New Roman"/>
          <w:color w:val="000000"/>
        </w:rPr>
        <w:t xml:space="preserve">references and </w:t>
      </w:r>
      <w:r w:rsidR="003A6160" w:rsidRPr="00FD5D9C">
        <w:rPr>
          <w:rFonts w:ascii="Times New Roman" w:hAnsi="Times New Roman" w:cs="Times New Roman"/>
          <w:bCs/>
          <w:color w:val="000000"/>
        </w:rPr>
        <w:t>A</w:t>
      </w:r>
      <w:r w:rsidR="003A6160" w:rsidRPr="00FD5D9C">
        <w:rPr>
          <w:rFonts w:ascii="Times New Roman" w:hAnsi="Times New Roman" w:cs="Times New Roman"/>
          <w:color w:val="000000"/>
        </w:rPr>
        <w:t xml:space="preserve">ttitudes of </w:t>
      </w:r>
      <w:r w:rsidR="003A6160" w:rsidRPr="00FD5D9C">
        <w:rPr>
          <w:rFonts w:ascii="Times New Roman" w:hAnsi="Times New Roman" w:cs="Times New Roman"/>
          <w:bCs/>
          <w:color w:val="000000"/>
        </w:rPr>
        <w:t>C</w:t>
      </w:r>
      <w:r w:rsidR="003A6160" w:rsidRPr="00FD5D9C">
        <w:rPr>
          <w:rFonts w:ascii="Times New Roman" w:hAnsi="Times New Roman" w:cs="Times New Roman"/>
          <w:color w:val="000000"/>
        </w:rPr>
        <w:t xml:space="preserve">anadians towards </w:t>
      </w:r>
      <w:r w:rsidR="003A6160" w:rsidRPr="00FD5D9C">
        <w:rPr>
          <w:rFonts w:ascii="Times New Roman" w:hAnsi="Times New Roman" w:cs="Times New Roman"/>
          <w:bCs/>
          <w:color w:val="000000"/>
        </w:rPr>
        <w:t>E</w:t>
      </w:r>
      <w:r w:rsidRPr="00FD5D9C">
        <w:rPr>
          <w:rFonts w:ascii="Times New Roman" w:hAnsi="Times New Roman" w:cs="Times New Roman"/>
          <w:color w:val="000000"/>
        </w:rPr>
        <w:t xml:space="preserve">lectric </w:t>
      </w:r>
      <w:r w:rsidRPr="00FD5D9C">
        <w:rPr>
          <w:rFonts w:ascii="Times New Roman" w:hAnsi="Times New Roman" w:cs="Times New Roman"/>
          <w:color w:val="000000"/>
        </w:rPr>
        <w:tab/>
      </w:r>
      <w:r w:rsidRPr="00FD5D9C">
        <w:rPr>
          <w:rFonts w:ascii="Times New Roman" w:hAnsi="Times New Roman" w:cs="Times New Roman"/>
          <w:color w:val="000000"/>
        </w:rPr>
        <w:tab/>
      </w:r>
      <w:r w:rsidRPr="00FD5D9C">
        <w:rPr>
          <w:rFonts w:ascii="Times New Roman" w:hAnsi="Times New Roman" w:cs="Times New Roman"/>
          <w:color w:val="000000"/>
        </w:rPr>
        <w:tab/>
      </w:r>
      <w:r w:rsidRPr="00FD5D9C">
        <w:rPr>
          <w:rFonts w:ascii="Times New Roman" w:hAnsi="Times New Roman" w:cs="Times New Roman"/>
          <w:color w:val="000000"/>
        </w:rPr>
        <w:tab/>
        <w:t>Vehicles</w:t>
      </w:r>
    </w:p>
    <w:p w14:paraId="385502E8" w14:textId="77777777" w:rsidR="003A6160" w:rsidRDefault="00FD5D9C" w:rsidP="003A6160">
      <w:pPr>
        <w:spacing w:line="240" w:lineRule="auto"/>
        <w:rPr>
          <w:rFonts w:ascii="Times New Roman" w:hAnsi="Times New Roman" w:cs="Times New Roman"/>
          <w:color w:val="000000"/>
        </w:rPr>
      </w:pPr>
      <w:r w:rsidRPr="003C3597">
        <w:rPr>
          <w:rFonts w:ascii="Times New Roman" w:hAnsi="Times New Roman" w:cs="Times New Roman"/>
          <w:color w:val="000000"/>
        </w:rPr>
        <w:t xml:space="preserve">SUV </w:t>
      </w:r>
      <w:r>
        <w:rPr>
          <w:rFonts w:ascii="Times New Roman" w:hAnsi="Times New Roman" w:cs="Times New Roman"/>
          <w:color w:val="000000"/>
        </w:rPr>
        <w:tab/>
      </w:r>
      <w:r>
        <w:rPr>
          <w:rFonts w:ascii="Times New Roman" w:hAnsi="Times New Roman" w:cs="Times New Roman"/>
          <w:color w:val="000000"/>
        </w:rPr>
        <w:tab/>
        <w:t xml:space="preserve">Sport Utility Vehicle </w:t>
      </w:r>
    </w:p>
    <w:p w14:paraId="305D62DE" w14:textId="77777777" w:rsidR="003A6160" w:rsidRDefault="00FD5D9C" w:rsidP="003A6160">
      <w:pPr>
        <w:spacing w:line="240" w:lineRule="auto"/>
        <w:rPr>
          <w:rFonts w:ascii="Times New Roman" w:hAnsi="Times New Roman" w:cs="Times New Roman"/>
          <w:color w:val="000000"/>
        </w:rPr>
      </w:pPr>
      <w:r w:rsidRPr="005E5785">
        <w:rPr>
          <w:rFonts w:ascii="Times New Roman" w:hAnsi="Times New Roman" w:cs="Times New Roman"/>
          <w:color w:val="000000"/>
        </w:rPr>
        <w:t xml:space="preserve">SP </w:t>
      </w:r>
      <w:r>
        <w:rPr>
          <w:rFonts w:ascii="Times New Roman" w:hAnsi="Times New Roman" w:cs="Times New Roman"/>
          <w:color w:val="000000"/>
        </w:rPr>
        <w:tab/>
      </w:r>
      <w:r>
        <w:rPr>
          <w:rFonts w:ascii="Times New Roman" w:hAnsi="Times New Roman" w:cs="Times New Roman"/>
          <w:color w:val="000000"/>
        </w:rPr>
        <w:tab/>
        <w:t xml:space="preserve">Stated preference </w:t>
      </w:r>
    </w:p>
    <w:p w14:paraId="09A6BE69" w14:textId="77777777" w:rsidR="003A6160" w:rsidRDefault="00FD5D9C" w:rsidP="003A6160">
      <w:pPr>
        <w:spacing w:line="240" w:lineRule="auto"/>
        <w:rPr>
          <w:rFonts w:ascii="Times New Roman" w:hAnsi="Times New Roman" w:cs="Times New Roman"/>
          <w:color w:val="000000"/>
        </w:rPr>
      </w:pPr>
      <w:r w:rsidRPr="003C3597">
        <w:rPr>
          <w:rFonts w:ascii="Times New Roman" w:hAnsi="Times New Roman" w:cs="Times New Roman"/>
          <w:color w:val="000000"/>
        </w:rPr>
        <w:t xml:space="preserve">TPB </w:t>
      </w:r>
      <w:r>
        <w:rPr>
          <w:rFonts w:ascii="Times New Roman" w:hAnsi="Times New Roman" w:cs="Times New Roman"/>
          <w:color w:val="000000"/>
        </w:rPr>
        <w:tab/>
      </w:r>
      <w:r>
        <w:rPr>
          <w:rFonts w:ascii="Times New Roman" w:hAnsi="Times New Roman" w:cs="Times New Roman"/>
          <w:color w:val="000000"/>
        </w:rPr>
        <w:tab/>
      </w:r>
      <w:r w:rsidR="003A6160" w:rsidRPr="003C3597">
        <w:rPr>
          <w:rFonts w:ascii="Times New Roman" w:hAnsi="Times New Roman" w:cs="Times New Roman"/>
          <w:color w:val="000000"/>
        </w:rPr>
        <w:t>T</w:t>
      </w:r>
      <w:r>
        <w:rPr>
          <w:rFonts w:ascii="Times New Roman" w:hAnsi="Times New Roman" w:cs="Times New Roman"/>
          <w:color w:val="000000"/>
        </w:rPr>
        <w:t xml:space="preserve">heory of Planned Behaviour </w:t>
      </w:r>
    </w:p>
    <w:p w14:paraId="5CE37ADD" w14:textId="77777777" w:rsidR="003A6160" w:rsidRDefault="00FD5D9C" w:rsidP="003A6160">
      <w:pPr>
        <w:spacing w:line="240" w:lineRule="auto"/>
        <w:rPr>
          <w:rFonts w:ascii="Times New Roman" w:hAnsi="Times New Roman" w:cs="Times New Roman"/>
        </w:rPr>
      </w:pPr>
      <w:r w:rsidRPr="005E5785">
        <w:rPr>
          <w:rFonts w:ascii="Times New Roman" w:hAnsi="Times New Roman" w:cs="Times New Roman"/>
        </w:rPr>
        <w:t xml:space="preserve">TCO </w:t>
      </w:r>
      <w:r>
        <w:rPr>
          <w:rFonts w:ascii="Times New Roman" w:hAnsi="Times New Roman" w:cs="Times New Roman"/>
        </w:rPr>
        <w:tab/>
      </w:r>
      <w:r>
        <w:rPr>
          <w:rFonts w:ascii="Times New Roman" w:hAnsi="Times New Roman" w:cs="Times New Roman"/>
        </w:rPr>
        <w:tab/>
        <w:t xml:space="preserve">Total Cost of Ownership </w:t>
      </w:r>
    </w:p>
    <w:p w14:paraId="1DED5D62" w14:textId="77777777" w:rsidR="003A6160" w:rsidRDefault="00FD5D9C" w:rsidP="003A6160">
      <w:pPr>
        <w:spacing w:line="240" w:lineRule="auto"/>
        <w:rPr>
          <w:rFonts w:ascii="Times New Roman" w:hAnsi="Times New Roman" w:cs="Times New Roman"/>
          <w:color w:val="000000"/>
        </w:rPr>
      </w:pPr>
      <w:r>
        <w:rPr>
          <w:rFonts w:ascii="Times New Roman" w:hAnsi="Times New Roman" w:cs="Times New Roman"/>
          <w:color w:val="000000"/>
        </w:rPr>
        <w:t>US</w:t>
      </w:r>
      <w:r w:rsidRPr="003C3597">
        <w:rPr>
          <w:rFonts w:ascii="Times New Roman" w:hAnsi="Times New Roman" w:cs="Times New Roman"/>
          <w:color w:val="000000"/>
        </w:rPr>
        <w:t xml:space="preserve"> </w:t>
      </w:r>
      <w:r>
        <w:rPr>
          <w:rFonts w:ascii="Times New Roman" w:hAnsi="Times New Roman" w:cs="Times New Roman"/>
          <w:color w:val="000000"/>
        </w:rPr>
        <w:tab/>
      </w:r>
      <w:r>
        <w:rPr>
          <w:rFonts w:ascii="Times New Roman" w:hAnsi="Times New Roman" w:cs="Times New Roman"/>
          <w:color w:val="000000"/>
        </w:rPr>
        <w:tab/>
      </w:r>
      <w:r w:rsidR="003A6160" w:rsidRPr="003C3597">
        <w:rPr>
          <w:rFonts w:ascii="Times New Roman" w:hAnsi="Times New Roman" w:cs="Times New Roman"/>
          <w:color w:val="000000"/>
        </w:rPr>
        <w:t>United Stat</w:t>
      </w:r>
      <w:r>
        <w:rPr>
          <w:rFonts w:ascii="Times New Roman" w:hAnsi="Times New Roman" w:cs="Times New Roman"/>
          <w:color w:val="000000"/>
        </w:rPr>
        <w:t xml:space="preserve">es </w:t>
      </w:r>
    </w:p>
    <w:p w14:paraId="36243E10" w14:textId="77777777" w:rsidR="003A6160" w:rsidRDefault="00FD5D9C" w:rsidP="003A6160">
      <w:pPr>
        <w:spacing w:line="240" w:lineRule="auto"/>
      </w:pPr>
      <w:r w:rsidRPr="003C3597">
        <w:rPr>
          <w:rFonts w:ascii="Times New Roman" w:hAnsi="Times New Roman" w:cs="Times New Roman"/>
          <w:color w:val="000000"/>
        </w:rPr>
        <w:t xml:space="preserve">WTP </w:t>
      </w:r>
      <w:r>
        <w:rPr>
          <w:rFonts w:ascii="Times New Roman" w:hAnsi="Times New Roman" w:cs="Times New Roman"/>
          <w:color w:val="000000"/>
        </w:rPr>
        <w:tab/>
      </w:r>
      <w:r>
        <w:rPr>
          <w:rFonts w:ascii="Times New Roman" w:hAnsi="Times New Roman" w:cs="Times New Roman"/>
          <w:color w:val="000000"/>
        </w:rPr>
        <w:tab/>
        <w:t xml:space="preserve">Willingness To Pay </w:t>
      </w:r>
    </w:p>
    <w:p w14:paraId="276DADE7" w14:textId="77777777" w:rsidR="0039028B" w:rsidRDefault="0039028B" w:rsidP="0039028B">
      <w:pPr>
        <w:tabs>
          <w:tab w:val="left" w:pos="3000"/>
        </w:tabs>
      </w:pPr>
    </w:p>
    <w:p w14:paraId="35B53256" w14:textId="77777777" w:rsidR="0039028B" w:rsidRPr="0039028B" w:rsidRDefault="0039028B" w:rsidP="0039028B">
      <w:pPr>
        <w:tabs>
          <w:tab w:val="left" w:pos="3000"/>
        </w:tabs>
        <w:sectPr w:rsidR="0039028B" w:rsidRPr="0039028B" w:rsidSect="00945A0C">
          <w:footerReference w:type="default" r:id="rId9"/>
          <w:pgSz w:w="12240" w:h="15840"/>
          <w:pgMar w:top="2155" w:right="1418" w:bottom="2155" w:left="1418" w:header="709" w:footer="709" w:gutter="0"/>
          <w:pgNumType w:fmt="lowerRoman"/>
          <w:cols w:space="708"/>
          <w:titlePg/>
          <w:docGrid w:linePitch="360"/>
        </w:sectPr>
      </w:pPr>
      <w:r>
        <w:tab/>
      </w:r>
    </w:p>
    <w:p w14:paraId="0358E8A9" w14:textId="77777777" w:rsidR="00545F67" w:rsidRDefault="00545F67" w:rsidP="00545F67">
      <w:pPr>
        <w:pStyle w:val="Heading1"/>
        <w:jc w:val="center"/>
      </w:pPr>
      <w:bookmarkStart w:id="9" w:name="_Toc528650845"/>
      <w:bookmarkStart w:id="10" w:name="_Toc528602055"/>
      <w:bookmarkEnd w:id="9"/>
    </w:p>
    <w:p w14:paraId="04E23F97" w14:textId="77777777" w:rsidR="0033141A" w:rsidRPr="00E349C8" w:rsidRDefault="00BB41CC" w:rsidP="00E1100F">
      <w:pPr>
        <w:ind w:firstLine="0"/>
        <w:jc w:val="center"/>
        <w:rPr>
          <w:rFonts w:ascii="Times New Roman" w:hAnsi="Times New Roman"/>
          <w:b/>
          <w:sz w:val="28"/>
        </w:rPr>
      </w:pPr>
      <w:r w:rsidRPr="00E349C8">
        <w:rPr>
          <w:rFonts w:ascii="Times New Roman" w:hAnsi="Times New Roman"/>
          <w:b/>
          <w:sz w:val="28"/>
        </w:rPr>
        <w:t>Introduction</w:t>
      </w:r>
      <w:bookmarkEnd w:id="10"/>
    </w:p>
    <w:p w14:paraId="76AE2D10" w14:textId="77777777" w:rsidR="0033141A" w:rsidRPr="00CE2B2E" w:rsidRDefault="0033141A" w:rsidP="00E1100F">
      <w:pPr>
        <w:pStyle w:val="ListParagraph"/>
        <w:numPr>
          <w:ilvl w:val="1"/>
          <w:numId w:val="7"/>
        </w:numPr>
        <w:spacing w:before="240" w:after="240"/>
        <w:outlineLvl w:val="1"/>
        <w:rPr>
          <w:rFonts w:ascii="Times New Roman" w:hAnsi="Times New Roman" w:cs="Times New Roman"/>
          <w:b/>
          <w:color w:val="000000"/>
        </w:rPr>
      </w:pPr>
      <w:bookmarkStart w:id="11" w:name="_Toc528602056"/>
      <w:bookmarkStart w:id="12" w:name="_Toc528650846"/>
      <w:r w:rsidRPr="00CE2B2E">
        <w:rPr>
          <w:rFonts w:ascii="Times New Roman" w:hAnsi="Times New Roman" w:cs="Times New Roman"/>
          <w:b/>
          <w:color w:val="000000"/>
        </w:rPr>
        <w:t>Background and research problems</w:t>
      </w:r>
      <w:bookmarkEnd w:id="11"/>
      <w:bookmarkEnd w:id="12"/>
    </w:p>
    <w:p w14:paraId="1303BB45" w14:textId="77777777" w:rsidR="0033141A" w:rsidRDefault="0033141A" w:rsidP="00BB41CC">
      <w:pPr>
        <w:rPr>
          <w:rFonts w:ascii="Times New Roman" w:hAnsi="Times New Roman" w:cs="Times New Roman"/>
          <w:color w:val="000000"/>
        </w:rPr>
      </w:pPr>
      <w:r w:rsidRPr="005E5785">
        <w:rPr>
          <w:rFonts w:ascii="Times New Roman" w:hAnsi="Times New Roman" w:cs="Times New Roman"/>
          <w:color w:val="000000"/>
        </w:rPr>
        <w:t xml:space="preserve">In recent years, there has been increasing concern about Greenhouse Gas (GHG) emission and its impacts on climate change. This concern has led several national and international entities to develop and set policies to tackle GHG emissions. For instance, under the Copenhagen Accord, Canada is committed to reduce GHG emissions to 17% below 2005 levels by 2020 (Environment </w:t>
      </w:r>
      <w:r w:rsidR="00BF3067">
        <w:rPr>
          <w:rFonts w:ascii="Times New Roman" w:hAnsi="Times New Roman" w:cs="Times New Roman"/>
          <w:color w:val="000000"/>
        </w:rPr>
        <w:t xml:space="preserve">and Climate Change </w:t>
      </w:r>
      <w:r w:rsidRPr="005E5785">
        <w:rPr>
          <w:rFonts w:ascii="Times New Roman" w:hAnsi="Times New Roman" w:cs="Times New Roman"/>
          <w:color w:val="000000"/>
        </w:rPr>
        <w:t xml:space="preserve">Canada, </w:t>
      </w:r>
      <w:r w:rsidR="00067E87">
        <w:rPr>
          <w:rFonts w:ascii="Times New Roman" w:hAnsi="Times New Roman" w:cs="Times New Roman"/>
          <w:color w:val="000000"/>
        </w:rPr>
        <w:t>2018</w:t>
      </w:r>
      <w:r w:rsidRPr="005E5785">
        <w:rPr>
          <w:rFonts w:ascii="Times New Roman" w:hAnsi="Times New Roman" w:cs="Times New Roman"/>
          <w:color w:val="000000"/>
        </w:rPr>
        <w:t>). Canada has also associated itself with the 2015 Paris agreement, which is a new commitment to reduce GHG emissions by a certain level. With around 84% of Canadian households having at least one vehicle registered in their household,</w:t>
      </w:r>
      <w:r w:rsidR="00B86728">
        <w:rPr>
          <w:rFonts w:ascii="Times New Roman" w:hAnsi="Times New Roman" w:cs="Times New Roman"/>
          <w:color w:val="000000"/>
        </w:rPr>
        <w:t xml:space="preserve"> road</w:t>
      </w:r>
      <w:r w:rsidRPr="005E5785">
        <w:rPr>
          <w:rFonts w:ascii="Times New Roman" w:hAnsi="Times New Roman" w:cs="Times New Roman"/>
          <w:color w:val="000000"/>
        </w:rPr>
        <w:t xml:space="preserve"> transportation</w:t>
      </w:r>
      <w:r w:rsidR="00B86728">
        <w:rPr>
          <w:rFonts w:ascii="Times New Roman" w:hAnsi="Times New Roman" w:cs="Times New Roman"/>
          <w:color w:val="000000"/>
        </w:rPr>
        <w:t xml:space="preserve"> is </w:t>
      </w:r>
      <w:r w:rsidRPr="005E5785">
        <w:rPr>
          <w:rFonts w:ascii="Times New Roman" w:hAnsi="Times New Roman" w:cs="Times New Roman"/>
          <w:color w:val="000000"/>
        </w:rPr>
        <w:t xml:space="preserve">one of the largest sources of GHG emissions. In addition to climate change, the problems with local air quality are attributable in large part to the consumption of fossil fuels by conventional motor vehicles </w:t>
      </w:r>
      <w:r w:rsidRPr="005E5785">
        <w:rPr>
          <w:rFonts w:ascii="Times New Roman" w:hAnsi="Times New Roman" w:cs="Times New Roman"/>
          <w:color w:val="000000"/>
        </w:rPr>
        <w:fldChar w:fldCharType="begin" w:fldLock="1"/>
      </w:r>
      <w:r w:rsidRPr="005E5785">
        <w:rPr>
          <w:rFonts w:ascii="Times New Roman" w:hAnsi="Times New Roman" w:cs="Times New Roman"/>
          <w:color w:val="000000"/>
        </w:rPr>
        <w:instrText>ADDIN CSL_CITATION { "citationItems" : [ { "id" : "ITEM-1", "itemData" : { "author" : [ { "dropping-particle" : "", "family" : "Black", "given" : "William Richard", "non-dropping-particle" : "", "parse-names" : false, "suffix" : "" } ], "id" : "ITEM-1", "issued" : { "date-parts" : [ [ "2010" ] ] }, "publisher" : "Guilford Press", "title" : "Sustainable transportation: problems and solutions", "type" : "book" }, "uris" : [ "http://www.mendeley.com/documents/?uuid=d20d67af-9b89-44d3-9645-742882bc234a" ] } ], "mendeley" : { "formattedCitation" : "(Black, 2010)", "manualFormatting" : "(Black, 2010)", "plainTextFormattedCitation" : "(Black, 2010)", "previouslyFormattedCitation" : "(Black, 2010)" }, "properties" : { "noteIndex" : 0 }, "schema" : "https://github.com/citation-style-language/schema/raw/master/csl-citation.json" }</w:instrText>
      </w:r>
      <w:r w:rsidRPr="005E5785">
        <w:rPr>
          <w:rFonts w:ascii="Times New Roman" w:hAnsi="Times New Roman" w:cs="Times New Roman"/>
          <w:color w:val="000000"/>
        </w:rPr>
        <w:fldChar w:fldCharType="separate"/>
      </w:r>
      <w:r w:rsidRPr="005E5785">
        <w:rPr>
          <w:rFonts w:ascii="Times New Roman" w:hAnsi="Times New Roman" w:cs="Times New Roman"/>
          <w:noProof/>
          <w:color w:val="000000"/>
        </w:rPr>
        <w:t>(Black, 2010)</w:t>
      </w:r>
      <w:r w:rsidRPr="005E5785">
        <w:rPr>
          <w:rFonts w:ascii="Times New Roman" w:hAnsi="Times New Roman" w:cs="Times New Roman"/>
          <w:color w:val="000000"/>
        </w:rPr>
        <w:fldChar w:fldCharType="end"/>
      </w:r>
      <w:r w:rsidRPr="005E5785">
        <w:rPr>
          <w:rFonts w:ascii="Times New Roman" w:hAnsi="Times New Roman" w:cs="Times New Roman"/>
          <w:color w:val="000000"/>
        </w:rPr>
        <w:t xml:space="preserve">. There are also issues surrounding the finite nature of petroleum stocks and future security of energy supplies </w:t>
      </w:r>
      <w:r w:rsidR="00BF3067" w:rsidRPr="005E5785">
        <w:rPr>
          <w:rFonts w:ascii="Times New Roman" w:hAnsi="Times New Roman" w:cs="Times New Roman"/>
          <w:color w:val="000000"/>
        </w:rPr>
        <w:fldChar w:fldCharType="begin" w:fldLock="1"/>
      </w:r>
      <w:r w:rsidR="00BF3067" w:rsidRPr="005E5785">
        <w:rPr>
          <w:rFonts w:ascii="Times New Roman" w:hAnsi="Times New Roman" w:cs="Times New Roman"/>
          <w:color w:val="000000"/>
        </w:rPr>
        <w:instrText>ADDIN CSL_CITATION { "citationItems" : [ { "id" : "ITEM-1", "itemData" : { "author" : [ { "dropping-particle" : "", "family" : "Black", "given" : "William Richard", "non-dropping-particle" : "", "parse-names" : false, "suffix" : "" } ], "id" : "ITEM-1", "issued" : { "date-parts" : [ [ "2010" ] ] }, "publisher" : "Guilford Press", "title" : "Sustainable transportation: problems and solutions", "type" : "book" }, "uris" : [ "http://www.mendeley.com/documents/?uuid=d20d67af-9b89-44d3-9645-742882bc234a" ] } ], "mendeley" : { "formattedCitation" : "(Black, 2010)", "manualFormatting" : "(Black, 2010)", "plainTextFormattedCitation" : "(Black, 2010)", "previouslyFormattedCitation" : "(Black, 2010)" }, "properties" : { "noteIndex" : 0 }, "schema" : "https://github.com/citation-style-language/schema/raw/master/csl-citation.json" }</w:instrText>
      </w:r>
      <w:r w:rsidR="00BF3067" w:rsidRPr="005E5785">
        <w:rPr>
          <w:rFonts w:ascii="Times New Roman" w:hAnsi="Times New Roman" w:cs="Times New Roman"/>
          <w:color w:val="000000"/>
        </w:rPr>
        <w:fldChar w:fldCharType="separate"/>
      </w:r>
      <w:r w:rsidR="00BF3067" w:rsidRPr="005E5785">
        <w:rPr>
          <w:rFonts w:ascii="Times New Roman" w:hAnsi="Times New Roman" w:cs="Times New Roman"/>
          <w:noProof/>
          <w:color w:val="000000"/>
        </w:rPr>
        <w:t>(Black, 2010)</w:t>
      </w:r>
      <w:r w:rsidR="00BF3067" w:rsidRPr="005E5785">
        <w:rPr>
          <w:rFonts w:ascii="Times New Roman" w:hAnsi="Times New Roman" w:cs="Times New Roman"/>
          <w:color w:val="000000"/>
        </w:rPr>
        <w:fldChar w:fldCharType="end"/>
      </w:r>
      <w:r w:rsidR="00BF3067">
        <w:rPr>
          <w:rFonts w:ascii="Times New Roman" w:hAnsi="Times New Roman" w:cs="Times New Roman"/>
          <w:color w:val="000000"/>
        </w:rPr>
        <w:t>.</w:t>
      </w:r>
    </w:p>
    <w:p w14:paraId="113414AB" w14:textId="77777777" w:rsidR="0033141A" w:rsidRPr="005E5785" w:rsidRDefault="0033141A" w:rsidP="00076EDC">
      <w:pPr>
        <w:rPr>
          <w:rFonts w:ascii="Times New Roman" w:eastAsia="Times New Roman" w:hAnsi="Times New Roman" w:cs="Times New Roman"/>
          <w:color w:val="777777"/>
          <w:highlight w:val="yellow"/>
          <w:shd w:val="clear" w:color="auto" w:fill="FFFFFF"/>
          <w:lang w:eastAsia="en-CA"/>
        </w:rPr>
      </w:pPr>
      <w:r w:rsidRPr="005E5785">
        <w:rPr>
          <w:rFonts w:ascii="Times New Roman" w:hAnsi="Times New Roman" w:cs="Times New Roman"/>
          <w:color w:val="000000"/>
        </w:rPr>
        <w:t xml:space="preserve">As concerns over environmental impacts of transportation and mobility are increasing, there is the potential for electric mobility to have a positive and significant impact in Canada’s sustainable transportation. The importance of electric mobility for Canada is that this country has one of the cleanest electricity generation profiles in the world, and yet has a very small market </w:t>
      </w:r>
      <w:r w:rsidRPr="005E5785">
        <w:rPr>
          <w:rFonts w:ascii="Times New Roman" w:hAnsi="Times New Roman" w:cs="Times New Roman"/>
          <w:color w:val="000000"/>
        </w:rPr>
        <w:lastRenderedPageBreak/>
        <w:t xml:space="preserve">share for </w:t>
      </w:r>
      <w:r w:rsidR="0039028B">
        <w:rPr>
          <w:rFonts w:ascii="Times New Roman" w:hAnsi="Times New Roman" w:cs="Times New Roman"/>
          <w:color w:val="000000"/>
        </w:rPr>
        <w:t>electric vehicles (</w:t>
      </w:r>
      <w:r w:rsidRPr="005E5785">
        <w:rPr>
          <w:rFonts w:ascii="Times New Roman" w:hAnsi="Times New Roman" w:cs="Times New Roman"/>
          <w:color w:val="000000"/>
        </w:rPr>
        <w:t>EVs</w:t>
      </w:r>
      <w:r w:rsidR="0039028B">
        <w:rPr>
          <w:rFonts w:ascii="Times New Roman" w:hAnsi="Times New Roman" w:cs="Times New Roman"/>
          <w:color w:val="000000"/>
        </w:rPr>
        <w:t>)</w:t>
      </w:r>
      <w:r w:rsidRPr="005E5785">
        <w:rPr>
          <w:rFonts w:ascii="Times New Roman" w:hAnsi="Times New Roman" w:cs="Times New Roman"/>
          <w:color w:val="000000"/>
        </w:rPr>
        <w:t xml:space="preserve"> (about 0.6%) whi</w:t>
      </w:r>
      <w:r w:rsidR="00FD5D9C">
        <w:rPr>
          <w:rFonts w:ascii="Times New Roman" w:hAnsi="Times New Roman" w:cs="Times New Roman"/>
          <w:color w:val="000000"/>
        </w:rPr>
        <w:t>ch lags relatively behind the US</w:t>
      </w:r>
      <w:r w:rsidRPr="005E5785">
        <w:rPr>
          <w:rFonts w:ascii="Times New Roman" w:hAnsi="Times New Roman" w:cs="Times New Roman"/>
          <w:color w:val="000000"/>
        </w:rPr>
        <w:t xml:space="preserve"> (close to 1%) and many European countries: Norway (29%), Netherlands (6.4%), Sweden (3.4%), France and Uni</w:t>
      </w:r>
      <w:r w:rsidR="00067E87">
        <w:rPr>
          <w:rFonts w:ascii="Times New Roman" w:hAnsi="Times New Roman" w:cs="Times New Roman"/>
          <w:color w:val="000000"/>
        </w:rPr>
        <w:t>ted Kingdom (both close to 1.5%)</w:t>
      </w:r>
      <w:r w:rsidRPr="005E5785">
        <w:rPr>
          <w:rFonts w:ascii="Times New Roman" w:hAnsi="Times New Roman" w:cs="Times New Roman"/>
          <w:color w:val="000000"/>
        </w:rPr>
        <w:t xml:space="preserve"> </w:t>
      </w:r>
      <w:r w:rsidR="00067E87">
        <w:rPr>
          <w:rFonts w:ascii="Times New Roman" w:hAnsi="Times New Roman" w:cs="Times New Roman"/>
          <w:color w:val="000000"/>
        </w:rPr>
        <w:t>(</w:t>
      </w:r>
      <w:r w:rsidRPr="005E5785">
        <w:rPr>
          <w:rFonts w:ascii="Times New Roman" w:hAnsi="Times New Roman" w:cs="Times New Roman"/>
          <w:color w:val="000000"/>
        </w:rPr>
        <w:t xml:space="preserve">IEA, 2017). In 2012, about 73% of Canada’s electricity was generated without use of </w:t>
      </w:r>
      <w:r w:rsidR="0039028B" w:rsidRPr="0039028B">
        <w:rPr>
          <w:rFonts w:ascii="Times New Roman" w:hAnsi="Times New Roman" w:cs="Times New Roman"/>
          <w:color w:val="000000"/>
        </w:rPr>
        <w:t>Carbon dioxide (</w:t>
      </w:r>
      <w:r w:rsidRPr="005E5785">
        <w:rPr>
          <w:rFonts w:ascii="Times New Roman" w:hAnsi="Times New Roman" w:cs="Times New Roman"/>
          <w:color w:val="000000"/>
        </w:rPr>
        <w:t>CO2</w:t>
      </w:r>
      <w:r w:rsidR="0039028B">
        <w:rPr>
          <w:rFonts w:ascii="Times New Roman" w:hAnsi="Times New Roman" w:cs="Times New Roman"/>
          <w:color w:val="000000"/>
        </w:rPr>
        <w:t>)</w:t>
      </w:r>
      <w:r w:rsidRPr="005E5785">
        <w:rPr>
          <w:rFonts w:ascii="Times New Roman" w:hAnsi="Times New Roman" w:cs="Times New Roman"/>
          <w:color w:val="000000"/>
        </w:rPr>
        <w:t xml:space="preserve"> emitting sources (such as hydro, nuclear, wind and solar) (</w:t>
      </w:r>
      <w:r w:rsidR="00141675">
        <w:rPr>
          <w:rFonts w:ascii="Times New Roman" w:hAnsi="Times New Roman" w:cs="Times New Roman"/>
          <w:color w:val="000000"/>
        </w:rPr>
        <w:t xml:space="preserve">Natural Resources Canada, </w:t>
      </w:r>
      <w:r w:rsidR="00141675" w:rsidRPr="00141675">
        <w:rPr>
          <w:rFonts w:ascii="Times New Roman" w:hAnsi="Times New Roman" w:cs="Times New Roman"/>
          <w:color w:val="000000"/>
        </w:rPr>
        <w:t>2018</w:t>
      </w:r>
      <w:r w:rsidRPr="005E5785">
        <w:rPr>
          <w:rFonts w:ascii="Times New Roman" w:hAnsi="Times New Roman" w:cs="Times New Roman"/>
          <w:color w:val="000000"/>
        </w:rPr>
        <w:t>). It is also projected that by 2035, the share of wind and solar energy for electricity generation will increase by 7% with hydroelectricity remaining the dominant source of power production (</w:t>
      </w:r>
      <w:r w:rsidR="00141675" w:rsidRPr="00BF3067">
        <w:rPr>
          <w:rFonts w:ascii="Times New Roman" w:hAnsi="Times New Roman" w:cs="Times New Roman"/>
          <w:color w:val="000000"/>
        </w:rPr>
        <w:t xml:space="preserve">Environment and Climate Change </w:t>
      </w:r>
      <w:r w:rsidR="00BF3067">
        <w:rPr>
          <w:rFonts w:ascii="Times New Roman" w:hAnsi="Times New Roman" w:cs="Times New Roman"/>
          <w:color w:val="000000"/>
        </w:rPr>
        <w:t>Canada,</w:t>
      </w:r>
      <w:r w:rsidR="00141675" w:rsidRPr="00BF3067">
        <w:rPr>
          <w:rFonts w:ascii="Times New Roman" w:hAnsi="Times New Roman" w:cs="Times New Roman"/>
          <w:color w:val="000000"/>
        </w:rPr>
        <w:t xml:space="preserve"> 2018</w:t>
      </w:r>
      <w:r w:rsidRPr="005E5785">
        <w:rPr>
          <w:rFonts w:ascii="Times New Roman" w:hAnsi="Times New Roman" w:cs="Times New Roman"/>
          <w:color w:val="000000"/>
        </w:rPr>
        <w:t xml:space="preserve">). </w:t>
      </w:r>
    </w:p>
    <w:p w14:paraId="1609AC5B" w14:textId="77777777" w:rsidR="0033141A" w:rsidRPr="005E5785" w:rsidRDefault="0033141A" w:rsidP="00076EDC">
      <w:pPr>
        <w:rPr>
          <w:rFonts w:ascii="Times New Roman" w:hAnsi="Times New Roman" w:cs="Times New Roman"/>
          <w:color w:val="000000"/>
        </w:rPr>
      </w:pPr>
      <w:r w:rsidRPr="005E5785">
        <w:rPr>
          <w:rFonts w:ascii="Times New Roman" w:hAnsi="Times New Roman" w:cs="Times New Roman"/>
          <w:color w:val="000000"/>
        </w:rPr>
        <w:t>With thriving automotive sector and clean electricity generation profile, there is an opportunity for Canada to take a leadership position in the penetration of electric vehicles (</w:t>
      </w:r>
      <w:r w:rsidR="00BF3067" w:rsidRPr="00BF3067">
        <w:rPr>
          <w:rFonts w:ascii="Times New Roman" w:hAnsi="Times New Roman" w:cs="Times New Roman"/>
          <w:color w:val="000000"/>
        </w:rPr>
        <w:t>Plug ‘n Drive, 2017</w:t>
      </w:r>
      <w:r w:rsidRPr="005E5785">
        <w:rPr>
          <w:rFonts w:ascii="Times New Roman" w:hAnsi="Times New Roman" w:cs="Times New Roman"/>
          <w:color w:val="000000"/>
        </w:rPr>
        <w:t xml:space="preserve">). Battery electric vehicles (BEV), plug-in hybrid electric vehicles (PHEV) and hybridized combustion engine vehicles (HEV) are examples of EV technologies. Among these options, BEVs use electricity as its main source of energy and contribute to a significant reduction of local air pollution </w:t>
      </w:r>
      <w:r w:rsidRPr="005E5785">
        <w:rPr>
          <w:rFonts w:ascii="Times New Roman" w:hAnsi="Times New Roman" w:cs="Times New Roman"/>
          <w:color w:val="000000"/>
        </w:rPr>
        <w:fldChar w:fldCharType="begin" w:fldLock="1"/>
      </w:r>
      <w:r w:rsidRPr="005E5785">
        <w:rPr>
          <w:rFonts w:ascii="Times New Roman" w:hAnsi="Times New Roman" w:cs="Times New Roman"/>
          <w:color w:val="000000"/>
        </w:rPr>
        <w:instrText>ADDIN CSL_CITATION { "citationItems" : [ { "id" : "ITEM-1", "itemData" : { "ISBN" : "9781461401339", "author" : [ { "dropping-particle" : "", "family" : "Garcia-Valle", "given" : "Rodrigo", "non-dropping-particle" : "", "parse-names" : false, "suffix" : "" }, { "dropping-particle" : "", "family" : "Pe\u00e7as Lopes", "given" : "Jo\u00e3o A.", "non-dropping-particle" : "", "parse-names" : false, "suffix" : "" } ], "id" : "ITEM-1", "issued" : { "date-parts" : [ [ "2013" ] ] }, "publisher" : "Berlin: Springer", "title" : "Electric vehicle integration into modern power networks", "type" : "book" }, "uris" : [ "http://www.mendeley.com/documents/?uuid=53996823-9d99-4b7c-9a77-2bce4cd965c5" ] } ], "mendeley" : { "formattedCitation" : "(Garcia-Valle &amp; Pe\u00e7as Lopes, 2013)", "plainTextFormattedCitation" : "(Garcia-Valle &amp; Pe\u00e7as Lopes, 2013)", "previouslyFormattedCitation" : "(Garcia-Valle &amp; Pe\u00e7as Lopes, 2013)" }, "properties" : { "noteIndex" : 0 }, "schema" : "https://github.com/citation-style-language/schema/raw/master/csl-citation.json" }</w:instrText>
      </w:r>
      <w:r w:rsidRPr="005E5785">
        <w:rPr>
          <w:rFonts w:ascii="Times New Roman" w:hAnsi="Times New Roman" w:cs="Times New Roman"/>
          <w:color w:val="000000"/>
        </w:rPr>
        <w:fldChar w:fldCharType="separate"/>
      </w:r>
      <w:r w:rsidRPr="005E5785">
        <w:rPr>
          <w:rFonts w:ascii="Times New Roman" w:hAnsi="Times New Roman" w:cs="Times New Roman"/>
          <w:noProof/>
          <w:color w:val="000000"/>
        </w:rPr>
        <w:t>(Garcia-Valle &amp; Peças Lopes, 2013)</w:t>
      </w:r>
      <w:r w:rsidRPr="005E5785">
        <w:rPr>
          <w:rFonts w:ascii="Times New Roman" w:hAnsi="Times New Roman" w:cs="Times New Roman"/>
          <w:color w:val="000000"/>
        </w:rPr>
        <w:fldChar w:fldCharType="end"/>
      </w:r>
      <w:r w:rsidRPr="005E5785">
        <w:rPr>
          <w:rFonts w:ascii="Times New Roman" w:hAnsi="Times New Roman" w:cs="Times New Roman"/>
          <w:color w:val="000000"/>
        </w:rPr>
        <w:t xml:space="preserve">. </w:t>
      </w:r>
      <w:r w:rsidRPr="005E5785">
        <w:rPr>
          <w:rFonts w:ascii="Times New Roman" w:eastAsia="Times New Roman" w:hAnsi="Times New Roman" w:cs="Times New Roman"/>
          <w:lang w:eastAsia="en-CA"/>
        </w:rPr>
        <w:t>PHEVs can be driven both on electric battery and gas</w:t>
      </w:r>
      <w:r w:rsidR="00BF3067">
        <w:rPr>
          <w:rFonts w:ascii="Times New Roman" w:eastAsia="Times New Roman" w:hAnsi="Times New Roman" w:cs="Times New Roman"/>
          <w:lang w:eastAsia="en-CA"/>
        </w:rPr>
        <w:t>oline mode or their combination</w:t>
      </w:r>
      <w:r w:rsidRPr="005E5785">
        <w:rPr>
          <w:rFonts w:ascii="Times New Roman" w:hAnsi="Times New Roman" w:cs="Times New Roman"/>
          <w:color w:val="000000"/>
        </w:rPr>
        <w:t>, while</w:t>
      </w:r>
      <w:r w:rsidRPr="005E5785">
        <w:rPr>
          <w:rFonts w:ascii="Times New Roman" w:eastAsia="Times New Roman" w:hAnsi="Times New Roman" w:cs="Times New Roman"/>
          <w:lang w:eastAsia="en-CA"/>
        </w:rPr>
        <w:t xml:space="preserve"> HEV combines an internal combustion engine and one or more electric motors, but cannot be plugged into electricity facilities </w:t>
      </w:r>
      <w:r w:rsidRPr="005E5785">
        <w:rPr>
          <w:rFonts w:ascii="Times New Roman" w:eastAsia="Times New Roman" w:hAnsi="Times New Roman" w:cs="Times New Roman"/>
          <w:lang w:eastAsia="en-CA"/>
        </w:rPr>
        <w:fldChar w:fldCharType="begin" w:fldLock="1"/>
      </w:r>
      <w:r w:rsidRPr="005E5785">
        <w:rPr>
          <w:rFonts w:ascii="Times New Roman" w:eastAsia="Times New Roman" w:hAnsi="Times New Roman" w:cs="Times New Roman"/>
          <w:lang w:eastAsia="en-CA"/>
        </w:rPr>
        <w:instrText>ADDIN CSL_CITATION { "citationItems" : [ { "id" : "ITEM-1", "itemData" : { "ISBN" : "9781461401339", "author" : [ { "dropping-particle" : "", "family" : "Garcia-Valle", "given" : "Rodrigo", "non-dropping-particle" : "", "parse-names" : false, "suffix" : "" }, { "dropping-particle" : "", "family" : "Pe\u00e7as Lopes", "given" : "Jo\u00e3o A.", "non-dropping-particle" : "", "parse-names" : false, "suffix" : "" } ], "id" : "ITEM-1", "issued" : { "date-parts" : [ [ "2013" ] ] }, "publisher" : "Berlin: Springer", "title" : "Electric vehicle integration into modern power networks", "type" : "book" }, "uris" : [ "http://www.mendeley.com/documents/?uuid=53996823-9d99-4b7c-9a77-2bce4cd965c5", "http://www.mendeley.com/documents/?uuid=e46d0c8c-ea5e-4659-a88a-66676e011eb1" ] } ], "mendeley" : { "formattedCitation" : "(Garcia-Valle &amp; Pe\u00e7as Lopes, 2013)", "plainTextFormattedCitation" : "(Garcia-Valle &amp; Pe\u00e7as Lopes, 2013)", "previouslyFormattedCitation" : "(Garcia-Valle &amp; Pe\u00e7as Lopes, 2013)" }, "properties" : { "noteIndex" : 0 }, "schema" : "https://github.com/citation-style-language/schema/raw/master/csl-citation.json" }</w:instrText>
      </w:r>
      <w:r w:rsidRPr="005E5785">
        <w:rPr>
          <w:rFonts w:ascii="Times New Roman" w:eastAsia="Times New Roman" w:hAnsi="Times New Roman" w:cs="Times New Roman"/>
          <w:lang w:eastAsia="en-CA"/>
        </w:rPr>
        <w:fldChar w:fldCharType="separate"/>
      </w:r>
      <w:r w:rsidRPr="005E5785">
        <w:rPr>
          <w:rFonts w:ascii="Times New Roman" w:eastAsia="Times New Roman" w:hAnsi="Times New Roman" w:cs="Times New Roman"/>
          <w:noProof/>
          <w:lang w:eastAsia="en-CA"/>
        </w:rPr>
        <w:t>(Garcia-Valle &amp; Peças Lopes, 2013)</w:t>
      </w:r>
      <w:r w:rsidRPr="005E5785">
        <w:rPr>
          <w:rFonts w:ascii="Times New Roman" w:eastAsia="Times New Roman" w:hAnsi="Times New Roman" w:cs="Times New Roman"/>
          <w:lang w:eastAsia="en-CA"/>
        </w:rPr>
        <w:fldChar w:fldCharType="end"/>
      </w:r>
      <w:r w:rsidRPr="005E5785">
        <w:rPr>
          <w:rFonts w:ascii="Times New Roman" w:eastAsia="Times New Roman" w:hAnsi="Times New Roman" w:cs="Times New Roman"/>
          <w:lang w:eastAsia="en-CA"/>
        </w:rPr>
        <w:t>.</w:t>
      </w:r>
    </w:p>
    <w:p w14:paraId="0C25D66F" w14:textId="77777777" w:rsidR="0033141A" w:rsidRPr="005E5785" w:rsidRDefault="0033141A" w:rsidP="00076EDC">
      <w:pPr>
        <w:rPr>
          <w:rFonts w:ascii="Times New Roman" w:hAnsi="Times New Roman" w:cs="Times New Roman"/>
          <w:color w:val="000000"/>
        </w:rPr>
      </w:pPr>
      <w:r w:rsidRPr="005E5785">
        <w:rPr>
          <w:rFonts w:ascii="Times New Roman" w:eastAsia="Times New Roman" w:hAnsi="Times New Roman" w:cs="Times New Roman"/>
          <w:color w:val="000000"/>
          <w:lang w:eastAsia="en-CA"/>
        </w:rPr>
        <w:t xml:space="preserve">Privately owned vehicles are indeed the largest contributors of GHG emissions in Canada. Therefore, to successfully understand the future diffusion of EVs in the passenger vehicle market, it is crucial to identify the characteristics of consumer segments that are most likely or are better suited to adopt an EV as their next vehicle purchase, and to determine vehicle features, policy </w:t>
      </w:r>
      <w:r w:rsidRPr="005E5785">
        <w:rPr>
          <w:rFonts w:ascii="Times New Roman" w:eastAsia="Times New Roman" w:hAnsi="Times New Roman" w:cs="Times New Roman"/>
          <w:color w:val="000000"/>
          <w:lang w:eastAsia="en-CA"/>
        </w:rPr>
        <w:lastRenderedPageBreak/>
        <w:t xml:space="preserve">packages or governmental incentives that are most important to these segments </w:t>
      </w:r>
      <w:r w:rsidRPr="005E5785">
        <w:rPr>
          <w:rFonts w:ascii="Times New Roman" w:hAnsi="Times New Roman" w:cs="Times New Roman"/>
          <w:color w:val="000000"/>
        </w:rPr>
        <w:t>(</w:t>
      </w:r>
      <w:r w:rsidR="00BF3067">
        <w:rPr>
          <w:rFonts w:ascii="Times New Roman" w:hAnsi="Times New Roman" w:cs="Times New Roman"/>
          <w:color w:val="000000"/>
        </w:rPr>
        <w:t>Axsen et al., 2015</w:t>
      </w:r>
      <w:r w:rsidRPr="005E5785">
        <w:rPr>
          <w:rFonts w:ascii="Times New Roman" w:hAnsi="Times New Roman" w:cs="Times New Roman"/>
          <w:color w:val="000000"/>
        </w:rPr>
        <w:t>).</w:t>
      </w:r>
      <w:r w:rsidRPr="005E5785">
        <w:rPr>
          <w:rFonts w:ascii="Times New Roman" w:eastAsia="Times New Roman" w:hAnsi="Times New Roman" w:cs="Times New Roman"/>
          <w:color w:val="000000"/>
          <w:lang w:eastAsia="en-CA"/>
        </w:rPr>
        <w:t xml:space="preserve"> </w:t>
      </w:r>
      <w:r w:rsidRPr="000E6CCA">
        <w:rPr>
          <w:rFonts w:ascii="Times New Roman" w:hAnsi="Times New Roman" w:cs="Times New Roman"/>
          <w:color w:val="000000"/>
        </w:rPr>
        <w:t xml:space="preserve">The present </w:t>
      </w:r>
      <w:r w:rsidR="000E6CCA" w:rsidRPr="000E6CCA">
        <w:rPr>
          <w:rFonts w:ascii="Times New Roman" w:hAnsi="Times New Roman" w:cs="Times New Roman"/>
          <w:color w:val="000000"/>
        </w:rPr>
        <w:t>thesis focuses on the design of a national survey instrument used to gather over 20,000 observations across</w:t>
      </w:r>
      <w:r w:rsidR="000E6CCA">
        <w:rPr>
          <w:rFonts w:ascii="Times New Roman" w:hAnsi="Times New Roman" w:cs="Times New Roman"/>
          <w:color w:val="000000"/>
        </w:rPr>
        <w:t xml:space="preserve"> Canada to provide high-quality data that enable several research works in the context of EV consumer preferences</w:t>
      </w:r>
      <w:r w:rsidR="000E6CCA" w:rsidRPr="000E6CCA">
        <w:rPr>
          <w:rFonts w:ascii="Times New Roman" w:hAnsi="Times New Roman" w:cs="Times New Roman"/>
          <w:color w:val="000000"/>
        </w:rPr>
        <w:t xml:space="preserve">. </w:t>
      </w:r>
      <w:r w:rsidR="000E6CCA">
        <w:rPr>
          <w:rFonts w:ascii="Times New Roman" w:hAnsi="Times New Roman" w:cs="Times New Roman"/>
          <w:color w:val="000000"/>
        </w:rPr>
        <w:t>With the use of this dataset, p</w:t>
      </w:r>
      <w:r w:rsidR="000E6CCA" w:rsidRPr="000E6CCA">
        <w:rPr>
          <w:rFonts w:ascii="Times New Roman" w:hAnsi="Times New Roman" w:cs="Times New Roman"/>
          <w:color w:val="000000"/>
        </w:rPr>
        <w:t>otential electric vehicle (EV) adoption among households in Atlantic Canada, in relation to leading adoption provinces (Ontario and British Columbia) is</w:t>
      </w:r>
      <w:r w:rsidR="000E6CCA">
        <w:rPr>
          <w:rFonts w:ascii="Times New Roman" w:hAnsi="Times New Roman" w:cs="Times New Roman"/>
          <w:color w:val="000000"/>
        </w:rPr>
        <w:t xml:space="preserve"> also</w:t>
      </w:r>
      <w:r w:rsidR="000E6CCA" w:rsidRPr="000E6CCA">
        <w:rPr>
          <w:rFonts w:ascii="Times New Roman" w:hAnsi="Times New Roman" w:cs="Times New Roman"/>
          <w:color w:val="000000"/>
        </w:rPr>
        <w:t xml:space="preserve"> investigated in this dissertation</w:t>
      </w:r>
      <w:r w:rsidR="00D31C2D">
        <w:rPr>
          <w:rFonts w:ascii="Times New Roman" w:hAnsi="Times New Roman" w:cs="Times New Roman"/>
          <w:color w:val="000000"/>
        </w:rPr>
        <w:t>, followed by</w:t>
      </w:r>
      <w:r w:rsidR="000E6CCA" w:rsidRPr="000E6CCA">
        <w:rPr>
          <w:rFonts w:ascii="Times New Roman" w:hAnsi="Times New Roman" w:cs="Times New Roman"/>
          <w:color w:val="000000"/>
        </w:rPr>
        <w:t xml:space="preserve"> </w:t>
      </w:r>
      <w:r w:rsidR="00D31C2D">
        <w:rPr>
          <w:rFonts w:ascii="Times New Roman" w:hAnsi="Times New Roman" w:cs="Times New Roman"/>
          <w:color w:val="000000"/>
        </w:rPr>
        <w:t>a</w:t>
      </w:r>
      <w:r w:rsidR="000E6CCA" w:rsidRPr="000E6CCA">
        <w:rPr>
          <w:rFonts w:ascii="Times New Roman" w:hAnsi="Times New Roman" w:cs="Times New Roman"/>
          <w:color w:val="000000"/>
        </w:rPr>
        <w:t>n economic analysis of battery electric vehicles for Canadian households and characteristics that make household</w:t>
      </w:r>
      <w:r w:rsidR="00D31C2D">
        <w:rPr>
          <w:rFonts w:ascii="Times New Roman" w:hAnsi="Times New Roman" w:cs="Times New Roman"/>
          <w:color w:val="000000"/>
        </w:rPr>
        <w:t>s</w:t>
      </w:r>
      <w:r w:rsidR="000E6CCA" w:rsidRPr="000E6CCA">
        <w:rPr>
          <w:rFonts w:ascii="Times New Roman" w:hAnsi="Times New Roman" w:cs="Times New Roman"/>
          <w:color w:val="000000"/>
        </w:rPr>
        <w:t xml:space="preserve"> suited for a BEV adoption.</w:t>
      </w:r>
      <w:r w:rsidRPr="000E6CCA">
        <w:rPr>
          <w:rFonts w:ascii="Times New Roman" w:hAnsi="Times New Roman" w:cs="Times New Roman"/>
          <w:color w:val="000000"/>
        </w:rPr>
        <w:t xml:space="preserve"> </w:t>
      </w:r>
    </w:p>
    <w:p w14:paraId="22A01CB8" w14:textId="77777777" w:rsidR="0033141A" w:rsidRPr="005E5785" w:rsidRDefault="0033141A" w:rsidP="00076EDC">
      <w:pPr>
        <w:rPr>
          <w:rFonts w:ascii="Times New Roman" w:hAnsi="Times New Roman" w:cs="Times New Roman"/>
          <w:color w:val="000000"/>
        </w:rPr>
      </w:pPr>
      <w:r w:rsidRPr="005E5785">
        <w:rPr>
          <w:rFonts w:ascii="Times New Roman" w:hAnsi="Times New Roman" w:cs="Times New Roman"/>
          <w:color w:val="000000"/>
        </w:rPr>
        <w:t xml:space="preserve">Since the existing consumer market for EVs is still limited, revealed preference (RP) technique cannot provide useful information with regards to consumer preference </w:t>
      </w:r>
      <w:r w:rsidRPr="005E5785">
        <w:rPr>
          <w:rFonts w:ascii="Times New Roman" w:hAnsi="Times New Roman" w:cs="Times New Roman"/>
          <w:color w:val="000000"/>
        </w:rPr>
        <w:fldChar w:fldCharType="begin" w:fldLock="1"/>
      </w:r>
      <w:r w:rsidRPr="005E5785">
        <w:rPr>
          <w:rFonts w:ascii="Times New Roman" w:hAnsi="Times New Roman" w:cs="Times New Roman"/>
          <w:color w:val="000000"/>
        </w:rPr>
        <w:instrText>ADDIN CSL_CITATION { "citationItems" : [ { "id" : "ITEM-1", "itemData" : { "author" : [ { "dropping-particle" : "", "family" : "Louviere", "given" : "Jordan", "non-dropping-particle" : "", "parse-names" : false, "suffix" : "" }, { "dropping-particle" : "", "family" : "Hensher", "given" : "David", "non-dropping-particle" : "", "parse-names" : false, "suffix" : "" }, { "dropping-particle" : "", "family" : "Swait", "given" : "Joffre", "non-dropping-particle" : "", "parse-names" : false, "suffix" : "" } ], "id" : "ITEM-1", "issued" : { "date-parts" : [ [ "2000" ] ] }, "publisher" : "Cambridge University Press", "title" : "Stated choice methods: analysis and applications", "type" : "book" }, "uris" : [ "http://www.mendeley.com/documents/?uuid=596906e9-ff3c-4ece-a68b-c19e50a02b12" ] } ], "mendeley" : { "formattedCitation" : "(Louviere, Hensher, &amp; Swait, 2000)", "manualFormatting" : "(Louviere et al., 2000)", "plainTextFormattedCitation" : "(Louviere, Hensher, &amp; Swait, 2000)", "previouslyFormattedCitation" : "(Louviere, Hensher, &amp; Swait, 2000)" }, "properties" : { "noteIndex" : 0 }, "schema" : "https://github.com/citation-style-language/schema/raw/master/csl-citation.json" }</w:instrText>
      </w:r>
      <w:r w:rsidRPr="005E5785">
        <w:rPr>
          <w:rFonts w:ascii="Times New Roman" w:hAnsi="Times New Roman" w:cs="Times New Roman"/>
          <w:color w:val="000000"/>
        </w:rPr>
        <w:fldChar w:fldCharType="separate"/>
      </w:r>
      <w:r w:rsidRPr="005E5785">
        <w:rPr>
          <w:rFonts w:ascii="Times New Roman" w:hAnsi="Times New Roman" w:cs="Times New Roman"/>
          <w:noProof/>
          <w:color w:val="000000"/>
        </w:rPr>
        <w:t>(Louviere et al., 2000)</w:t>
      </w:r>
      <w:r w:rsidRPr="005E5785">
        <w:rPr>
          <w:rFonts w:ascii="Times New Roman" w:hAnsi="Times New Roman" w:cs="Times New Roman"/>
          <w:color w:val="000000"/>
        </w:rPr>
        <w:fldChar w:fldCharType="end"/>
      </w:r>
      <w:r w:rsidRPr="005E5785">
        <w:rPr>
          <w:rFonts w:ascii="Times New Roman" w:hAnsi="Times New Roman" w:cs="Times New Roman"/>
          <w:color w:val="000000"/>
        </w:rPr>
        <w:t xml:space="preserve">. Also, EVs are still considered as new technologies that are continuously evolving, and hence, to understand consumer adoption, one needs a wide range of variation of different attributes that currently is not found in real market </w:t>
      </w:r>
      <w:r w:rsidRPr="005E5785">
        <w:rPr>
          <w:rFonts w:ascii="Times New Roman" w:hAnsi="Times New Roman" w:cs="Times New Roman"/>
          <w:color w:val="000000"/>
        </w:rPr>
        <w:fldChar w:fldCharType="begin" w:fldLock="1"/>
      </w:r>
      <w:r w:rsidRPr="005E5785">
        <w:rPr>
          <w:rFonts w:ascii="Times New Roman" w:hAnsi="Times New Roman" w:cs="Times New Roman"/>
          <w:color w:val="000000"/>
        </w:rPr>
        <w:instrText>ADDIN CSL_CITATION { "citationItems" : [ { "id" : "ITEM-1", "itemData" : { "DOI" : "10.1016/j.enpol.2012.09.040", "ISSN" : "03014215", "abstract" : "Since standard vehicles are powered by internal combustion mechanisms that rely on fossil fuels, electric vehicles that are propelled by one or more electric engines have been proposed as an alternative to promote sustainable personal transportation. In this paper we propose a general demand model for vehicle purchases at the individual level assuming that the necessary microdata is available. We then list the ideal microdata that would be needed for estimating this general demand model. For elaborating this list, we take into account the particularities of low emission vehicles, with emphasis in their cost-reliability-environmental benefits tradeoff, as well as the potentiality for evaluation of welfare improving policies related to adoption of energy-efficient technologies. We discuss data sources and collection strategies for the different attributes of the model, especially for those characteristics that are nonstandard such as symbolic values. For instance, we discuss the role of range anxiety as a barrier of adoption of electric vehicles, and the implied relevance of including driving range to get consumers' willingness to pay for better performing electric batteries. ?? 2012 Elsevier Ltd.", "author" : [ { "dropping-particle" : "", "family" : "Daziano", "given" : "Ricardo a.", "non-dropping-particle" : "", "parse-names" : false, "suffix" : "" }, { "dropping-particle" : "", "family" : "Chiew", "given" : "Esther", "non-dropping-particle" : "", "parse-names" : false, "suffix" : "" } ], "container-title" : "Energy Policy", "id" : "ITEM-1", "issued" : { "date-parts" : [ [ "2012", "12" ] ] }, "page" : "876-894", "publisher" : "Elsevier", "title" : "Electric vehicles rising from the dead: Data needs for forecasting consumer response toward sustainable energy sources in personal transportation", "type" : "article-journal", "volume" : "51" }, "uris" : [ "http://www.mendeley.com/documents/?uuid=f23a8e4a-99e2-4722-995a-aa06cb513814" ] } ], "mendeley" : { "formattedCitation" : "(Daziano &amp; Chiew, 2012)", "plainTextFormattedCitation" : "(Daziano &amp; Chiew, 2012)", "previouslyFormattedCitation" : "(Daziano &amp; Chiew, 2012)" }, "properties" : { "noteIndex" : 0 }, "schema" : "https://github.com/citation-style-language/schema/raw/master/csl-citation.json" }</w:instrText>
      </w:r>
      <w:r w:rsidRPr="005E5785">
        <w:rPr>
          <w:rFonts w:ascii="Times New Roman" w:hAnsi="Times New Roman" w:cs="Times New Roman"/>
          <w:color w:val="000000"/>
        </w:rPr>
        <w:fldChar w:fldCharType="separate"/>
      </w:r>
      <w:r w:rsidRPr="005E5785">
        <w:rPr>
          <w:rFonts w:ascii="Times New Roman" w:hAnsi="Times New Roman" w:cs="Times New Roman"/>
          <w:noProof/>
          <w:color w:val="000000"/>
        </w:rPr>
        <w:t>(Daziano &amp; Chiew, 2012)</w:t>
      </w:r>
      <w:r w:rsidRPr="005E5785">
        <w:rPr>
          <w:rFonts w:ascii="Times New Roman" w:hAnsi="Times New Roman" w:cs="Times New Roman"/>
          <w:color w:val="000000"/>
        </w:rPr>
        <w:fldChar w:fldCharType="end"/>
      </w:r>
      <w:r w:rsidRPr="005E5785">
        <w:rPr>
          <w:rFonts w:ascii="Times New Roman" w:hAnsi="Times New Roman" w:cs="Times New Roman"/>
          <w:color w:val="000000"/>
        </w:rPr>
        <w:t xml:space="preserve">. Stated preference (SP) data, on the other hand, can cover a much wider range of attributes and levels than RP data and technological shifts can be also taken into account </w:t>
      </w:r>
      <w:r w:rsidRPr="005E5785">
        <w:rPr>
          <w:rFonts w:ascii="Times New Roman" w:hAnsi="Times New Roman" w:cs="Times New Roman"/>
          <w:color w:val="000000"/>
        </w:rPr>
        <w:fldChar w:fldCharType="begin" w:fldLock="1"/>
      </w:r>
      <w:r w:rsidRPr="005E5785">
        <w:rPr>
          <w:rFonts w:ascii="Times New Roman" w:hAnsi="Times New Roman" w:cs="Times New Roman"/>
          <w:color w:val="000000"/>
        </w:rPr>
        <w:instrText>ADDIN CSL_CITATION { "citationItems" : [ { "id" : "ITEM-1", "itemData" : { "author" : [ { "dropping-particle" : "", "family" : "Louviere", "given" : "Jordan", "non-dropping-particle" : "", "parse-names" : false, "suffix" : "" }, { "dropping-particle" : "", "family" : "Hensher", "given" : "David", "non-dropping-particle" : "", "parse-names" : false, "suffix" : "" }, { "dropping-particle" : "", "family" : "Swait", "given" : "Joffre", "non-dropping-particle" : "", "parse-names" : false, "suffix" : "" } ], "id" : "ITEM-1", "issued" : { "date-parts" : [ [ "2000" ] ] }, "publisher" : "Cambridge University Press", "title" : "Stated choice methods: analysis and applications", "type" : "book" }, "uris" : [ "http://www.mendeley.com/documents/?uuid=596906e9-ff3c-4ece-a68b-c19e50a02b12" ] } ], "mendeley" : { "formattedCitation" : "(Louviere et al., 2000)", "plainTextFormattedCitation" : "(Louviere et al., 2000)", "previouslyFormattedCitation" : "(Louviere et al., 2000)" }, "properties" : { "noteIndex" : 0 }, "schema" : "https://github.com/citation-style-language/schema/raw/master/csl-citation.json" }</w:instrText>
      </w:r>
      <w:r w:rsidRPr="005E5785">
        <w:rPr>
          <w:rFonts w:ascii="Times New Roman" w:hAnsi="Times New Roman" w:cs="Times New Roman"/>
          <w:color w:val="000000"/>
        </w:rPr>
        <w:fldChar w:fldCharType="separate"/>
      </w:r>
      <w:r w:rsidRPr="005E5785">
        <w:rPr>
          <w:rFonts w:ascii="Times New Roman" w:hAnsi="Times New Roman" w:cs="Times New Roman"/>
          <w:noProof/>
          <w:color w:val="000000"/>
        </w:rPr>
        <w:t>(Louviere et al., 2000)</w:t>
      </w:r>
      <w:r w:rsidRPr="005E5785">
        <w:rPr>
          <w:rFonts w:ascii="Times New Roman" w:hAnsi="Times New Roman" w:cs="Times New Roman"/>
          <w:color w:val="000000"/>
        </w:rPr>
        <w:fldChar w:fldCharType="end"/>
      </w:r>
      <w:r w:rsidRPr="005E5785">
        <w:rPr>
          <w:rFonts w:ascii="Times New Roman" w:hAnsi="Times New Roman" w:cs="Times New Roman"/>
          <w:color w:val="000000"/>
        </w:rPr>
        <w:t xml:space="preserve">. </w:t>
      </w:r>
    </w:p>
    <w:p w14:paraId="737A81C0" w14:textId="77777777" w:rsidR="0033141A" w:rsidRPr="005E5785" w:rsidRDefault="0033141A" w:rsidP="00076EDC">
      <w:pPr>
        <w:rPr>
          <w:rFonts w:ascii="Times New Roman" w:hAnsi="Times New Roman" w:cs="Times New Roman"/>
          <w:color w:val="000000"/>
        </w:rPr>
      </w:pPr>
      <w:r w:rsidRPr="005E5785">
        <w:rPr>
          <w:rFonts w:ascii="Times New Roman" w:hAnsi="Times New Roman" w:cs="Times New Roman"/>
          <w:color w:val="000000"/>
        </w:rPr>
        <w:t xml:space="preserve">Design of experiments or experimental design is the technique used in this study for developing SP choice scenarios. Within each scenario, households are presented in a systematic way with automobile options, along with their defined attributes, and are asked to make a choice </w:t>
      </w:r>
      <w:r w:rsidRPr="005E5785">
        <w:rPr>
          <w:rFonts w:ascii="Times New Roman" w:hAnsi="Times New Roman" w:cs="Times New Roman"/>
          <w:color w:val="000000"/>
        </w:rPr>
        <w:fldChar w:fldCharType="begin" w:fldLock="1"/>
      </w:r>
      <w:r w:rsidRPr="005E5785">
        <w:rPr>
          <w:rFonts w:ascii="Times New Roman" w:hAnsi="Times New Roman" w:cs="Times New Roman"/>
          <w:color w:val="000000"/>
        </w:rPr>
        <w:instrText>ADDIN CSL_CITATION { "citationItems" : [ { "id" : "ITEM-1", "itemData" : { "author" : [ { "dropping-particle" : "", "family" : "Hensher", "given" : "David", "non-dropping-particle" : "", "parse-names" : false, "suffix" : "" }, { "dropping-particle" : "", "family" : "Rose", "given" : "John", "non-dropping-particle" : "", "parse-names" : false, "suffix" : "" }, { "dropping-particle" : "", "family" : "Greene", "given" : "William", "non-dropping-particle" : "", "parse-names" : false, "suffix" : "" } ], "id" : "ITEM-1", "issued" : { "date-parts" : [ [ "2005" ] ] }, "publisher" : "Cambridge University Press", "title" : "Applied choice analysis: a primer", "type" : "book" }, "uris" : [ "http://www.mendeley.com/documents/?uuid=c608edbe-ac9b-42c6-8183-82e9d8f44c92" ] } ], "mendeley" : { "formattedCitation" : "(Hensher, Rose, &amp; Greene, 2005)", "manualFormatting" : "(Hensher et al., 2005)", "plainTextFormattedCitation" : "(Hensher, Rose, &amp; Greene, 2005)", "previouslyFormattedCitation" : "(Hensher, Rose, &amp; Greene, 2005)" }, "properties" : { "noteIndex" : 0 }, "schema" : "https://github.com/citation-style-language/schema/raw/master/csl-citation.json" }</w:instrText>
      </w:r>
      <w:r w:rsidRPr="005E5785">
        <w:rPr>
          <w:rFonts w:ascii="Times New Roman" w:hAnsi="Times New Roman" w:cs="Times New Roman"/>
          <w:color w:val="000000"/>
        </w:rPr>
        <w:fldChar w:fldCharType="separate"/>
      </w:r>
      <w:r w:rsidRPr="005E5785">
        <w:rPr>
          <w:rFonts w:ascii="Times New Roman" w:hAnsi="Times New Roman" w:cs="Times New Roman"/>
          <w:noProof/>
          <w:color w:val="000000"/>
        </w:rPr>
        <w:t>(Hensher et al., 2005)</w:t>
      </w:r>
      <w:r w:rsidRPr="005E5785">
        <w:rPr>
          <w:rFonts w:ascii="Times New Roman" w:hAnsi="Times New Roman" w:cs="Times New Roman"/>
          <w:color w:val="000000"/>
        </w:rPr>
        <w:fldChar w:fldCharType="end"/>
      </w:r>
      <w:r w:rsidRPr="005E5785">
        <w:rPr>
          <w:rFonts w:ascii="Times New Roman" w:hAnsi="Times New Roman" w:cs="Times New Roman"/>
          <w:color w:val="000000"/>
        </w:rPr>
        <w:t xml:space="preserve">. This technique provides quantified procedures for investigating the conditions under which potential auto buyers may purchase an EV as their next vehicle. Also, to </w:t>
      </w:r>
      <w:r w:rsidRPr="005E5785">
        <w:rPr>
          <w:rFonts w:ascii="Times New Roman" w:hAnsi="Times New Roman" w:cs="Times New Roman"/>
          <w:color w:val="000000"/>
        </w:rPr>
        <w:lastRenderedPageBreak/>
        <w:t xml:space="preserve">explore preference heterogeneity across the consumer segments, socioeconomic and environmental factors are taken into consideration </w:t>
      </w:r>
      <w:r w:rsidRPr="005E5785">
        <w:rPr>
          <w:rFonts w:ascii="Times New Roman" w:hAnsi="Times New Roman" w:cs="Times New Roman"/>
          <w:color w:val="000000"/>
        </w:rPr>
        <w:fldChar w:fldCharType="begin" w:fldLock="1"/>
      </w:r>
      <w:r w:rsidRPr="005E5785">
        <w:rPr>
          <w:rFonts w:ascii="Times New Roman" w:hAnsi="Times New Roman" w:cs="Times New Roman"/>
          <w:color w:val="000000"/>
        </w:rPr>
        <w:instrText>ADDIN CSL_CITATION { "citationItems" : [ { "id" : "ITEM-1", "itemData" : { "abstract" : "We compare multinomial logit and mixed logit models for data on California households' revealed and stated preferences for automobiles. The stated preference (SP) data elicited households' preferences among gasoline, electric, methanol, and compressed natural gas vehicles with various attributes. The mixed logit models provide improved fits over logit that are highly significant, and show large heterogeneity in respondents' preferences for alternative-fuel vehicles. The effects of including this heterogeneity are demonstrated in forecasting exercises. The alternative-fuel vehicle models presented here also highlight the advantages of merging SP and revealed preference (RP) data. RP data appear to be critical for obtaining realistic body-type choice and scaling information, but they are plagued by multicollinearity and difficulties with measuring vehicle attributes. SP data are critical for obtaining information about attributes not available in the marketplace, but pure SP models with these data give implausible forecasts. (C) 2000 Elsevier Science Ltd. All rights reserved.", "author" : [ { "dropping-particle" : "", "family" : "Brownstone", "given" : "David", "non-dropping-particle" : "", "parse-names" : false, "suffix" : "" }, { "dropping-particle" : "", "family" : "Bunch", "given" : "David S.", "non-dropping-particle" : "", "parse-names" : false, "suffix" : "" }, { "dropping-particle" : "", "family" : "Train", "given" : "Kenneth", "non-dropping-particle" : "", "parse-names" : false, "suffix" : "" } ], "container-title" : "Transportation Research Part B: Methodological", "id" : "ITEM-1", "issue" : "5", "issued" : { "date-parts" : [ [ "2000" ] ] }, "page" : "315-338", "publisher" : "Elsevier Science Ltd", "title" : "Joint mixed logit models of stated and revealed preferences for alternative-fuel vehicles", "type" : "article-journal", "volume" : "34" }, "uris" : [ "http://www.mendeley.com/documents/?uuid=f091ae98-77d6-4f22-b45d-aa8f803ef566" ] } ], "mendeley" : { "formattedCitation" : "(Brownstone, Bunch, &amp; Train, 2000)", "manualFormatting" : "(Brownstone et al., 2000)", "plainTextFormattedCitation" : "(Brownstone, Bunch, &amp; Train, 2000)", "previouslyFormattedCitation" : "(Brownstone, Bunch, &amp; Train, 2000)" }, "properties" : { "noteIndex" : 0 }, "schema" : "https://github.com/citation-style-language/schema/raw/master/csl-citation.json" }</w:instrText>
      </w:r>
      <w:r w:rsidRPr="005E5785">
        <w:rPr>
          <w:rFonts w:ascii="Times New Roman" w:hAnsi="Times New Roman" w:cs="Times New Roman"/>
          <w:color w:val="000000"/>
        </w:rPr>
        <w:fldChar w:fldCharType="separate"/>
      </w:r>
      <w:r w:rsidRPr="005E5785">
        <w:rPr>
          <w:rFonts w:ascii="Times New Roman" w:hAnsi="Times New Roman" w:cs="Times New Roman"/>
          <w:noProof/>
          <w:color w:val="000000"/>
        </w:rPr>
        <w:t>(Brownstone et al., 2000)</w:t>
      </w:r>
      <w:r w:rsidRPr="005E5785">
        <w:rPr>
          <w:rFonts w:ascii="Times New Roman" w:hAnsi="Times New Roman" w:cs="Times New Roman"/>
          <w:color w:val="000000"/>
        </w:rPr>
        <w:fldChar w:fldCharType="end"/>
      </w:r>
      <w:r w:rsidRPr="005E5785">
        <w:rPr>
          <w:rFonts w:ascii="Times New Roman" w:hAnsi="Times New Roman" w:cs="Times New Roman"/>
          <w:color w:val="000000"/>
        </w:rPr>
        <w:t>. A national survey was designed and administered to a panel of Canadian households</w:t>
      </w:r>
      <w:r w:rsidRPr="005E5785">
        <w:rPr>
          <w:rFonts w:ascii="Times New Roman" w:hAnsi="Times New Roman" w:cs="Times New Roman"/>
        </w:rPr>
        <w:t xml:space="preserve"> </w:t>
      </w:r>
      <w:r w:rsidRPr="005E5785">
        <w:rPr>
          <w:rFonts w:ascii="Times New Roman" w:hAnsi="Times New Roman" w:cs="Times New Roman"/>
          <w:color w:val="000000"/>
        </w:rPr>
        <w:t>to gain better understandings of EV consumers and the variables that affect their preferences for EVs versus other vehicle alternatives. The acronym “</w:t>
      </w:r>
      <w:r w:rsidRPr="005E5785">
        <w:rPr>
          <w:rFonts w:ascii="Times New Roman" w:hAnsi="Times New Roman" w:cs="Times New Roman"/>
          <w:b/>
          <w:color w:val="000000"/>
        </w:rPr>
        <w:t>SPACE”</w:t>
      </w:r>
      <w:r w:rsidRPr="005E5785">
        <w:rPr>
          <w:rFonts w:ascii="Times New Roman" w:hAnsi="Times New Roman" w:cs="Times New Roman"/>
          <w:color w:val="000000"/>
        </w:rPr>
        <w:t xml:space="preserve"> (</w:t>
      </w:r>
      <w:r w:rsidRPr="005E5785">
        <w:rPr>
          <w:rFonts w:ascii="Times New Roman" w:hAnsi="Times New Roman" w:cs="Times New Roman"/>
          <w:b/>
          <w:color w:val="000000"/>
        </w:rPr>
        <w:t>S</w:t>
      </w:r>
      <w:r w:rsidRPr="005E5785">
        <w:rPr>
          <w:rFonts w:ascii="Times New Roman" w:hAnsi="Times New Roman" w:cs="Times New Roman"/>
          <w:color w:val="000000"/>
        </w:rPr>
        <w:t xml:space="preserve">urvey for </w:t>
      </w:r>
      <w:r w:rsidRPr="005E5785">
        <w:rPr>
          <w:rFonts w:ascii="Times New Roman" w:hAnsi="Times New Roman" w:cs="Times New Roman"/>
          <w:b/>
          <w:color w:val="000000"/>
        </w:rPr>
        <w:t>P</w:t>
      </w:r>
      <w:r w:rsidRPr="005E5785">
        <w:rPr>
          <w:rFonts w:ascii="Times New Roman" w:hAnsi="Times New Roman" w:cs="Times New Roman"/>
          <w:color w:val="000000"/>
        </w:rPr>
        <w:t xml:space="preserve">references and </w:t>
      </w:r>
      <w:r w:rsidRPr="005E5785">
        <w:rPr>
          <w:rFonts w:ascii="Times New Roman" w:hAnsi="Times New Roman" w:cs="Times New Roman"/>
          <w:b/>
          <w:color w:val="000000"/>
        </w:rPr>
        <w:t>A</w:t>
      </w:r>
      <w:r w:rsidRPr="005E5785">
        <w:rPr>
          <w:rFonts w:ascii="Times New Roman" w:hAnsi="Times New Roman" w:cs="Times New Roman"/>
          <w:color w:val="000000"/>
        </w:rPr>
        <w:t xml:space="preserve">ttitudes of </w:t>
      </w:r>
      <w:r w:rsidRPr="005E5785">
        <w:rPr>
          <w:rFonts w:ascii="Times New Roman" w:hAnsi="Times New Roman" w:cs="Times New Roman"/>
          <w:b/>
          <w:color w:val="000000"/>
        </w:rPr>
        <w:t>C</w:t>
      </w:r>
      <w:r w:rsidRPr="005E5785">
        <w:rPr>
          <w:rFonts w:ascii="Times New Roman" w:hAnsi="Times New Roman" w:cs="Times New Roman"/>
          <w:color w:val="000000"/>
        </w:rPr>
        <w:t xml:space="preserve">anadians towards </w:t>
      </w:r>
      <w:r w:rsidRPr="005E5785">
        <w:rPr>
          <w:rFonts w:ascii="Times New Roman" w:hAnsi="Times New Roman" w:cs="Times New Roman"/>
          <w:b/>
          <w:color w:val="000000"/>
        </w:rPr>
        <w:t>E</w:t>
      </w:r>
      <w:r w:rsidRPr="005E5785">
        <w:rPr>
          <w:rFonts w:ascii="Times New Roman" w:hAnsi="Times New Roman" w:cs="Times New Roman"/>
          <w:color w:val="000000"/>
        </w:rPr>
        <w:t>lectric Vehicles) is used for the purposes of this dissertation. The process of survey design and all details associated with it is described in full in chapter 2.</w:t>
      </w:r>
    </w:p>
    <w:p w14:paraId="3DD0AAD2" w14:textId="77777777" w:rsidR="0033141A" w:rsidRPr="005E5785" w:rsidRDefault="0033141A" w:rsidP="00E1100F">
      <w:pPr>
        <w:pStyle w:val="ListParagraph"/>
        <w:numPr>
          <w:ilvl w:val="1"/>
          <w:numId w:val="6"/>
        </w:numPr>
        <w:spacing w:before="240" w:after="240"/>
        <w:contextualSpacing w:val="0"/>
        <w:outlineLvl w:val="1"/>
        <w:rPr>
          <w:rFonts w:ascii="Times New Roman" w:hAnsi="Times New Roman" w:cs="Times New Roman"/>
          <w:b/>
          <w:color w:val="000000"/>
        </w:rPr>
      </w:pPr>
      <w:bookmarkStart w:id="13" w:name="_Toc528602057"/>
      <w:bookmarkStart w:id="14" w:name="_Toc528650847"/>
      <w:r w:rsidRPr="005E5785">
        <w:rPr>
          <w:rFonts w:ascii="Times New Roman" w:hAnsi="Times New Roman" w:cs="Times New Roman"/>
          <w:b/>
          <w:color w:val="000000"/>
        </w:rPr>
        <w:t>Research questions and objectives</w:t>
      </w:r>
      <w:bookmarkEnd w:id="13"/>
      <w:bookmarkEnd w:id="14"/>
      <w:r w:rsidRPr="005E5785">
        <w:rPr>
          <w:rFonts w:ascii="Times New Roman" w:hAnsi="Times New Roman" w:cs="Times New Roman"/>
          <w:b/>
          <w:color w:val="000000"/>
        </w:rPr>
        <w:t xml:space="preserve"> </w:t>
      </w:r>
    </w:p>
    <w:p w14:paraId="09360EBD" w14:textId="354B2B7A" w:rsidR="0033141A" w:rsidRDefault="0033141A" w:rsidP="00CE2B2E">
      <w:pPr>
        <w:rPr>
          <w:rFonts w:ascii="Times New Roman" w:hAnsi="Times New Roman" w:cs="Times New Roman"/>
          <w:color w:val="000000"/>
        </w:rPr>
      </w:pPr>
      <w:r w:rsidRPr="005E5785">
        <w:rPr>
          <w:rFonts w:ascii="Times New Roman" w:hAnsi="Times New Roman" w:cs="Times New Roman"/>
          <w:color w:val="000000"/>
        </w:rPr>
        <w:t xml:space="preserve">The main goal of this study is to evaluate </w:t>
      </w:r>
      <w:r w:rsidRPr="005E5785">
        <w:rPr>
          <w:rFonts w:ascii="Times New Roman" w:hAnsi="Times New Roman" w:cs="Times New Roman"/>
        </w:rPr>
        <w:t>prospects for electric vehicle adoption among consumers</w:t>
      </w:r>
      <w:r w:rsidR="00524EE0">
        <w:rPr>
          <w:rFonts w:ascii="Times New Roman" w:hAnsi="Times New Roman" w:cs="Times New Roman"/>
        </w:rPr>
        <w:t xml:space="preserve"> in an effort to accelerate </w:t>
      </w:r>
      <w:r w:rsidR="007D0B88">
        <w:rPr>
          <w:rFonts w:ascii="Times New Roman" w:hAnsi="Times New Roman" w:cs="Times New Roman"/>
        </w:rPr>
        <w:t xml:space="preserve">the </w:t>
      </w:r>
      <w:r w:rsidR="00524EE0">
        <w:rPr>
          <w:rFonts w:ascii="Times New Roman" w:hAnsi="Times New Roman" w:cs="Times New Roman"/>
        </w:rPr>
        <w:t>EV adoption rate in Canada</w:t>
      </w:r>
      <w:r w:rsidRPr="005E5785">
        <w:rPr>
          <w:rFonts w:ascii="Times New Roman" w:hAnsi="Times New Roman" w:cs="Times New Roman"/>
          <w:color w:val="000000"/>
        </w:rPr>
        <w:t>, and each objective is articulated in a way to move the undertaken research forward into this final goal.</w:t>
      </w:r>
      <w:r w:rsidR="00524EE0">
        <w:rPr>
          <w:rFonts w:ascii="Times New Roman" w:hAnsi="Times New Roman" w:cs="Times New Roman"/>
          <w:color w:val="000000"/>
        </w:rPr>
        <w:t xml:space="preserve"> The thesis aims to provide estimates of consumer preferences for EVs, effective EV regulations and policies as well as economic suitability of battery electric vehicles. </w:t>
      </w:r>
      <w:r w:rsidRPr="005E5785">
        <w:rPr>
          <w:rFonts w:ascii="Times New Roman" w:hAnsi="Times New Roman" w:cs="Times New Roman"/>
          <w:color w:val="000000"/>
        </w:rPr>
        <w:t xml:space="preserve"> Both qualitative and quantitative strategies will be adopted to accomplish these objectives. Experimental design, discrete choice modelling, and economic analysis (total cost of ownership model) are major techniques that will be used in </w:t>
      </w:r>
      <w:r w:rsidR="00640087">
        <w:rPr>
          <w:rFonts w:ascii="Times New Roman" w:hAnsi="Times New Roman" w:cs="Times New Roman"/>
          <w:color w:val="000000"/>
        </w:rPr>
        <w:t xml:space="preserve">the </w:t>
      </w:r>
      <w:r w:rsidRPr="005E5785">
        <w:rPr>
          <w:rFonts w:ascii="Times New Roman" w:hAnsi="Times New Roman" w:cs="Times New Roman"/>
          <w:color w:val="000000"/>
        </w:rPr>
        <w:t xml:space="preserve">present thesis, and are described in full in the methodology section of each chapter. The overall structure of </w:t>
      </w:r>
      <w:r w:rsidR="00640087">
        <w:rPr>
          <w:rFonts w:ascii="Times New Roman" w:hAnsi="Times New Roman" w:cs="Times New Roman"/>
          <w:color w:val="000000"/>
        </w:rPr>
        <w:t xml:space="preserve">the </w:t>
      </w:r>
      <w:r w:rsidRPr="005E5785">
        <w:rPr>
          <w:rFonts w:ascii="Times New Roman" w:hAnsi="Times New Roman" w:cs="Times New Roman"/>
          <w:color w:val="000000"/>
        </w:rPr>
        <w:t xml:space="preserve">present </w:t>
      </w:r>
      <w:r w:rsidR="00640087">
        <w:rPr>
          <w:rFonts w:ascii="Times New Roman" w:hAnsi="Times New Roman" w:cs="Times New Roman"/>
          <w:color w:val="000000"/>
        </w:rPr>
        <w:t>dissertation</w:t>
      </w:r>
      <w:r w:rsidRPr="005E5785">
        <w:rPr>
          <w:rFonts w:ascii="Times New Roman" w:hAnsi="Times New Roman" w:cs="Times New Roman"/>
          <w:color w:val="000000"/>
        </w:rPr>
        <w:t xml:space="preserve"> is composed of three objectives as outlined below.</w:t>
      </w:r>
    </w:p>
    <w:p w14:paraId="6D09A4C7" w14:textId="77777777" w:rsidR="005978B7" w:rsidRDefault="005978B7" w:rsidP="00CE2B2E">
      <w:pPr>
        <w:rPr>
          <w:rFonts w:ascii="Times New Roman" w:hAnsi="Times New Roman" w:cs="Times New Roman"/>
          <w:color w:val="000000"/>
        </w:rPr>
      </w:pPr>
    </w:p>
    <w:p w14:paraId="78164628" w14:textId="77777777" w:rsidR="005978B7" w:rsidRPr="00CE2B2E" w:rsidRDefault="005978B7" w:rsidP="00CE2B2E">
      <w:pPr>
        <w:rPr>
          <w:rFonts w:ascii="Times New Roman" w:hAnsi="Times New Roman" w:cs="Times New Roman"/>
          <w:color w:val="000000"/>
        </w:rPr>
      </w:pPr>
    </w:p>
    <w:p w14:paraId="79E010F8" w14:textId="77777777" w:rsidR="0033141A" w:rsidRPr="005E5785" w:rsidRDefault="0033141A" w:rsidP="00076EDC">
      <w:pPr>
        <w:rPr>
          <w:rFonts w:ascii="Times New Roman" w:eastAsia="Times New Roman" w:hAnsi="Times New Roman" w:cs="Times New Roman"/>
          <w:color w:val="000000" w:themeColor="text1"/>
        </w:rPr>
      </w:pPr>
      <w:r w:rsidRPr="005E5785">
        <w:rPr>
          <w:rFonts w:ascii="Times New Roman" w:eastAsia="Times New Roman" w:hAnsi="Times New Roman" w:cs="Times New Roman"/>
          <w:color w:val="000000" w:themeColor="text1"/>
        </w:rPr>
        <w:lastRenderedPageBreak/>
        <w:t>Objective 1</w:t>
      </w:r>
    </w:p>
    <w:p w14:paraId="23F7EFA9" w14:textId="706858B3" w:rsidR="0033141A" w:rsidRPr="00945A0C" w:rsidRDefault="006777C1" w:rsidP="00945A0C">
      <w:pPr>
        <w:ind w:firstLine="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b/>
      </w:r>
      <w:r w:rsidR="0033141A" w:rsidRPr="005E5785">
        <w:rPr>
          <w:rFonts w:ascii="Times New Roman" w:eastAsia="Times New Roman" w:hAnsi="Times New Roman" w:cs="Times New Roman"/>
          <w:color w:val="000000" w:themeColor="text1"/>
        </w:rPr>
        <w:t xml:space="preserve">Objective 1 is to review the process that led to the development and construction of a national survey instrument used to gather 20,520 observations across Canada. This research chapter contributes to the literature by fully providing a comprehensive review of the survey including strategies and processes that were followed in efficiently gathering a large amount of useful EV-oriented data and information. Objective 1 is the foundation of the present thesis by developing the dataset that has given rise to two other research papers. </w:t>
      </w:r>
    </w:p>
    <w:p w14:paraId="79B1D9B8" w14:textId="77777777" w:rsidR="0033141A" w:rsidRPr="005E5785" w:rsidRDefault="0033141A" w:rsidP="00076EDC">
      <w:pPr>
        <w:textAlignment w:val="baseline"/>
        <w:rPr>
          <w:rFonts w:ascii="Times New Roman" w:hAnsi="Times New Roman" w:cs="Times New Roman"/>
          <w:color w:val="000000"/>
        </w:rPr>
      </w:pPr>
      <w:r w:rsidRPr="005E5785">
        <w:rPr>
          <w:rFonts w:ascii="Times New Roman" w:hAnsi="Times New Roman" w:cs="Times New Roman"/>
          <w:color w:val="000000"/>
        </w:rPr>
        <w:t>Objective 2</w:t>
      </w:r>
    </w:p>
    <w:p w14:paraId="36FA51F1" w14:textId="6E1FAEC1" w:rsidR="0033141A" w:rsidRPr="005E5785" w:rsidRDefault="006777C1" w:rsidP="00076EDC">
      <w:pPr>
        <w:ind w:firstLine="0"/>
        <w:textAlignment w:val="baseline"/>
        <w:rPr>
          <w:rFonts w:ascii="Times New Roman" w:hAnsi="Times New Roman" w:cs="Times New Roman"/>
          <w:color w:val="000000"/>
        </w:rPr>
      </w:pPr>
      <w:r>
        <w:rPr>
          <w:rFonts w:ascii="Times New Roman" w:eastAsia="Times New Roman" w:hAnsi="Times New Roman" w:cs="Times New Roman"/>
          <w:color w:val="000000" w:themeColor="text1"/>
        </w:rPr>
        <w:tab/>
      </w:r>
      <w:r w:rsidR="0033141A" w:rsidRPr="005E5785">
        <w:rPr>
          <w:rFonts w:ascii="Times New Roman" w:eastAsia="Times New Roman" w:hAnsi="Times New Roman" w:cs="Times New Roman"/>
          <w:color w:val="000000" w:themeColor="text1"/>
        </w:rPr>
        <w:t xml:space="preserve">Objective 2 is to identify vehicle features and incentives that influence households’ preferences towards electric vehicle (EV) in Atlantic Canada, a lagging region in terms of electric vehicle (EV) adoption. </w:t>
      </w:r>
      <w:r w:rsidR="0033141A" w:rsidRPr="005E5785">
        <w:rPr>
          <w:rFonts w:ascii="Times New Roman" w:hAnsi="Times New Roman" w:cs="Times New Roman"/>
          <w:color w:val="000000"/>
        </w:rPr>
        <w:t xml:space="preserve">A latent class (LC) random utility model is used to segment Atlantic respondents based on their sociodemographic and environmental attitudes, and to estimate their willingness-to-pay for different vehicular features. A separate model is estimated for leading adoption provinces (Ontario and British Columbia), and compared to the Atlantic model. </w:t>
      </w:r>
      <w:r w:rsidR="00640087" w:rsidRPr="005E5785">
        <w:rPr>
          <w:rFonts w:ascii="Times New Roman" w:hAnsi="Times New Roman" w:cs="Times New Roman"/>
          <w:color w:val="000000"/>
        </w:rPr>
        <w:t>The</w:t>
      </w:r>
      <w:r w:rsidR="0033141A" w:rsidRPr="005E5785">
        <w:rPr>
          <w:rFonts w:ascii="Times New Roman" w:hAnsi="Times New Roman" w:cs="Times New Roman"/>
          <w:color w:val="000000"/>
        </w:rPr>
        <w:t xml:space="preserve"> results obtained from each model provide insightful information regarding the factors that make Atlantic lags behind.</w:t>
      </w:r>
    </w:p>
    <w:p w14:paraId="3C266C2F" w14:textId="77777777" w:rsidR="0033141A" w:rsidRPr="005E5785" w:rsidRDefault="0033141A" w:rsidP="00945A0C">
      <w:pPr>
        <w:rPr>
          <w:rFonts w:ascii="Times New Roman" w:hAnsi="Times New Roman" w:cs="Times New Roman"/>
          <w:color w:val="000000"/>
        </w:rPr>
      </w:pPr>
      <w:r w:rsidRPr="005E5785">
        <w:rPr>
          <w:rFonts w:ascii="Times New Roman" w:hAnsi="Times New Roman" w:cs="Times New Roman"/>
          <w:color w:val="000000"/>
        </w:rPr>
        <w:t>Objective 3</w:t>
      </w:r>
    </w:p>
    <w:p w14:paraId="0F4E3806" w14:textId="1FCFAF41" w:rsidR="00945A0C" w:rsidRDefault="0033141A" w:rsidP="007E772E">
      <w:pPr>
        <w:tabs>
          <w:tab w:val="left" w:pos="5220"/>
        </w:tabs>
        <w:rPr>
          <w:rFonts w:ascii="Times New Roman" w:hAnsi="Times New Roman" w:cs="Times New Roman"/>
          <w:color w:val="000000"/>
        </w:rPr>
      </w:pPr>
      <w:r w:rsidRPr="005E5785">
        <w:rPr>
          <w:rFonts w:ascii="Times New Roman" w:hAnsi="Times New Roman" w:cs="Times New Roman"/>
          <w:color w:val="000000"/>
        </w:rPr>
        <w:t xml:space="preserve">Objective 3 investigates </w:t>
      </w:r>
      <w:r w:rsidRPr="005E5785">
        <w:rPr>
          <w:rFonts w:ascii="Times New Roman" w:hAnsi="Times New Roman" w:cs="Times New Roman"/>
        </w:rPr>
        <w:t xml:space="preserve">BEV suitability of a national sample – derived from implementation of SPACE - by comparing the total cost of ownership (TCO) for a BEV and an </w:t>
      </w:r>
      <w:r w:rsidRPr="005E5785">
        <w:rPr>
          <w:rFonts w:ascii="Times New Roman" w:hAnsi="Times New Roman" w:cs="Times New Roman"/>
        </w:rPr>
        <w:lastRenderedPageBreak/>
        <w:t xml:space="preserve">equivalent Internal Combustion Engine vehicle (ICE) of similar vehicle class, under a series of incentive and purchase price scenarios. </w:t>
      </w:r>
      <w:r w:rsidRPr="005E5785">
        <w:rPr>
          <w:rFonts w:ascii="Times New Roman" w:hAnsi="Times New Roman" w:cs="Times New Roman"/>
          <w:color w:val="000000"/>
        </w:rPr>
        <w:t xml:space="preserve">The study calculates the percentage of BEV-suited households and utilizes a bivariate ordered probit model to predict annual mileage and vehicle ownership </w:t>
      </w:r>
      <w:r w:rsidR="00640087">
        <w:rPr>
          <w:rFonts w:ascii="Times New Roman" w:hAnsi="Times New Roman" w:cs="Times New Roman"/>
          <w:color w:val="000000"/>
        </w:rPr>
        <w:t>period</w:t>
      </w:r>
      <w:r w:rsidRPr="005E5785">
        <w:rPr>
          <w:rFonts w:ascii="Times New Roman" w:hAnsi="Times New Roman" w:cs="Times New Roman"/>
          <w:color w:val="000000"/>
        </w:rPr>
        <w:t xml:space="preserve"> – the </w:t>
      </w:r>
      <w:r w:rsidR="00640087">
        <w:rPr>
          <w:rFonts w:ascii="Times New Roman" w:hAnsi="Times New Roman" w:cs="Times New Roman"/>
          <w:color w:val="000000"/>
        </w:rPr>
        <w:t>most</w:t>
      </w:r>
      <w:r w:rsidRPr="005E5785">
        <w:rPr>
          <w:rFonts w:ascii="Times New Roman" w:hAnsi="Times New Roman" w:cs="Times New Roman"/>
          <w:color w:val="000000"/>
        </w:rPr>
        <w:t xml:space="preserve"> influencing factors on the TCO outcome - by incorporating households’ socioeconomic, vehicle fleet, and geographic variables.  </w:t>
      </w:r>
    </w:p>
    <w:p w14:paraId="46C7E6A4" w14:textId="77777777" w:rsidR="0033141A" w:rsidRPr="00CE2B2E" w:rsidRDefault="0033141A" w:rsidP="00E1100F">
      <w:pPr>
        <w:pStyle w:val="ListParagraph"/>
        <w:numPr>
          <w:ilvl w:val="1"/>
          <w:numId w:val="6"/>
        </w:numPr>
        <w:tabs>
          <w:tab w:val="left" w:pos="5220"/>
        </w:tabs>
        <w:spacing w:before="240" w:after="240"/>
        <w:ind w:left="357" w:hanging="357"/>
        <w:contextualSpacing w:val="0"/>
        <w:outlineLvl w:val="1"/>
        <w:rPr>
          <w:rFonts w:ascii="Times New Roman" w:hAnsi="Times New Roman" w:cs="Times New Roman"/>
          <w:color w:val="000000"/>
        </w:rPr>
      </w:pPr>
      <w:bookmarkStart w:id="15" w:name="_Toc528602058"/>
      <w:bookmarkStart w:id="16" w:name="_Toc528650848"/>
      <w:r w:rsidRPr="00CE2B2E">
        <w:rPr>
          <w:rFonts w:ascii="Times New Roman" w:hAnsi="Times New Roman" w:cs="Times New Roman"/>
          <w:b/>
          <w:color w:val="000000"/>
        </w:rPr>
        <w:t>Dissertation contents</w:t>
      </w:r>
      <w:bookmarkEnd w:id="15"/>
      <w:bookmarkEnd w:id="16"/>
      <w:r w:rsidRPr="00CE2B2E">
        <w:rPr>
          <w:rFonts w:ascii="Times New Roman" w:hAnsi="Times New Roman" w:cs="Times New Roman"/>
          <w:b/>
          <w:color w:val="000000"/>
        </w:rPr>
        <w:t xml:space="preserve"> </w:t>
      </w:r>
    </w:p>
    <w:p w14:paraId="7DE7FEB6" w14:textId="77777777" w:rsidR="0033141A" w:rsidRPr="005E5785" w:rsidRDefault="0033141A" w:rsidP="006777C1">
      <w:pPr>
        <w:tabs>
          <w:tab w:val="left" w:pos="5220"/>
        </w:tabs>
        <w:rPr>
          <w:rFonts w:ascii="Times New Roman" w:hAnsi="Times New Roman" w:cs="Times New Roman"/>
          <w:color w:val="000000"/>
        </w:rPr>
      </w:pPr>
      <w:r w:rsidRPr="005E5785">
        <w:rPr>
          <w:rFonts w:ascii="Times New Roman" w:hAnsi="Times New Roman" w:cs="Times New Roman"/>
          <w:color w:val="000000"/>
        </w:rPr>
        <w:t>The remainder of this dissertation is organized as follows.</w:t>
      </w:r>
    </w:p>
    <w:p w14:paraId="482383DA" w14:textId="77777777" w:rsidR="0033141A" w:rsidRPr="005E5785" w:rsidRDefault="0033141A" w:rsidP="00076EDC">
      <w:pPr>
        <w:rPr>
          <w:rFonts w:ascii="Times New Roman" w:hAnsi="Times New Roman" w:cs="Times New Roman"/>
          <w:color w:val="000000"/>
        </w:rPr>
      </w:pPr>
      <w:r w:rsidRPr="005E5785">
        <w:rPr>
          <w:rFonts w:ascii="Times New Roman" w:hAnsi="Times New Roman" w:cs="Times New Roman"/>
          <w:color w:val="000000"/>
        </w:rPr>
        <w:t xml:space="preserve">Chapter 2 reviews the process of survey design and all details associated with collecting a national set of consumer stated preference data for Canada to quantify the determinants of electric vehicle purchases relative to other vehicle types. Since very few of EVs </w:t>
      </w:r>
      <w:r w:rsidR="00640087">
        <w:rPr>
          <w:rFonts w:ascii="Times New Roman" w:hAnsi="Times New Roman" w:cs="Times New Roman"/>
          <w:color w:val="000000"/>
        </w:rPr>
        <w:t>were</w:t>
      </w:r>
      <w:r w:rsidRPr="005E5785">
        <w:rPr>
          <w:rFonts w:ascii="Times New Roman" w:hAnsi="Times New Roman" w:cs="Times New Roman"/>
          <w:color w:val="000000"/>
        </w:rPr>
        <w:t xml:space="preserve"> sold in Canada</w:t>
      </w:r>
      <w:r w:rsidR="00640087">
        <w:rPr>
          <w:rFonts w:ascii="Times New Roman" w:hAnsi="Times New Roman" w:cs="Times New Roman"/>
          <w:color w:val="000000"/>
        </w:rPr>
        <w:t xml:space="preserve"> at the time of survey implementation</w:t>
      </w:r>
      <w:r w:rsidRPr="005E5785">
        <w:rPr>
          <w:rFonts w:ascii="Times New Roman" w:hAnsi="Times New Roman" w:cs="Times New Roman"/>
          <w:color w:val="000000"/>
        </w:rPr>
        <w:t xml:space="preserve">, it was impossible to collect revealed responses, and hence stated preference method was applied to focus on choices households would make under hypothetical scenarios of varied pricing and vehicle attributes. This chapter is a centerpiece for the overall thesis which act as inputs for other research chapters. The data collection took place in May 2015 and 20,520 observations were collected for ten provinces in Canada. </w:t>
      </w:r>
    </w:p>
    <w:p w14:paraId="1586263A" w14:textId="75490C22" w:rsidR="0033141A" w:rsidRPr="005E5785" w:rsidRDefault="0033141A" w:rsidP="00076EDC">
      <w:pPr>
        <w:rPr>
          <w:rFonts w:ascii="Times New Roman" w:hAnsi="Times New Roman" w:cs="Times New Roman"/>
          <w:color w:val="000000"/>
        </w:rPr>
      </w:pPr>
      <w:r w:rsidRPr="005E5785">
        <w:rPr>
          <w:rFonts w:ascii="Times New Roman" w:hAnsi="Times New Roman" w:cs="Times New Roman"/>
          <w:color w:val="000000"/>
        </w:rPr>
        <w:t xml:space="preserve">Chapter 3 focuses on the four provinces comprising Atlantic Canada to obtain insights into the consumer EV adoption gap observed between this region and a grouping of the leading English-speaking adoption provinces in Canada, namely British Columbia and Ontario. This research chapter investigates the differences of preferences and attitudes among potential consumers of the </w:t>
      </w:r>
      <w:r w:rsidRPr="005E5785">
        <w:rPr>
          <w:rFonts w:ascii="Times New Roman" w:hAnsi="Times New Roman" w:cs="Times New Roman"/>
          <w:color w:val="000000"/>
        </w:rPr>
        <w:lastRenderedPageBreak/>
        <w:t xml:space="preserve">two samples to find out why Atlantic Canada is lagging behind in terms of EV adoption, by performing latent class modelling approach. </w:t>
      </w:r>
      <w:r w:rsidR="00524EE0">
        <w:rPr>
          <w:rFonts w:ascii="Times New Roman" w:hAnsi="Times New Roman" w:cs="Times New Roman"/>
          <w:color w:val="000000"/>
        </w:rPr>
        <w:t>Th</w:t>
      </w:r>
      <w:r w:rsidR="00A06C2E">
        <w:rPr>
          <w:rFonts w:ascii="Times New Roman" w:hAnsi="Times New Roman" w:cs="Times New Roman"/>
          <w:color w:val="000000"/>
        </w:rPr>
        <w:t xml:space="preserve">is </w:t>
      </w:r>
      <w:r w:rsidR="00524EE0">
        <w:rPr>
          <w:rFonts w:ascii="Times New Roman" w:hAnsi="Times New Roman" w:cs="Times New Roman"/>
          <w:color w:val="000000"/>
        </w:rPr>
        <w:t xml:space="preserve">modelling approach is selected for this analysis since it can </w:t>
      </w:r>
      <w:r w:rsidR="00524EE0" w:rsidRPr="00524EE0">
        <w:rPr>
          <w:rFonts w:ascii="Times New Roman" w:hAnsi="Times New Roman" w:cs="Times New Roman"/>
          <w:color w:val="000000"/>
        </w:rPr>
        <w:t>link taste heterogeneity to attitudinal and socioeconomic characteristics of decision makers</w:t>
      </w:r>
      <w:r w:rsidR="00524EE0">
        <w:rPr>
          <w:rFonts w:ascii="Times New Roman" w:hAnsi="Times New Roman" w:cs="Times New Roman"/>
          <w:color w:val="000000"/>
        </w:rPr>
        <w:t xml:space="preserve"> </w:t>
      </w:r>
      <w:r w:rsidR="00524EE0" w:rsidRPr="00524EE0">
        <w:rPr>
          <w:rFonts w:ascii="Times New Roman" w:hAnsi="Times New Roman" w:cs="Times New Roman"/>
          <w:color w:val="000000"/>
        </w:rPr>
        <w:t xml:space="preserve">(Beck et al., 2013). </w:t>
      </w:r>
      <w:r w:rsidR="00524EE0">
        <w:rPr>
          <w:rFonts w:ascii="Times New Roman" w:hAnsi="Times New Roman" w:cs="Times New Roman"/>
          <w:color w:val="000000"/>
        </w:rPr>
        <w:t xml:space="preserve">It can also group respondents into distinct classes based on common characteristics which provide an appropriate framework for policy evaluation, interpreting the results and making decisions based on respondents’ </w:t>
      </w:r>
      <w:r w:rsidR="00A06C2E">
        <w:rPr>
          <w:rFonts w:ascii="Times New Roman" w:hAnsi="Times New Roman" w:cs="Times New Roman"/>
          <w:color w:val="000000"/>
        </w:rPr>
        <w:t>conditions</w:t>
      </w:r>
      <w:r w:rsidR="00524EE0">
        <w:rPr>
          <w:rFonts w:ascii="Times New Roman" w:hAnsi="Times New Roman" w:cs="Times New Roman"/>
          <w:color w:val="000000"/>
        </w:rPr>
        <w:t xml:space="preserve">. </w:t>
      </w:r>
      <w:r w:rsidRPr="005E5785">
        <w:rPr>
          <w:rFonts w:ascii="Times New Roman" w:eastAsia="Times New Roman" w:hAnsi="Times New Roman" w:cs="Times New Roman"/>
          <w:color w:val="000000"/>
        </w:rPr>
        <w:t xml:space="preserve">The results of this study will be useful for vehicle manufacturers in </w:t>
      </w:r>
      <w:r w:rsidRPr="005E5785">
        <w:rPr>
          <w:rFonts w:ascii="Times New Roman" w:hAnsi="Times New Roman" w:cs="Times New Roman"/>
          <w:color w:val="000000"/>
        </w:rPr>
        <w:t xml:space="preserve">identifying market segments and for policy makers to frame effective incentives and regulations to promote adoption of EVs in this region of the country. </w:t>
      </w:r>
    </w:p>
    <w:p w14:paraId="5675455A" w14:textId="77777777" w:rsidR="00972EA8" w:rsidRPr="005E5785" w:rsidRDefault="0033141A" w:rsidP="00972EA8">
      <w:pPr>
        <w:rPr>
          <w:rFonts w:ascii="Times New Roman" w:hAnsi="Times New Roman" w:cs="Times New Roman"/>
          <w:color w:val="000000"/>
        </w:rPr>
      </w:pPr>
      <w:r w:rsidRPr="005E5785">
        <w:rPr>
          <w:rFonts w:ascii="Times New Roman" w:hAnsi="Times New Roman" w:cs="Times New Roman"/>
          <w:color w:val="000000"/>
        </w:rPr>
        <w:t xml:space="preserve">Chapter 4 analyzes the suitability of BEVs among Canadian households. Despite some barriers associated with BEVs (e.g. high purchase price and limited range), these vehicles have very low operating costs compared to internal combustion vehicles (ICEs), which can make economic benefits for their buyers in the long run. </w:t>
      </w:r>
      <w:r w:rsidR="00640087">
        <w:rPr>
          <w:rFonts w:ascii="Times New Roman" w:hAnsi="Times New Roman" w:cs="Times New Roman"/>
          <w:color w:val="000000"/>
        </w:rPr>
        <w:t>Given</w:t>
      </w:r>
      <w:r w:rsidRPr="005E5785">
        <w:rPr>
          <w:rFonts w:ascii="Times New Roman" w:hAnsi="Times New Roman" w:cs="Times New Roman"/>
          <w:color w:val="000000"/>
        </w:rPr>
        <w:t xml:space="preserve"> that, the study constructs a “total cost of ownership” (TCO) model in the consumer context by using data from a sample of prospective car buyers in Canada. This reveals the share of households who are suited for a BEV purchase under a series of incentive and price scenarios. This study also builds a bivariate ordered probit model to predict annual mileage and ownership </w:t>
      </w:r>
      <w:r w:rsidR="00640087">
        <w:rPr>
          <w:rFonts w:ascii="Times New Roman" w:hAnsi="Times New Roman" w:cs="Times New Roman"/>
          <w:color w:val="000000"/>
        </w:rPr>
        <w:t>period</w:t>
      </w:r>
      <w:r w:rsidRPr="005E5785">
        <w:rPr>
          <w:rFonts w:ascii="Times New Roman" w:hAnsi="Times New Roman" w:cs="Times New Roman"/>
          <w:color w:val="000000"/>
        </w:rPr>
        <w:t xml:space="preserve">, the most influencing variables in the TCO model. The model incorporates a suite of socioeconomic, vehicle fleet, and geographic variables and is independent from the TCO model. Results of this study </w:t>
      </w:r>
      <w:r w:rsidR="00640087" w:rsidRPr="00640087">
        <w:rPr>
          <w:rFonts w:ascii="Times New Roman" w:hAnsi="Times New Roman" w:cs="Times New Roman"/>
          <w:color w:val="000000"/>
        </w:rPr>
        <w:t>suggest targeted decisions regarding policy and marketing based on consumer conditions to further promote the adoption of BEVs in Canada</w:t>
      </w:r>
      <w:r w:rsidRPr="005E5785">
        <w:rPr>
          <w:rFonts w:ascii="Times New Roman" w:hAnsi="Times New Roman" w:cs="Times New Roman"/>
          <w:color w:val="000000"/>
        </w:rPr>
        <w:t>.</w:t>
      </w:r>
    </w:p>
    <w:p w14:paraId="6BF27611" w14:textId="77777777" w:rsidR="006C5B28" w:rsidRPr="005E5785" w:rsidRDefault="0033141A" w:rsidP="00076EDC">
      <w:pPr>
        <w:rPr>
          <w:rFonts w:ascii="Times New Roman" w:hAnsi="Times New Roman" w:cs="Times New Roman"/>
          <w:color w:val="000000"/>
        </w:rPr>
      </w:pPr>
      <w:r w:rsidRPr="005E5785">
        <w:rPr>
          <w:rFonts w:ascii="Times New Roman" w:hAnsi="Times New Roman" w:cs="Times New Roman"/>
          <w:color w:val="000000"/>
        </w:rPr>
        <w:lastRenderedPageBreak/>
        <w:t xml:space="preserve">The dissertation concludes in Chapter 5 by summarizing the contributions and novel aspects of the present thesis. It also provides possible directions for future research.  </w:t>
      </w:r>
    </w:p>
    <w:p w14:paraId="4FA86B5A" w14:textId="77777777" w:rsidR="0033141A" w:rsidRPr="00972EA8" w:rsidRDefault="00CE2B2E" w:rsidP="00E1100F">
      <w:pPr>
        <w:pStyle w:val="ListParagraph"/>
        <w:numPr>
          <w:ilvl w:val="1"/>
          <w:numId w:val="6"/>
        </w:numPr>
        <w:spacing w:before="240" w:after="240"/>
        <w:ind w:left="357" w:hanging="357"/>
        <w:contextualSpacing w:val="0"/>
        <w:outlineLvl w:val="1"/>
        <w:rPr>
          <w:rFonts w:ascii="Times New Roman" w:hAnsi="Times New Roman" w:cs="Times New Roman"/>
          <w:b/>
          <w:color w:val="000000"/>
        </w:rPr>
      </w:pPr>
      <w:bookmarkStart w:id="17" w:name="_Toc528650849"/>
      <w:r w:rsidRPr="00972EA8">
        <w:rPr>
          <w:rFonts w:ascii="Times New Roman" w:hAnsi="Times New Roman" w:cs="Times New Roman"/>
          <w:b/>
          <w:color w:val="000000"/>
        </w:rPr>
        <w:t>References</w:t>
      </w:r>
      <w:bookmarkEnd w:id="17"/>
      <w:r w:rsidRPr="00972EA8">
        <w:rPr>
          <w:rFonts w:ascii="Times New Roman" w:hAnsi="Times New Roman" w:cs="Times New Roman"/>
          <w:b/>
          <w:color w:val="000000"/>
        </w:rPr>
        <w:t xml:space="preserve"> </w:t>
      </w:r>
    </w:p>
    <w:p w14:paraId="0B2B3B3C" w14:textId="77777777" w:rsidR="00AB3A45" w:rsidRDefault="00AB3A45" w:rsidP="006C5B28">
      <w:pPr>
        <w:spacing w:line="360" w:lineRule="auto"/>
        <w:ind w:firstLine="0"/>
        <w:rPr>
          <w:rFonts w:ascii="Times New Roman" w:hAnsi="Times New Roman" w:cs="Times New Roman"/>
          <w:color w:val="000000"/>
        </w:rPr>
      </w:pPr>
      <w:r w:rsidRPr="00AB3A45">
        <w:rPr>
          <w:rFonts w:ascii="Times New Roman" w:hAnsi="Times New Roman" w:cs="Times New Roman"/>
          <w:color w:val="000000"/>
        </w:rPr>
        <w:t>Axsen, J., Bailey, J., and Castro, M.A. 2015. Preference and lifestyle heterogeneity among potential plug-in electric vehicle buyers. Energy Economics 50, 190–201.</w:t>
      </w:r>
    </w:p>
    <w:p w14:paraId="2E97471D" w14:textId="371B4A09" w:rsidR="00524EE0" w:rsidRPr="005B0597" w:rsidRDefault="00524EE0" w:rsidP="006C5B28">
      <w:pPr>
        <w:spacing w:line="360" w:lineRule="auto"/>
        <w:ind w:firstLine="0"/>
        <w:rPr>
          <w:rFonts w:ascii="Times New Roman" w:hAnsi="Times New Roman" w:cs="Times New Roman"/>
          <w:color w:val="000000"/>
          <w:lang w:val="en-US"/>
        </w:rPr>
      </w:pPr>
      <w:r>
        <w:rPr>
          <w:rFonts w:ascii="Times New Roman" w:hAnsi="Times New Roman" w:cs="Times New Roman"/>
          <w:color w:val="000000"/>
          <w:lang w:val="en-US"/>
        </w:rPr>
        <w:t>Beck, M.J., Rose, J.</w:t>
      </w:r>
      <w:r w:rsidRPr="00ED011A">
        <w:rPr>
          <w:rFonts w:ascii="Times New Roman" w:hAnsi="Times New Roman" w:cs="Times New Roman"/>
          <w:color w:val="000000"/>
          <w:lang w:val="en-US"/>
        </w:rPr>
        <w:t xml:space="preserve">M., </w:t>
      </w:r>
      <w:r>
        <w:rPr>
          <w:rFonts w:ascii="Times New Roman" w:hAnsi="Times New Roman" w:cs="Times New Roman"/>
          <w:color w:val="000000"/>
          <w:lang w:val="en-US"/>
        </w:rPr>
        <w:t>Hensher, D. 2013</w:t>
      </w:r>
      <w:r w:rsidRPr="00ED011A">
        <w:rPr>
          <w:rFonts w:ascii="Times New Roman" w:hAnsi="Times New Roman" w:cs="Times New Roman"/>
          <w:color w:val="000000"/>
          <w:lang w:val="en-US"/>
        </w:rPr>
        <w:t>. Environmental attitudes and emissions charging: An example of policy implications for vehicle choice. Transportation Resear</w:t>
      </w:r>
      <w:r>
        <w:rPr>
          <w:rFonts w:ascii="Times New Roman" w:hAnsi="Times New Roman" w:cs="Times New Roman"/>
          <w:color w:val="000000"/>
          <w:lang w:val="en-US"/>
        </w:rPr>
        <w:t>ch Part A: Policy and Practice</w:t>
      </w:r>
      <w:r w:rsidRPr="00ED011A">
        <w:rPr>
          <w:rFonts w:ascii="Times New Roman" w:hAnsi="Times New Roman" w:cs="Times New Roman"/>
          <w:color w:val="000000"/>
          <w:lang w:val="en-US"/>
        </w:rPr>
        <w:t xml:space="preserve"> 50, 171–182. </w:t>
      </w:r>
    </w:p>
    <w:p w14:paraId="148C109E" w14:textId="77777777" w:rsidR="00AB3A45" w:rsidRPr="00AB3A45" w:rsidRDefault="00AB3A45" w:rsidP="006C5B28">
      <w:pPr>
        <w:spacing w:line="360" w:lineRule="auto"/>
        <w:ind w:firstLine="0"/>
        <w:rPr>
          <w:rFonts w:ascii="Times New Roman" w:hAnsi="Times New Roman" w:cs="Times New Roman"/>
          <w:color w:val="000000"/>
        </w:rPr>
      </w:pPr>
      <w:r w:rsidRPr="00AB3A45">
        <w:rPr>
          <w:rFonts w:ascii="Times New Roman" w:hAnsi="Times New Roman" w:cs="Times New Roman"/>
          <w:color w:val="000000"/>
        </w:rPr>
        <w:t>Black, W. R. 2010. Sustainable transportation: problems and solutions. Guilford Press.</w:t>
      </w:r>
    </w:p>
    <w:p w14:paraId="5C662A21" w14:textId="77777777" w:rsidR="00AB3A45" w:rsidRPr="00AB3A45" w:rsidRDefault="00AB3A45" w:rsidP="006C5B28">
      <w:pPr>
        <w:spacing w:line="360" w:lineRule="auto"/>
        <w:ind w:firstLine="0"/>
        <w:rPr>
          <w:rFonts w:ascii="Times New Roman" w:hAnsi="Times New Roman" w:cs="Times New Roman"/>
          <w:color w:val="000000"/>
        </w:rPr>
      </w:pPr>
      <w:r w:rsidRPr="00AB3A45">
        <w:rPr>
          <w:rFonts w:ascii="Times New Roman" w:hAnsi="Times New Roman" w:cs="Times New Roman"/>
          <w:color w:val="000000"/>
        </w:rPr>
        <w:t>Brownstone, D., Bunch, D.S., Train, K. 2000. Joint mixed logit models of stated and revealed preferences for alternative-fuel vehicles. Transportation Research Part B: Methodological 34, 315–338.</w:t>
      </w:r>
    </w:p>
    <w:p w14:paraId="566B1EAF" w14:textId="77777777" w:rsidR="00AB3A45" w:rsidRPr="00AB3A45" w:rsidRDefault="00AB3A45" w:rsidP="006C5B28">
      <w:pPr>
        <w:spacing w:line="360" w:lineRule="auto"/>
        <w:ind w:firstLine="0"/>
        <w:rPr>
          <w:rFonts w:ascii="Times New Roman" w:hAnsi="Times New Roman" w:cs="Times New Roman"/>
          <w:color w:val="000000"/>
        </w:rPr>
      </w:pPr>
      <w:r w:rsidRPr="00AB3A45">
        <w:rPr>
          <w:rFonts w:ascii="Times New Roman" w:hAnsi="Times New Roman" w:cs="Times New Roman"/>
          <w:color w:val="000000"/>
        </w:rPr>
        <w:t xml:space="preserve">Daziano, R.A., Chiew, E. 2012. Electric vehicles rising from the dead: Data needs for forecasting consumer response toward sustainable energy sources in personal transportation. Energy Policy 51, 876–894. </w:t>
      </w:r>
    </w:p>
    <w:p w14:paraId="66851296" w14:textId="77777777" w:rsidR="00AB3A45" w:rsidRPr="00AB3A45" w:rsidRDefault="00AB3A45" w:rsidP="006C5B28">
      <w:pPr>
        <w:spacing w:line="360" w:lineRule="auto"/>
        <w:ind w:firstLine="0"/>
        <w:rPr>
          <w:rFonts w:ascii="Times New Roman" w:hAnsi="Times New Roman" w:cs="Times New Roman"/>
          <w:color w:val="000000"/>
        </w:rPr>
      </w:pPr>
      <w:r w:rsidRPr="00AB3A45">
        <w:rPr>
          <w:rFonts w:ascii="Times New Roman" w:hAnsi="Times New Roman" w:cs="Times New Roman"/>
          <w:color w:val="000000"/>
        </w:rPr>
        <w:t>Environment and Climate Change Canada. 2018. National Inventory Report 1990-2016: Greenhouse Gas Sources and Sinks in Canada. Environment and Climate Change Canada, Gatineau, QC (Cat. No. EN81-4/1E-PDF).</w:t>
      </w:r>
    </w:p>
    <w:p w14:paraId="1A26FDBB" w14:textId="77777777" w:rsidR="00AB3A45" w:rsidRPr="00AB3A45" w:rsidRDefault="00AB3A45" w:rsidP="006C5B28">
      <w:pPr>
        <w:spacing w:line="360" w:lineRule="auto"/>
        <w:ind w:firstLine="0"/>
        <w:rPr>
          <w:rFonts w:ascii="Times New Roman" w:hAnsi="Times New Roman" w:cs="Times New Roman"/>
          <w:color w:val="000000"/>
        </w:rPr>
      </w:pPr>
      <w:r w:rsidRPr="00AB3A45">
        <w:rPr>
          <w:rFonts w:ascii="Times New Roman" w:hAnsi="Times New Roman" w:cs="Times New Roman"/>
          <w:color w:val="000000"/>
        </w:rPr>
        <w:t>Garcia-Valle, R., &amp; Lopes, J. A. P. (2013). Electric vehicle integration into modern power networks. Springer Press, Berlin, Germany.</w:t>
      </w:r>
    </w:p>
    <w:p w14:paraId="64E09E5C" w14:textId="77777777" w:rsidR="00AB3A45" w:rsidRPr="00AB3A45" w:rsidRDefault="00AB3A45" w:rsidP="006C5B28">
      <w:pPr>
        <w:spacing w:line="360" w:lineRule="auto"/>
        <w:ind w:firstLine="0"/>
        <w:rPr>
          <w:rFonts w:ascii="Times New Roman" w:hAnsi="Times New Roman" w:cs="Times New Roman"/>
          <w:color w:val="000000"/>
        </w:rPr>
      </w:pPr>
      <w:r w:rsidRPr="00AB3A45">
        <w:rPr>
          <w:rFonts w:ascii="Times New Roman" w:hAnsi="Times New Roman" w:cs="Times New Roman"/>
          <w:color w:val="000000"/>
        </w:rPr>
        <w:t>Hensher, D., Rose, J., William, W. 2005. Applied Choice Analysis: A Primer. Cambridge University Press, Cambridge, UK.</w:t>
      </w:r>
    </w:p>
    <w:p w14:paraId="18282ECD" w14:textId="77777777" w:rsidR="00AB3A45" w:rsidRPr="00AB3A45" w:rsidRDefault="00AB3A45" w:rsidP="006C5B28">
      <w:pPr>
        <w:spacing w:line="360" w:lineRule="auto"/>
        <w:ind w:firstLine="0"/>
        <w:rPr>
          <w:rFonts w:ascii="Times New Roman" w:hAnsi="Times New Roman" w:cs="Times New Roman"/>
          <w:color w:val="000000"/>
        </w:rPr>
      </w:pPr>
      <w:r w:rsidRPr="00AB3A45">
        <w:rPr>
          <w:rFonts w:ascii="Times New Roman" w:hAnsi="Times New Roman" w:cs="Times New Roman"/>
          <w:color w:val="000000"/>
        </w:rPr>
        <w:lastRenderedPageBreak/>
        <w:t>International Energy Agency (IEA). 2017. Global EV Outlook 2017: Two Million and Counting. IEA Publications, France.</w:t>
      </w:r>
    </w:p>
    <w:p w14:paraId="58984038" w14:textId="77777777" w:rsidR="00AB3A45" w:rsidRPr="00AB3A45" w:rsidRDefault="00AB3A45" w:rsidP="006C5B28">
      <w:pPr>
        <w:spacing w:line="360" w:lineRule="auto"/>
        <w:ind w:firstLine="0"/>
        <w:rPr>
          <w:rFonts w:ascii="Times New Roman" w:hAnsi="Times New Roman" w:cs="Times New Roman"/>
          <w:color w:val="000000"/>
        </w:rPr>
      </w:pPr>
      <w:r w:rsidRPr="00AB3A45">
        <w:rPr>
          <w:rFonts w:ascii="Times New Roman" w:hAnsi="Times New Roman" w:cs="Times New Roman"/>
          <w:color w:val="000000"/>
        </w:rPr>
        <w:t>Louviere, J., Hensher, D., Joffre Swait, J. 2000. Stated Choice Methods: Analysis and Applications. Cambridge University Press, Cambridge, UK.</w:t>
      </w:r>
    </w:p>
    <w:p w14:paraId="63E484B3" w14:textId="77777777" w:rsidR="00AB3A45" w:rsidRPr="00AB3A45" w:rsidRDefault="00AB3A45" w:rsidP="006C5B28">
      <w:pPr>
        <w:spacing w:line="360" w:lineRule="auto"/>
        <w:ind w:firstLine="0"/>
        <w:rPr>
          <w:rFonts w:ascii="Times New Roman" w:hAnsi="Times New Roman" w:cs="Times New Roman"/>
          <w:color w:val="000000"/>
        </w:rPr>
      </w:pPr>
      <w:r w:rsidRPr="00AB3A45">
        <w:rPr>
          <w:rFonts w:ascii="Times New Roman" w:hAnsi="Times New Roman" w:cs="Times New Roman"/>
          <w:color w:val="000000"/>
        </w:rPr>
        <w:t>Natural Resources Canada. 2018. Electricity Facts. https://www.nrcan.gc.ca/energy/facts/electricity/20068 , Accessed 25 October 2018.</w:t>
      </w:r>
    </w:p>
    <w:p w14:paraId="50C3B77E" w14:textId="77777777" w:rsidR="00912DA8" w:rsidRDefault="00AB3A45" w:rsidP="006C5B28">
      <w:pPr>
        <w:spacing w:line="360" w:lineRule="auto"/>
        <w:ind w:firstLine="0"/>
        <w:rPr>
          <w:rFonts w:ascii="Times New Roman" w:hAnsi="Times New Roman" w:cs="Times New Roman"/>
          <w:color w:val="000000"/>
        </w:rPr>
      </w:pPr>
      <w:r w:rsidRPr="00AB3A45">
        <w:rPr>
          <w:rFonts w:ascii="Times New Roman" w:hAnsi="Times New Roman" w:cs="Times New Roman"/>
          <w:color w:val="000000"/>
        </w:rPr>
        <w:t>Plug ‘n Drive. 2017. Driving EV uptake in the Greater Toronto and Hamilton Area. Plug ‘n Drive, Toronto, ON.</w:t>
      </w:r>
    </w:p>
    <w:p w14:paraId="7F634F43" w14:textId="77777777" w:rsidR="003C3597" w:rsidRDefault="003C3597" w:rsidP="00076EDC">
      <w:pPr>
        <w:rPr>
          <w:rFonts w:ascii="Times New Roman" w:hAnsi="Times New Roman" w:cs="Times New Roman"/>
          <w:color w:val="000000"/>
        </w:rPr>
      </w:pPr>
    </w:p>
    <w:p w14:paraId="098E52D0" w14:textId="77777777" w:rsidR="005978B7" w:rsidRDefault="005978B7" w:rsidP="00076EDC">
      <w:pPr>
        <w:rPr>
          <w:rFonts w:ascii="Times New Roman" w:hAnsi="Times New Roman" w:cs="Times New Roman"/>
          <w:color w:val="000000"/>
        </w:rPr>
      </w:pPr>
    </w:p>
    <w:p w14:paraId="340BA6CB" w14:textId="77777777" w:rsidR="005978B7" w:rsidRDefault="005978B7" w:rsidP="00076EDC">
      <w:pPr>
        <w:rPr>
          <w:rFonts w:ascii="Times New Roman" w:hAnsi="Times New Roman" w:cs="Times New Roman"/>
          <w:color w:val="000000"/>
        </w:rPr>
      </w:pPr>
    </w:p>
    <w:p w14:paraId="3E0A7A2F" w14:textId="77777777" w:rsidR="005978B7" w:rsidRDefault="005978B7" w:rsidP="00076EDC">
      <w:pPr>
        <w:rPr>
          <w:rFonts w:ascii="Times New Roman" w:hAnsi="Times New Roman" w:cs="Times New Roman"/>
          <w:color w:val="000000"/>
        </w:rPr>
      </w:pPr>
    </w:p>
    <w:p w14:paraId="32FE3F02" w14:textId="77777777" w:rsidR="005978B7" w:rsidRDefault="005978B7" w:rsidP="00076EDC">
      <w:pPr>
        <w:rPr>
          <w:rFonts w:ascii="Times New Roman" w:hAnsi="Times New Roman" w:cs="Times New Roman"/>
          <w:color w:val="000000"/>
        </w:rPr>
      </w:pPr>
    </w:p>
    <w:p w14:paraId="5EC3F2B6" w14:textId="77777777" w:rsidR="005978B7" w:rsidRDefault="005978B7" w:rsidP="00076EDC">
      <w:pPr>
        <w:rPr>
          <w:rFonts w:ascii="Times New Roman" w:hAnsi="Times New Roman" w:cs="Times New Roman"/>
          <w:color w:val="000000"/>
        </w:rPr>
      </w:pPr>
    </w:p>
    <w:p w14:paraId="1E4318CB" w14:textId="77777777" w:rsidR="005978B7" w:rsidRDefault="005978B7" w:rsidP="00076EDC">
      <w:pPr>
        <w:rPr>
          <w:rFonts w:ascii="Times New Roman" w:hAnsi="Times New Roman" w:cs="Times New Roman"/>
          <w:color w:val="000000"/>
        </w:rPr>
      </w:pPr>
    </w:p>
    <w:p w14:paraId="1FE4AC29" w14:textId="77777777" w:rsidR="00550848" w:rsidRDefault="00550848" w:rsidP="00076EDC">
      <w:pPr>
        <w:rPr>
          <w:rFonts w:ascii="Times New Roman" w:hAnsi="Times New Roman" w:cs="Times New Roman"/>
          <w:color w:val="000000"/>
        </w:rPr>
      </w:pPr>
    </w:p>
    <w:p w14:paraId="22AD6D40" w14:textId="77777777" w:rsidR="00972EA8" w:rsidRPr="00550848" w:rsidRDefault="00972EA8" w:rsidP="00550848">
      <w:pPr>
        <w:pStyle w:val="Heading1"/>
        <w:jc w:val="center"/>
      </w:pPr>
      <w:bookmarkStart w:id="18" w:name="_Toc528650850"/>
      <w:bookmarkEnd w:id="18"/>
    </w:p>
    <w:p w14:paraId="7244E73F" w14:textId="77777777" w:rsidR="003C3597" w:rsidRPr="00E349C8" w:rsidRDefault="003C3597" w:rsidP="00F85B74">
      <w:pPr>
        <w:spacing w:before="240" w:after="240"/>
        <w:ind w:firstLine="0"/>
        <w:jc w:val="center"/>
        <w:rPr>
          <w:rFonts w:ascii="Times New Roman" w:hAnsi="Times New Roman" w:cs="Times New Roman"/>
          <w:color w:val="000000"/>
          <w:sz w:val="28"/>
        </w:rPr>
      </w:pPr>
      <w:r w:rsidRPr="00E349C8">
        <w:rPr>
          <w:rFonts w:ascii="Times New Roman" w:hAnsi="Times New Roman" w:cs="Times New Roman"/>
          <w:b/>
          <w:bCs/>
          <w:color w:val="000000"/>
          <w:sz w:val="28"/>
        </w:rPr>
        <w:t>Design of a Survey to Assess Prospects for Consumer Electric Mobility in Canada:  A Retrospective Appraisal</w:t>
      </w:r>
    </w:p>
    <w:p w14:paraId="5868422A" w14:textId="77777777" w:rsidR="00B00A98" w:rsidRPr="00B00A98" w:rsidRDefault="003C3597" w:rsidP="00E1100F">
      <w:pPr>
        <w:pStyle w:val="ListParagraph"/>
        <w:numPr>
          <w:ilvl w:val="1"/>
          <w:numId w:val="8"/>
        </w:numPr>
        <w:outlineLvl w:val="1"/>
        <w:rPr>
          <w:rFonts w:ascii="Times New Roman" w:hAnsi="Times New Roman" w:cs="Times New Roman"/>
          <w:b/>
          <w:color w:val="000000"/>
        </w:rPr>
      </w:pPr>
      <w:bookmarkStart w:id="19" w:name="_Toc528602060"/>
      <w:bookmarkStart w:id="20" w:name="_Toc528650851"/>
      <w:r w:rsidRPr="00B00A98">
        <w:rPr>
          <w:rFonts w:ascii="Times New Roman" w:hAnsi="Times New Roman" w:cs="Times New Roman"/>
          <w:b/>
          <w:color w:val="000000"/>
        </w:rPr>
        <w:t>Introduction</w:t>
      </w:r>
      <w:bookmarkEnd w:id="19"/>
      <w:bookmarkEnd w:id="20"/>
      <w:r w:rsidRPr="00B00A98">
        <w:rPr>
          <w:rFonts w:ascii="Times New Roman" w:hAnsi="Times New Roman" w:cs="Times New Roman"/>
          <w:b/>
          <w:color w:val="000000"/>
        </w:rPr>
        <w:t xml:space="preserve"> </w:t>
      </w:r>
    </w:p>
    <w:p w14:paraId="32BF1CDA"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Surveys are important for research that examines human behaviour. In the field of transportation, surveys are powerful means to obtain critical information for planning and policy making and can provide researchers and policy makers with high-quality data to evaluate changes in transportation systems and regulations in response to existing transportation problems. Surveys that seek to understand consumer preferences and attitudes towards electric and other alternative fuel vehicles have been prominent over the past 25 years, but their use has accelerated in the past decade. Interest in this field has been driven by the fact that electric vehicles (EV) offer</w:t>
      </w:r>
      <w:r w:rsidRPr="003C3597" w:rsidDel="000A66A2">
        <w:rPr>
          <w:rFonts w:ascii="Times New Roman" w:hAnsi="Times New Roman" w:cs="Times New Roman"/>
          <w:color w:val="000000"/>
        </w:rPr>
        <w:t xml:space="preserve"> a </w:t>
      </w:r>
      <w:r w:rsidRPr="003C3597">
        <w:rPr>
          <w:rFonts w:ascii="Times New Roman" w:hAnsi="Times New Roman" w:cs="Times New Roman"/>
          <w:color w:val="000000"/>
        </w:rPr>
        <w:t>pathway to mitigate the consequences of vehicular emissions.</w:t>
      </w:r>
    </w:p>
    <w:p w14:paraId="68C297A2"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With the objective to investigate the consumer electric mobility landscape in Canada, a team of researchers and industry partners undertook an effort to develop a comprehensive survey instrument. The acronym “</w:t>
      </w:r>
      <w:r w:rsidRPr="003C3597">
        <w:rPr>
          <w:rFonts w:ascii="Times New Roman" w:hAnsi="Times New Roman" w:cs="Times New Roman"/>
          <w:b/>
          <w:bCs/>
          <w:color w:val="000000"/>
        </w:rPr>
        <w:t>SPACE”</w:t>
      </w:r>
      <w:r w:rsidRPr="003C3597">
        <w:rPr>
          <w:rFonts w:ascii="Times New Roman" w:hAnsi="Times New Roman" w:cs="Times New Roman"/>
          <w:color w:val="000000"/>
        </w:rPr>
        <w:t xml:space="preserve"> (</w:t>
      </w:r>
      <w:r w:rsidRPr="003C3597">
        <w:rPr>
          <w:rFonts w:ascii="Times New Roman" w:hAnsi="Times New Roman" w:cs="Times New Roman"/>
          <w:b/>
          <w:bCs/>
          <w:color w:val="000000"/>
        </w:rPr>
        <w:t>S</w:t>
      </w:r>
      <w:r w:rsidRPr="003C3597">
        <w:rPr>
          <w:rFonts w:ascii="Times New Roman" w:hAnsi="Times New Roman" w:cs="Times New Roman"/>
          <w:color w:val="000000"/>
        </w:rPr>
        <w:t xml:space="preserve">urvey for </w:t>
      </w:r>
      <w:r w:rsidRPr="003C3597">
        <w:rPr>
          <w:rFonts w:ascii="Times New Roman" w:hAnsi="Times New Roman" w:cs="Times New Roman"/>
          <w:b/>
          <w:bCs/>
          <w:color w:val="000000"/>
        </w:rPr>
        <w:t>P</w:t>
      </w:r>
      <w:r w:rsidRPr="003C3597">
        <w:rPr>
          <w:rFonts w:ascii="Times New Roman" w:hAnsi="Times New Roman" w:cs="Times New Roman"/>
          <w:color w:val="000000"/>
        </w:rPr>
        <w:t xml:space="preserve">references and </w:t>
      </w:r>
      <w:r w:rsidRPr="003C3597">
        <w:rPr>
          <w:rFonts w:ascii="Times New Roman" w:hAnsi="Times New Roman" w:cs="Times New Roman"/>
          <w:b/>
          <w:bCs/>
          <w:color w:val="000000"/>
        </w:rPr>
        <w:t>A</w:t>
      </w:r>
      <w:r w:rsidRPr="003C3597">
        <w:rPr>
          <w:rFonts w:ascii="Times New Roman" w:hAnsi="Times New Roman" w:cs="Times New Roman"/>
          <w:color w:val="000000"/>
        </w:rPr>
        <w:t xml:space="preserve">ttitudes of </w:t>
      </w:r>
      <w:r w:rsidRPr="003C3597">
        <w:rPr>
          <w:rFonts w:ascii="Times New Roman" w:hAnsi="Times New Roman" w:cs="Times New Roman"/>
          <w:b/>
          <w:bCs/>
          <w:color w:val="000000"/>
        </w:rPr>
        <w:t>C</w:t>
      </w:r>
      <w:r w:rsidRPr="003C3597">
        <w:rPr>
          <w:rFonts w:ascii="Times New Roman" w:hAnsi="Times New Roman" w:cs="Times New Roman"/>
          <w:color w:val="000000"/>
        </w:rPr>
        <w:t xml:space="preserve">anadians towards </w:t>
      </w:r>
      <w:r w:rsidRPr="003C3597">
        <w:rPr>
          <w:rFonts w:ascii="Times New Roman" w:hAnsi="Times New Roman" w:cs="Times New Roman"/>
          <w:b/>
          <w:bCs/>
          <w:color w:val="000000"/>
        </w:rPr>
        <w:t>E</w:t>
      </w:r>
      <w:r w:rsidRPr="003C3597">
        <w:rPr>
          <w:rFonts w:ascii="Times New Roman" w:hAnsi="Times New Roman" w:cs="Times New Roman"/>
          <w:color w:val="000000"/>
        </w:rPr>
        <w:t xml:space="preserve">lectric Vehicles) is used for the purposes of this paper to identify the survey instrument. </w:t>
      </w:r>
      <w:r w:rsidRPr="003C3597">
        <w:rPr>
          <w:rFonts w:ascii="Times New Roman" w:hAnsi="Times New Roman" w:cs="Times New Roman"/>
          <w:b/>
          <w:bCs/>
          <w:color w:val="000000"/>
        </w:rPr>
        <w:t>SPACE</w:t>
      </w:r>
      <w:r w:rsidRPr="003C3597">
        <w:rPr>
          <w:rFonts w:ascii="Times New Roman" w:hAnsi="Times New Roman" w:cs="Times New Roman"/>
          <w:color w:val="000000"/>
        </w:rPr>
        <w:t xml:space="preserve"> was deployed in the spring of 2015 and focused on four main powertrain types: internal combustion engines (</w:t>
      </w:r>
      <w:r w:rsidRPr="003C3597">
        <w:rPr>
          <w:rFonts w:ascii="Times New Roman" w:hAnsi="Times New Roman" w:cs="Times New Roman"/>
          <w:b/>
          <w:bCs/>
          <w:color w:val="000000"/>
        </w:rPr>
        <w:t>ICE</w:t>
      </w:r>
      <w:r w:rsidRPr="003C3597">
        <w:rPr>
          <w:rFonts w:ascii="Times New Roman" w:hAnsi="Times New Roman" w:cs="Times New Roman"/>
          <w:color w:val="000000"/>
        </w:rPr>
        <w:t>), hybrid electric vehicles along the lines of the Toyota Prius (</w:t>
      </w:r>
      <w:r w:rsidRPr="003C3597">
        <w:rPr>
          <w:rFonts w:ascii="Times New Roman" w:hAnsi="Times New Roman" w:cs="Times New Roman"/>
          <w:b/>
          <w:bCs/>
          <w:color w:val="000000"/>
        </w:rPr>
        <w:t>HEV</w:t>
      </w:r>
      <w:r w:rsidRPr="003C3597">
        <w:rPr>
          <w:rFonts w:ascii="Times New Roman" w:hAnsi="Times New Roman" w:cs="Times New Roman"/>
          <w:color w:val="000000"/>
        </w:rPr>
        <w:t xml:space="preserve">), plug-in electric </w:t>
      </w:r>
      <w:r w:rsidRPr="003C3597">
        <w:rPr>
          <w:rFonts w:ascii="Times New Roman" w:hAnsi="Times New Roman" w:cs="Times New Roman"/>
          <w:color w:val="000000"/>
        </w:rPr>
        <w:lastRenderedPageBreak/>
        <w:t>hybrid vehicles (</w:t>
      </w:r>
      <w:r w:rsidRPr="003C3597">
        <w:rPr>
          <w:rFonts w:ascii="Times New Roman" w:hAnsi="Times New Roman" w:cs="Times New Roman"/>
          <w:b/>
          <w:bCs/>
          <w:color w:val="000000"/>
        </w:rPr>
        <w:t>PHEV</w:t>
      </w:r>
      <w:r w:rsidRPr="003C3597">
        <w:rPr>
          <w:rFonts w:ascii="Times New Roman" w:hAnsi="Times New Roman" w:cs="Times New Roman"/>
          <w:color w:val="000000"/>
        </w:rPr>
        <w:t xml:space="preserve"> - e.g. Chevy Volt) capable of running on gasoline or electricity and battery electric vehicles (</w:t>
      </w:r>
      <w:r w:rsidRPr="003C3597">
        <w:rPr>
          <w:rFonts w:ascii="Times New Roman" w:hAnsi="Times New Roman" w:cs="Times New Roman"/>
          <w:b/>
          <w:bCs/>
          <w:color w:val="000000"/>
        </w:rPr>
        <w:t>BEV</w:t>
      </w:r>
      <w:r w:rsidRPr="003C3597">
        <w:rPr>
          <w:rFonts w:ascii="Times New Roman" w:hAnsi="Times New Roman" w:cs="Times New Roman"/>
          <w:color w:val="000000"/>
        </w:rPr>
        <w:t xml:space="preserve"> - e.g. Tesla Model S, Nissan Leaf) powered strictly by electricity.</w:t>
      </w:r>
    </w:p>
    <w:p w14:paraId="0C4003C9"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Canada makes for an interesting case study. It has one of the cleaner electricity generation profiles in the world, and yet has a very small market share for EVs which lags relativ</w:t>
      </w:r>
      <w:r w:rsidR="00FD5D9C">
        <w:rPr>
          <w:rFonts w:ascii="Times New Roman" w:hAnsi="Times New Roman" w:cs="Times New Roman"/>
          <w:color w:val="000000"/>
        </w:rPr>
        <w:t>ely behind the United States (US</w:t>
      </w:r>
      <w:r w:rsidRPr="003C3597">
        <w:rPr>
          <w:rFonts w:ascii="Times New Roman" w:hAnsi="Times New Roman" w:cs="Times New Roman"/>
          <w:color w:val="000000"/>
        </w:rPr>
        <w:t xml:space="preserve">) and many European countries. While previous works provide valuable insights about EV consumer within Canadian context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{"citationItems":[{"id":"ITEM-1","itemData":{"author":[{"dropping-particle":"","family":"Potoglou","given":"Dimitris","non-dropping-particle":"","parse-names":false,"suffix":""},{"dropping-particle":"","family":"Kanaroglou","given":"Pavlos S.","non-dropping-particle":"","parse-names":false,"suffix":""}],"container-title":"Canadian Journal of Transportation","id":"ITEM-1","issue":"August 2006","issued":{"date-parts":[["2007"]]},"page":"36-55","title":"An Internet-Based Stated Choices Household Survey for Alternative Fuelled Vehicles Dimitris Potoglou and Pavlos Savvas Kanaroglou","type":"article-journal","volume":"1"},"uris":["http://www.mendeley.com/documents/?uuid=47e378e4-02ad-46d7-8980-20331588323c"]},{"id":"ITEM-2","itemData":{"DOI":"10.1016/S1361-9209(98)00019-4","ISSN":"13619209","author":[{"dropping-particle":"","family":"Ewing","given":"Gordon O.","non-dropping-particle":"","parse-names":false,"suffix":""},{"dropping-particle":"","family":"Sarigöllü","given":"Emine","non-dropping-particle":"","parse-names":false,"suffix":""}],"container-title":"Transportation Research Part D: Transport and Environment","id":"ITEM-2","issue":"6","issued":{"date-parts":[["1998","11"]]},"page":"429-444","title":"Car fuel-type choice under travel demand management and economic incentives","type":"article-journal","volume":"3"},"uris":["http://www.mendeley.com/documents/?uuid=bd47e521-daf4-4dc6-804d-b8e807c5c70b"]},{"id":"ITEM-3","itemData":{"DOI":"10.1016/j.eneco.2015.05.003","ISSN":"01409883","author":[{"dropping-particle":"","family":"Axsen","given":"Jonn","non-dropping-particle":"","parse-names":false,"suffix":""},{"dropping-particle":"","family":"Bailey","given":"Joseph","non-dropping-particle":"","parse-names":false,"suffix":""},{"dropping-particle":"","family":"Castro","given":"Marisol Andrea","non-dropping-particle":"","parse-names":false,"suffix":""}],"container-title":"Energy Economics","id":"ITEM-3","issued":{"date-parts":[["2015"]]},"page":"190-201","publisher":"Elsevier B.V.","title":"Preference and lifestyle heterogeneity among potential plug-in electric vehicle buyers","type":"article-journal","volume":"50"},"uris":["http://www.mendeley.com/documents/?uuid=c29d93aa-c3d4-4b2b-8202-fb17cf0079f6"]}],"mendeley":{"formattedCitation":"(Axsen, Bailey, &amp; Castro, 2015; Ewing &amp; Sarigöllü, 1998; Potoglou &amp; Kanaroglou, 2007a)","manualFormatting":"(e.g. Axsen et al., 2015; Ewing &amp; Sarigöllü, 1998; Potoglou &amp; Kanaroglou, 2007)","plainTextFormattedCitation":"(Axsen, Bailey, &amp; Castro, 2015; Ewing &amp; Sarigöllü, 1998; Potoglou &amp; Kanaroglou, 2007a)","previouslyFormattedCitation":"(Axsen, Bailey, &amp; Castro, 2015; Ewing &amp; Sarigöllü, 1998; Potoglou &amp; Kanaroglou, 2007a)"},"properties":{"noteIndex":0},"schema":"https://github.com/citation-style-language/schema/raw/master/csl-citation.json"}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(e.g. Axsen et al., 2015; Ewing &amp; Sarigöllü, 1998; Potoglou &amp; Kanaroglou, 2007)</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the sample collected with SPACE is the first of its kind in Canada with a comprehensive national scope and with meaningful samples from all ten Canadian provinces, major metropolitan areas, and in both official languages. A stated preference (SP) experiment is at the core of SPACE and is supported by an array of information on demographics, residential location and context, current vehicle ownership and vehicle purchase intentions, travel patterns and an assortment of attitudinal information. </w:t>
      </w:r>
    </w:p>
    <w:p w14:paraId="0EDDF902" w14:textId="77777777" w:rsidR="003C3597" w:rsidRPr="003C3597" w:rsidRDefault="003C3597" w:rsidP="003C3597">
      <w:pPr>
        <w:rPr>
          <w:rFonts w:ascii="Times New Roman" w:hAnsi="Times New Roman" w:cs="Times New Roman"/>
          <w:color w:val="000000"/>
        </w:rPr>
      </w:pPr>
    </w:p>
    <w:p w14:paraId="74A68409" w14:textId="77777777" w:rsidR="003C3597" w:rsidRPr="003C3597" w:rsidRDefault="003C3597" w:rsidP="003C3597">
      <w:pPr>
        <w:rPr>
          <w:rFonts w:ascii="Times New Roman" w:hAnsi="Times New Roman" w:cs="Times New Roman"/>
          <w:color w:val="000000"/>
        </w:rPr>
      </w:pPr>
    </w:p>
    <w:p w14:paraId="332443F5" w14:textId="77777777" w:rsidR="003C3597" w:rsidRPr="003C3597" w:rsidRDefault="003C3597" w:rsidP="003C3597">
      <w:pPr>
        <w:rPr>
          <w:rFonts w:ascii="Times New Roman" w:hAnsi="Times New Roman" w:cs="Times New Roman"/>
          <w:color w:val="000000"/>
        </w:rPr>
      </w:pPr>
    </w:p>
    <w:p w14:paraId="114FDD0E" w14:textId="77777777" w:rsidR="003C3597" w:rsidRPr="003C3597" w:rsidRDefault="003C3597" w:rsidP="003C3597">
      <w:pPr>
        <w:rPr>
          <w:rFonts w:ascii="Times New Roman" w:hAnsi="Times New Roman" w:cs="Times New Roman"/>
          <w:color w:val="000000"/>
        </w:rPr>
      </w:pPr>
    </w:p>
    <w:p w14:paraId="3FE02DC4" w14:textId="77777777" w:rsidR="003C3597" w:rsidRPr="003C3597" w:rsidRDefault="003C3597" w:rsidP="003C3597">
      <w:pPr>
        <w:rPr>
          <w:rFonts w:ascii="Times New Roman" w:hAnsi="Times New Roman" w:cs="Times New Roman"/>
          <w:color w:val="000000"/>
        </w:rPr>
      </w:pPr>
    </w:p>
    <w:p w14:paraId="16487D37" w14:textId="77777777" w:rsidR="003C3597" w:rsidRPr="003C3597" w:rsidRDefault="003C3597" w:rsidP="003C3597">
      <w:pPr>
        <w:rPr>
          <w:rFonts w:ascii="Times New Roman" w:hAnsi="Times New Roman" w:cs="Times New Roman"/>
          <w:color w:val="000000"/>
        </w:rPr>
      </w:pPr>
    </w:p>
    <w:p w14:paraId="75F8659E" w14:textId="77777777" w:rsidR="0006565D" w:rsidRDefault="0006565D" w:rsidP="00E1100F">
      <w:pPr>
        <w:pStyle w:val="Caption"/>
        <w:ind w:firstLine="0"/>
        <w:rPr>
          <w:rFonts w:ascii="Times New Roman" w:hAnsi="Times New Roman" w:cs="Times New Roman"/>
          <w:i w:val="0"/>
          <w:iCs w:val="0"/>
          <w:color w:val="000000"/>
          <w:sz w:val="24"/>
          <w:szCs w:val="24"/>
        </w:rPr>
        <w:sectPr w:rsidR="0006565D" w:rsidSect="001C1412">
          <w:headerReference w:type="default" r:id="rId10"/>
          <w:footerReference w:type="default" r:id="rId11"/>
          <w:pgSz w:w="12240" w:h="15840"/>
          <w:pgMar w:top="2155" w:right="1418" w:bottom="2155" w:left="1418" w:header="709" w:footer="709" w:gutter="0"/>
          <w:pgNumType w:start="1"/>
          <w:cols w:space="708"/>
          <w:docGrid w:linePitch="360"/>
        </w:sectPr>
      </w:pPr>
      <w:bookmarkStart w:id="21" w:name="_Toc528649786"/>
    </w:p>
    <w:p w14:paraId="555F58E8" w14:textId="77777777" w:rsidR="00B00A98" w:rsidRPr="00E1100F" w:rsidRDefault="00E1100F" w:rsidP="00E1100F">
      <w:pPr>
        <w:pStyle w:val="Caption"/>
        <w:ind w:firstLine="0"/>
        <w:rPr>
          <w:rFonts w:ascii="Times New Roman" w:hAnsi="Times New Roman" w:cs="Times New Roman"/>
          <w:i w:val="0"/>
          <w:iCs w:val="0"/>
          <w:color w:val="000000"/>
          <w:sz w:val="24"/>
          <w:szCs w:val="24"/>
        </w:rPr>
      </w:pPr>
      <w:r w:rsidRPr="00E1100F">
        <w:rPr>
          <w:rFonts w:ascii="Times New Roman" w:hAnsi="Times New Roman" w:cs="Times New Roman"/>
          <w:i w:val="0"/>
          <w:iCs w:val="0"/>
          <w:color w:val="000000"/>
          <w:sz w:val="24"/>
          <w:szCs w:val="24"/>
        </w:rPr>
        <w:lastRenderedPageBreak/>
        <w:t>Table 2.</w:t>
      </w:r>
      <w:r w:rsidRPr="00E1100F">
        <w:rPr>
          <w:rFonts w:ascii="Times New Roman" w:hAnsi="Times New Roman" w:cs="Times New Roman"/>
          <w:i w:val="0"/>
          <w:iCs w:val="0"/>
          <w:color w:val="000000"/>
          <w:sz w:val="24"/>
          <w:szCs w:val="24"/>
        </w:rPr>
        <w:fldChar w:fldCharType="begin"/>
      </w:r>
      <w:r w:rsidRPr="00E1100F">
        <w:rPr>
          <w:rFonts w:ascii="Times New Roman" w:hAnsi="Times New Roman" w:cs="Times New Roman"/>
          <w:i w:val="0"/>
          <w:iCs w:val="0"/>
          <w:color w:val="000000"/>
          <w:sz w:val="24"/>
          <w:szCs w:val="24"/>
        </w:rPr>
        <w:instrText xml:space="preserve"> SEQ Table \* ARABIC </w:instrText>
      </w:r>
      <w:r w:rsidRPr="00E1100F">
        <w:rPr>
          <w:rFonts w:ascii="Times New Roman" w:hAnsi="Times New Roman" w:cs="Times New Roman"/>
          <w:i w:val="0"/>
          <w:iCs w:val="0"/>
          <w:color w:val="000000"/>
          <w:sz w:val="24"/>
          <w:szCs w:val="24"/>
        </w:rPr>
        <w:fldChar w:fldCharType="separate"/>
      </w:r>
      <w:r w:rsidR="00BC70AE">
        <w:rPr>
          <w:rFonts w:ascii="Times New Roman" w:hAnsi="Times New Roman" w:cs="Times New Roman"/>
          <w:i w:val="0"/>
          <w:iCs w:val="0"/>
          <w:noProof/>
          <w:color w:val="000000"/>
          <w:sz w:val="24"/>
          <w:szCs w:val="24"/>
        </w:rPr>
        <w:t>1</w:t>
      </w:r>
      <w:r w:rsidRPr="00E1100F">
        <w:rPr>
          <w:rFonts w:ascii="Times New Roman" w:hAnsi="Times New Roman" w:cs="Times New Roman"/>
          <w:i w:val="0"/>
          <w:iCs w:val="0"/>
          <w:color w:val="000000"/>
          <w:sz w:val="24"/>
          <w:szCs w:val="24"/>
        </w:rPr>
        <w:fldChar w:fldCharType="end"/>
      </w:r>
      <w:r w:rsidRPr="00E1100F">
        <w:rPr>
          <w:rFonts w:ascii="Times New Roman" w:hAnsi="Times New Roman" w:cs="Times New Roman"/>
          <w:i w:val="0"/>
          <w:iCs w:val="0"/>
          <w:color w:val="000000"/>
          <w:sz w:val="24"/>
          <w:szCs w:val="24"/>
        </w:rPr>
        <w:t xml:space="preserve"> </w:t>
      </w:r>
      <w:r w:rsidR="003C3597" w:rsidRPr="00E1100F">
        <w:rPr>
          <w:rFonts w:ascii="Times New Roman" w:hAnsi="Times New Roman" w:cs="Times New Roman"/>
          <w:i w:val="0"/>
          <w:iCs w:val="0"/>
          <w:color w:val="000000"/>
          <w:sz w:val="24"/>
          <w:szCs w:val="24"/>
        </w:rPr>
        <w:t>An overview of selected EV Studies</w:t>
      </w:r>
      <w:bookmarkEnd w:id="21"/>
      <w:r w:rsidR="003C3597" w:rsidRPr="00E1100F">
        <w:rPr>
          <w:rFonts w:ascii="Times New Roman" w:hAnsi="Times New Roman" w:cs="Times New Roman"/>
          <w:i w:val="0"/>
          <w:iCs w:val="0"/>
          <w:color w:val="000000"/>
          <w:sz w:val="24"/>
          <w:szCs w:val="24"/>
        </w:rPr>
        <w:t xml:space="preserve">  </w:t>
      </w:r>
    </w:p>
    <w:tbl>
      <w:tblPr>
        <w:tblStyle w:val="TableGridLight1"/>
        <w:tblW w:w="12852" w:type="dxa"/>
        <w:tblInd w:w="-5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1086"/>
        <w:gridCol w:w="1237"/>
        <w:gridCol w:w="1036"/>
        <w:gridCol w:w="956"/>
        <w:gridCol w:w="3587"/>
        <w:gridCol w:w="1363"/>
        <w:gridCol w:w="2521"/>
      </w:tblGrid>
      <w:tr w:rsidR="003709D8" w:rsidRPr="00B00A98" w14:paraId="299AA603" w14:textId="77777777" w:rsidTr="008E073E">
        <w:trPr>
          <w:trHeight w:val="390"/>
          <w:tblHeader/>
        </w:trPr>
        <w:tc>
          <w:tcPr>
            <w:tcW w:w="0" w:type="auto"/>
            <w:tcBorders>
              <w:top w:val="single" w:sz="4" w:space="0" w:color="auto"/>
              <w:bottom w:val="single" w:sz="4" w:space="0" w:color="auto"/>
            </w:tcBorders>
          </w:tcPr>
          <w:p w14:paraId="45E29585" w14:textId="77777777" w:rsidR="00B00A98" w:rsidRPr="008E073E" w:rsidRDefault="00B00A98" w:rsidP="008A580C">
            <w:pPr>
              <w:rPr>
                <w:rFonts w:ascii="Times New Roman" w:hAnsi="Times New Roman" w:cs="Times New Roman"/>
                <w:bCs/>
                <w:sz w:val="18"/>
                <w:szCs w:val="18"/>
              </w:rPr>
            </w:pPr>
            <w:r w:rsidRPr="008E073E">
              <w:rPr>
                <w:rFonts w:ascii="Times New Roman" w:hAnsi="Times New Roman" w:cs="Times New Roman"/>
                <w:bCs/>
                <w:sz w:val="18"/>
                <w:szCs w:val="18"/>
              </w:rPr>
              <w:t>Study</w:t>
            </w:r>
          </w:p>
        </w:tc>
        <w:tc>
          <w:tcPr>
            <w:tcW w:w="1086" w:type="dxa"/>
            <w:tcBorders>
              <w:top w:val="single" w:sz="4" w:space="0" w:color="auto"/>
              <w:bottom w:val="single" w:sz="4" w:space="0" w:color="auto"/>
            </w:tcBorders>
          </w:tcPr>
          <w:p w14:paraId="208EF5F8" w14:textId="77777777" w:rsidR="00B00A98" w:rsidRPr="008E073E" w:rsidRDefault="00B00A98" w:rsidP="008A580C">
            <w:pPr>
              <w:rPr>
                <w:rFonts w:ascii="Times New Roman" w:hAnsi="Times New Roman" w:cs="Times New Roman"/>
                <w:bCs/>
                <w:sz w:val="18"/>
                <w:szCs w:val="18"/>
              </w:rPr>
            </w:pPr>
            <w:r w:rsidRPr="008E073E">
              <w:rPr>
                <w:rFonts w:ascii="Times New Roman" w:hAnsi="Times New Roman" w:cs="Times New Roman"/>
                <w:bCs/>
                <w:sz w:val="18"/>
                <w:szCs w:val="18"/>
              </w:rPr>
              <w:t>Geography</w:t>
            </w:r>
          </w:p>
        </w:tc>
        <w:tc>
          <w:tcPr>
            <w:tcW w:w="1237" w:type="dxa"/>
            <w:tcBorders>
              <w:top w:val="single" w:sz="4" w:space="0" w:color="auto"/>
              <w:bottom w:val="single" w:sz="4" w:space="0" w:color="auto"/>
            </w:tcBorders>
          </w:tcPr>
          <w:p w14:paraId="277EFF17" w14:textId="77777777" w:rsidR="00B00A98" w:rsidRPr="008E073E" w:rsidRDefault="00B00A98" w:rsidP="008A580C">
            <w:pPr>
              <w:rPr>
                <w:rFonts w:ascii="Times New Roman" w:hAnsi="Times New Roman" w:cs="Times New Roman"/>
                <w:bCs/>
                <w:sz w:val="18"/>
                <w:szCs w:val="18"/>
              </w:rPr>
            </w:pPr>
            <w:r w:rsidRPr="008E073E">
              <w:rPr>
                <w:rFonts w:ascii="Times New Roman" w:hAnsi="Times New Roman" w:cs="Times New Roman"/>
                <w:bCs/>
                <w:sz w:val="18"/>
                <w:szCs w:val="18"/>
              </w:rPr>
              <w:t xml:space="preserve">No. respondents </w:t>
            </w:r>
          </w:p>
        </w:tc>
        <w:tc>
          <w:tcPr>
            <w:tcW w:w="1036" w:type="dxa"/>
            <w:tcBorders>
              <w:top w:val="single" w:sz="4" w:space="0" w:color="auto"/>
              <w:bottom w:val="single" w:sz="4" w:space="0" w:color="auto"/>
            </w:tcBorders>
          </w:tcPr>
          <w:p w14:paraId="4E0CE095" w14:textId="77777777" w:rsidR="00B00A98" w:rsidRPr="008E073E" w:rsidRDefault="00B00A98" w:rsidP="008A580C">
            <w:pPr>
              <w:rPr>
                <w:rFonts w:ascii="Times New Roman" w:hAnsi="Times New Roman" w:cs="Times New Roman"/>
                <w:bCs/>
                <w:sz w:val="18"/>
                <w:szCs w:val="18"/>
              </w:rPr>
            </w:pPr>
            <w:r w:rsidRPr="008E073E">
              <w:rPr>
                <w:rFonts w:ascii="Times New Roman" w:hAnsi="Times New Roman" w:cs="Times New Roman"/>
                <w:bCs/>
                <w:sz w:val="18"/>
                <w:szCs w:val="18"/>
              </w:rPr>
              <w:t>Design type</w:t>
            </w:r>
          </w:p>
        </w:tc>
        <w:tc>
          <w:tcPr>
            <w:tcW w:w="956" w:type="dxa"/>
            <w:tcBorders>
              <w:top w:val="single" w:sz="4" w:space="0" w:color="auto"/>
              <w:bottom w:val="single" w:sz="4" w:space="0" w:color="auto"/>
            </w:tcBorders>
          </w:tcPr>
          <w:p w14:paraId="5F109C0E" w14:textId="77777777" w:rsidR="00B00A98" w:rsidRPr="008E073E" w:rsidRDefault="00B00A98" w:rsidP="008A580C">
            <w:pPr>
              <w:rPr>
                <w:rFonts w:ascii="Times New Roman" w:hAnsi="Times New Roman" w:cs="Times New Roman"/>
                <w:bCs/>
                <w:sz w:val="18"/>
                <w:szCs w:val="18"/>
              </w:rPr>
            </w:pPr>
            <w:r w:rsidRPr="008E073E">
              <w:rPr>
                <w:rFonts w:ascii="Times New Roman" w:hAnsi="Times New Roman" w:cs="Times New Roman"/>
                <w:bCs/>
                <w:sz w:val="18"/>
                <w:szCs w:val="18"/>
              </w:rPr>
              <w:t>Labeled/ unlabeled</w:t>
            </w:r>
          </w:p>
        </w:tc>
        <w:tc>
          <w:tcPr>
            <w:tcW w:w="3587" w:type="dxa"/>
            <w:tcBorders>
              <w:top w:val="single" w:sz="4" w:space="0" w:color="auto"/>
              <w:bottom w:val="single" w:sz="4" w:space="0" w:color="auto"/>
            </w:tcBorders>
          </w:tcPr>
          <w:p w14:paraId="1B3F9C74" w14:textId="77777777" w:rsidR="00B00A98" w:rsidRPr="008E073E" w:rsidRDefault="00B00A98" w:rsidP="008A580C">
            <w:pPr>
              <w:rPr>
                <w:rFonts w:ascii="Times New Roman" w:hAnsi="Times New Roman" w:cs="Times New Roman"/>
                <w:bCs/>
                <w:sz w:val="18"/>
                <w:szCs w:val="18"/>
              </w:rPr>
            </w:pPr>
            <w:r w:rsidRPr="008E073E">
              <w:rPr>
                <w:rFonts w:ascii="Times New Roman" w:hAnsi="Times New Roman" w:cs="Times New Roman"/>
                <w:bCs/>
                <w:sz w:val="18"/>
                <w:szCs w:val="18"/>
              </w:rPr>
              <w:t>No. attributes</w:t>
            </w:r>
          </w:p>
        </w:tc>
        <w:tc>
          <w:tcPr>
            <w:tcW w:w="1363" w:type="dxa"/>
            <w:tcBorders>
              <w:top w:val="single" w:sz="4" w:space="0" w:color="auto"/>
              <w:bottom w:val="single" w:sz="4" w:space="0" w:color="auto"/>
            </w:tcBorders>
          </w:tcPr>
          <w:p w14:paraId="7261E009" w14:textId="77777777" w:rsidR="00B00A98" w:rsidRPr="008E073E" w:rsidRDefault="00B00A98" w:rsidP="008A580C">
            <w:pPr>
              <w:rPr>
                <w:rFonts w:ascii="Times New Roman" w:hAnsi="Times New Roman" w:cs="Times New Roman"/>
                <w:bCs/>
                <w:sz w:val="18"/>
                <w:szCs w:val="18"/>
              </w:rPr>
            </w:pPr>
            <w:r w:rsidRPr="008E073E">
              <w:rPr>
                <w:rFonts w:ascii="Times New Roman" w:hAnsi="Times New Roman" w:cs="Times New Roman"/>
                <w:bCs/>
                <w:sz w:val="18"/>
                <w:szCs w:val="18"/>
              </w:rPr>
              <w:t>No. scenarios/</w:t>
            </w:r>
          </w:p>
          <w:p w14:paraId="2FDCA791" w14:textId="77777777" w:rsidR="00B00A98" w:rsidRPr="008E073E" w:rsidRDefault="00B00A98" w:rsidP="008A580C">
            <w:pPr>
              <w:rPr>
                <w:rFonts w:ascii="Times New Roman" w:hAnsi="Times New Roman" w:cs="Times New Roman"/>
                <w:bCs/>
                <w:sz w:val="18"/>
                <w:szCs w:val="18"/>
              </w:rPr>
            </w:pPr>
            <w:r w:rsidRPr="008E073E">
              <w:rPr>
                <w:rFonts w:ascii="Times New Roman" w:hAnsi="Times New Roman" w:cs="Times New Roman"/>
                <w:bCs/>
                <w:sz w:val="18"/>
                <w:szCs w:val="18"/>
              </w:rPr>
              <w:t>Opt-out choice?</w:t>
            </w:r>
          </w:p>
        </w:tc>
        <w:tc>
          <w:tcPr>
            <w:tcW w:w="2521" w:type="dxa"/>
            <w:tcBorders>
              <w:top w:val="single" w:sz="4" w:space="0" w:color="auto"/>
              <w:bottom w:val="single" w:sz="4" w:space="0" w:color="auto"/>
            </w:tcBorders>
          </w:tcPr>
          <w:p w14:paraId="3F15278A" w14:textId="77777777" w:rsidR="00B00A98" w:rsidRPr="008E073E" w:rsidRDefault="00B00A98" w:rsidP="008A580C">
            <w:pPr>
              <w:rPr>
                <w:rFonts w:ascii="Times New Roman" w:hAnsi="Times New Roman" w:cs="Times New Roman"/>
                <w:bCs/>
                <w:sz w:val="18"/>
                <w:szCs w:val="18"/>
              </w:rPr>
            </w:pPr>
            <w:r w:rsidRPr="008E073E">
              <w:rPr>
                <w:rFonts w:ascii="Times New Roman" w:hAnsi="Times New Roman" w:cs="Times New Roman"/>
                <w:bCs/>
                <w:sz w:val="18"/>
                <w:szCs w:val="18"/>
              </w:rPr>
              <w:t>No. alternatives or fuel types</w:t>
            </w:r>
          </w:p>
        </w:tc>
      </w:tr>
      <w:tr w:rsidR="003709D8" w:rsidRPr="00B00A98" w14:paraId="3D7AD39C" w14:textId="77777777" w:rsidTr="008E073E">
        <w:trPr>
          <w:trHeight w:val="382"/>
        </w:trPr>
        <w:tc>
          <w:tcPr>
            <w:tcW w:w="0" w:type="auto"/>
            <w:tcBorders>
              <w:top w:val="single" w:sz="4" w:space="0" w:color="auto"/>
            </w:tcBorders>
          </w:tcPr>
          <w:p w14:paraId="2CDF8281" w14:textId="77777777" w:rsidR="00B00A98" w:rsidRPr="008E073E" w:rsidRDefault="00B00A98" w:rsidP="00B00A98">
            <w:pPr>
              <w:spacing w:after="120"/>
              <w:rPr>
                <w:rFonts w:ascii="Times New Roman" w:hAnsi="Times New Roman" w:cs="Times New Roman"/>
                <w:sz w:val="18"/>
                <w:szCs w:val="18"/>
              </w:rPr>
            </w:pPr>
            <w:r w:rsidRPr="008E073E">
              <w:rPr>
                <w:rFonts w:ascii="Times New Roman" w:hAnsi="Times New Roman" w:cs="Times New Roman"/>
                <w:sz w:val="18"/>
                <w:szCs w:val="18"/>
              </w:rPr>
              <w:t>Bunch et al. (1993)</w:t>
            </w:r>
          </w:p>
        </w:tc>
        <w:tc>
          <w:tcPr>
            <w:tcW w:w="1086" w:type="dxa"/>
            <w:tcBorders>
              <w:top w:val="single" w:sz="4" w:space="0" w:color="auto"/>
            </w:tcBorders>
          </w:tcPr>
          <w:p w14:paraId="159E584C" w14:textId="77777777" w:rsidR="00B00A98" w:rsidRPr="008E073E" w:rsidRDefault="00B00A98" w:rsidP="00B00A98">
            <w:pPr>
              <w:spacing w:after="120"/>
              <w:rPr>
                <w:rFonts w:ascii="Times New Roman" w:hAnsi="Times New Roman" w:cs="Times New Roman"/>
                <w:sz w:val="18"/>
                <w:szCs w:val="18"/>
              </w:rPr>
            </w:pPr>
            <w:r w:rsidRPr="008E073E">
              <w:rPr>
                <w:rFonts w:ascii="Times New Roman" w:hAnsi="Times New Roman" w:cs="Times New Roman"/>
                <w:sz w:val="18"/>
                <w:szCs w:val="18"/>
              </w:rPr>
              <w:t xml:space="preserve">Southern California </w:t>
            </w:r>
          </w:p>
        </w:tc>
        <w:tc>
          <w:tcPr>
            <w:tcW w:w="1237" w:type="dxa"/>
            <w:tcBorders>
              <w:top w:val="single" w:sz="4" w:space="0" w:color="auto"/>
            </w:tcBorders>
          </w:tcPr>
          <w:p w14:paraId="76AE0F62" w14:textId="77777777" w:rsidR="00B00A98" w:rsidRPr="008E073E" w:rsidRDefault="00B00A98" w:rsidP="00B00A98">
            <w:pPr>
              <w:spacing w:after="120"/>
              <w:rPr>
                <w:rFonts w:ascii="Times New Roman" w:hAnsi="Times New Roman" w:cs="Times New Roman"/>
                <w:sz w:val="18"/>
                <w:szCs w:val="18"/>
              </w:rPr>
            </w:pPr>
            <w:r w:rsidRPr="008E073E">
              <w:rPr>
                <w:rFonts w:ascii="Times New Roman" w:hAnsi="Times New Roman" w:cs="Times New Roman"/>
                <w:sz w:val="18"/>
                <w:szCs w:val="18"/>
              </w:rPr>
              <w:t>692</w:t>
            </w:r>
          </w:p>
        </w:tc>
        <w:tc>
          <w:tcPr>
            <w:tcW w:w="1036" w:type="dxa"/>
            <w:tcBorders>
              <w:top w:val="single" w:sz="4" w:space="0" w:color="auto"/>
            </w:tcBorders>
          </w:tcPr>
          <w:p w14:paraId="0E911026" w14:textId="77777777" w:rsidR="00B00A98" w:rsidRPr="008E073E" w:rsidRDefault="00B00A98" w:rsidP="00B00A98">
            <w:pPr>
              <w:spacing w:after="120"/>
              <w:rPr>
                <w:rFonts w:ascii="Times New Roman" w:hAnsi="Times New Roman" w:cs="Times New Roman"/>
                <w:sz w:val="18"/>
                <w:szCs w:val="18"/>
              </w:rPr>
            </w:pPr>
            <w:r w:rsidRPr="008E073E">
              <w:rPr>
                <w:rFonts w:ascii="Times New Roman" w:hAnsi="Times New Roman" w:cs="Times New Roman"/>
                <w:sz w:val="18"/>
                <w:szCs w:val="18"/>
              </w:rPr>
              <w:t>Orthogonal</w:t>
            </w:r>
          </w:p>
        </w:tc>
        <w:tc>
          <w:tcPr>
            <w:tcW w:w="956" w:type="dxa"/>
            <w:tcBorders>
              <w:top w:val="single" w:sz="4" w:space="0" w:color="auto"/>
            </w:tcBorders>
          </w:tcPr>
          <w:p w14:paraId="6E254ADB" w14:textId="77777777" w:rsidR="00B00A98" w:rsidRPr="008E073E" w:rsidRDefault="00B00A98" w:rsidP="00B00A98">
            <w:pPr>
              <w:spacing w:after="120"/>
              <w:rPr>
                <w:rFonts w:ascii="Times New Roman" w:hAnsi="Times New Roman" w:cs="Times New Roman"/>
                <w:sz w:val="18"/>
                <w:szCs w:val="18"/>
              </w:rPr>
            </w:pPr>
            <w:r w:rsidRPr="008E073E">
              <w:rPr>
                <w:rFonts w:ascii="Times New Roman" w:hAnsi="Times New Roman" w:cs="Times New Roman"/>
                <w:sz w:val="18"/>
                <w:szCs w:val="18"/>
              </w:rPr>
              <w:t>Quasi-labeled</w:t>
            </w:r>
          </w:p>
        </w:tc>
        <w:tc>
          <w:tcPr>
            <w:tcW w:w="3587" w:type="dxa"/>
            <w:tcBorders>
              <w:top w:val="single" w:sz="4" w:space="0" w:color="auto"/>
            </w:tcBorders>
          </w:tcPr>
          <w:p w14:paraId="27B5B796" w14:textId="77777777" w:rsidR="00B00A98" w:rsidRPr="008E073E" w:rsidRDefault="00B00A98" w:rsidP="00B00A98">
            <w:pPr>
              <w:spacing w:after="120"/>
              <w:rPr>
                <w:rFonts w:ascii="Times New Roman" w:hAnsi="Times New Roman" w:cs="Times New Roman"/>
                <w:sz w:val="18"/>
                <w:szCs w:val="18"/>
              </w:rPr>
            </w:pPr>
            <w:r w:rsidRPr="008E073E">
              <w:rPr>
                <w:rFonts w:ascii="Times New Roman" w:hAnsi="Times New Roman" w:cs="Times New Roman"/>
                <w:sz w:val="18"/>
                <w:szCs w:val="18"/>
              </w:rPr>
              <w:t>7 fuel type, fuel availability, range, price, fuel cost, pollution, performance</w:t>
            </w:r>
          </w:p>
        </w:tc>
        <w:tc>
          <w:tcPr>
            <w:tcW w:w="1363" w:type="dxa"/>
            <w:tcBorders>
              <w:top w:val="single" w:sz="4" w:space="0" w:color="auto"/>
            </w:tcBorders>
          </w:tcPr>
          <w:p w14:paraId="0150AB12" w14:textId="77777777" w:rsidR="00B00A98" w:rsidRPr="008E073E" w:rsidRDefault="008A580C" w:rsidP="00B00A98">
            <w:pPr>
              <w:spacing w:after="120"/>
              <w:rPr>
                <w:rFonts w:ascii="Times New Roman" w:hAnsi="Times New Roman" w:cs="Times New Roman"/>
                <w:sz w:val="18"/>
                <w:szCs w:val="18"/>
              </w:rPr>
            </w:pPr>
            <w:r w:rsidRPr="008E073E">
              <w:rPr>
                <w:rFonts w:ascii="Times New Roman" w:hAnsi="Times New Roman" w:cs="Times New Roman"/>
                <w:sz w:val="18"/>
                <w:szCs w:val="18"/>
              </w:rPr>
              <w:t xml:space="preserve">5/ </w:t>
            </w:r>
            <w:r w:rsidR="00B00A98" w:rsidRPr="008E073E">
              <w:rPr>
                <w:rFonts w:ascii="Times New Roman" w:hAnsi="Times New Roman" w:cs="Times New Roman"/>
                <w:sz w:val="18"/>
                <w:szCs w:val="18"/>
              </w:rPr>
              <w:t>No</w:t>
            </w:r>
          </w:p>
        </w:tc>
        <w:tc>
          <w:tcPr>
            <w:tcW w:w="2521" w:type="dxa"/>
            <w:tcBorders>
              <w:top w:val="single" w:sz="4" w:space="0" w:color="auto"/>
            </w:tcBorders>
          </w:tcPr>
          <w:p w14:paraId="0EBF8026" w14:textId="77777777" w:rsidR="00B00A98" w:rsidRPr="008E073E" w:rsidRDefault="00B00A98" w:rsidP="00B00A98">
            <w:pPr>
              <w:rPr>
                <w:rFonts w:ascii="Times New Roman" w:hAnsi="Times New Roman" w:cs="Times New Roman"/>
                <w:sz w:val="18"/>
                <w:szCs w:val="18"/>
              </w:rPr>
            </w:pPr>
            <w:r w:rsidRPr="008E073E">
              <w:rPr>
                <w:rFonts w:ascii="Times New Roman" w:hAnsi="Times New Roman" w:cs="Times New Roman"/>
                <w:sz w:val="18"/>
                <w:szCs w:val="18"/>
              </w:rPr>
              <w:t>3 gasoline,</w:t>
            </w:r>
          </w:p>
          <w:p w14:paraId="63A3E488" w14:textId="77777777" w:rsidR="00B00A98" w:rsidRPr="008E073E" w:rsidRDefault="00B00A98" w:rsidP="00B00A98">
            <w:pPr>
              <w:rPr>
                <w:rFonts w:ascii="Times New Roman" w:hAnsi="Times New Roman" w:cs="Times New Roman"/>
                <w:sz w:val="18"/>
                <w:szCs w:val="18"/>
              </w:rPr>
            </w:pPr>
            <w:r w:rsidRPr="008E073E">
              <w:rPr>
                <w:rFonts w:ascii="Times New Roman" w:hAnsi="Times New Roman" w:cs="Times New Roman"/>
                <w:sz w:val="18"/>
                <w:szCs w:val="18"/>
              </w:rPr>
              <w:t>alternative fuel,</w:t>
            </w:r>
          </w:p>
          <w:p w14:paraId="218319A0" w14:textId="77777777" w:rsidR="00B00A98" w:rsidRPr="008E073E" w:rsidRDefault="00B00A98" w:rsidP="00B00A98">
            <w:pPr>
              <w:rPr>
                <w:rFonts w:ascii="Times New Roman" w:hAnsi="Times New Roman" w:cs="Times New Roman"/>
                <w:sz w:val="18"/>
                <w:szCs w:val="18"/>
              </w:rPr>
            </w:pPr>
            <w:r w:rsidRPr="008E073E">
              <w:rPr>
                <w:rFonts w:ascii="Times New Roman" w:hAnsi="Times New Roman" w:cs="Times New Roman"/>
                <w:sz w:val="18"/>
                <w:szCs w:val="18"/>
              </w:rPr>
              <w:t>electric</w:t>
            </w:r>
          </w:p>
        </w:tc>
      </w:tr>
      <w:tr w:rsidR="003709D8" w:rsidRPr="00B00A98" w14:paraId="0C08AFB3" w14:textId="77777777" w:rsidTr="008E073E">
        <w:trPr>
          <w:trHeight w:val="465"/>
        </w:trPr>
        <w:tc>
          <w:tcPr>
            <w:tcW w:w="0" w:type="auto"/>
          </w:tcPr>
          <w:p w14:paraId="2C14E243"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fldChar w:fldCharType="begin" w:fldLock="1"/>
            </w:r>
            <w:r w:rsidRPr="008E073E">
              <w:rPr>
                <w:rFonts w:ascii="Times New Roman" w:hAnsi="Times New Roman" w:cs="Times New Roman"/>
                <w:sz w:val="18"/>
                <w:szCs w:val="18"/>
              </w:rPr>
              <w:instrText>ADDIN CSL_CITATION {"citationItems":[{"id":"ITEM-1","itemData":{"DOI":"10.1016/S1361-9209(98)00019-4","ISSN":"13619209","author":[{"dropping-particle":"","family":"Ewing","given":"Gordon O.","non-dropping-particle":"","parse-names":false,"suffix":""},{"dropping-particle":"","family":"Sarigöllü","given":"Emine","non-dropping-particle":"","parse-names":false,"suffix":""}],"container-title":"Transportation Research Part D: Transport and Environment","id":"ITEM-1","issue":"6","issued":{"date-parts":[["1998","11"]]},"page":"429-444","title":"Car fuel-type choice under travel demand management and economic incentives","type":"article-journal","volume":"3"},"uris":["http://www.mendeley.com/documents/?uuid=bd47e521-daf4-4dc6-804d-b8e807c5c70b"]}],"mendeley":{"formattedCitation":"(Ewing &amp; Sarigöllü, 1998)","manualFormatting":"Ewing &amp; Sarigöllü (1998)","plainTextFormattedCitation":"(Ewing &amp; Sarigöllü, 1998)","previouslyFormattedCitation":"(Ewing &amp; Sarigöllü, 1998)"},"properties":{"noteIndex":0},"schema":"https://github.com/citation-style-language/schema/raw/master/csl-citation.json"}</w:instrText>
            </w:r>
            <w:r w:rsidRPr="008E073E">
              <w:rPr>
                <w:rFonts w:ascii="Times New Roman" w:hAnsi="Times New Roman" w:cs="Times New Roman"/>
                <w:sz w:val="18"/>
                <w:szCs w:val="18"/>
              </w:rPr>
              <w:fldChar w:fldCharType="separate"/>
            </w:r>
            <w:r w:rsidRPr="008E073E">
              <w:rPr>
                <w:rFonts w:ascii="Times New Roman" w:hAnsi="Times New Roman" w:cs="Times New Roman"/>
                <w:noProof/>
                <w:sz w:val="18"/>
                <w:szCs w:val="18"/>
              </w:rPr>
              <w:t>Ewing &amp; Sarigöllü (1998)</w:t>
            </w:r>
            <w:r w:rsidRPr="008E073E">
              <w:rPr>
                <w:rFonts w:ascii="Times New Roman" w:hAnsi="Times New Roman" w:cs="Times New Roman"/>
                <w:sz w:val="18"/>
                <w:szCs w:val="18"/>
              </w:rPr>
              <w:fldChar w:fldCharType="end"/>
            </w:r>
          </w:p>
        </w:tc>
        <w:tc>
          <w:tcPr>
            <w:tcW w:w="1086" w:type="dxa"/>
          </w:tcPr>
          <w:p w14:paraId="3838EEF8" w14:textId="77777777" w:rsidR="00B00A98" w:rsidRPr="008E073E" w:rsidRDefault="00B00A98" w:rsidP="003709D8">
            <w:pPr>
              <w:spacing w:after="120"/>
              <w:rPr>
                <w:rFonts w:ascii="Times New Roman" w:hAnsi="Times New Roman" w:cs="Times New Roman"/>
                <w:sz w:val="18"/>
                <w:szCs w:val="18"/>
              </w:rPr>
            </w:pPr>
            <w:r w:rsidRPr="008E073E">
              <w:rPr>
                <w:rFonts w:ascii="Times New Roman" w:hAnsi="Times New Roman" w:cs="Times New Roman"/>
                <w:sz w:val="18"/>
                <w:szCs w:val="18"/>
              </w:rPr>
              <w:t xml:space="preserve">Montreal, Canada </w:t>
            </w:r>
          </w:p>
        </w:tc>
        <w:tc>
          <w:tcPr>
            <w:tcW w:w="1237" w:type="dxa"/>
          </w:tcPr>
          <w:p w14:paraId="7B3476A2" w14:textId="77777777" w:rsidR="00B00A98" w:rsidRPr="008E073E" w:rsidRDefault="00B00A98" w:rsidP="00B00A98">
            <w:pPr>
              <w:spacing w:after="120"/>
              <w:rPr>
                <w:rFonts w:ascii="Times New Roman" w:hAnsi="Times New Roman" w:cs="Times New Roman"/>
                <w:sz w:val="18"/>
                <w:szCs w:val="18"/>
              </w:rPr>
            </w:pPr>
            <w:r w:rsidRPr="008E073E">
              <w:rPr>
                <w:rFonts w:ascii="Times New Roman" w:hAnsi="Times New Roman" w:cs="Times New Roman"/>
                <w:sz w:val="18"/>
                <w:szCs w:val="18"/>
              </w:rPr>
              <w:t>881 Suburban driver commuters</w:t>
            </w:r>
          </w:p>
        </w:tc>
        <w:tc>
          <w:tcPr>
            <w:tcW w:w="1036" w:type="dxa"/>
          </w:tcPr>
          <w:p w14:paraId="26B81D30" w14:textId="77777777" w:rsidR="00B00A98" w:rsidRPr="008E073E" w:rsidRDefault="00B00A98" w:rsidP="00B00A98">
            <w:pPr>
              <w:spacing w:after="120"/>
              <w:rPr>
                <w:rFonts w:ascii="Times New Roman" w:hAnsi="Times New Roman" w:cs="Times New Roman"/>
                <w:sz w:val="18"/>
                <w:szCs w:val="18"/>
              </w:rPr>
            </w:pPr>
            <w:r w:rsidRPr="008E073E">
              <w:rPr>
                <w:rFonts w:ascii="Times New Roman" w:hAnsi="Times New Roman" w:cs="Times New Roman"/>
                <w:sz w:val="18"/>
                <w:szCs w:val="18"/>
              </w:rPr>
              <w:t xml:space="preserve">Orthogonal </w:t>
            </w:r>
          </w:p>
        </w:tc>
        <w:tc>
          <w:tcPr>
            <w:tcW w:w="956" w:type="dxa"/>
          </w:tcPr>
          <w:p w14:paraId="0044897E" w14:textId="77777777" w:rsidR="00B00A98" w:rsidRPr="008E073E" w:rsidRDefault="00B00A98" w:rsidP="00B00A98">
            <w:pPr>
              <w:spacing w:after="120"/>
              <w:rPr>
                <w:rFonts w:ascii="Times New Roman" w:hAnsi="Times New Roman" w:cs="Times New Roman"/>
                <w:sz w:val="18"/>
                <w:szCs w:val="18"/>
              </w:rPr>
            </w:pPr>
            <w:r w:rsidRPr="008E073E">
              <w:rPr>
                <w:rFonts w:ascii="Times New Roman" w:hAnsi="Times New Roman" w:cs="Times New Roman"/>
                <w:sz w:val="18"/>
                <w:szCs w:val="18"/>
              </w:rPr>
              <w:t>Labeled</w:t>
            </w:r>
          </w:p>
        </w:tc>
        <w:tc>
          <w:tcPr>
            <w:tcW w:w="3587" w:type="dxa"/>
          </w:tcPr>
          <w:p w14:paraId="605B4C16"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 xml:space="preserve">8 price, maintenance cost, acceleration, range, refuelling rate, emission, commuting time, fuel and parking cost </w:t>
            </w:r>
          </w:p>
        </w:tc>
        <w:tc>
          <w:tcPr>
            <w:tcW w:w="1363" w:type="dxa"/>
          </w:tcPr>
          <w:p w14:paraId="2982D35E" w14:textId="77777777" w:rsidR="00B00A98" w:rsidRPr="008E073E" w:rsidRDefault="008A580C" w:rsidP="00B00A98">
            <w:pPr>
              <w:spacing w:after="120"/>
              <w:rPr>
                <w:rFonts w:ascii="Times New Roman" w:hAnsi="Times New Roman" w:cs="Times New Roman"/>
                <w:sz w:val="18"/>
                <w:szCs w:val="18"/>
              </w:rPr>
            </w:pPr>
            <w:r w:rsidRPr="008E073E">
              <w:rPr>
                <w:rFonts w:ascii="Times New Roman" w:hAnsi="Times New Roman" w:cs="Times New Roman"/>
                <w:sz w:val="18"/>
                <w:szCs w:val="18"/>
              </w:rPr>
              <w:t xml:space="preserve">9/ </w:t>
            </w:r>
            <w:r w:rsidR="00B00A98" w:rsidRPr="008E073E">
              <w:rPr>
                <w:rFonts w:ascii="Times New Roman" w:hAnsi="Times New Roman" w:cs="Times New Roman"/>
                <w:sz w:val="18"/>
                <w:szCs w:val="18"/>
              </w:rPr>
              <w:t>No</w:t>
            </w:r>
          </w:p>
        </w:tc>
        <w:tc>
          <w:tcPr>
            <w:tcW w:w="2521" w:type="dxa"/>
          </w:tcPr>
          <w:p w14:paraId="1AF38A2D"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3 conventional, fuel-efficient, electric</w:t>
            </w:r>
          </w:p>
        </w:tc>
      </w:tr>
      <w:tr w:rsidR="003709D8" w:rsidRPr="00B00A98" w14:paraId="74C9EB8E" w14:textId="77777777" w:rsidTr="008E073E">
        <w:trPr>
          <w:trHeight w:val="337"/>
        </w:trPr>
        <w:tc>
          <w:tcPr>
            <w:tcW w:w="0" w:type="auto"/>
          </w:tcPr>
          <w:p w14:paraId="44492737"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Horne et al. (2005)</w:t>
            </w:r>
          </w:p>
        </w:tc>
        <w:tc>
          <w:tcPr>
            <w:tcW w:w="1086" w:type="dxa"/>
          </w:tcPr>
          <w:p w14:paraId="457243DE"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 xml:space="preserve">Canada </w:t>
            </w:r>
          </w:p>
        </w:tc>
        <w:tc>
          <w:tcPr>
            <w:tcW w:w="1237" w:type="dxa"/>
          </w:tcPr>
          <w:p w14:paraId="4BA28226"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1150</w:t>
            </w:r>
          </w:p>
        </w:tc>
        <w:tc>
          <w:tcPr>
            <w:tcW w:w="1036" w:type="dxa"/>
          </w:tcPr>
          <w:p w14:paraId="3467D83A"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 xml:space="preserve">Not Stated </w:t>
            </w:r>
          </w:p>
        </w:tc>
        <w:tc>
          <w:tcPr>
            <w:tcW w:w="956" w:type="dxa"/>
          </w:tcPr>
          <w:p w14:paraId="0EDEFC8B"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 xml:space="preserve">Labeled </w:t>
            </w:r>
          </w:p>
        </w:tc>
        <w:tc>
          <w:tcPr>
            <w:tcW w:w="3587" w:type="dxa"/>
          </w:tcPr>
          <w:p w14:paraId="1B8B2150"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6 price, fuel cost, fuel availability, lane access, emissions, power</w:t>
            </w:r>
          </w:p>
        </w:tc>
        <w:tc>
          <w:tcPr>
            <w:tcW w:w="1363" w:type="dxa"/>
          </w:tcPr>
          <w:p w14:paraId="4389B21C" w14:textId="77777777" w:rsidR="00B00A98" w:rsidRPr="008E073E" w:rsidRDefault="008A580C" w:rsidP="008A580C">
            <w:pPr>
              <w:spacing w:after="60"/>
              <w:rPr>
                <w:rFonts w:ascii="Times New Roman" w:hAnsi="Times New Roman" w:cs="Times New Roman"/>
                <w:sz w:val="18"/>
                <w:szCs w:val="18"/>
              </w:rPr>
            </w:pPr>
            <w:r w:rsidRPr="008E073E">
              <w:rPr>
                <w:rFonts w:ascii="Times New Roman" w:hAnsi="Times New Roman" w:cs="Times New Roman"/>
                <w:sz w:val="18"/>
                <w:szCs w:val="18"/>
              </w:rPr>
              <w:t xml:space="preserve">8/ </w:t>
            </w:r>
            <w:r w:rsidR="00B00A98" w:rsidRPr="008E073E">
              <w:rPr>
                <w:rFonts w:ascii="Times New Roman" w:hAnsi="Times New Roman" w:cs="Times New Roman"/>
                <w:sz w:val="18"/>
                <w:szCs w:val="18"/>
              </w:rPr>
              <w:t>Not Stated</w:t>
            </w:r>
          </w:p>
        </w:tc>
        <w:tc>
          <w:tcPr>
            <w:tcW w:w="2521" w:type="dxa"/>
          </w:tcPr>
          <w:p w14:paraId="1482B0EB"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4 gasoline, natural gas, hybrid/electric, hydrogen fuel cell</w:t>
            </w:r>
          </w:p>
        </w:tc>
      </w:tr>
      <w:tr w:rsidR="003709D8" w:rsidRPr="00B00A98" w14:paraId="5DDA5D65" w14:textId="77777777" w:rsidTr="008E073E">
        <w:trPr>
          <w:trHeight w:val="371"/>
        </w:trPr>
        <w:tc>
          <w:tcPr>
            <w:tcW w:w="0" w:type="auto"/>
          </w:tcPr>
          <w:p w14:paraId="015E8BAB"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fldChar w:fldCharType="begin" w:fldLock="1"/>
            </w:r>
            <w:r w:rsidRPr="008E073E">
              <w:rPr>
                <w:rFonts w:ascii="Times New Roman" w:hAnsi="Times New Roman" w:cs="Times New Roman"/>
                <w:sz w:val="18"/>
                <w:szCs w:val="18"/>
              </w:rPr>
              <w:instrText>ADDIN CSL_CITATION {"citationItems":[{"id":"ITEM-1","itemData":{"author":[{"dropping-particle":"","family":"Potoglou","given":"Dimitris","non-dropping-particle":"","parse-names":false,"suffix":""},{"dropping-particle":"","family":"Kanaroglou","given":"Pavlos S.","non-dropping-particle":"","parse-names":false,"suffix":""}],"container-title":"Canadian Journal of Transportation","id":"ITEM-1","issue":"August 2006","issued":{"date-parts":[["2007"]]},"page":"36-55","title":"An Internet-Based Stated Choices Household Survey for Alternative Fuelled Vehicles Dimitris Potoglou and Pavlos Savvas Kanaroglou","type":"article-journal","volume":"1"},"uris":["http://www.mendeley.com/documents/?uuid=47e378e4-02ad-46d7-8980-20331588323c"]}],"mendeley":{"formattedCitation":"(Potoglou &amp; Kanaroglou, 2007a)","manualFormatting":"Potoglou &amp; Kanaroglou (2007)","plainTextFormattedCitation":"(Potoglou &amp; Kanaroglou, 2007a)","previouslyFormattedCitation":"(Potoglou &amp; Kanaroglou, 2007a)"},"properties":{"noteIndex":0},"schema":"https://github.com/citation-style-language/schema/raw/master/csl-citation.json"}</w:instrText>
            </w:r>
            <w:r w:rsidRPr="008E073E">
              <w:rPr>
                <w:rFonts w:ascii="Times New Roman" w:hAnsi="Times New Roman" w:cs="Times New Roman"/>
                <w:sz w:val="18"/>
                <w:szCs w:val="18"/>
              </w:rPr>
              <w:fldChar w:fldCharType="separate"/>
            </w:r>
            <w:r w:rsidRPr="008E073E">
              <w:rPr>
                <w:rFonts w:ascii="Times New Roman" w:hAnsi="Times New Roman" w:cs="Times New Roman"/>
                <w:noProof/>
                <w:sz w:val="18"/>
                <w:szCs w:val="18"/>
              </w:rPr>
              <w:t>Potoglou &amp; Kanaroglou (2007)</w:t>
            </w:r>
            <w:r w:rsidRPr="008E073E">
              <w:rPr>
                <w:rFonts w:ascii="Times New Roman" w:hAnsi="Times New Roman" w:cs="Times New Roman"/>
                <w:sz w:val="18"/>
                <w:szCs w:val="18"/>
              </w:rPr>
              <w:fldChar w:fldCharType="end"/>
            </w:r>
          </w:p>
        </w:tc>
        <w:tc>
          <w:tcPr>
            <w:tcW w:w="1086" w:type="dxa"/>
          </w:tcPr>
          <w:p w14:paraId="2320D3F3"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Hamilton, Canada</w:t>
            </w:r>
          </w:p>
        </w:tc>
        <w:tc>
          <w:tcPr>
            <w:tcW w:w="1237" w:type="dxa"/>
          </w:tcPr>
          <w:p w14:paraId="3D6FC6ED"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482 Future car buyers</w:t>
            </w:r>
          </w:p>
        </w:tc>
        <w:tc>
          <w:tcPr>
            <w:tcW w:w="1036" w:type="dxa"/>
          </w:tcPr>
          <w:p w14:paraId="042F598A"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Orthogonal</w:t>
            </w:r>
          </w:p>
        </w:tc>
        <w:tc>
          <w:tcPr>
            <w:tcW w:w="956" w:type="dxa"/>
          </w:tcPr>
          <w:p w14:paraId="278AC06D"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Quasi-labeled</w:t>
            </w:r>
          </w:p>
        </w:tc>
        <w:tc>
          <w:tcPr>
            <w:tcW w:w="3587" w:type="dxa"/>
          </w:tcPr>
          <w:p w14:paraId="1104DF68"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8 price, fuel and maintenance costs, fuel availability, incentive, acceleration, pollution, vehicle size, fuel type</w:t>
            </w:r>
          </w:p>
        </w:tc>
        <w:tc>
          <w:tcPr>
            <w:tcW w:w="1363" w:type="dxa"/>
          </w:tcPr>
          <w:p w14:paraId="02FB490A" w14:textId="77777777" w:rsidR="00B00A98" w:rsidRPr="008E073E" w:rsidRDefault="008A580C" w:rsidP="008A580C">
            <w:pPr>
              <w:spacing w:after="60"/>
              <w:rPr>
                <w:rFonts w:ascii="Times New Roman" w:hAnsi="Times New Roman" w:cs="Times New Roman"/>
                <w:sz w:val="18"/>
                <w:szCs w:val="18"/>
              </w:rPr>
            </w:pPr>
            <w:r w:rsidRPr="008E073E">
              <w:rPr>
                <w:rFonts w:ascii="Times New Roman" w:hAnsi="Times New Roman" w:cs="Times New Roman"/>
                <w:sz w:val="18"/>
                <w:szCs w:val="18"/>
              </w:rPr>
              <w:t xml:space="preserve">8/ </w:t>
            </w:r>
            <w:r w:rsidR="00B00A98" w:rsidRPr="008E073E">
              <w:rPr>
                <w:rFonts w:ascii="Times New Roman" w:hAnsi="Times New Roman" w:cs="Times New Roman"/>
                <w:sz w:val="18"/>
                <w:szCs w:val="18"/>
              </w:rPr>
              <w:t>No</w:t>
            </w:r>
          </w:p>
        </w:tc>
        <w:tc>
          <w:tcPr>
            <w:tcW w:w="2521" w:type="dxa"/>
          </w:tcPr>
          <w:p w14:paraId="7D2DB735"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 xml:space="preserve">3 gasoline, hybrid, alternative fuelled </w:t>
            </w:r>
          </w:p>
        </w:tc>
      </w:tr>
      <w:tr w:rsidR="003709D8" w:rsidRPr="00B00A98" w14:paraId="3088F2E3" w14:textId="77777777" w:rsidTr="008E073E">
        <w:trPr>
          <w:trHeight w:val="393"/>
        </w:trPr>
        <w:tc>
          <w:tcPr>
            <w:tcW w:w="0" w:type="auto"/>
          </w:tcPr>
          <w:p w14:paraId="1D3DE740"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fldChar w:fldCharType="begin" w:fldLock="1"/>
            </w:r>
            <w:r w:rsidRPr="008E073E">
              <w:rPr>
                <w:rFonts w:ascii="Times New Roman" w:hAnsi="Times New Roman" w:cs="Times New Roman"/>
                <w:sz w:val="18"/>
                <w:szCs w:val="18"/>
              </w:rPr>
              <w:instrText>ADDIN CSL_CITATION {"citationItems":[{"id":"ITEM-1","itemData":{"DOI":"10.1016/j.trd.2010.11.001","ISSN":"13619209","abstract":"This paper investigates the potential futures for alternative-fuel vehicles in Denmark, where the vehicle registration tax is very high and large tax rebates can be given. A large stated choice dataset has been collected concerning vehicle choice among conventional, hydrogen, hybrid, bio-diesel, and electric vehicles. We estimate a mixed logit model that improves on previous contributions by controlling for reference dependence and allowing for correlation of random effects. Both improvements are found to be important. An application of the model shows that alternative-fuel vehicles with present technology could obtain fairly high market shares given tax regulations possible in the present high-tax vehicle market. ?? 2010 Elsevier Ltd.","author":[{"dropping-particle":"","family":"Mabit","given":"Stefan L.","non-dropping-particle":"","parse-names":false,"suffix":""},{"dropping-particle":"","family":"Fosgerau","given":"Mogens","non-dropping-particle":"","parse-names":false,"suffix":""}],"container-title":"Transportation Research Part D: Transport and Environment","id":"ITEM-1","issue":"3","issued":{"date-parts":[["2011","5"]]},"page":"225-231","publisher":"Elsevier Ltd","title":"Demand for alternative-fuel vehicles when registration taxes are high","type":"article-journal","volume":"16"},"uris":["http://www.mendeley.com/documents/?uuid=7e8be2b9-7b43-4518-b2ec-ad3d8a344f70"]}],"mendeley":{"formattedCitation":"(Mabit &amp; Fosgerau, 2011)","manualFormatting":"Mabit &amp; Fosgerau (2011)","plainTextFormattedCitation":"(Mabit &amp; Fosgerau, 2011)","previouslyFormattedCitation":"(Mabit &amp; Fosgerau, 2011)"},"properties":{"noteIndex":0},"schema":"https://github.com/citation-style-language/schema/raw/master/csl-citation.json"}</w:instrText>
            </w:r>
            <w:r w:rsidRPr="008E073E">
              <w:rPr>
                <w:rFonts w:ascii="Times New Roman" w:hAnsi="Times New Roman" w:cs="Times New Roman"/>
                <w:sz w:val="18"/>
                <w:szCs w:val="18"/>
              </w:rPr>
              <w:fldChar w:fldCharType="separate"/>
            </w:r>
            <w:r w:rsidRPr="008E073E">
              <w:rPr>
                <w:rFonts w:ascii="Times New Roman" w:hAnsi="Times New Roman" w:cs="Times New Roman"/>
                <w:noProof/>
                <w:sz w:val="18"/>
                <w:szCs w:val="18"/>
              </w:rPr>
              <w:t>Mabit &amp; Fosgerau (2011)</w:t>
            </w:r>
            <w:r w:rsidRPr="008E073E">
              <w:rPr>
                <w:rFonts w:ascii="Times New Roman" w:hAnsi="Times New Roman" w:cs="Times New Roman"/>
                <w:sz w:val="18"/>
                <w:szCs w:val="18"/>
              </w:rPr>
              <w:fldChar w:fldCharType="end"/>
            </w:r>
          </w:p>
        </w:tc>
        <w:tc>
          <w:tcPr>
            <w:tcW w:w="1086" w:type="dxa"/>
          </w:tcPr>
          <w:p w14:paraId="6ADD49E1"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 xml:space="preserve">Denmark </w:t>
            </w:r>
          </w:p>
        </w:tc>
        <w:tc>
          <w:tcPr>
            <w:tcW w:w="1237" w:type="dxa"/>
          </w:tcPr>
          <w:p w14:paraId="46682F74"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2146 New car buyers</w:t>
            </w:r>
          </w:p>
        </w:tc>
        <w:tc>
          <w:tcPr>
            <w:tcW w:w="1036" w:type="dxa"/>
          </w:tcPr>
          <w:p w14:paraId="25F15294"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Not Stated</w:t>
            </w:r>
          </w:p>
        </w:tc>
        <w:tc>
          <w:tcPr>
            <w:tcW w:w="956" w:type="dxa"/>
          </w:tcPr>
          <w:p w14:paraId="35F9BEA6"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 xml:space="preserve">Labeled </w:t>
            </w:r>
          </w:p>
        </w:tc>
        <w:tc>
          <w:tcPr>
            <w:tcW w:w="3587" w:type="dxa"/>
          </w:tcPr>
          <w:p w14:paraId="4913B9B3"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6 price, operation cost, range, refuelling frequency, acceleration, service dummy</w:t>
            </w:r>
          </w:p>
        </w:tc>
        <w:tc>
          <w:tcPr>
            <w:tcW w:w="1363" w:type="dxa"/>
          </w:tcPr>
          <w:p w14:paraId="14C7E83D" w14:textId="77777777" w:rsidR="00B00A98" w:rsidRPr="008E073E" w:rsidRDefault="008A580C" w:rsidP="008A580C">
            <w:pPr>
              <w:spacing w:after="60"/>
              <w:rPr>
                <w:rFonts w:ascii="Times New Roman" w:hAnsi="Times New Roman" w:cs="Times New Roman"/>
                <w:sz w:val="18"/>
                <w:szCs w:val="18"/>
              </w:rPr>
            </w:pPr>
            <w:r w:rsidRPr="008E073E">
              <w:rPr>
                <w:rFonts w:ascii="Times New Roman" w:hAnsi="Times New Roman" w:cs="Times New Roman"/>
                <w:sz w:val="18"/>
                <w:szCs w:val="18"/>
              </w:rPr>
              <w:t xml:space="preserve">12/ </w:t>
            </w:r>
            <w:r w:rsidR="00B00A98" w:rsidRPr="008E073E">
              <w:rPr>
                <w:rFonts w:ascii="Times New Roman" w:hAnsi="Times New Roman" w:cs="Times New Roman"/>
                <w:sz w:val="18"/>
                <w:szCs w:val="18"/>
              </w:rPr>
              <w:t>Not Stated</w:t>
            </w:r>
          </w:p>
        </w:tc>
        <w:tc>
          <w:tcPr>
            <w:tcW w:w="2521" w:type="dxa"/>
          </w:tcPr>
          <w:p w14:paraId="54252854"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 xml:space="preserve">2 out of 5 conventional, hydrogen, hybrid, bio-diesel, electric </w:t>
            </w:r>
          </w:p>
        </w:tc>
      </w:tr>
      <w:tr w:rsidR="003709D8" w:rsidRPr="00B00A98" w14:paraId="2DF1528E" w14:textId="77777777" w:rsidTr="008E073E">
        <w:trPr>
          <w:trHeight w:val="277"/>
        </w:trPr>
        <w:tc>
          <w:tcPr>
            <w:tcW w:w="0" w:type="auto"/>
          </w:tcPr>
          <w:p w14:paraId="10DAB62D"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Hidrue et al. (2011)</w:t>
            </w:r>
          </w:p>
        </w:tc>
        <w:tc>
          <w:tcPr>
            <w:tcW w:w="1086" w:type="dxa"/>
          </w:tcPr>
          <w:p w14:paraId="318B894E" w14:textId="77777777" w:rsidR="00B00A98" w:rsidRPr="008E073E" w:rsidRDefault="00FD5D9C" w:rsidP="008A580C">
            <w:pPr>
              <w:spacing w:after="60"/>
              <w:rPr>
                <w:rFonts w:ascii="Times New Roman" w:hAnsi="Times New Roman" w:cs="Times New Roman"/>
                <w:sz w:val="18"/>
                <w:szCs w:val="18"/>
              </w:rPr>
            </w:pPr>
            <w:r w:rsidRPr="008E073E">
              <w:rPr>
                <w:rFonts w:ascii="Times New Roman" w:hAnsi="Times New Roman" w:cs="Times New Roman"/>
                <w:sz w:val="18"/>
                <w:szCs w:val="18"/>
              </w:rPr>
              <w:t>US</w:t>
            </w:r>
            <w:r w:rsidR="00B00A98" w:rsidRPr="008E073E">
              <w:rPr>
                <w:rFonts w:ascii="Times New Roman" w:hAnsi="Times New Roman" w:cs="Times New Roman"/>
                <w:sz w:val="18"/>
                <w:szCs w:val="18"/>
              </w:rPr>
              <w:t xml:space="preserve"> </w:t>
            </w:r>
          </w:p>
        </w:tc>
        <w:tc>
          <w:tcPr>
            <w:tcW w:w="1237" w:type="dxa"/>
          </w:tcPr>
          <w:p w14:paraId="511F4E93" w14:textId="77777777" w:rsidR="00B00A98" w:rsidRPr="008E073E" w:rsidRDefault="008A580C" w:rsidP="008A580C">
            <w:pPr>
              <w:spacing w:after="60"/>
              <w:rPr>
                <w:rFonts w:ascii="Times New Roman" w:hAnsi="Times New Roman" w:cs="Times New Roman"/>
                <w:sz w:val="18"/>
                <w:szCs w:val="18"/>
              </w:rPr>
            </w:pPr>
            <w:r w:rsidRPr="008E073E">
              <w:rPr>
                <w:rFonts w:ascii="Times New Roman" w:hAnsi="Times New Roman" w:cs="Times New Roman"/>
                <w:sz w:val="18"/>
                <w:szCs w:val="18"/>
              </w:rPr>
              <w:t xml:space="preserve">3029 </w:t>
            </w:r>
            <w:r w:rsidR="00B00A98" w:rsidRPr="008E073E">
              <w:rPr>
                <w:rFonts w:ascii="Times New Roman" w:hAnsi="Times New Roman" w:cs="Times New Roman"/>
                <w:sz w:val="18"/>
                <w:szCs w:val="18"/>
              </w:rPr>
              <w:t>Future car buyers</w:t>
            </w:r>
          </w:p>
        </w:tc>
        <w:tc>
          <w:tcPr>
            <w:tcW w:w="1036" w:type="dxa"/>
          </w:tcPr>
          <w:p w14:paraId="3916440E"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 xml:space="preserve">D-efficient </w:t>
            </w:r>
          </w:p>
        </w:tc>
        <w:tc>
          <w:tcPr>
            <w:tcW w:w="956" w:type="dxa"/>
          </w:tcPr>
          <w:p w14:paraId="263DA115"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 xml:space="preserve">Labeled </w:t>
            </w:r>
          </w:p>
        </w:tc>
        <w:tc>
          <w:tcPr>
            <w:tcW w:w="3587" w:type="dxa"/>
          </w:tcPr>
          <w:p w14:paraId="25596DDC" w14:textId="77777777" w:rsidR="00B00A98" w:rsidRPr="008E073E" w:rsidRDefault="008A580C" w:rsidP="008A580C">
            <w:pPr>
              <w:spacing w:after="60"/>
              <w:rPr>
                <w:rFonts w:ascii="Times New Roman" w:hAnsi="Times New Roman" w:cs="Times New Roman"/>
                <w:sz w:val="18"/>
                <w:szCs w:val="18"/>
              </w:rPr>
            </w:pPr>
            <w:r w:rsidRPr="008E073E">
              <w:rPr>
                <w:rFonts w:ascii="Times New Roman" w:hAnsi="Times New Roman" w:cs="Times New Roman"/>
                <w:sz w:val="18"/>
                <w:szCs w:val="18"/>
              </w:rPr>
              <w:t xml:space="preserve">6 range, charging time, fuel </w:t>
            </w:r>
            <w:r w:rsidR="00B00A98" w:rsidRPr="008E073E">
              <w:rPr>
                <w:rFonts w:ascii="Times New Roman" w:hAnsi="Times New Roman" w:cs="Times New Roman"/>
                <w:sz w:val="18"/>
                <w:szCs w:val="18"/>
              </w:rPr>
              <w:t>cost, pollution, performance, price</w:t>
            </w:r>
          </w:p>
        </w:tc>
        <w:tc>
          <w:tcPr>
            <w:tcW w:w="1363" w:type="dxa"/>
          </w:tcPr>
          <w:p w14:paraId="72D8527B" w14:textId="77777777" w:rsidR="00B00A98" w:rsidRPr="008E073E" w:rsidRDefault="008A580C" w:rsidP="008A580C">
            <w:pPr>
              <w:spacing w:after="60"/>
              <w:rPr>
                <w:rFonts w:ascii="Times New Roman" w:hAnsi="Times New Roman" w:cs="Times New Roman"/>
                <w:sz w:val="18"/>
                <w:szCs w:val="18"/>
              </w:rPr>
            </w:pPr>
            <w:r w:rsidRPr="008E073E">
              <w:rPr>
                <w:rFonts w:ascii="Times New Roman" w:hAnsi="Times New Roman" w:cs="Times New Roman"/>
                <w:sz w:val="18"/>
                <w:szCs w:val="18"/>
              </w:rPr>
              <w:t xml:space="preserve">2/ </w:t>
            </w:r>
            <w:r w:rsidR="00B00A98" w:rsidRPr="008E073E">
              <w:rPr>
                <w:rFonts w:ascii="Times New Roman" w:hAnsi="Times New Roman" w:cs="Times New Roman"/>
                <w:sz w:val="18"/>
                <w:szCs w:val="18"/>
              </w:rPr>
              <w:t>Yes</w:t>
            </w:r>
          </w:p>
        </w:tc>
        <w:tc>
          <w:tcPr>
            <w:tcW w:w="2521" w:type="dxa"/>
          </w:tcPr>
          <w:p w14:paraId="6FE13669"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2 conventional, BEV</w:t>
            </w:r>
          </w:p>
        </w:tc>
      </w:tr>
      <w:tr w:rsidR="003709D8" w:rsidRPr="00B00A98" w14:paraId="2FA76165" w14:textId="77777777" w:rsidTr="008E073E">
        <w:trPr>
          <w:trHeight w:val="309"/>
        </w:trPr>
        <w:tc>
          <w:tcPr>
            <w:tcW w:w="0" w:type="auto"/>
          </w:tcPr>
          <w:p w14:paraId="1DF8E788"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Achtnicht et al. (2012)</w:t>
            </w:r>
          </w:p>
        </w:tc>
        <w:tc>
          <w:tcPr>
            <w:tcW w:w="1086" w:type="dxa"/>
          </w:tcPr>
          <w:p w14:paraId="70D70CFE"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 xml:space="preserve">Germany </w:t>
            </w:r>
          </w:p>
        </w:tc>
        <w:tc>
          <w:tcPr>
            <w:tcW w:w="1237" w:type="dxa"/>
          </w:tcPr>
          <w:p w14:paraId="051A5C25"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600 Future car buyers</w:t>
            </w:r>
          </w:p>
        </w:tc>
        <w:tc>
          <w:tcPr>
            <w:tcW w:w="1036" w:type="dxa"/>
          </w:tcPr>
          <w:p w14:paraId="5F4DB242"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 xml:space="preserve">Orthogonal </w:t>
            </w:r>
          </w:p>
        </w:tc>
        <w:tc>
          <w:tcPr>
            <w:tcW w:w="956" w:type="dxa"/>
          </w:tcPr>
          <w:p w14:paraId="42BC7E5F"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Quasi-labeled</w:t>
            </w:r>
          </w:p>
        </w:tc>
        <w:tc>
          <w:tcPr>
            <w:tcW w:w="3587" w:type="dxa"/>
          </w:tcPr>
          <w:p w14:paraId="5448C7AB"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6 price, fuel costs, engine power, emissions, fuel availability, fuel type</w:t>
            </w:r>
          </w:p>
        </w:tc>
        <w:tc>
          <w:tcPr>
            <w:tcW w:w="1363" w:type="dxa"/>
          </w:tcPr>
          <w:p w14:paraId="0720DE11" w14:textId="77777777" w:rsidR="00B00A98" w:rsidRPr="008E073E" w:rsidRDefault="008A580C" w:rsidP="008A580C">
            <w:pPr>
              <w:spacing w:after="60"/>
              <w:rPr>
                <w:rFonts w:ascii="Times New Roman" w:hAnsi="Times New Roman" w:cs="Times New Roman"/>
                <w:sz w:val="18"/>
                <w:szCs w:val="18"/>
              </w:rPr>
            </w:pPr>
            <w:r w:rsidRPr="008E073E">
              <w:rPr>
                <w:rFonts w:ascii="Times New Roman" w:hAnsi="Times New Roman" w:cs="Times New Roman"/>
                <w:sz w:val="18"/>
                <w:szCs w:val="18"/>
              </w:rPr>
              <w:t xml:space="preserve">6/ </w:t>
            </w:r>
            <w:r w:rsidR="00B00A98" w:rsidRPr="008E073E">
              <w:rPr>
                <w:rFonts w:ascii="Times New Roman" w:hAnsi="Times New Roman" w:cs="Times New Roman"/>
                <w:sz w:val="18"/>
                <w:szCs w:val="18"/>
              </w:rPr>
              <w:t>Not Stated</w:t>
            </w:r>
          </w:p>
        </w:tc>
        <w:tc>
          <w:tcPr>
            <w:tcW w:w="2521" w:type="dxa"/>
          </w:tcPr>
          <w:p w14:paraId="12F3D7B8"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7 gasoline, diesel, hybrid, gas, biofuel,</w:t>
            </w:r>
            <w:r w:rsidR="003709D8" w:rsidRPr="008E073E">
              <w:rPr>
                <w:rFonts w:ascii="Times New Roman" w:hAnsi="Times New Roman" w:cs="Times New Roman"/>
                <w:sz w:val="18"/>
                <w:szCs w:val="18"/>
              </w:rPr>
              <w:t xml:space="preserve"> </w:t>
            </w:r>
            <w:r w:rsidRPr="008E073E">
              <w:rPr>
                <w:rFonts w:ascii="Times New Roman" w:hAnsi="Times New Roman" w:cs="Times New Roman"/>
                <w:sz w:val="18"/>
                <w:szCs w:val="18"/>
              </w:rPr>
              <w:t xml:space="preserve">hydrogen, </w:t>
            </w:r>
          </w:p>
        </w:tc>
      </w:tr>
      <w:tr w:rsidR="003709D8" w:rsidRPr="00B00A98" w14:paraId="2EE9991A" w14:textId="77777777" w:rsidTr="008E073E">
        <w:trPr>
          <w:trHeight w:val="480"/>
        </w:trPr>
        <w:tc>
          <w:tcPr>
            <w:tcW w:w="0" w:type="auto"/>
          </w:tcPr>
          <w:p w14:paraId="43503855" w14:textId="77777777" w:rsidR="00B00A98" w:rsidRPr="008E073E" w:rsidRDefault="00B00A98" w:rsidP="003709D8">
            <w:pPr>
              <w:rPr>
                <w:rFonts w:ascii="Times New Roman" w:hAnsi="Times New Roman" w:cs="Times New Roman"/>
                <w:sz w:val="18"/>
                <w:szCs w:val="18"/>
              </w:rPr>
            </w:pPr>
            <w:r w:rsidRPr="008E073E">
              <w:rPr>
                <w:rFonts w:ascii="Times New Roman" w:hAnsi="Times New Roman" w:cs="Times New Roman"/>
                <w:sz w:val="18"/>
                <w:szCs w:val="18"/>
              </w:rPr>
              <w:fldChar w:fldCharType="begin" w:fldLock="1"/>
            </w:r>
            <w:r w:rsidRPr="008E073E">
              <w:rPr>
                <w:rFonts w:ascii="Times New Roman" w:hAnsi="Times New Roman" w:cs="Times New Roman"/>
                <w:sz w:val="18"/>
                <w:szCs w:val="18"/>
              </w:rPr>
              <w:instrText>ADDIN CSL_CITATION {"citationItems":[{"id":"ITEM-1","itemData":{"DOI":"10.1016/j.tra.2012.05.016","ISSN":"09658564","abstract":"With respect to the German goal of a transition to a lead market for electromobility within a short time period, this paper empirically examines the preferences for alternative energy sources or propulsion technologies in vehicles and particularly for electric vehicles. The data stem from a stated preference discrete choice experiment with 598 potential German car buyers. In order to simulate a realistic future purchase situation, seven vehicle types were incorporated in each of the six choice sets, i.e. hybrid, gas, biofuel, hydrogen, and electric vehicles besides common gasoline and diesel vehicles. The econometric analysis with flexible multinomial probit models reveals that potential car buyers in Germany currently have a low stated preference for electric, hydrogen, and hybrid vehicles. While our paper also discusses the impact of common vehicle attributes such as purchase price or service station availability, it particularly considers the effect of socio-demographic and environmental awareness variables. The estimation results reveal that younger potential car buyers have a higher stated preference for hydrogen and electric vehicles, males have a higher stated choice of hydrogen vehicles, and environmentally aware potential car buyers have a higher stated preference for hydrogen and electric vehicles. These results suggest that common policy instruments such as the promotion of research and development, taxation, or subsidization in the field of electromobility could be supplemented by strategies to increase the social acceptance of alternative vehicle types that are directly oriented to these population groups. Methodologically, our study highlights the importance of the inclusion of taste persistence across the choice sets and a high number of random draws in the Geweke-Hajivassiliou-Keane simulator in the simulated maximum likelihood estimation of the multinomial probit models. ?? 2012 Elsevier Ltd.","author":[{"dropping-particle":"","family":"Ziegler","given":"Andreas","non-dropping-particle":"","parse-names":false,"suffix":""}],"container-title":"Transportation Research Part A: Policy and Practice","id":"ITEM-1","issue":"8","issued":{"date-parts":[["2012","10"]]},"page":"1372-1385","publisher":"Elsevier Ltd","title":"Individual characteristics and stated preferences for alternative energy sources and propulsion technologies in vehicles: A discrete choice analysis for Germany","type":"article-journal","volume":"46"},"uris":["http://www.mendeley.com/documents/?uuid=c5e67293-8ff1-44d1-af86-36966a8ddd89"]}],"mendeley":{"formattedCitation":"(Ziegler, 2012)","manualFormatting":"Ziegler (2012)","plainTextFormattedCitation":"(Ziegler, 2012)","previouslyFormattedCitation":"(Ziegler, 2012)"},"properties":{"noteIndex":0},"schema":"https://github.com/citation-style-language/schema/raw/master/csl-citation.json"}</w:instrText>
            </w:r>
            <w:r w:rsidRPr="008E073E">
              <w:rPr>
                <w:rFonts w:ascii="Times New Roman" w:hAnsi="Times New Roman" w:cs="Times New Roman"/>
                <w:sz w:val="18"/>
                <w:szCs w:val="18"/>
              </w:rPr>
              <w:fldChar w:fldCharType="separate"/>
            </w:r>
            <w:r w:rsidRPr="008E073E">
              <w:rPr>
                <w:rFonts w:ascii="Times New Roman" w:hAnsi="Times New Roman" w:cs="Times New Roman"/>
                <w:noProof/>
                <w:sz w:val="18"/>
                <w:szCs w:val="18"/>
              </w:rPr>
              <w:t>Ziegler (2012)</w:t>
            </w:r>
            <w:r w:rsidRPr="008E073E">
              <w:rPr>
                <w:rFonts w:ascii="Times New Roman" w:hAnsi="Times New Roman" w:cs="Times New Roman"/>
                <w:sz w:val="18"/>
                <w:szCs w:val="18"/>
              </w:rPr>
              <w:fldChar w:fldCharType="end"/>
            </w:r>
          </w:p>
        </w:tc>
        <w:tc>
          <w:tcPr>
            <w:tcW w:w="1086" w:type="dxa"/>
          </w:tcPr>
          <w:p w14:paraId="778DEA25" w14:textId="77777777" w:rsidR="00B00A98" w:rsidRPr="008E073E" w:rsidRDefault="00B00A98" w:rsidP="003709D8">
            <w:pPr>
              <w:rPr>
                <w:rFonts w:ascii="Times New Roman" w:hAnsi="Times New Roman" w:cs="Times New Roman"/>
                <w:sz w:val="18"/>
                <w:szCs w:val="18"/>
              </w:rPr>
            </w:pPr>
            <w:r w:rsidRPr="008E073E">
              <w:rPr>
                <w:rFonts w:ascii="Times New Roman" w:hAnsi="Times New Roman" w:cs="Times New Roman"/>
                <w:sz w:val="18"/>
                <w:szCs w:val="18"/>
              </w:rPr>
              <w:t xml:space="preserve">Germany </w:t>
            </w:r>
          </w:p>
        </w:tc>
        <w:tc>
          <w:tcPr>
            <w:tcW w:w="1237" w:type="dxa"/>
          </w:tcPr>
          <w:p w14:paraId="1A5C8268" w14:textId="77777777" w:rsidR="00B00A98" w:rsidRPr="008E073E" w:rsidRDefault="00B00A98" w:rsidP="003709D8">
            <w:pPr>
              <w:rPr>
                <w:rFonts w:ascii="Times New Roman" w:hAnsi="Times New Roman" w:cs="Times New Roman"/>
                <w:sz w:val="18"/>
                <w:szCs w:val="18"/>
              </w:rPr>
            </w:pPr>
            <w:r w:rsidRPr="008E073E">
              <w:rPr>
                <w:rFonts w:ascii="Times New Roman" w:hAnsi="Times New Roman" w:cs="Times New Roman"/>
                <w:sz w:val="18"/>
                <w:szCs w:val="18"/>
              </w:rPr>
              <w:t>598 Potential car buyers</w:t>
            </w:r>
          </w:p>
        </w:tc>
        <w:tc>
          <w:tcPr>
            <w:tcW w:w="1036" w:type="dxa"/>
          </w:tcPr>
          <w:p w14:paraId="6A039816" w14:textId="77777777" w:rsidR="00B00A98" w:rsidRPr="008E073E" w:rsidRDefault="00B00A98" w:rsidP="003709D8">
            <w:pPr>
              <w:rPr>
                <w:rFonts w:ascii="Times New Roman" w:hAnsi="Times New Roman" w:cs="Times New Roman"/>
                <w:sz w:val="18"/>
                <w:szCs w:val="18"/>
              </w:rPr>
            </w:pPr>
            <w:r w:rsidRPr="008E073E">
              <w:rPr>
                <w:rFonts w:ascii="Times New Roman" w:hAnsi="Times New Roman" w:cs="Times New Roman"/>
                <w:sz w:val="18"/>
                <w:szCs w:val="18"/>
              </w:rPr>
              <w:t>Not Stated</w:t>
            </w:r>
          </w:p>
        </w:tc>
        <w:tc>
          <w:tcPr>
            <w:tcW w:w="956" w:type="dxa"/>
          </w:tcPr>
          <w:p w14:paraId="26EE68B3" w14:textId="77777777" w:rsidR="00B00A98" w:rsidRPr="008E073E" w:rsidRDefault="00B00A98" w:rsidP="003709D8">
            <w:pPr>
              <w:rPr>
                <w:rFonts w:ascii="Times New Roman" w:hAnsi="Times New Roman" w:cs="Times New Roman"/>
                <w:sz w:val="18"/>
                <w:szCs w:val="18"/>
              </w:rPr>
            </w:pPr>
            <w:r w:rsidRPr="008E073E">
              <w:rPr>
                <w:rFonts w:ascii="Times New Roman" w:hAnsi="Times New Roman" w:cs="Times New Roman"/>
                <w:sz w:val="18"/>
                <w:szCs w:val="18"/>
              </w:rPr>
              <w:t>Quasi-labeled</w:t>
            </w:r>
          </w:p>
        </w:tc>
        <w:tc>
          <w:tcPr>
            <w:tcW w:w="3587" w:type="dxa"/>
          </w:tcPr>
          <w:p w14:paraId="2333534D" w14:textId="77777777" w:rsidR="00B00A98" w:rsidRPr="008E073E" w:rsidRDefault="00B00A98" w:rsidP="003709D8">
            <w:pPr>
              <w:rPr>
                <w:rFonts w:ascii="Times New Roman" w:hAnsi="Times New Roman" w:cs="Times New Roman"/>
                <w:sz w:val="18"/>
                <w:szCs w:val="18"/>
              </w:rPr>
            </w:pPr>
            <w:r w:rsidRPr="008E073E">
              <w:rPr>
                <w:rFonts w:ascii="Times New Roman" w:hAnsi="Times New Roman" w:cs="Times New Roman"/>
                <w:sz w:val="18"/>
                <w:szCs w:val="18"/>
              </w:rPr>
              <w:t xml:space="preserve">5 price, power, fuel costs, emissions, service station availability, fuel type </w:t>
            </w:r>
          </w:p>
        </w:tc>
        <w:tc>
          <w:tcPr>
            <w:tcW w:w="1363" w:type="dxa"/>
          </w:tcPr>
          <w:p w14:paraId="030F7443" w14:textId="77777777" w:rsidR="00B00A98" w:rsidRPr="008E073E" w:rsidRDefault="008A580C" w:rsidP="003709D8">
            <w:pPr>
              <w:rPr>
                <w:rFonts w:ascii="Times New Roman" w:hAnsi="Times New Roman" w:cs="Times New Roman"/>
                <w:sz w:val="18"/>
                <w:szCs w:val="18"/>
              </w:rPr>
            </w:pPr>
            <w:r w:rsidRPr="008E073E">
              <w:rPr>
                <w:rFonts w:ascii="Times New Roman" w:hAnsi="Times New Roman" w:cs="Times New Roman"/>
                <w:sz w:val="18"/>
                <w:szCs w:val="18"/>
              </w:rPr>
              <w:t xml:space="preserve">6/ </w:t>
            </w:r>
            <w:r w:rsidR="00B00A98" w:rsidRPr="008E073E">
              <w:rPr>
                <w:rFonts w:ascii="Times New Roman" w:hAnsi="Times New Roman" w:cs="Times New Roman"/>
                <w:sz w:val="18"/>
                <w:szCs w:val="18"/>
              </w:rPr>
              <w:t>Not Stated</w:t>
            </w:r>
          </w:p>
        </w:tc>
        <w:tc>
          <w:tcPr>
            <w:tcW w:w="2521" w:type="dxa"/>
          </w:tcPr>
          <w:p w14:paraId="02EBE62A" w14:textId="77777777" w:rsidR="00B00A98" w:rsidRPr="008E073E" w:rsidRDefault="00B00A98" w:rsidP="003709D8">
            <w:pPr>
              <w:autoSpaceDE w:val="0"/>
              <w:autoSpaceDN w:val="0"/>
              <w:adjustRightInd w:val="0"/>
              <w:rPr>
                <w:rFonts w:ascii="Times New Roman" w:hAnsi="Times New Roman" w:cs="Times New Roman"/>
                <w:sz w:val="18"/>
                <w:szCs w:val="18"/>
              </w:rPr>
            </w:pPr>
            <w:r w:rsidRPr="008E073E">
              <w:rPr>
                <w:rFonts w:ascii="Times New Roman" w:hAnsi="Times New Roman" w:cs="Times New Roman"/>
                <w:sz w:val="18"/>
                <w:szCs w:val="18"/>
              </w:rPr>
              <w:t>7 gasoline, diesel, hybrid, g</w:t>
            </w:r>
            <w:r w:rsidR="008A580C" w:rsidRPr="008E073E">
              <w:rPr>
                <w:rFonts w:ascii="Times New Roman" w:hAnsi="Times New Roman" w:cs="Times New Roman"/>
                <w:sz w:val="18"/>
                <w:szCs w:val="18"/>
              </w:rPr>
              <w:t>as, biofuel, hydrogen, electric</w:t>
            </w:r>
          </w:p>
        </w:tc>
      </w:tr>
      <w:tr w:rsidR="003709D8" w:rsidRPr="00B00A98" w14:paraId="03454C11" w14:textId="77777777" w:rsidTr="008E073E">
        <w:trPr>
          <w:trHeight w:val="365"/>
        </w:trPr>
        <w:tc>
          <w:tcPr>
            <w:tcW w:w="0" w:type="auto"/>
          </w:tcPr>
          <w:p w14:paraId="52A33BA1" w14:textId="77777777" w:rsidR="00B00A98" w:rsidRPr="008E073E" w:rsidRDefault="00B00A98" w:rsidP="003709D8">
            <w:pPr>
              <w:rPr>
                <w:rFonts w:ascii="Times New Roman" w:hAnsi="Times New Roman" w:cs="Times New Roman"/>
                <w:sz w:val="18"/>
                <w:szCs w:val="18"/>
              </w:rPr>
            </w:pPr>
            <w:r w:rsidRPr="008E073E">
              <w:rPr>
                <w:rFonts w:ascii="Times New Roman" w:hAnsi="Times New Roman" w:cs="Times New Roman"/>
                <w:sz w:val="18"/>
                <w:szCs w:val="18"/>
              </w:rPr>
              <w:fldChar w:fldCharType="begin" w:fldLock="1"/>
            </w:r>
            <w:r w:rsidRPr="008E073E">
              <w:rPr>
                <w:rFonts w:ascii="Times New Roman" w:hAnsi="Times New Roman" w:cs="Times New Roman"/>
                <w:sz w:val="18"/>
                <w:szCs w:val="18"/>
              </w:rPr>
              <w:instrText>ADDIN CSL_CITATION {"citationItems":[{"id":"ITEM-1","itemData":{"DOI":"10.1016/j.trd.2013.07.002","ISSN":"13619209","author":[{"dropping-particle":"","family":"Hackbarth","given":"André","non-dropping-particle":"","parse-names":false,"suffix":""},{"dropping-particle":"","family":"Madlener","given":"Reinhard","non-dropping-particle":"","parse-names":false,"suffix":""}],"container-title":"Transportation Research Part D: Transport and Environment","id":"ITEM-1","issued":{"date-parts":[["2013","12"]]},"page":"5-17","title":"Consumer preferences for alternative fuel vehicles: A discrete choice analysis","type":"article-journal","volume":"25"},"uris":["http://www.mendeley.com/documents/?uuid=e0eda076-c114-46a0-b9ef-d6a1f2f091d6"]}],"mendeley":{"formattedCitation":"(Hackbarth &amp; Madlener, 2013)","manualFormatting":"Hackbarth &amp; Madlener (2013)","plainTextFormattedCitation":"(Hackbarth &amp; Madlener, 2013)","previouslyFormattedCitation":"(Hackbarth &amp; Madlener, 2013)"},"properties":{"noteIndex":0},"schema":"https://github.com/citation-style-language/schema/raw/master/csl-citation.json"}</w:instrText>
            </w:r>
            <w:r w:rsidRPr="008E073E">
              <w:rPr>
                <w:rFonts w:ascii="Times New Roman" w:hAnsi="Times New Roman" w:cs="Times New Roman"/>
                <w:sz w:val="18"/>
                <w:szCs w:val="18"/>
              </w:rPr>
              <w:fldChar w:fldCharType="separate"/>
            </w:r>
            <w:r w:rsidRPr="008E073E">
              <w:rPr>
                <w:rFonts w:ascii="Times New Roman" w:hAnsi="Times New Roman" w:cs="Times New Roman"/>
                <w:noProof/>
                <w:sz w:val="18"/>
                <w:szCs w:val="18"/>
              </w:rPr>
              <w:t>Hackbarth &amp; Madlener (2013)</w:t>
            </w:r>
            <w:r w:rsidRPr="008E073E">
              <w:rPr>
                <w:rFonts w:ascii="Times New Roman" w:hAnsi="Times New Roman" w:cs="Times New Roman"/>
                <w:sz w:val="18"/>
                <w:szCs w:val="18"/>
              </w:rPr>
              <w:fldChar w:fldCharType="end"/>
            </w:r>
          </w:p>
        </w:tc>
        <w:tc>
          <w:tcPr>
            <w:tcW w:w="1086" w:type="dxa"/>
          </w:tcPr>
          <w:p w14:paraId="5B3362BB" w14:textId="77777777" w:rsidR="00B00A98" w:rsidRPr="008E073E" w:rsidRDefault="00B00A98" w:rsidP="003709D8">
            <w:pPr>
              <w:rPr>
                <w:rFonts w:ascii="Times New Roman" w:hAnsi="Times New Roman" w:cs="Times New Roman"/>
                <w:sz w:val="18"/>
                <w:szCs w:val="18"/>
              </w:rPr>
            </w:pPr>
            <w:r w:rsidRPr="008E073E">
              <w:rPr>
                <w:rFonts w:ascii="Times New Roman" w:hAnsi="Times New Roman" w:cs="Times New Roman"/>
                <w:sz w:val="18"/>
                <w:szCs w:val="18"/>
              </w:rPr>
              <w:t>Germany</w:t>
            </w:r>
          </w:p>
        </w:tc>
        <w:tc>
          <w:tcPr>
            <w:tcW w:w="1237" w:type="dxa"/>
          </w:tcPr>
          <w:p w14:paraId="5D5F9891" w14:textId="77777777" w:rsidR="00B00A98" w:rsidRPr="008E073E" w:rsidRDefault="00B00A98" w:rsidP="003709D8">
            <w:pPr>
              <w:rPr>
                <w:rFonts w:ascii="Times New Roman" w:hAnsi="Times New Roman" w:cs="Times New Roman"/>
                <w:sz w:val="18"/>
                <w:szCs w:val="18"/>
              </w:rPr>
            </w:pPr>
            <w:r w:rsidRPr="008E073E">
              <w:rPr>
                <w:rFonts w:ascii="Times New Roman" w:hAnsi="Times New Roman" w:cs="Times New Roman"/>
                <w:sz w:val="18"/>
                <w:szCs w:val="18"/>
              </w:rPr>
              <w:t>711 New or potential car buyers</w:t>
            </w:r>
          </w:p>
        </w:tc>
        <w:tc>
          <w:tcPr>
            <w:tcW w:w="1036" w:type="dxa"/>
          </w:tcPr>
          <w:p w14:paraId="376CDD73" w14:textId="77777777" w:rsidR="00B00A98" w:rsidRPr="008E073E" w:rsidRDefault="00B00A98" w:rsidP="003709D8">
            <w:pPr>
              <w:rPr>
                <w:rFonts w:ascii="Times New Roman" w:hAnsi="Times New Roman" w:cs="Times New Roman"/>
                <w:sz w:val="18"/>
                <w:szCs w:val="18"/>
              </w:rPr>
            </w:pPr>
            <w:r w:rsidRPr="008E073E">
              <w:rPr>
                <w:rFonts w:ascii="Times New Roman" w:hAnsi="Times New Roman" w:cs="Times New Roman"/>
                <w:sz w:val="18"/>
                <w:szCs w:val="18"/>
              </w:rPr>
              <w:t xml:space="preserve">Orthogonal </w:t>
            </w:r>
          </w:p>
        </w:tc>
        <w:tc>
          <w:tcPr>
            <w:tcW w:w="956" w:type="dxa"/>
          </w:tcPr>
          <w:p w14:paraId="66785865" w14:textId="77777777" w:rsidR="00B00A98" w:rsidRPr="008E073E" w:rsidRDefault="00B00A98" w:rsidP="003709D8">
            <w:pPr>
              <w:rPr>
                <w:rFonts w:ascii="Times New Roman" w:hAnsi="Times New Roman" w:cs="Times New Roman"/>
                <w:sz w:val="18"/>
                <w:szCs w:val="18"/>
              </w:rPr>
            </w:pPr>
            <w:r w:rsidRPr="008E073E">
              <w:rPr>
                <w:rFonts w:ascii="Times New Roman" w:hAnsi="Times New Roman" w:cs="Times New Roman"/>
                <w:sz w:val="18"/>
                <w:szCs w:val="18"/>
              </w:rPr>
              <w:t xml:space="preserve">Not Stated </w:t>
            </w:r>
          </w:p>
        </w:tc>
        <w:tc>
          <w:tcPr>
            <w:tcW w:w="3587" w:type="dxa"/>
          </w:tcPr>
          <w:p w14:paraId="31E40FCE" w14:textId="77777777" w:rsidR="00B00A98" w:rsidRPr="008E073E" w:rsidRDefault="00B00A98" w:rsidP="003709D8">
            <w:pPr>
              <w:rPr>
                <w:rFonts w:ascii="Times New Roman" w:hAnsi="Times New Roman" w:cs="Times New Roman"/>
                <w:sz w:val="18"/>
                <w:szCs w:val="18"/>
              </w:rPr>
            </w:pPr>
            <w:r w:rsidRPr="008E073E">
              <w:rPr>
                <w:rFonts w:ascii="Times New Roman" w:hAnsi="Times New Roman" w:cs="Times New Roman"/>
                <w:sz w:val="18"/>
                <w:szCs w:val="18"/>
              </w:rPr>
              <w:t>8 price, fuel cost, emissions, range, fuel availability, refueling time, recharging time, policy incentives</w:t>
            </w:r>
          </w:p>
        </w:tc>
        <w:tc>
          <w:tcPr>
            <w:tcW w:w="1363" w:type="dxa"/>
          </w:tcPr>
          <w:p w14:paraId="153F2802" w14:textId="77777777" w:rsidR="00B00A98" w:rsidRPr="008E073E" w:rsidRDefault="008A580C" w:rsidP="003709D8">
            <w:pPr>
              <w:rPr>
                <w:rFonts w:ascii="Times New Roman" w:hAnsi="Times New Roman" w:cs="Times New Roman"/>
                <w:sz w:val="18"/>
                <w:szCs w:val="18"/>
              </w:rPr>
            </w:pPr>
            <w:r w:rsidRPr="008E073E">
              <w:rPr>
                <w:rFonts w:ascii="Times New Roman" w:hAnsi="Times New Roman" w:cs="Times New Roman"/>
                <w:sz w:val="18"/>
                <w:szCs w:val="18"/>
              </w:rPr>
              <w:t xml:space="preserve">15/ </w:t>
            </w:r>
            <w:r w:rsidR="00B00A98" w:rsidRPr="008E073E">
              <w:rPr>
                <w:rFonts w:ascii="Times New Roman" w:hAnsi="Times New Roman" w:cs="Times New Roman"/>
                <w:sz w:val="18"/>
                <w:szCs w:val="18"/>
              </w:rPr>
              <w:t>Not Stated</w:t>
            </w:r>
          </w:p>
        </w:tc>
        <w:tc>
          <w:tcPr>
            <w:tcW w:w="2521" w:type="dxa"/>
          </w:tcPr>
          <w:p w14:paraId="32EE83DC" w14:textId="77777777" w:rsidR="00B00A98" w:rsidRPr="008E073E" w:rsidRDefault="00B00A98" w:rsidP="003709D8">
            <w:pPr>
              <w:rPr>
                <w:rFonts w:ascii="Times New Roman" w:hAnsi="Times New Roman" w:cs="Times New Roman"/>
                <w:sz w:val="18"/>
                <w:szCs w:val="18"/>
              </w:rPr>
            </w:pPr>
            <w:r w:rsidRPr="008E073E">
              <w:rPr>
                <w:rFonts w:ascii="Times New Roman" w:hAnsi="Times New Roman" w:cs="Times New Roman"/>
                <w:sz w:val="18"/>
                <w:szCs w:val="18"/>
              </w:rPr>
              <w:t>4 out of 7 gas, HEV, PHEV, BEV, BV, fuel cell, conventional</w:t>
            </w:r>
          </w:p>
        </w:tc>
      </w:tr>
      <w:tr w:rsidR="003709D8" w:rsidRPr="00B00A98" w14:paraId="7254E582" w14:textId="77777777" w:rsidTr="008E073E">
        <w:trPr>
          <w:trHeight w:val="400"/>
        </w:trPr>
        <w:tc>
          <w:tcPr>
            <w:tcW w:w="0" w:type="auto"/>
          </w:tcPr>
          <w:p w14:paraId="1483E40C"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fldChar w:fldCharType="begin" w:fldLock="1"/>
            </w:r>
            <w:r w:rsidRPr="008E073E">
              <w:rPr>
                <w:rFonts w:ascii="Times New Roman" w:hAnsi="Times New Roman" w:cs="Times New Roman"/>
                <w:sz w:val="18"/>
                <w:szCs w:val="18"/>
              </w:rPr>
              <w:instrText>ADDIN CSL_CITATION {"citationItems":[{"id":"ITEM-1","itemData":{"DOI":"10.1016/j.tra.2013.01.015","ISSN":"09658564","author":[{"dropping-particle":"","family":"Beck","given":"Matthew J.","non-dropping-particle":"","parse-names":false,"suffix":""},{"dropping-particle":"","family":"Rose","given":"John M.","non-dropping-particle":"","parse-names":false,"suffix":""},{"dropping-particle":"","family":"Hensher","given":"David a.","non-dropping-particle":"","parse-names":false,"suffix":""}],"container-title":"Transportation Research Part A: Policy and Practice","id":"ITEM-1","issued":{"date-parts":[["2013","4"]]},"page":"171-182","title":"Environmental attitudes and emissions charging: An example of policy implications for vehicle choice","type":"article-journal","volume":"50"},"uris":["http://www.mendeley.com/documents/?uuid=67a5eb8a-00a6-4ad6-ac4b-ad6c7d8f0a5f"]}],"mendeley":{"formattedCitation":"(Beck, Rose, &amp; Hensher, 2013)","manualFormatting":"Beck et al. (2013)","plainTextFormattedCitation":"(Beck, Rose, &amp; Hensher, 2013)","previouslyFormattedCitation":"(Beck, Rose, &amp; Hensher, 2013)"},"properties":{"noteIndex":0},"schema":"https://github.com/citation-style-language/schema/raw/master/csl-citation.json"}</w:instrText>
            </w:r>
            <w:r w:rsidRPr="008E073E">
              <w:rPr>
                <w:rFonts w:ascii="Times New Roman" w:hAnsi="Times New Roman" w:cs="Times New Roman"/>
                <w:sz w:val="18"/>
                <w:szCs w:val="18"/>
              </w:rPr>
              <w:fldChar w:fldCharType="separate"/>
            </w:r>
            <w:r w:rsidRPr="008E073E">
              <w:rPr>
                <w:rFonts w:ascii="Times New Roman" w:hAnsi="Times New Roman" w:cs="Times New Roman"/>
                <w:noProof/>
                <w:sz w:val="18"/>
                <w:szCs w:val="18"/>
              </w:rPr>
              <w:t>Beck et al. (2013)</w:t>
            </w:r>
            <w:r w:rsidRPr="008E073E">
              <w:rPr>
                <w:rFonts w:ascii="Times New Roman" w:hAnsi="Times New Roman" w:cs="Times New Roman"/>
                <w:sz w:val="18"/>
                <w:szCs w:val="18"/>
              </w:rPr>
              <w:fldChar w:fldCharType="end"/>
            </w:r>
          </w:p>
        </w:tc>
        <w:tc>
          <w:tcPr>
            <w:tcW w:w="1086" w:type="dxa"/>
          </w:tcPr>
          <w:p w14:paraId="22D058DC"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 xml:space="preserve">Sydney, Australia </w:t>
            </w:r>
          </w:p>
        </w:tc>
        <w:tc>
          <w:tcPr>
            <w:tcW w:w="1237" w:type="dxa"/>
          </w:tcPr>
          <w:p w14:paraId="2DEDB8C1"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650 Recent car buyers</w:t>
            </w:r>
          </w:p>
        </w:tc>
        <w:tc>
          <w:tcPr>
            <w:tcW w:w="1036" w:type="dxa"/>
          </w:tcPr>
          <w:p w14:paraId="13D58CDF"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 xml:space="preserve">D-efficient  </w:t>
            </w:r>
          </w:p>
        </w:tc>
        <w:tc>
          <w:tcPr>
            <w:tcW w:w="956" w:type="dxa"/>
          </w:tcPr>
          <w:p w14:paraId="028A08CE"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Labeled</w:t>
            </w:r>
          </w:p>
        </w:tc>
        <w:tc>
          <w:tcPr>
            <w:tcW w:w="3587" w:type="dxa"/>
          </w:tcPr>
          <w:p w14:paraId="04806662"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 xml:space="preserve">9 price, fuel cost, emission charge, fuel efficiency, engine size, seating capacity, manufacturer </w:t>
            </w:r>
          </w:p>
        </w:tc>
        <w:tc>
          <w:tcPr>
            <w:tcW w:w="1363" w:type="dxa"/>
          </w:tcPr>
          <w:p w14:paraId="4CE48323" w14:textId="77777777" w:rsidR="00B00A98" w:rsidRPr="008E073E" w:rsidRDefault="008A580C" w:rsidP="008A580C">
            <w:pPr>
              <w:spacing w:after="60"/>
              <w:rPr>
                <w:rFonts w:ascii="Times New Roman" w:hAnsi="Times New Roman" w:cs="Times New Roman"/>
                <w:sz w:val="18"/>
                <w:szCs w:val="18"/>
              </w:rPr>
            </w:pPr>
            <w:r w:rsidRPr="008E073E">
              <w:rPr>
                <w:rFonts w:ascii="Times New Roman" w:hAnsi="Times New Roman" w:cs="Times New Roman"/>
                <w:sz w:val="18"/>
                <w:szCs w:val="18"/>
              </w:rPr>
              <w:t xml:space="preserve">4-5/ </w:t>
            </w:r>
            <w:r w:rsidR="00B00A98" w:rsidRPr="008E073E">
              <w:rPr>
                <w:rFonts w:ascii="Times New Roman" w:hAnsi="Times New Roman" w:cs="Times New Roman"/>
                <w:sz w:val="18"/>
                <w:szCs w:val="18"/>
              </w:rPr>
              <w:t>No</w:t>
            </w:r>
          </w:p>
        </w:tc>
        <w:tc>
          <w:tcPr>
            <w:tcW w:w="2521" w:type="dxa"/>
          </w:tcPr>
          <w:p w14:paraId="7587B5C3"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3 petrol, diesel, hybrid</w:t>
            </w:r>
          </w:p>
        </w:tc>
      </w:tr>
      <w:tr w:rsidR="003709D8" w:rsidRPr="00B00A98" w14:paraId="389883E0" w14:textId="77777777" w:rsidTr="008E073E">
        <w:trPr>
          <w:trHeight w:val="120"/>
        </w:trPr>
        <w:tc>
          <w:tcPr>
            <w:tcW w:w="0" w:type="auto"/>
          </w:tcPr>
          <w:p w14:paraId="3DF5AD2E"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fldChar w:fldCharType="begin" w:fldLock="1"/>
            </w:r>
            <w:r w:rsidRPr="008E073E">
              <w:rPr>
                <w:rFonts w:ascii="Times New Roman" w:hAnsi="Times New Roman" w:cs="Times New Roman"/>
                <w:sz w:val="18"/>
                <w:szCs w:val="18"/>
              </w:rPr>
              <w:instrText>ADDIN CSL_CITATION {"citationItems":[{"id":"ITEM-1","itemData":{"DOI":"10.1016/j.trd.2013.07.006","ISSN":"13619209","author":[{"dropping-particle":"","family":"Jensen, A. F., Cherchi, E., &amp; Mabit","given":"S. L.","non-dropping-particle":"","parse-names":false,"suffix":""}],"container-title":"Transportation Research Part D: Transport and Environment","id":"ITEM-1","issued":{"date-parts":[["2013","12"]]},"page":"24-32","publisher":"Elsevier Ltd","title":"On the stability of preferences and attitudes before and after experiencing an electric vehicle","type":"article-journal","volume":"25"},"uris":["http://www.mendeley.com/documents/?uuid=fdda6b2d-162a-4b29-aa41-89bca320cebf"]}],"mendeley":{"formattedCitation":"(Jensen, A. F., Cherchi, E., &amp; Mabit, 2013)","manualFormatting":"Jensen et al. (2013)","plainTextFormattedCitation":"(Jensen, A. F., Cherchi, E., &amp; Mabit, 2013)","previouslyFormattedCitation":"(Jensen, A. F., Cherchi, E., &amp; Mabit, 2013)"},"properties":{"noteIndex":0},"schema":"https://github.com/citation-style-language/schema/raw/master/csl-citation.json"}</w:instrText>
            </w:r>
            <w:r w:rsidRPr="008E073E">
              <w:rPr>
                <w:rFonts w:ascii="Times New Roman" w:hAnsi="Times New Roman" w:cs="Times New Roman"/>
                <w:sz w:val="18"/>
                <w:szCs w:val="18"/>
              </w:rPr>
              <w:fldChar w:fldCharType="separate"/>
            </w:r>
            <w:r w:rsidRPr="008E073E">
              <w:rPr>
                <w:rFonts w:ascii="Times New Roman" w:hAnsi="Times New Roman" w:cs="Times New Roman"/>
                <w:noProof/>
                <w:sz w:val="18"/>
                <w:szCs w:val="18"/>
              </w:rPr>
              <w:t>Jensen et al. (2013)</w:t>
            </w:r>
            <w:r w:rsidRPr="008E073E">
              <w:rPr>
                <w:rFonts w:ascii="Times New Roman" w:hAnsi="Times New Roman" w:cs="Times New Roman"/>
                <w:sz w:val="18"/>
                <w:szCs w:val="18"/>
              </w:rPr>
              <w:fldChar w:fldCharType="end"/>
            </w:r>
          </w:p>
        </w:tc>
        <w:tc>
          <w:tcPr>
            <w:tcW w:w="1086" w:type="dxa"/>
          </w:tcPr>
          <w:p w14:paraId="1501886B"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Denmark</w:t>
            </w:r>
          </w:p>
        </w:tc>
        <w:tc>
          <w:tcPr>
            <w:tcW w:w="1237" w:type="dxa"/>
          </w:tcPr>
          <w:p w14:paraId="76DB2804"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369</w:t>
            </w:r>
          </w:p>
        </w:tc>
        <w:tc>
          <w:tcPr>
            <w:tcW w:w="1036" w:type="dxa"/>
          </w:tcPr>
          <w:p w14:paraId="509B15AB"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 xml:space="preserve">Orthogonal  </w:t>
            </w:r>
          </w:p>
        </w:tc>
        <w:tc>
          <w:tcPr>
            <w:tcW w:w="956" w:type="dxa"/>
          </w:tcPr>
          <w:p w14:paraId="689B1078"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 xml:space="preserve">Labeled </w:t>
            </w:r>
          </w:p>
        </w:tc>
        <w:tc>
          <w:tcPr>
            <w:tcW w:w="3587" w:type="dxa"/>
          </w:tcPr>
          <w:p w14:paraId="1FD3B326"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 xml:space="preserve">6 price, fuel costs, performance (top speed), emissions, charging possibility, battery lifetime </w:t>
            </w:r>
          </w:p>
        </w:tc>
        <w:tc>
          <w:tcPr>
            <w:tcW w:w="1363" w:type="dxa"/>
          </w:tcPr>
          <w:p w14:paraId="178C6D55" w14:textId="77777777" w:rsidR="00B00A98" w:rsidRPr="008E073E" w:rsidRDefault="008A580C" w:rsidP="008A580C">
            <w:pPr>
              <w:spacing w:after="60"/>
              <w:rPr>
                <w:rFonts w:ascii="Times New Roman" w:hAnsi="Times New Roman" w:cs="Times New Roman"/>
                <w:sz w:val="18"/>
                <w:szCs w:val="18"/>
              </w:rPr>
            </w:pPr>
            <w:r w:rsidRPr="008E073E">
              <w:rPr>
                <w:rFonts w:ascii="Times New Roman" w:hAnsi="Times New Roman" w:cs="Times New Roman"/>
                <w:sz w:val="18"/>
                <w:szCs w:val="18"/>
              </w:rPr>
              <w:t xml:space="preserve">8/ </w:t>
            </w:r>
            <w:r w:rsidR="00B00A98" w:rsidRPr="008E073E">
              <w:rPr>
                <w:rFonts w:ascii="Times New Roman" w:hAnsi="Times New Roman" w:cs="Times New Roman"/>
                <w:sz w:val="18"/>
                <w:szCs w:val="18"/>
              </w:rPr>
              <w:t>Yes</w:t>
            </w:r>
          </w:p>
        </w:tc>
        <w:tc>
          <w:tcPr>
            <w:tcW w:w="2521" w:type="dxa"/>
          </w:tcPr>
          <w:p w14:paraId="014B1606"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2 conventional, EV</w:t>
            </w:r>
          </w:p>
        </w:tc>
      </w:tr>
      <w:tr w:rsidR="003709D8" w:rsidRPr="00B00A98" w14:paraId="76979D6E" w14:textId="77777777" w:rsidTr="008E073E">
        <w:trPr>
          <w:trHeight w:val="452"/>
        </w:trPr>
        <w:tc>
          <w:tcPr>
            <w:tcW w:w="0" w:type="auto"/>
          </w:tcPr>
          <w:p w14:paraId="4E07FBD9" w14:textId="77777777" w:rsidR="00B00A98" w:rsidRPr="008E073E" w:rsidRDefault="00B00A98" w:rsidP="003709D8">
            <w:pPr>
              <w:rPr>
                <w:rFonts w:ascii="Times New Roman" w:hAnsi="Times New Roman" w:cs="Times New Roman"/>
                <w:sz w:val="18"/>
                <w:szCs w:val="18"/>
              </w:rPr>
            </w:pPr>
            <w:r w:rsidRPr="008E073E">
              <w:rPr>
                <w:rFonts w:ascii="Times New Roman" w:hAnsi="Times New Roman" w:cs="Times New Roman"/>
                <w:sz w:val="18"/>
                <w:szCs w:val="18"/>
              </w:rPr>
              <w:lastRenderedPageBreak/>
              <w:fldChar w:fldCharType="begin" w:fldLock="1"/>
            </w:r>
            <w:r w:rsidRPr="008E073E">
              <w:rPr>
                <w:rFonts w:ascii="Times New Roman" w:hAnsi="Times New Roman" w:cs="Times New Roman"/>
                <w:sz w:val="18"/>
                <w:szCs w:val="18"/>
              </w:rPr>
              <w:instrText>ADDIN CSL_CITATION {"citationItems":[{"id":"ITEM-1","itemData":{"DOI":"10.1016/j.tra.2014.01.008","ISSN":"09658564","author":[{"dropping-particle":"","family":"Hoen","given":"Anco","non-dropping-particle":"","parse-names":false,"suffix":""},{"dropping-particle":"","family":"Koetse","given":"Mark J.","non-dropping-particle":"","parse-names":false,"suffix":""}],"container-title":"Transportation Research Part A: Policy and Practice","id":"ITEM-1","issued":{"date-parts":[["2014","3"]]},"page":"199-215","publisher":"Elsevier Ltd","title":"A choice experiment on alternative fuel vehicle preferences of private car owners in the Netherlands","type":"article-journal","volume":"61"},"uris":["http://www.mendeley.com/documents/?uuid=c832ad12-8e58-47a7-a310-2f4b40d6df33"]}],"mendeley":{"formattedCitation":"(Hoen &amp; Koetse, 2014)","manualFormatting":"Hoen &amp; Koetse (2014)","plainTextFormattedCitation":"(Hoen &amp; Koetse, 2014)","previouslyFormattedCitation":"(Hoen &amp; Koetse, 2014)"},"properties":{"noteIndex":0},"schema":"https://github.com/citation-style-language/schema/raw/master/csl-citation.json"}</w:instrText>
            </w:r>
            <w:r w:rsidRPr="008E073E">
              <w:rPr>
                <w:rFonts w:ascii="Times New Roman" w:hAnsi="Times New Roman" w:cs="Times New Roman"/>
                <w:sz w:val="18"/>
                <w:szCs w:val="18"/>
              </w:rPr>
              <w:fldChar w:fldCharType="separate"/>
            </w:r>
            <w:r w:rsidRPr="008E073E">
              <w:rPr>
                <w:rFonts w:ascii="Times New Roman" w:hAnsi="Times New Roman" w:cs="Times New Roman"/>
                <w:noProof/>
                <w:sz w:val="18"/>
                <w:szCs w:val="18"/>
              </w:rPr>
              <w:t>Hoen &amp; Koetse (2014)</w:t>
            </w:r>
            <w:r w:rsidRPr="008E073E">
              <w:rPr>
                <w:rFonts w:ascii="Times New Roman" w:hAnsi="Times New Roman" w:cs="Times New Roman"/>
                <w:sz w:val="18"/>
                <w:szCs w:val="18"/>
              </w:rPr>
              <w:fldChar w:fldCharType="end"/>
            </w:r>
          </w:p>
        </w:tc>
        <w:tc>
          <w:tcPr>
            <w:tcW w:w="1086" w:type="dxa"/>
          </w:tcPr>
          <w:p w14:paraId="2355801C" w14:textId="77777777" w:rsidR="00B00A98" w:rsidRPr="008E073E" w:rsidRDefault="00B00A98" w:rsidP="003709D8">
            <w:pPr>
              <w:rPr>
                <w:rFonts w:ascii="Times New Roman" w:hAnsi="Times New Roman" w:cs="Times New Roman"/>
                <w:sz w:val="18"/>
                <w:szCs w:val="18"/>
              </w:rPr>
            </w:pPr>
            <w:r w:rsidRPr="008E073E">
              <w:rPr>
                <w:rFonts w:ascii="Times New Roman" w:hAnsi="Times New Roman" w:cs="Times New Roman"/>
                <w:sz w:val="18"/>
                <w:szCs w:val="18"/>
              </w:rPr>
              <w:t>Netherlands</w:t>
            </w:r>
          </w:p>
        </w:tc>
        <w:tc>
          <w:tcPr>
            <w:tcW w:w="1237" w:type="dxa"/>
          </w:tcPr>
          <w:p w14:paraId="22208891" w14:textId="77777777" w:rsidR="00B00A98" w:rsidRPr="008E073E" w:rsidRDefault="00B00A98" w:rsidP="003709D8">
            <w:pPr>
              <w:rPr>
                <w:rFonts w:ascii="Times New Roman" w:hAnsi="Times New Roman" w:cs="Times New Roman"/>
                <w:sz w:val="18"/>
                <w:szCs w:val="18"/>
              </w:rPr>
            </w:pPr>
            <w:r w:rsidRPr="008E073E">
              <w:rPr>
                <w:rFonts w:ascii="Times New Roman" w:hAnsi="Times New Roman" w:cs="Times New Roman"/>
                <w:sz w:val="18"/>
                <w:szCs w:val="18"/>
              </w:rPr>
              <w:t>1903 Private car owners</w:t>
            </w:r>
          </w:p>
        </w:tc>
        <w:tc>
          <w:tcPr>
            <w:tcW w:w="1036" w:type="dxa"/>
          </w:tcPr>
          <w:p w14:paraId="5523E6B6" w14:textId="77777777" w:rsidR="00B00A98" w:rsidRPr="008E073E" w:rsidRDefault="00B00A98" w:rsidP="003709D8">
            <w:pPr>
              <w:rPr>
                <w:rFonts w:ascii="Times New Roman" w:hAnsi="Times New Roman" w:cs="Times New Roman"/>
                <w:sz w:val="18"/>
                <w:szCs w:val="18"/>
              </w:rPr>
            </w:pPr>
            <w:r w:rsidRPr="008E073E">
              <w:rPr>
                <w:rFonts w:ascii="Times New Roman" w:hAnsi="Times New Roman" w:cs="Times New Roman"/>
                <w:sz w:val="18"/>
                <w:szCs w:val="18"/>
              </w:rPr>
              <w:t>Orthogonal</w:t>
            </w:r>
          </w:p>
        </w:tc>
        <w:tc>
          <w:tcPr>
            <w:tcW w:w="956" w:type="dxa"/>
          </w:tcPr>
          <w:p w14:paraId="5D56AB42" w14:textId="77777777" w:rsidR="00B00A98" w:rsidRPr="008E073E" w:rsidRDefault="00B00A98" w:rsidP="003709D8">
            <w:pPr>
              <w:rPr>
                <w:rFonts w:ascii="Times New Roman" w:hAnsi="Times New Roman" w:cs="Times New Roman"/>
                <w:sz w:val="18"/>
                <w:szCs w:val="18"/>
              </w:rPr>
            </w:pPr>
            <w:r w:rsidRPr="008E073E">
              <w:rPr>
                <w:rFonts w:ascii="Times New Roman" w:hAnsi="Times New Roman" w:cs="Times New Roman"/>
                <w:sz w:val="18"/>
                <w:szCs w:val="18"/>
              </w:rPr>
              <w:t xml:space="preserve">Unlabeled </w:t>
            </w:r>
          </w:p>
        </w:tc>
        <w:tc>
          <w:tcPr>
            <w:tcW w:w="3587" w:type="dxa"/>
          </w:tcPr>
          <w:p w14:paraId="60F4E654" w14:textId="77777777" w:rsidR="00B00A98" w:rsidRPr="008E073E" w:rsidRDefault="00B00A98" w:rsidP="003709D8">
            <w:pPr>
              <w:rPr>
                <w:rFonts w:ascii="Times New Roman" w:hAnsi="Times New Roman" w:cs="Times New Roman"/>
                <w:sz w:val="18"/>
                <w:szCs w:val="18"/>
              </w:rPr>
            </w:pPr>
            <w:r w:rsidRPr="008E073E">
              <w:rPr>
                <w:rFonts w:ascii="Times New Roman" w:hAnsi="Times New Roman" w:cs="Times New Roman"/>
                <w:sz w:val="18"/>
                <w:szCs w:val="18"/>
              </w:rPr>
              <w:t>8 fuel type, price, monthly costs, range, refueling time, additional detour time, number of brands/models, policy measure</w:t>
            </w:r>
          </w:p>
        </w:tc>
        <w:tc>
          <w:tcPr>
            <w:tcW w:w="1363" w:type="dxa"/>
          </w:tcPr>
          <w:p w14:paraId="2E351F2D" w14:textId="77777777" w:rsidR="00B00A98" w:rsidRPr="008E073E" w:rsidRDefault="008A580C" w:rsidP="008A580C">
            <w:pPr>
              <w:spacing w:after="60"/>
              <w:rPr>
                <w:rFonts w:ascii="Times New Roman" w:hAnsi="Times New Roman" w:cs="Times New Roman"/>
                <w:sz w:val="18"/>
                <w:szCs w:val="18"/>
              </w:rPr>
            </w:pPr>
            <w:r w:rsidRPr="008E073E">
              <w:rPr>
                <w:rFonts w:ascii="Times New Roman" w:hAnsi="Times New Roman" w:cs="Times New Roman"/>
                <w:sz w:val="18"/>
                <w:szCs w:val="18"/>
              </w:rPr>
              <w:t xml:space="preserve">8/ </w:t>
            </w:r>
            <w:r w:rsidR="00B00A98" w:rsidRPr="008E073E">
              <w:rPr>
                <w:rFonts w:ascii="Times New Roman" w:hAnsi="Times New Roman" w:cs="Times New Roman"/>
                <w:sz w:val="18"/>
                <w:szCs w:val="18"/>
              </w:rPr>
              <w:t>No</w:t>
            </w:r>
          </w:p>
        </w:tc>
        <w:tc>
          <w:tcPr>
            <w:tcW w:w="2521" w:type="dxa"/>
          </w:tcPr>
          <w:p w14:paraId="46F9C216"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 xml:space="preserve">3 out of 6 conventional, hybrid, plug-in hybrid, fuel cell, electric, flex-fuel </w:t>
            </w:r>
          </w:p>
        </w:tc>
      </w:tr>
      <w:tr w:rsidR="003709D8" w:rsidRPr="00B00A98" w14:paraId="29B80D83" w14:textId="77777777" w:rsidTr="008E073E">
        <w:trPr>
          <w:trHeight w:val="312"/>
        </w:trPr>
        <w:tc>
          <w:tcPr>
            <w:tcW w:w="0" w:type="auto"/>
          </w:tcPr>
          <w:p w14:paraId="317F8431"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fldChar w:fldCharType="begin" w:fldLock="1"/>
            </w:r>
            <w:r w:rsidRPr="008E073E">
              <w:rPr>
                <w:rFonts w:ascii="Times New Roman" w:hAnsi="Times New Roman" w:cs="Times New Roman"/>
                <w:sz w:val="18"/>
                <w:szCs w:val="18"/>
              </w:rPr>
              <w:instrText>ADDIN CSL_CITATION {"citationItems":[{"id":"ITEM-1","itemData":{"DOI":"10.1016/j.tra.2014.10.019","ISBN":"0965-8564","ISSN":"09658564","abstract":"This paper conducts a comparative discrete choice analysis to estimate consumers' willingness to pay (WTP) for electric vehicles (EVs) and plug-in hybrid electric vehicles (PHEVs) on the basis of the same stated preference survey carried out in the US and Japan in 2012. We also carry out a comparative analysis across four US states. We find that on average US consumers are more sensitive to fuel cost reductions and alternative fuel station availability than are Japanese consumers. With regard to the comparative analysis across the four US states, consumers' WTP for a fuel cost reduction in California is considerably greater than in the other three states. We use the estimates obtained in the discrete choice analysis to examine the EV/PHEV market shares under several scenarios. In a base case scenario with relatively realistic attribute levels, conventional gasoline vehicles still dominate both in the US and Japan. However, in an innovation scenario with a significant purchase price reduction, we observe a high penetration of alternative fuel vehicles both in the US and Japan. We illustrate the potential use of a discrete choice analysis for forward-looking policy analysis, with the future opportunity to compare its predictions against actual revealed choices. In this case, increased purchase price subsidies are likely to have a significant impact on the market shares of alternative fuel vehicles.","author":[{"dropping-particle":"","family":"Tanaka","given":"Makoto","non-dropping-particle":"","parse-names":false,"suffix":""},{"dropping-particle":"","family":"Ida","given":"Takanori","non-dropping-particle":"","parse-names":false,"suffix":""},{"dropping-particle":"","family":"Murakami","given":"Kayo","non-dropping-particle":"","parse-names":false,"suffix":""},{"dropping-particle":"","family":"Friedman","given":"Lee","non-dropping-particle":"","parse-names":false,"suffix":""}],"container-title":"Transportation Research Part A: Policy and Practice","id":"ITEM-1","issued":{"date-parts":[["2014"]]},"page":"194-209","publisher":"Elsevier Ltd","title":"Consumers' willingness to pay for alternative fuel vehicles: A comparative discrete choice analysis between the US and Japan","type":"article-journal","volume":"70"},"uris":["http://www.mendeley.com/documents/?uuid=82e9962a-89eb-408c-b135-0ebc08c9db58"]}],"mendeley":{"formattedCitation":"(Tanaka, Ida, Murakami, &amp; Friedman, 2014)","manualFormatting":"Tanaka et al. (2014)","plainTextFormattedCitation":"(Tanaka, Ida, Murakami, &amp; Friedman, 2014)","previouslyFormattedCitation":"(Tanaka, Ida, Murakami, &amp; Friedman, 2014)"},"properties":{"noteIndex":0},"schema":"https://github.com/citation-style-language/schema/raw/master/csl-citation.json"}</w:instrText>
            </w:r>
            <w:r w:rsidRPr="008E073E">
              <w:rPr>
                <w:rFonts w:ascii="Times New Roman" w:hAnsi="Times New Roman" w:cs="Times New Roman"/>
                <w:sz w:val="18"/>
                <w:szCs w:val="18"/>
              </w:rPr>
              <w:fldChar w:fldCharType="separate"/>
            </w:r>
            <w:r w:rsidRPr="008E073E">
              <w:rPr>
                <w:rFonts w:ascii="Times New Roman" w:hAnsi="Times New Roman" w:cs="Times New Roman"/>
                <w:noProof/>
                <w:sz w:val="18"/>
                <w:szCs w:val="18"/>
              </w:rPr>
              <w:t>Tanaka et al. (2014)</w:t>
            </w:r>
            <w:r w:rsidRPr="008E073E">
              <w:rPr>
                <w:rFonts w:ascii="Times New Roman" w:hAnsi="Times New Roman" w:cs="Times New Roman"/>
                <w:sz w:val="18"/>
                <w:szCs w:val="18"/>
              </w:rPr>
              <w:fldChar w:fldCharType="end"/>
            </w:r>
          </w:p>
        </w:tc>
        <w:tc>
          <w:tcPr>
            <w:tcW w:w="1086" w:type="dxa"/>
          </w:tcPr>
          <w:p w14:paraId="03FF0FC4"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 xml:space="preserve">Japan and </w:t>
            </w:r>
            <w:r w:rsidR="00FD5D9C" w:rsidRPr="008E073E">
              <w:rPr>
                <w:rFonts w:ascii="Times New Roman" w:hAnsi="Times New Roman" w:cs="Times New Roman"/>
                <w:sz w:val="18"/>
                <w:szCs w:val="18"/>
              </w:rPr>
              <w:t>US</w:t>
            </w:r>
            <w:r w:rsidRPr="008E073E">
              <w:rPr>
                <w:rFonts w:ascii="Times New Roman" w:hAnsi="Times New Roman" w:cs="Times New Roman"/>
                <w:sz w:val="18"/>
                <w:szCs w:val="18"/>
              </w:rPr>
              <w:t xml:space="preserve"> </w:t>
            </w:r>
          </w:p>
        </w:tc>
        <w:tc>
          <w:tcPr>
            <w:tcW w:w="1237" w:type="dxa"/>
          </w:tcPr>
          <w:p w14:paraId="6B0C7C03" w14:textId="77777777" w:rsidR="00B00A98" w:rsidRPr="008E073E" w:rsidRDefault="00FD5D9C" w:rsidP="008A580C">
            <w:pPr>
              <w:rPr>
                <w:rFonts w:ascii="Times New Roman" w:hAnsi="Times New Roman" w:cs="Times New Roman"/>
                <w:sz w:val="18"/>
                <w:szCs w:val="18"/>
              </w:rPr>
            </w:pPr>
            <w:r w:rsidRPr="008E073E">
              <w:rPr>
                <w:rFonts w:ascii="Times New Roman" w:hAnsi="Times New Roman" w:cs="Times New Roman"/>
                <w:sz w:val="18"/>
                <w:szCs w:val="18"/>
              </w:rPr>
              <w:t>4202 (US</w:t>
            </w:r>
            <w:r w:rsidR="00B00A98" w:rsidRPr="008E073E">
              <w:rPr>
                <w:rFonts w:ascii="Times New Roman" w:hAnsi="Times New Roman" w:cs="Times New Roman"/>
                <w:sz w:val="18"/>
                <w:szCs w:val="18"/>
              </w:rPr>
              <w:t xml:space="preserve">) </w:t>
            </w:r>
          </w:p>
          <w:p w14:paraId="58FE6691" w14:textId="77777777" w:rsidR="00B00A98" w:rsidRPr="008E073E" w:rsidRDefault="00B00A98" w:rsidP="008A580C">
            <w:pPr>
              <w:rPr>
                <w:rFonts w:ascii="Times New Roman" w:hAnsi="Times New Roman" w:cs="Times New Roman"/>
                <w:sz w:val="18"/>
                <w:szCs w:val="18"/>
              </w:rPr>
            </w:pPr>
            <w:r w:rsidRPr="008E073E">
              <w:rPr>
                <w:rFonts w:ascii="Times New Roman" w:hAnsi="Times New Roman" w:cs="Times New Roman"/>
                <w:sz w:val="18"/>
                <w:szCs w:val="18"/>
              </w:rPr>
              <w:t>4000 (Japan)</w:t>
            </w:r>
          </w:p>
        </w:tc>
        <w:tc>
          <w:tcPr>
            <w:tcW w:w="1036" w:type="dxa"/>
          </w:tcPr>
          <w:p w14:paraId="32B19CAC"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 xml:space="preserve">Orthogonal </w:t>
            </w:r>
          </w:p>
        </w:tc>
        <w:tc>
          <w:tcPr>
            <w:tcW w:w="956" w:type="dxa"/>
          </w:tcPr>
          <w:p w14:paraId="62D43DB6"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 xml:space="preserve">Labeled </w:t>
            </w:r>
          </w:p>
        </w:tc>
        <w:tc>
          <w:tcPr>
            <w:tcW w:w="3587" w:type="dxa"/>
          </w:tcPr>
          <w:p w14:paraId="0350570C"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6 price, fuel cost, range, emissions, fuel availability, home plug-in construction fee.</w:t>
            </w:r>
          </w:p>
        </w:tc>
        <w:tc>
          <w:tcPr>
            <w:tcW w:w="1363" w:type="dxa"/>
          </w:tcPr>
          <w:p w14:paraId="3C28185D" w14:textId="77777777" w:rsidR="00B00A98" w:rsidRPr="008E073E" w:rsidRDefault="008A580C" w:rsidP="008A580C">
            <w:pPr>
              <w:spacing w:after="60"/>
              <w:rPr>
                <w:rFonts w:ascii="Times New Roman" w:hAnsi="Times New Roman" w:cs="Times New Roman"/>
                <w:sz w:val="18"/>
                <w:szCs w:val="18"/>
              </w:rPr>
            </w:pPr>
            <w:r w:rsidRPr="008E073E">
              <w:rPr>
                <w:rFonts w:ascii="Times New Roman" w:hAnsi="Times New Roman" w:cs="Times New Roman"/>
                <w:sz w:val="18"/>
                <w:szCs w:val="18"/>
              </w:rPr>
              <w:t xml:space="preserve">8/ </w:t>
            </w:r>
            <w:r w:rsidR="00B00A98" w:rsidRPr="008E073E">
              <w:rPr>
                <w:rFonts w:ascii="Times New Roman" w:hAnsi="Times New Roman" w:cs="Times New Roman"/>
                <w:sz w:val="18"/>
                <w:szCs w:val="18"/>
              </w:rPr>
              <w:t>Yes</w:t>
            </w:r>
          </w:p>
        </w:tc>
        <w:tc>
          <w:tcPr>
            <w:tcW w:w="2521" w:type="dxa"/>
          </w:tcPr>
          <w:p w14:paraId="693B79AF" w14:textId="77777777" w:rsidR="00B00A98" w:rsidRPr="008E073E" w:rsidRDefault="00B00A98" w:rsidP="008A580C">
            <w:pPr>
              <w:spacing w:after="60"/>
              <w:rPr>
                <w:rFonts w:ascii="Times New Roman" w:hAnsi="Times New Roman" w:cs="Times New Roman"/>
                <w:sz w:val="18"/>
                <w:szCs w:val="18"/>
              </w:rPr>
            </w:pPr>
            <w:r w:rsidRPr="008E073E">
              <w:rPr>
                <w:rFonts w:ascii="Times New Roman" w:hAnsi="Times New Roman" w:cs="Times New Roman"/>
                <w:sz w:val="18"/>
                <w:szCs w:val="18"/>
              </w:rPr>
              <w:t xml:space="preserve">3 EV, PHEV, gasoline </w:t>
            </w:r>
          </w:p>
        </w:tc>
      </w:tr>
      <w:tr w:rsidR="003709D8" w:rsidRPr="00B00A98" w14:paraId="209197EF" w14:textId="77777777" w:rsidTr="008E073E">
        <w:trPr>
          <w:trHeight w:val="198"/>
        </w:trPr>
        <w:tc>
          <w:tcPr>
            <w:tcW w:w="0" w:type="auto"/>
          </w:tcPr>
          <w:p w14:paraId="14EB1363" w14:textId="77777777" w:rsidR="00B00A98" w:rsidRPr="008E073E" w:rsidRDefault="00B00A98" w:rsidP="003709D8">
            <w:pPr>
              <w:spacing w:after="60"/>
              <w:rPr>
                <w:rFonts w:ascii="Times New Roman" w:hAnsi="Times New Roman" w:cs="Times New Roman"/>
                <w:sz w:val="18"/>
                <w:szCs w:val="18"/>
              </w:rPr>
            </w:pPr>
            <w:r w:rsidRPr="008E073E">
              <w:rPr>
                <w:rFonts w:ascii="Times New Roman" w:hAnsi="Times New Roman" w:cs="Times New Roman"/>
                <w:sz w:val="18"/>
                <w:szCs w:val="18"/>
              </w:rPr>
              <w:t>Axsen et al. (2015)</w:t>
            </w:r>
          </w:p>
        </w:tc>
        <w:tc>
          <w:tcPr>
            <w:tcW w:w="1086" w:type="dxa"/>
          </w:tcPr>
          <w:p w14:paraId="19538AAB" w14:textId="77777777" w:rsidR="00B00A98" w:rsidRPr="008E073E" w:rsidRDefault="00B00A98" w:rsidP="003709D8">
            <w:pPr>
              <w:spacing w:after="60"/>
              <w:rPr>
                <w:rFonts w:ascii="Times New Roman" w:hAnsi="Times New Roman" w:cs="Times New Roman"/>
                <w:sz w:val="18"/>
                <w:szCs w:val="18"/>
              </w:rPr>
            </w:pPr>
            <w:r w:rsidRPr="008E073E">
              <w:rPr>
                <w:rFonts w:ascii="Times New Roman" w:hAnsi="Times New Roman" w:cs="Times New Roman"/>
                <w:sz w:val="18"/>
                <w:szCs w:val="18"/>
              </w:rPr>
              <w:t xml:space="preserve">Canadian provinces </w:t>
            </w:r>
          </w:p>
        </w:tc>
        <w:tc>
          <w:tcPr>
            <w:tcW w:w="1237" w:type="dxa"/>
          </w:tcPr>
          <w:p w14:paraId="34FB8376" w14:textId="77777777" w:rsidR="00B00A98" w:rsidRPr="008E073E" w:rsidRDefault="00B00A98" w:rsidP="003709D8">
            <w:pPr>
              <w:spacing w:after="60"/>
              <w:rPr>
                <w:rFonts w:ascii="Times New Roman" w:hAnsi="Times New Roman" w:cs="Times New Roman"/>
                <w:sz w:val="18"/>
                <w:szCs w:val="18"/>
              </w:rPr>
            </w:pPr>
            <w:r w:rsidRPr="008E073E">
              <w:rPr>
                <w:rFonts w:ascii="Times New Roman" w:hAnsi="Times New Roman" w:cs="Times New Roman"/>
                <w:sz w:val="18"/>
                <w:szCs w:val="18"/>
              </w:rPr>
              <w:t>1754 New car buyers</w:t>
            </w:r>
          </w:p>
        </w:tc>
        <w:tc>
          <w:tcPr>
            <w:tcW w:w="1036" w:type="dxa"/>
          </w:tcPr>
          <w:p w14:paraId="2FEF0854" w14:textId="77777777" w:rsidR="00B00A98" w:rsidRPr="008E073E" w:rsidRDefault="00B00A98" w:rsidP="003709D8">
            <w:pPr>
              <w:spacing w:after="60"/>
              <w:rPr>
                <w:rFonts w:ascii="Times New Roman" w:hAnsi="Times New Roman" w:cs="Times New Roman"/>
                <w:sz w:val="18"/>
                <w:szCs w:val="18"/>
              </w:rPr>
            </w:pPr>
            <w:r w:rsidRPr="008E073E">
              <w:rPr>
                <w:rFonts w:ascii="Times New Roman" w:hAnsi="Times New Roman" w:cs="Times New Roman"/>
                <w:sz w:val="18"/>
                <w:szCs w:val="18"/>
              </w:rPr>
              <w:t xml:space="preserve">Orthogonal </w:t>
            </w:r>
          </w:p>
        </w:tc>
        <w:tc>
          <w:tcPr>
            <w:tcW w:w="956" w:type="dxa"/>
          </w:tcPr>
          <w:p w14:paraId="001F5CC8" w14:textId="77777777" w:rsidR="00B00A98" w:rsidRPr="008E073E" w:rsidRDefault="00B00A98" w:rsidP="003709D8">
            <w:pPr>
              <w:spacing w:after="60"/>
              <w:rPr>
                <w:rFonts w:ascii="Times New Roman" w:hAnsi="Times New Roman" w:cs="Times New Roman"/>
                <w:sz w:val="18"/>
                <w:szCs w:val="18"/>
              </w:rPr>
            </w:pPr>
            <w:r w:rsidRPr="008E073E">
              <w:rPr>
                <w:rFonts w:ascii="Times New Roman" w:hAnsi="Times New Roman" w:cs="Times New Roman"/>
                <w:sz w:val="18"/>
                <w:szCs w:val="18"/>
              </w:rPr>
              <w:t>Not Stated</w:t>
            </w:r>
          </w:p>
        </w:tc>
        <w:tc>
          <w:tcPr>
            <w:tcW w:w="3587" w:type="dxa"/>
          </w:tcPr>
          <w:p w14:paraId="4E37051A" w14:textId="77777777" w:rsidR="00B00A98" w:rsidRPr="008E073E" w:rsidRDefault="00B00A98" w:rsidP="003709D8">
            <w:pPr>
              <w:spacing w:after="60"/>
              <w:rPr>
                <w:rFonts w:ascii="Times New Roman" w:hAnsi="Times New Roman" w:cs="Times New Roman"/>
                <w:sz w:val="18"/>
                <w:szCs w:val="18"/>
              </w:rPr>
            </w:pPr>
            <w:r w:rsidRPr="008E073E">
              <w:rPr>
                <w:rFonts w:ascii="Times New Roman" w:hAnsi="Times New Roman" w:cs="Times New Roman"/>
                <w:sz w:val="18"/>
                <w:szCs w:val="18"/>
              </w:rPr>
              <w:t>5 price, fuel cost, range, home recharge access, recharge time</w:t>
            </w:r>
          </w:p>
        </w:tc>
        <w:tc>
          <w:tcPr>
            <w:tcW w:w="1363" w:type="dxa"/>
          </w:tcPr>
          <w:p w14:paraId="2FCB82E0" w14:textId="77777777" w:rsidR="00B00A98" w:rsidRPr="008E073E" w:rsidRDefault="008A580C" w:rsidP="003709D8">
            <w:pPr>
              <w:spacing w:after="60"/>
              <w:rPr>
                <w:rFonts w:ascii="Times New Roman" w:hAnsi="Times New Roman" w:cs="Times New Roman"/>
                <w:sz w:val="18"/>
                <w:szCs w:val="18"/>
              </w:rPr>
            </w:pPr>
            <w:r w:rsidRPr="008E073E">
              <w:rPr>
                <w:rFonts w:ascii="Times New Roman" w:hAnsi="Times New Roman" w:cs="Times New Roman"/>
                <w:sz w:val="18"/>
                <w:szCs w:val="18"/>
              </w:rPr>
              <w:t xml:space="preserve">6/ </w:t>
            </w:r>
            <w:r w:rsidR="00B00A98" w:rsidRPr="008E073E">
              <w:rPr>
                <w:rFonts w:ascii="Times New Roman" w:hAnsi="Times New Roman" w:cs="Times New Roman"/>
                <w:sz w:val="18"/>
                <w:szCs w:val="18"/>
              </w:rPr>
              <w:t>Not Stated</w:t>
            </w:r>
          </w:p>
        </w:tc>
        <w:tc>
          <w:tcPr>
            <w:tcW w:w="2521" w:type="dxa"/>
          </w:tcPr>
          <w:p w14:paraId="2D6897BA" w14:textId="77777777" w:rsidR="00B00A98" w:rsidRPr="008E073E" w:rsidRDefault="00B00A98" w:rsidP="003709D8">
            <w:pPr>
              <w:spacing w:after="60"/>
              <w:rPr>
                <w:rFonts w:ascii="Times New Roman" w:hAnsi="Times New Roman" w:cs="Times New Roman"/>
                <w:sz w:val="18"/>
                <w:szCs w:val="18"/>
              </w:rPr>
            </w:pPr>
            <w:r w:rsidRPr="008E073E">
              <w:rPr>
                <w:rFonts w:ascii="Times New Roman" w:hAnsi="Times New Roman" w:cs="Times New Roman"/>
                <w:sz w:val="18"/>
                <w:szCs w:val="18"/>
              </w:rPr>
              <w:t xml:space="preserve">4 conventional, HEV, PHEV, BEV </w:t>
            </w:r>
          </w:p>
        </w:tc>
      </w:tr>
      <w:tr w:rsidR="003709D8" w:rsidRPr="00B00A98" w14:paraId="4B70A47D" w14:textId="77777777" w:rsidTr="008E073E">
        <w:trPr>
          <w:trHeight w:val="329"/>
        </w:trPr>
        <w:tc>
          <w:tcPr>
            <w:tcW w:w="0" w:type="auto"/>
          </w:tcPr>
          <w:p w14:paraId="0C7E6BBE" w14:textId="77777777" w:rsidR="00B00A98" w:rsidRPr="008E073E" w:rsidRDefault="00B00A98" w:rsidP="00B00A98">
            <w:pPr>
              <w:spacing w:after="120"/>
              <w:rPr>
                <w:rFonts w:ascii="Times New Roman" w:hAnsi="Times New Roman" w:cs="Times New Roman"/>
                <w:sz w:val="18"/>
                <w:szCs w:val="18"/>
              </w:rPr>
            </w:pPr>
            <w:r w:rsidRPr="008E073E">
              <w:rPr>
                <w:rFonts w:ascii="Times New Roman" w:hAnsi="Times New Roman" w:cs="Times New Roman"/>
                <w:sz w:val="18"/>
                <w:szCs w:val="18"/>
              </w:rPr>
              <w:t>Helveston et al. (2015)</w:t>
            </w:r>
          </w:p>
        </w:tc>
        <w:tc>
          <w:tcPr>
            <w:tcW w:w="1086" w:type="dxa"/>
          </w:tcPr>
          <w:p w14:paraId="68F8092D" w14:textId="77777777" w:rsidR="00B00A98" w:rsidRPr="008E073E" w:rsidRDefault="00FD5D9C" w:rsidP="003709D8">
            <w:pPr>
              <w:spacing w:after="120"/>
              <w:rPr>
                <w:rFonts w:ascii="Times New Roman" w:hAnsi="Times New Roman" w:cs="Times New Roman"/>
                <w:sz w:val="18"/>
                <w:szCs w:val="18"/>
              </w:rPr>
            </w:pPr>
            <w:r w:rsidRPr="008E073E">
              <w:rPr>
                <w:rFonts w:ascii="Times New Roman" w:hAnsi="Times New Roman" w:cs="Times New Roman"/>
                <w:sz w:val="18"/>
                <w:szCs w:val="18"/>
              </w:rPr>
              <w:t>China and the US</w:t>
            </w:r>
            <w:r w:rsidR="00B00A98" w:rsidRPr="008E073E">
              <w:rPr>
                <w:rFonts w:ascii="Times New Roman" w:hAnsi="Times New Roman" w:cs="Times New Roman"/>
                <w:sz w:val="18"/>
                <w:szCs w:val="18"/>
              </w:rPr>
              <w:t xml:space="preserve"> </w:t>
            </w:r>
          </w:p>
        </w:tc>
        <w:tc>
          <w:tcPr>
            <w:tcW w:w="1237" w:type="dxa"/>
          </w:tcPr>
          <w:p w14:paraId="0E84E32F" w14:textId="77777777" w:rsidR="00B00A98" w:rsidRPr="008E073E" w:rsidRDefault="00B00A98" w:rsidP="008A580C">
            <w:pPr>
              <w:rPr>
                <w:rFonts w:ascii="Times New Roman" w:hAnsi="Times New Roman" w:cs="Times New Roman"/>
                <w:sz w:val="18"/>
                <w:szCs w:val="18"/>
              </w:rPr>
            </w:pPr>
            <w:r w:rsidRPr="008E073E">
              <w:rPr>
                <w:rFonts w:ascii="Times New Roman" w:hAnsi="Times New Roman" w:cs="Times New Roman"/>
                <w:sz w:val="18"/>
                <w:szCs w:val="18"/>
              </w:rPr>
              <w:t xml:space="preserve">667 (china) </w:t>
            </w:r>
          </w:p>
          <w:p w14:paraId="1B0C41C4" w14:textId="77777777" w:rsidR="00B00A98" w:rsidRPr="008E073E" w:rsidRDefault="00FD5D9C" w:rsidP="008A580C">
            <w:pPr>
              <w:rPr>
                <w:rFonts w:ascii="Times New Roman" w:hAnsi="Times New Roman" w:cs="Times New Roman"/>
                <w:sz w:val="18"/>
                <w:szCs w:val="18"/>
              </w:rPr>
            </w:pPr>
            <w:r w:rsidRPr="008E073E">
              <w:rPr>
                <w:rFonts w:ascii="Times New Roman" w:hAnsi="Times New Roman" w:cs="Times New Roman"/>
                <w:sz w:val="18"/>
                <w:szCs w:val="18"/>
              </w:rPr>
              <w:t>415 (US</w:t>
            </w:r>
            <w:r w:rsidR="00B00A98" w:rsidRPr="008E073E">
              <w:rPr>
                <w:rFonts w:ascii="Times New Roman" w:hAnsi="Times New Roman" w:cs="Times New Roman"/>
                <w:sz w:val="18"/>
                <w:szCs w:val="18"/>
              </w:rPr>
              <w:t>)</w:t>
            </w:r>
          </w:p>
        </w:tc>
        <w:tc>
          <w:tcPr>
            <w:tcW w:w="1036" w:type="dxa"/>
          </w:tcPr>
          <w:p w14:paraId="4043BED1" w14:textId="77777777" w:rsidR="00B00A98" w:rsidRPr="008E073E" w:rsidRDefault="00B00A98" w:rsidP="00B00A98">
            <w:pPr>
              <w:spacing w:after="120"/>
              <w:rPr>
                <w:rFonts w:ascii="Times New Roman" w:hAnsi="Times New Roman" w:cs="Times New Roman"/>
                <w:sz w:val="18"/>
                <w:szCs w:val="18"/>
              </w:rPr>
            </w:pPr>
            <w:r w:rsidRPr="008E073E">
              <w:rPr>
                <w:rFonts w:ascii="Times New Roman" w:hAnsi="Times New Roman" w:cs="Times New Roman"/>
                <w:sz w:val="18"/>
                <w:szCs w:val="18"/>
              </w:rPr>
              <w:t>Not Stated</w:t>
            </w:r>
          </w:p>
        </w:tc>
        <w:tc>
          <w:tcPr>
            <w:tcW w:w="956" w:type="dxa"/>
          </w:tcPr>
          <w:p w14:paraId="01FC1DC3" w14:textId="77777777" w:rsidR="00B00A98" w:rsidRPr="008E073E" w:rsidRDefault="00B00A98" w:rsidP="00B00A98">
            <w:pPr>
              <w:spacing w:after="120"/>
              <w:rPr>
                <w:rFonts w:ascii="Times New Roman" w:hAnsi="Times New Roman" w:cs="Times New Roman"/>
                <w:sz w:val="18"/>
                <w:szCs w:val="18"/>
              </w:rPr>
            </w:pPr>
            <w:r w:rsidRPr="008E073E">
              <w:rPr>
                <w:rFonts w:ascii="Times New Roman" w:hAnsi="Times New Roman" w:cs="Times New Roman"/>
                <w:sz w:val="18"/>
                <w:szCs w:val="18"/>
              </w:rPr>
              <w:t xml:space="preserve">Unlabeled </w:t>
            </w:r>
          </w:p>
        </w:tc>
        <w:tc>
          <w:tcPr>
            <w:tcW w:w="3587" w:type="dxa"/>
          </w:tcPr>
          <w:p w14:paraId="400E8068" w14:textId="77777777" w:rsidR="00B00A98" w:rsidRPr="008E073E" w:rsidRDefault="00B00A98" w:rsidP="00B00A98">
            <w:pPr>
              <w:spacing w:after="120"/>
              <w:rPr>
                <w:rFonts w:ascii="Times New Roman" w:hAnsi="Times New Roman" w:cs="Times New Roman"/>
                <w:sz w:val="18"/>
                <w:szCs w:val="18"/>
              </w:rPr>
            </w:pPr>
            <w:r w:rsidRPr="008E073E">
              <w:rPr>
                <w:rFonts w:ascii="Times New Roman" w:hAnsi="Times New Roman" w:cs="Times New Roman"/>
                <w:sz w:val="18"/>
                <w:szCs w:val="18"/>
              </w:rPr>
              <w:t>6 fuel type, range, brand, price, fast charging capa</w:t>
            </w:r>
            <w:r w:rsidR="008A580C" w:rsidRPr="008E073E">
              <w:rPr>
                <w:rFonts w:ascii="Times New Roman" w:hAnsi="Times New Roman" w:cs="Times New Roman"/>
                <w:sz w:val="18"/>
                <w:szCs w:val="18"/>
              </w:rPr>
              <w:t>bility, fuel cost, acceleration</w:t>
            </w:r>
          </w:p>
        </w:tc>
        <w:tc>
          <w:tcPr>
            <w:tcW w:w="1363" w:type="dxa"/>
          </w:tcPr>
          <w:p w14:paraId="0760E2F7" w14:textId="77777777" w:rsidR="00B00A98" w:rsidRPr="008E073E" w:rsidRDefault="008A580C" w:rsidP="00B00A98">
            <w:pPr>
              <w:spacing w:after="120"/>
              <w:rPr>
                <w:rFonts w:ascii="Times New Roman" w:hAnsi="Times New Roman" w:cs="Times New Roman"/>
                <w:sz w:val="18"/>
                <w:szCs w:val="18"/>
              </w:rPr>
            </w:pPr>
            <w:r w:rsidRPr="008E073E">
              <w:rPr>
                <w:rFonts w:ascii="Times New Roman" w:hAnsi="Times New Roman" w:cs="Times New Roman"/>
                <w:sz w:val="18"/>
                <w:szCs w:val="18"/>
              </w:rPr>
              <w:t xml:space="preserve">16/ </w:t>
            </w:r>
            <w:r w:rsidR="00B00A98" w:rsidRPr="008E073E">
              <w:rPr>
                <w:rFonts w:ascii="Times New Roman" w:hAnsi="Times New Roman" w:cs="Times New Roman"/>
                <w:sz w:val="18"/>
                <w:szCs w:val="18"/>
              </w:rPr>
              <w:t>No</w:t>
            </w:r>
          </w:p>
        </w:tc>
        <w:tc>
          <w:tcPr>
            <w:tcW w:w="2521" w:type="dxa"/>
          </w:tcPr>
          <w:p w14:paraId="2AEFC54B" w14:textId="77777777" w:rsidR="00B00A98" w:rsidRPr="008E073E" w:rsidRDefault="00B00A98" w:rsidP="00B00A98">
            <w:pPr>
              <w:spacing w:after="120"/>
              <w:rPr>
                <w:rFonts w:ascii="Times New Roman" w:hAnsi="Times New Roman" w:cs="Times New Roman"/>
                <w:sz w:val="18"/>
                <w:szCs w:val="18"/>
              </w:rPr>
            </w:pPr>
            <w:r w:rsidRPr="008E073E">
              <w:rPr>
                <w:rFonts w:ascii="Times New Roman" w:hAnsi="Times New Roman" w:cs="Times New Roman"/>
                <w:sz w:val="18"/>
                <w:szCs w:val="18"/>
              </w:rPr>
              <w:t>3 out of 4 conventional, HEV, PHEV, BEV</w:t>
            </w:r>
          </w:p>
        </w:tc>
      </w:tr>
      <w:tr w:rsidR="003709D8" w:rsidRPr="00B00A98" w14:paraId="5E292099" w14:textId="77777777" w:rsidTr="008E073E">
        <w:trPr>
          <w:trHeight w:val="482"/>
        </w:trPr>
        <w:tc>
          <w:tcPr>
            <w:tcW w:w="0" w:type="auto"/>
            <w:tcBorders>
              <w:bottom w:val="single" w:sz="4" w:space="0" w:color="auto"/>
            </w:tcBorders>
          </w:tcPr>
          <w:p w14:paraId="3B632BDF" w14:textId="77777777" w:rsidR="00B00A98" w:rsidRPr="008E073E" w:rsidRDefault="00B00A98" w:rsidP="008E073E">
            <w:pPr>
              <w:rPr>
                <w:rFonts w:ascii="Times New Roman" w:hAnsi="Times New Roman" w:cs="Times New Roman"/>
                <w:sz w:val="18"/>
                <w:szCs w:val="18"/>
              </w:rPr>
            </w:pPr>
            <w:r w:rsidRPr="008E073E">
              <w:rPr>
                <w:rFonts w:ascii="Times New Roman" w:hAnsi="Times New Roman" w:cs="Times New Roman"/>
                <w:sz w:val="18"/>
                <w:szCs w:val="18"/>
              </w:rPr>
              <w:t>Present study</w:t>
            </w:r>
          </w:p>
        </w:tc>
        <w:tc>
          <w:tcPr>
            <w:tcW w:w="1086" w:type="dxa"/>
            <w:tcBorders>
              <w:bottom w:val="single" w:sz="4" w:space="0" w:color="auto"/>
            </w:tcBorders>
          </w:tcPr>
          <w:p w14:paraId="6696E965" w14:textId="77777777" w:rsidR="00B00A98" w:rsidRPr="008E073E" w:rsidRDefault="00B00A98" w:rsidP="008E073E">
            <w:pPr>
              <w:rPr>
                <w:rFonts w:ascii="Times New Roman" w:hAnsi="Times New Roman" w:cs="Times New Roman"/>
                <w:sz w:val="18"/>
                <w:szCs w:val="18"/>
              </w:rPr>
            </w:pPr>
            <w:r w:rsidRPr="008E073E">
              <w:rPr>
                <w:rFonts w:ascii="Times New Roman" w:hAnsi="Times New Roman" w:cs="Times New Roman"/>
                <w:sz w:val="18"/>
                <w:szCs w:val="18"/>
              </w:rPr>
              <w:t>Canada</w:t>
            </w:r>
          </w:p>
        </w:tc>
        <w:tc>
          <w:tcPr>
            <w:tcW w:w="1237" w:type="dxa"/>
            <w:tcBorders>
              <w:bottom w:val="single" w:sz="4" w:space="0" w:color="auto"/>
            </w:tcBorders>
          </w:tcPr>
          <w:p w14:paraId="4684AA4C" w14:textId="77777777" w:rsidR="00B00A98" w:rsidRPr="008E073E" w:rsidRDefault="00B00A98" w:rsidP="008E073E">
            <w:pPr>
              <w:rPr>
                <w:rFonts w:ascii="Times New Roman" w:hAnsi="Times New Roman" w:cs="Times New Roman"/>
                <w:sz w:val="18"/>
                <w:szCs w:val="18"/>
              </w:rPr>
            </w:pPr>
            <w:r w:rsidRPr="008E073E">
              <w:rPr>
                <w:rFonts w:ascii="Times New Roman" w:hAnsi="Times New Roman" w:cs="Times New Roman"/>
                <w:sz w:val="18"/>
                <w:szCs w:val="18"/>
              </w:rPr>
              <w:t>20,520 future car buyers</w:t>
            </w:r>
          </w:p>
        </w:tc>
        <w:tc>
          <w:tcPr>
            <w:tcW w:w="1036" w:type="dxa"/>
            <w:tcBorders>
              <w:bottom w:val="single" w:sz="4" w:space="0" w:color="auto"/>
            </w:tcBorders>
          </w:tcPr>
          <w:p w14:paraId="6A8600F2" w14:textId="77777777" w:rsidR="00B00A98" w:rsidRPr="008E073E" w:rsidRDefault="00B00A98" w:rsidP="008E073E">
            <w:pPr>
              <w:rPr>
                <w:rFonts w:ascii="Times New Roman" w:hAnsi="Times New Roman" w:cs="Times New Roman"/>
                <w:sz w:val="18"/>
                <w:szCs w:val="18"/>
              </w:rPr>
            </w:pPr>
            <w:r w:rsidRPr="008E073E">
              <w:rPr>
                <w:rFonts w:ascii="Times New Roman" w:hAnsi="Times New Roman" w:cs="Times New Roman"/>
                <w:sz w:val="18"/>
                <w:szCs w:val="18"/>
              </w:rPr>
              <w:t xml:space="preserve">D-efficient </w:t>
            </w:r>
          </w:p>
        </w:tc>
        <w:tc>
          <w:tcPr>
            <w:tcW w:w="956" w:type="dxa"/>
            <w:tcBorders>
              <w:bottom w:val="single" w:sz="4" w:space="0" w:color="auto"/>
            </w:tcBorders>
          </w:tcPr>
          <w:p w14:paraId="31DF2DDD" w14:textId="77777777" w:rsidR="00B00A98" w:rsidRPr="008E073E" w:rsidRDefault="00B00A98" w:rsidP="008E073E">
            <w:pPr>
              <w:rPr>
                <w:rFonts w:ascii="Times New Roman" w:hAnsi="Times New Roman" w:cs="Times New Roman"/>
                <w:sz w:val="18"/>
                <w:szCs w:val="18"/>
              </w:rPr>
            </w:pPr>
            <w:r w:rsidRPr="008E073E">
              <w:rPr>
                <w:rFonts w:ascii="Times New Roman" w:hAnsi="Times New Roman" w:cs="Times New Roman"/>
                <w:sz w:val="18"/>
                <w:szCs w:val="18"/>
              </w:rPr>
              <w:t xml:space="preserve">Labeled </w:t>
            </w:r>
          </w:p>
        </w:tc>
        <w:tc>
          <w:tcPr>
            <w:tcW w:w="3587" w:type="dxa"/>
            <w:tcBorders>
              <w:bottom w:val="single" w:sz="4" w:space="0" w:color="auto"/>
            </w:tcBorders>
          </w:tcPr>
          <w:p w14:paraId="59EF4AFB" w14:textId="77777777" w:rsidR="00B00A98" w:rsidRPr="008E073E" w:rsidRDefault="00B00A98" w:rsidP="008E073E">
            <w:pPr>
              <w:rPr>
                <w:rFonts w:ascii="Times New Roman" w:hAnsi="Times New Roman" w:cs="Times New Roman"/>
                <w:sz w:val="18"/>
                <w:szCs w:val="18"/>
              </w:rPr>
            </w:pPr>
            <w:r w:rsidRPr="008E073E">
              <w:rPr>
                <w:rFonts w:ascii="Times New Roman" w:hAnsi="Times New Roman" w:cs="Times New Roman"/>
                <w:sz w:val="18"/>
                <w:szCs w:val="18"/>
              </w:rPr>
              <w:t xml:space="preserve">12 price, maintenance and fuel cost, gasoline and electric range, acceleration, cash and non-cash incentives, battery warranty, emission, charging time and availability </w:t>
            </w:r>
          </w:p>
        </w:tc>
        <w:tc>
          <w:tcPr>
            <w:tcW w:w="1363" w:type="dxa"/>
            <w:tcBorders>
              <w:bottom w:val="single" w:sz="4" w:space="0" w:color="auto"/>
            </w:tcBorders>
          </w:tcPr>
          <w:p w14:paraId="4C1C54E7" w14:textId="77777777" w:rsidR="00B00A98" w:rsidRPr="008E073E" w:rsidRDefault="008A580C" w:rsidP="008E073E">
            <w:pPr>
              <w:rPr>
                <w:rFonts w:ascii="Times New Roman" w:hAnsi="Times New Roman" w:cs="Times New Roman"/>
                <w:sz w:val="18"/>
                <w:szCs w:val="18"/>
              </w:rPr>
            </w:pPr>
            <w:r w:rsidRPr="008E073E">
              <w:rPr>
                <w:rFonts w:ascii="Times New Roman" w:hAnsi="Times New Roman" w:cs="Times New Roman"/>
                <w:sz w:val="18"/>
                <w:szCs w:val="18"/>
              </w:rPr>
              <w:t xml:space="preserve">4/ </w:t>
            </w:r>
            <w:r w:rsidR="00B00A98" w:rsidRPr="008E073E">
              <w:rPr>
                <w:rFonts w:ascii="Times New Roman" w:hAnsi="Times New Roman" w:cs="Times New Roman"/>
                <w:sz w:val="18"/>
                <w:szCs w:val="18"/>
              </w:rPr>
              <w:t xml:space="preserve">Yes </w:t>
            </w:r>
          </w:p>
        </w:tc>
        <w:tc>
          <w:tcPr>
            <w:tcW w:w="2521" w:type="dxa"/>
            <w:tcBorders>
              <w:bottom w:val="single" w:sz="4" w:space="0" w:color="auto"/>
            </w:tcBorders>
          </w:tcPr>
          <w:p w14:paraId="75F1F3F6" w14:textId="77777777" w:rsidR="00B00A98" w:rsidRPr="008E073E" w:rsidRDefault="00B00A98" w:rsidP="008E073E">
            <w:pPr>
              <w:rPr>
                <w:rFonts w:ascii="Times New Roman" w:hAnsi="Times New Roman" w:cs="Times New Roman"/>
                <w:sz w:val="18"/>
                <w:szCs w:val="18"/>
              </w:rPr>
            </w:pPr>
            <w:r w:rsidRPr="008E073E">
              <w:rPr>
                <w:rFonts w:ascii="Times New Roman" w:hAnsi="Times New Roman" w:cs="Times New Roman"/>
                <w:sz w:val="18"/>
                <w:szCs w:val="18"/>
              </w:rPr>
              <w:t>4 ICE, HEV, PHEV, BEV</w:t>
            </w:r>
          </w:p>
        </w:tc>
      </w:tr>
    </w:tbl>
    <w:p w14:paraId="6AD46DB6" w14:textId="77777777" w:rsidR="0006565D" w:rsidRDefault="0006565D" w:rsidP="003C3597">
      <w:pPr>
        <w:rPr>
          <w:rFonts w:ascii="Times New Roman" w:hAnsi="Times New Roman" w:cs="Times New Roman"/>
          <w:color w:val="000000"/>
        </w:rPr>
        <w:sectPr w:rsidR="0006565D" w:rsidSect="006C5B28">
          <w:pgSz w:w="15840" w:h="12240" w:orient="landscape"/>
          <w:pgMar w:top="1418" w:right="2155" w:bottom="1418" w:left="2155" w:header="709" w:footer="709" w:gutter="0"/>
          <w:cols w:space="708"/>
          <w:docGrid w:linePitch="360"/>
        </w:sectPr>
      </w:pPr>
    </w:p>
    <w:p w14:paraId="7281E10A"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lastRenderedPageBreak/>
        <w:t xml:space="preserve">There are a number of novel aspects associated with the design of SPACE. First, the survey is administered among a large panel of Canadians with 20,520 observations from every corner of the country (e.g. all provinces, urban-rural settings, etc.), and hence provides more in-depth coverage of geographical variation in EV preferences than previous studies. Second, the implementation was sensitive to respondent context </w:t>
      </w:r>
      <w:r w:rsidR="004D01AC" w:rsidRPr="004D01AC">
        <w:rPr>
          <w:rFonts w:ascii="Times New Roman" w:hAnsi="Times New Roman" w:cs="Times New Roman"/>
          <w:color w:val="000000"/>
        </w:rPr>
        <w:t>(Carlsson, 2010)</w:t>
      </w:r>
      <w:r w:rsidR="004D01AC">
        <w:rPr>
          <w:rFonts w:ascii="Times New Roman" w:hAnsi="Times New Roman" w:cs="Times New Roman"/>
          <w:color w:val="000000"/>
        </w:rPr>
        <w:t>,</w:t>
      </w:r>
      <w:r w:rsidR="004D01AC" w:rsidRPr="004D01AC">
        <w:rPr>
          <w:rFonts w:ascii="Times New Roman" w:hAnsi="Times New Roman" w:cs="Times New Roman"/>
          <w:color w:val="000000"/>
        </w:rPr>
        <w:t xml:space="preserve"> </w:t>
      </w:r>
      <w:r w:rsidRPr="003C3597">
        <w:rPr>
          <w:rFonts w:ascii="Times New Roman" w:hAnsi="Times New Roman" w:cs="Times New Roman"/>
          <w:color w:val="000000"/>
        </w:rPr>
        <w:t>with SP scenarios being customized per respondent (e.g. annual mileage, replacement or additional vehicle, and anticipated purchase price). Moreover, respondents encountered SP scenarios associated with their preferred vehicle body type. For instance, vehicle attribute characteristics shown to an economy buyer were different from those offered to a respondent interested in a luxury sedan. Finally, the survey instrument featured a good balance of objective socio-economics and information about perceptions, attitudes and beliefs in order to best understand what aspects were most heavily influencing preferences.</w:t>
      </w:r>
    </w:p>
    <w:p w14:paraId="7BA33BA2" w14:textId="77777777" w:rsidR="003C3597" w:rsidRPr="003C3597" w:rsidRDefault="003C3597" w:rsidP="003C3597">
      <w:pPr>
        <w:rPr>
          <w:rFonts w:ascii="Times New Roman" w:hAnsi="Times New Roman" w:cs="Times New Roman"/>
          <w:color w:val="000000"/>
          <w:lang w:val="en-US"/>
        </w:rPr>
      </w:pPr>
      <w:r w:rsidRPr="003C3597">
        <w:rPr>
          <w:rFonts w:ascii="Times New Roman" w:hAnsi="Times New Roman" w:cs="Times New Roman"/>
          <w:color w:val="000000"/>
          <w:lang w:val="en-US"/>
        </w:rPr>
        <w:t>To this point,</w:t>
      </w:r>
      <w:r w:rsidRPr="003C3597" w:rsidDel="009108F6">
        <w:rPr>
          <w:rFonts w:ascii="Times New Roman" w:hAnsi="Times New Roman" w:cs="Times New Roman"/>
          <w:color w:val="000000"/>
          <w:lang w:val="en-US"/>
        </w:rPr>
        <w:t xml:space="preserve"> </w:t>
      </w:r>
      <w:r w:rsidRPr="003C3597">
        <w:rPr>
          <w:rFonts w:ascii="Times New Roman" w:hAnsi="Times New Roman" w:cs="Times New Roman"/>
          <w:b/>
          <w:bCs/>
          <w:color w:val="000000"/>
        </w:rPr>
        <w:t>SPACE</w:t>
      </w:r>
      <w:r w:rsidRPr="003C3597">
        <w:rPr>
          <w:rFonts w:ascii="Times New Roman" w:hAnsi="Times New Roman" w:cs="Times New Roman"/>
          <w:color w:val="000000"/>
          <w:lang w:val="en-US"/>
        </w:rPr>
        <w:t xml:space="preserve"> has given rise to four studies and with others in progress. Mohamed et al. (2016) utilized attitudinal and demographic components of this survey to assess behavioral intention towards EVs. Higgins et al. (2017) conducted a choice modeling analysis where respondents evaluated powertrain attributes that were specific to the vehicle body types they preferred for their next vehicle, and </w:t>
      </w:r>
      <w:r w:rsidRPr="003C3597">
        <w:rPr>
          <w:rFonts w:ascii="Times New Roman" w:hAnsi="Times New Roman" w:cs="Times New Roman"/>
          <w:color w:val="000000"/>
          <w:lang w:val="en-US"/>
        </w:rPr>
        <w:fldChar w:fldCharType="begin" w:fldLock="1"/>
      </w:r>
      <w:r w:rsidRPr="003C3597">
        <w:rPr>
          <w:rFonts w:ascii="Times New Roman" w:hAnsi="Times New Roman" w:cs="Times New Roman"/>
          <w:color w:val="000000"/>
          <w:lang w:val="en-US"/>
        </w:rPr>
        <w:instrText>ADDIN CSL_CITATION {"citationItems":[{"id":"ITEM-1","itemData":{"DOI":"10.1016/j.tra.2018.05.011","ISSN":"09658564","abstract":"The study presents a multi-group structural equation modelling exercise to identify differences in the mindset of individuals towards electric vehicles (EVs) across seven vehicle body types in Canada. The study utilizes a sample of 15,392 households and grounds the psychographic or-ientation of potential EV adopters on an extended version of the Theory of Planned Behaviour. Specifically, the study measures the impact of five latent constructs; environmental concerns, attitude, subjective norm, personal moral norm, and perceived behavioural control on the in-tention to adopt EVs along with socio-economic-demographic (SED) variables. The results highlight that both attitude and perceived behaviour control are the strongest factors influencing individual intention to adopt EVs. However, the multi-group invariance analysis indicates that the psychographic orientation and the SED traits of potential adopters of different EV body types are significantly different, with particular standouts in the luxury and pickup truck classes. We follow this up with an analysis of mindshare towards EVs over the seven vehicle types. Insights derived from the analysis can help define potential submarkets for EVs and accelerate their adoption.","author":[{"dropping-particle":"","family":"Mohamed","given":"Moataz","non-dropping-particle":"","parse-names":false,"suffix":""},{"dropping-particle":"","family":"Higgins","given":"Christopher D","non-dropping-particle":"","parse-names":false,"suffix":""},{"dropping-particle":"","family":"Ferguson","given":"Mark","non-dropping-particle":"","parse-names":false,"suffix":""},{"dropping-particle":"","family":"Réquia","given":"Weeberb J","non-dropping-particle":"","parse-names":false,"suffix":""}],"container-title":"Transportation Research Part A","id":"ITEM-1","issue":"August 2017","issued":{"date-parts":[["2018"]]},"page":"54-72","publisher":"Elsevier","title":"The influence of vehicle body type in shaping behavioural intention to acquire electric vehicles: A multi-group structural equation approach","type":"article-journal","volume":"116"},"uris":["http://www.mendeley.com/documents/?uuid=c48b3cf5-7616-4cc4-92e0-3e939f8d5de6"]}],"mendeley":{"formattedCitation":"(Mohamed, Higgins, Ferguson, &amp; Réquia, 2018)","manualFormatting":"Mohamed et al., (2018)","plainTextFormattedCitation":"(Mohamed, Higgins, Ferguson, &amp; Réquia, 2018)"},"properties":{"noteIndex":0},"schema":"https://github.com/citation-style-language/schema/raw/master/csl-citation.json"}</w:instrText>
      </w:r>
      <w:r w:rsidRPr="003C3597">
        <w:rPr>
          <w:rFonts w:ascii="Times New Roman" w:hAnsi="Times New Roman" w:cs="Times New Roman"/>
          <w:color w:val="000000"/>
          <w:lang w:val="en-US"/>
        </w:rPr>
        <w:fldChar w:fldCharType="separate"/>
      </w:r>
      <w:r w:rsidRPr="003C3597">
        <w:rPr>
          <w:rFonts w:ascii="Times New Roman" w:hAnsi="Times New Roman" w:cs="Times New Roman"/>
          <w:color w:val="000000"/>
          <w:lang w:val="en-US"/>
        </w:rPr>
        <w:t>Mohamed et al., (2018)</w:t>
      </w:r>
      <w:r w:rsidRPr="003C3597">
        <w:rPr>
          <w:rFonts w:ascii="Times New Roman" w:hAnsi="Times New Roman" w:cs="Times New Roman"/>
          <w:color w:val="000000"/>
        </w:rPr>
        <w:fldChar w:fldCharType="end"/>
      </w:r>
      <w:r w:rsidRPr="003C3597">
        <w:rPr>
          <w:rFonts w:ascii="Times New Roman" w:hAnsi="Times New Roman" w:cs="Times New Roman"/>
          <w:color w:val="000000"/>
          <w:lang w:val="en-US"/>
        </w:rPr>
        <w:t xml:space="preserve"> followed that up with an analysis on vehicle body type supported by structural equation analysis. Ferguson et al. (2018) leveraged a wide range of collected variables and the full national scope of the data to develop a latent class choice model for Canada.</w:t>
      </w:r>
      <w:r w:rsidRPr="003C3597" w:rsidDel="001A6C70">
        <w:rPr>
          <w:rFonts w:ascii="Times New Roman" w:hAnsi="Times New Roman" w:cs="Times New Roman"/>
          <w:color w:val="000000"/>
          <w:lang w:val="en-US"/>
        </w:rPr>
        <w:t xml:space="preserve"> </w:t>
      </w:r>
    </w:p>
    <w:p w14:paraId="4033B18F"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lastRenderedPageBreak/>
        <w:t xml:space="preserve">Based on our literature review, Table </w:t>
      </w:r>
      <w:r w:rsidR="003A4D95">
        <w:rPr>
          <w:rFonts w:ascii="Times New Roman" w:hAnsi="Times New Roman" w:cs="Times New Roman"/>
          <w:color w:val="000000"/>
        </w:rPr>
        <w:t>2.</w:t>
      </w:r>
      <w:r w:rsidRPr="003C3597">
        <w:rPr>
          <w:rFonts w:ascii="Times New Roman" w:hAnsi="Times New Roman" w:cs="Times New Roman"/>
          <w:color w:val="000000"/>
        </w:rPr>
        <w:t>1 summarizes studies that have used surveys to help understand the preferences of consumers towards different types of EVs. All the reviewed studies are based on stated as opposed to revealed preference data and this is likely explained by the low market penetration of electric vehicles. Within the SP experiments of these studies, the number of powertrain alternatives ranges between two and seven and several have included a conventional vehicle (gasoline or diesel) along with one or more EV types. The number of attributes varied from five to eight, that generally include the monetary (price, fuel cost, etc.), functional (range, acceleration, etc.), charging infrastructure and policy-related attributes. There is also great variability in number of scenarios, type of experimental design, geography and sampling frame. However, aspects of survey design are only partially discussed in previous EV studies and are mainly reported as part of the analyses that these surveys support. As a result, the construction of the survey instrument that underlies the analysis often remains somewhat in the background.</w:t>
      </w:r>
    </w:p>
    <w:p w14:paraId="1A2F9098"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The present paper contributes to the literature by providing </w:t>
      </w:r>
      <w:r w:rsidRPr="003C3597">
        <w:rPr>
          <w:rFonts w:ascii="Times New Roman" w:hAnsi="Times New Roman" w:cs="Times New Roman"/>
          <w:color w:val="000000"/>
          <w:lang w:val="en-US"/>
        </w:rPr>
        <w:t xml:space="preserve">an informative overview of the development of a comprehensive survey instrument that was applied in a Canada-wide data collection effort to yield useful EV-oriented data and information. The overview includes associated </w:t>
      </w:r>
      <w:r w:rsidRPr="003C3597">
        <w:rPr>
          <w:rFonts w:ascii="Times New Roman" w:hAnsi="Times New Roman" w:cs="Times New Roman"/>
          <w:color w:val="000000"/>
        </w:rPr>
        <w:t xml:space="preserve">strategies, thought processes and significant decisions that were made in developing and implementing the survey. </w:t>
      </w:r>
      <w:r w:rsidRPr="003C3597">
        <w:rPr>
          <w:rFonts w:ascii="Times New Roman" w:hAnsi="Times New Roman" w:cs="Times New Roman"/>
          <w:color w:val="000000"/>
          <w:lang w:val="en-US"/>
        </w:rPr>
        <w:t xml:space="preserve">The aim is for some lessons that emerge to extend beyond those working within the EV domain. </w:t>
      </w:r>
      <w:r w:rsidRPr="003C3597">
        <w:rPr>
          <w:rFonts w:ascii="Times New Roman" w:hAnsi="Times New Roman" w:cs="Times New Roman"/>
          <w:color w:val="000000"/>
        </w:rPr>
        <w:t xml:space="preserve">Another contribution is to address a gap in the EV-oriented literature where many surveys have been developed to this point around the world, but a thorough review of the thinking that went into these is not available, to the best of our knowledge. </w:t>
      </w:r>
    </w:p>
    <w:p w14:paraId="2DCAE24C" w14:textId="77777777" w:rsidR="003C3597" w:rsidRPr="003C3597" w:rsidRDefault="003C3597" w:rsidP="003C3597">
      <w:pPr>
        <w:rPr>
          <w:rFonts w:ascii="Times New Roman" w:hAnsi="Times New Roman" w:cs="Times New Roman"/>
          <w:color w:val="000000"/>
          <w:lang w:val="en-US"/>
        </w:rPr>
      </w:pPr>
      <w:r w:rsidRPr="003C3597">
        <w:rPr>
          <w:rFonts w:ascii="Times New Roman" w:hAnsi="Times New Roman" w:cs="Times New Roman"/>
          <w:color w:val="000000"/>
          <w:lang w:val="en-US"/>
        </w:rPr>
        <w:lastRenderedPageBreak/>
        <w:t xml:space="preserve">The remainder of this paper is organized as follows. Section </w:t>
      </w:r>
      <w:r w:rsidR="00840C3D">
        <w:rPr>
          <w:rFonts w:ascii="Times New Roman" w:hAnsi="Times New Roman" w:cs="Times New Roman"/>
          <w:color w:val="000000"/>
          <w:lang w:val="en-US"/>
        </w:rPr>
        <w:t>2.</w:t>
      </w:r>
      <w:r w:rsidRPr="003C3597">
        <w:rPr>
          <w:rFonts w:ascii="Times New Roman" w:hAnsi="Times New Roman" w:cs="Times New Roman"/>
          <w:color w:val="000000"/>
          <w:lang w:val="en-US"/>
        </w:rPr>
        <w:t>2</w:t>
      </w:r>
      <w:r w:rsidRPr="003C3597" w:rsidDel="009108F6">
        <w:rPr>
          <w:rFonts w:ascii="Times New Roman" w:hAnsi="Times New Roman" w:cs="Times New Roman"/>
          <w:color w:val="000000"/>
          <w:lang w:val="en-US"/>
        </w:rPr>
        <w:t xml:space="preserve"> </w:t>
      </w:r>
      <w:r w:rsidRPr="003C3597">
        <w:rPr>
          <w:rFonts w:ascii="Times New Roman" w:hAnsi="Times New Roman" w:cs="Times New Roman"/>
          <w:color w:val="000000"/>
          <w:lang w:val="en-US"/>
        </w:rPr>
        <w:t>provides an overview of the survey instrument and describes the content of SPACE</w:t>
      </w:r>
      <w:r w:rsidRPr="003C3597" w:rsidDel="00493D6D">
        <w:rPr>
          <w:rFonts w:ascii="Times New Roman" w:hAnsi="Times New Roman" w:cs="Times New Roman"/>
          <w:color w:val="000000"/>
          <w:lang w:val="en-US"/>
        </w:rPr>
        <w:t xml:space="preserve"> </w:t>
      </w:r>
      <w:r w:rsidRPr="003C3597">
        <w:rPr>
          <w:rFonts w:ascii="Times New Roman" w:hAnsi="Times New Roman" w:cs="Times New Roman"/>
          <w:color w:val="000000"/>
          <w:lang w:val="en-US"/>
        </w:rPr>
        <w:t>and rationale for our target population. Having provided the necessary context</w:t>
      </w:r>
      <w:r w:rsidRPr="003C3597" w:rsidDel="00514799">
        <w:rPr>
          <w:rFonts w:ascii="Times New Roman" w:hAnsi="Times New Roman" w:cs="Times New Roman"/>
          <w:color w:val="000000"/>
          <w:lang w:val="en-US"/>
        </w:rPr>
        <w:t xml:space="preserve">, </w:t>
      </w:r>
      <w:r w:rsidRPr="003C3597">
        <w:rPr>
          <w:rFonts w:ascii="Times New Roman" w:hAnsi="Times New Roman" w:cs="Times New Roman"/>
          <w:color w:val="000000"/>
          <w:lang w:val="en-US"/>
        </w:rPr>
        <w:t xml:space="preserve">Sections </w:t>
      </w:r>
      <w:r w:rsidR="00840C3D">
        <w:rPr>
          <w:rFonts w:ascii="Times New Roman" w:hAnsi="Times New Roman" w:cs="Times New Roman"/>
          <w:color w:val="000000"/>
          <w:lang w:val="en-US"/>
        </w:rPr>
        <w:t>2.</w:t>
      </w:r>
      <w:r w:rsidRPr="003C3597">
        <w:rPr>
          <w:rFonts w:ascii="Times New Roman" w:hAnsi="Times New Roman" w:cs="Times New Roman"/>
          <w:color w:val="000000"/>
          <w:lang w:val="en-US"/>
        </w:rPr>
        <w:t xml:space="preserve">3 and </w:t>
      </w:r>
      <w:r w:rsidR="00840C3D">
        <w:rPr>
          <w:rFonts w:ascii="Times New Roman" w:hAnsi="Times New Roman" w:cs="Times New Roman"/>
          <w:color w:val="000000"/>
          <w:lang w:val="en-US"/>
        </w:rPr>
        <w:t>2.</w:t>
      </w:r>
      <w:r w:rsidRPr="003C3597">
        <w:rPr>
          <w:rFonts w:ascii="Times New Roman" w:hAnsi="Times New Roman" w:cs="Times New Roman"/>
          <w:color w:val="000000"/>
          <w:lang w:val="en-US"/>
        </w:rPr>
        <w:t>4 move on to explore, in some depth</w:t>
      </w:r>
      <w:r w:rsidRPr="003C3597" w:rsidDel="00514799">
        <w:rPr>
          <w:rFonts w:ascii="Times New Roman" w:hAnsi="Times New Roman" w:cs="Times New Roman"/>
          <w:color w:val="000000"/>
          <w:lang w:val="en-US"/>
        </w:rPr>
        <w:t xml:space="preserve">, </w:t>
      </w:r>
      <w:r w:rsidRPr="003C3597">
        <w:rPr>
          <w:rFonts w:ascii="Times New Roman" w:hAnsi="Times New Roman" w:cs="Times New Roman"/>
          <w:color w:val="000000"/>
          <w:lang w:val="en-US"/>
        </w:rPr>
        <w:t>the important decision-making that was linked to the survey development and the significant and novel aspects of the main survey instrument.</w:t>
      </w:r>
      <w:r w:rsidRPr="003C3597" w:rsidDel="00493D6D">
        <w:rPr>
          <w:rFonts w:ascii="Times New Roman" w:hAnsi="Times New Roman" w:cs="Times New Roman"/>
          <w:color w:val="000000"/>
          <w:lang w:val="en-US"/>
        </w:rPr>
        <w:t xml:space="preserve"> </w:t>
      </w:r>
      <w:r w:rsidRPr="003C3597">
        <w:rPr>
          <w:rFonts w:ascii="Times New Roman" w:hAnsi="Times New Roman" w:cs="Times New Roman"/>
          <w:color w:val="000000"/>
          <w:lang w:val="en-US"/>
        </w:rPr>
        <w:t xml:space="preserve">As will be seen, Section </w:t>
      </w:r>
      <w:r w:rsidR="00840C3D">
        <w:rPr>
          <w:rFonts w:ascii="Times New Roman" w:hAnsi="Times New Roman" w:cs="Times New Roman"/>
          <w:color w:val="000000"/>
          <w:lang w:val="en-US"/>
        </w:rPr>
        <w:t>2.</w:t>
      </w:r>
      <w:r w:rsidRPr="003C3597">
        <w:rPr>
          <w:rFonts w:ascii="Times New Roman" w:hAnsi="Times New Roman" w:cs="Times New Roman"/>
          <w:color w:val="000000"/>
          <w:lang w:val="en-US"/>
        </w:rPr>
        <w:t xml:space="preserve">3 is more weighted to the important decisions and Section </w:t>
      </w:r>
      <w:r w:rsidR="00840C3D">
        <w:rPr>
          <w:rFonts w:ascii="Times New Roman" w:hAnsi="Times New Roman" w:cs="Times New Roman"/>
          <w:color w:val="000000"/>
          <w:lang w:val="en-US"/>
        </w:rPr>
        <w:t>2.</w:t>
      </w:r>
      <w:r w:rsidRPr="003C3597">
        <w:rPr>
          <w:rFonts w:ascii="Times New Roman" w:hAnsi="Times New Roman" w:cs="Times New Roman"/>
          <w:color w:val="000000"/>
          <w:lang w:val="en-US"/>
        </w:rPr>
        <w:t>4 is more weighted to novel aspects.</w:t>
      </w:r>
      <w:r w:rsidRPr="003C3597" w:rsidDel="00514799">
        <w:rPr>
          <w:rFonts w:ascii="Times New Roman" w:hAnsi="Times New Roman" w:cs="Times New Roman"/>
          <w:color w:val="000000"/>
          <w:lang w:val="en-US"/>
        </w:rPr>
        <w:t xml:space="preserve"> </w:t>
      </w:r>
      <w:r w:rsidRPr="003C3597">
        <w:rPr>
          <w:rFonts w:ascii="Times New Roman" w:hAnsi="Times New Roman" w:cs="Times New Roman"/>
          <w:color w:val="000000"/>
          <w:lang w:val="en-US"/>
        </w:rPr>
        <w:t>A concluding section synthesizes the results of our retrospective look at the development of SPACE.</w:t>
      </w:r>
    </w:p>
    <w:p w14:paraId="5B585799" w14:textId="77777777" w:rsidR="003C3597" w:rsidRPr="00B00A98" w:rsidRDefault="003C3597" w:rsidP="00E1100F">
      <w:pPr>
        <w:pStyle w:val="ListParagraph"/>
        <w:numPr>
          <w:ilvl w:val="1"/>
          <w:numId w:val="8"/>
        </w:numPr>
        <w:outlineLvl w:val="1"/>
        <w:rPr>
          <w:rFonts w:ascii="Times New Roman" w:hAnsi="Times New Roman" w:cs="Times New Roman"/>
          <w:b/>
          <w:color w:val="000000"/>
        </w:rPr>
      </w:pPr>
      <w:bookmarkStart w:id="22" w:name="_Toc528650852"/>
      <w:r w:rsidRPr="00B00A98">
        <w:rPr>
          <w:rFonts w:ascii="Times New Roman" w:hAnsi="Times New Roman" w:cs="Times New Roman"/>
          <w:b/>
          <w:color w:val="000000"/>
        </w:rPr>
        <w:t>Overview of the Survey Instrument and Rationale for Target Population</w:t>
      </w:r>
      <w:bookmarkEnd w:id="22"/>
      <w:r w:rsidRPr="00B00A98">
        <w:rPr>
          <w:rFonts w:ascii="Times New Roman" w:hAnsi="Times New Roman" w:cs="Times New Roman"/>
          <w:b/>
          <w:color w:val="000000"/>
        </w:rPr>
        <w:t xml:space="preserve"> </w:t>
      </w:r>
    </w:p>
    <w:p w14:paraId="67256830"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SPACE is designed to investigate factors as they relate to the choice of vehicle powertrain. The main idea is to collect data on potential car buyers</w:t>
      </w:r>
      <w:r w:rsidR="004D01AC">
        <w:rPr>
          <w:rFonts w:ascii="Times New Roman" w:hAnsi="Times New Roman" w:cs="Times New Roman"/>
          <w:color w:val="000000"/>
        </w:rPr>
        <w:t>/leasers</w:t>
      </w:r>
      <w:r w:rsidRPr="003C3597">
        <w:rPr>
          <w:rFonts w:ascii="Times New Roman" w:hAnsi="Times New Roman" w:cs="Times New Roman"/>
          <w:color w:val="000000"/>
        </w:rPr>
        <w:t xml:space="preserve"> of all types, with an objective to capture a wide range of population segments and assess their interest in acquiring an electric vehicle across these segments. The</w:t>
      </w:r>
      <w:r w:rsidRPr="003C3597" w:rsidDel="00F83F33">
        <w:rPr>
          <w:rFonts w:ascii="Times New Roman" w:hAnsi="Times New Roman" w:cs="Times New Roman"/>
          <w:color w:val="000000"/>
        </w:rPr>
        <w:t xml:space="preserve"> </w:t>
      </w:r>
      <w:r w:rsidRPr="003C3597">
        <w:rPr>
          <w:rFonts w:ascii="Times New Roman" w:hAnsi="Times New Roman" w:cs="Times New Roman"/>
          <w:color w:val="000000"/>
        </w:rPr>
        <w:t xml:space="preserve">sampling approach is thus not highly targeted compared to several past EV studies that recruited people, for example, on the basis of a vehicle purchase within the previous or the upcoming year following survey deployment or with a focus on new vehicle buyers (e.g. Hackbarth &amp; Madlener, 2013; Mabit and Fosgerau, 2011; Axsen et al., 2015). </w:t>
      </w:r>
    </w:p>
    <w:p w14:paraId="211AF0F3"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The design of SPACE is aligned with what we planned to do with the data as part of a larger project. For example, we intended to characterize the future potential for EVs in thousands of small geographies across Canada. The collection of 20,520 observations allows us to work with segments of the overall sample and still have a significant and meaningful sample within each segment. It also provides a great deal of flexibility to access the data and answer specific research questions </w:t>
      </w:r>
      <w:r w:rsidRPr="003C3597">
        <w:rPr>
          <w:rFonts w:ascii="Times New Roman" w:hAnsi="Times New Roman" w:cs="Times New Roman"/>
          <w:color w:val="000000"/>
        </w:rPr>
        <w:lastRenderedPageBreak/>
        <w:t>that may come up after the fact. Even with a large sample, it was decided not</w:t>
      </w:r>
      <w:r w:rsidRPr="003C3597" w:rsidDel="005E5E89">
        <w:rPr>
          <w:rFonts w:ascii="Times New Roman" w:hAnsi="Times New Roman" w:cs="Times New Roman"/>
          <w:color w:val="000000"/>
        </w:rPr>
        <w:t xml:space="preserve"> </w:t>
      </w:r>
      <w:r w:rsidRPr="003C3597">
        <w:rPr>
          <w:rFonts w:ascii="Times New Roman" w:hAnsi="Times New Roman" w:cs="Times New Roman"/>
          <w:color w:val="000000"/>
        </w:rPr>
        <w:t xml:space="preserve">to allocate budget to people who stated little or no likelihood to acquire a vehicle. This has implications on the inclusion of our screening criteria as those with near zero intention of acquiring a vehicle in the </w:t>
      </w:r>
      <w:r w:rsidR="002D68C2">
        <w:rPr>
          <w:rFonts w:ascii="Times New Roman" w:hAnsi="Times New Roman" w:cs="Times New Roman"/>
          <w:color w:val="000000"/>
        </w:rPr>
        <w:t>“</w:t>
      </w:r>
      <w:r w:rsidRPr="003C3597">
        <w:rPr>
          <w:rFonts w:ascii="Times New Roman" w:hAnsi="Times New Roman" w:cs="Times New Roman"/>
          <w:color w:val="000000"/>
        </w:rPr>
        <w:t>foreseeable</w:t>
      </w:r>
      <w:r w:rsidR="002D68C2">
        <w:rPr>
          <w:rFonts w:ascii="Times New Roman" w:hAnsi="Times New Roman" w:cs="Times New Roman"/>
          <w:color w:val="000000"/>
        </w:rPr>
        <w:t>”</w:t>
      </w:r>
      <w:r w:rsidRPr="003C3597">
        <w:rPr>
          <w:rFonts w:ascii="Times New Roman" w:hAnsi="Times New Roman" w:cs="Times New Roman"/>
          <w:color w:val="000000"/>
        </w:rPr>
        <w:t xml:space="preserve"> future were excluded from the survey (See section 3.2). </w:t>
      </w:r>
    </w:p>
    <w:p w14:paraId="219A6941"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Table 2</w:t>
      </w:r>
      <w:r w:rsidR="003A4D95">
        <w:rPr>
          <w:rFonts w:ascii="Times New Roman" w:hAnsi="Times New Roman" w:cs="Times New Roman"/>
          <w:color w:val="000000"/>
        </w:rPr>
        <w:t>.2</w:t>
      </w:r>
      <w:r w:rsidRPr="003C3597">
        <w:rPr>
          <w:rFonts w:ascii="Times New Roman" w:hAnsi="Times New Roman" w:cs="Times New Roman"/>
          <w:color w:val="000000"/>
        </w:rPr>
        <w:t xml:space="preserve"> provides an overview of the six primary survey sections and the specific elements included in each. The survey started with an introductory script emphasizing the aim and scope of the project as well as other general information about the survey including sections, expected completion time, and contact information. The first section contained the household </w:t>
      </w:r>
      <w:r w:rsidRPr="003C3597">
        <w:rPr>
          <w:rFonts w:ascii="Times New Roman" w:hAnsi="Times New Roman" w:cs="Times New Roman"/>
          <w:i/>
          <w:iCs/>
          <w:color w:val="000000"/>
        </w:rPr>
        <w:t>current vehicle inventory</w:t>
      </w:r>
      <w:r w:rsidRPr="003C3597">
        <w:rPr>
          <w:rFonts w:ascii="Times New Roman" w:hAnsi="Times New Roman" w:cs="Times New Roman"/>
          <w:color w:val="000000"/>
        </w:rPr>
        <w:t xml:space="preserve"> and </w:t>
      </w:r>
      <w:r w:rsidRPr="003C3597">
        <w:rPr>
          <w:rFonts w:ascii="Times New Roman" w:hAnsi="Times New Roman" w:cs="Times New Roman"/>
          <w:i/>
          <w:iCs/>
          <w:color w:val="000000"/>
        </w:rPr>
        <w:t>travel patterns</w:t>
      </w:r>
      <w:r w:rsidRPr="003C3597">
        <w:rPr>
          <w:rFonts w:ascii="Times New Roman" w:hAnsi="Times New Roman" w:cs="Times New Roman"/>
          <w:color w:val="000000"/>
        </w:rPr>
        <w:t>. This section gathered vehicle-specific data on</w:t>
      </w:r>
      <w:r w:rsidRPr="003C3597" w:rsidDel="00B01CD5">
        <w:rPr>
          <w:rFonts w:ascii="Times New Roman" w:hAnsi="Times New Roman" w:cs="Times New Roman"/>
          <w:color w:val="000000"/>
        </w:rPr>
        <w:t xml:space="preserve"> </w:t>
      </w:r>
      <w:r w:rsidRPr="003C3597">
        <w:rPr>
          <w:rFonts w:ascii="Times New Roman" w:hAnsi="Times New Roman" w:cs="Times New Roman"/>
          <w:color w:val="000000"/>
        </w:rPr>
        <w:t>make, model, year, fuel type, residential parking circumstances, and number of registered vehicles for the household. A detailed hierarchical drop-down list of all makes and models</w:t>
      </w:r>
      <w:r w:rsidRPr="003C3597" w:rsidDel="00B01CD5">
        <w:rPr>
          <w:rFonts w:ascii="Times New Roman" w:hAnsi="Times New Roman" w:cs="Times New Roman"/>
          <w:color w:val="000000"/>
        </w:rPr>
        <w:t xml:space="preserve"> </w:t>
      </w:r>
      <w:r w:rsidRPr="003C3597">
        <w:rPr>
          <w:rFonts w:ascii="Times New Roman" w:hAnsi="Times New Roman" w:cs="Times New Roman"/>
          <w:color w:val="000000"/>
        </w:rPr>
        <w:t>available in the Canadian new and used vehicle markets was developed to assist participants in reporting their vehicles. We collected this information for up to four vehicles registered by a household. This section also collected data on the travel patterns of the household with an emphasis on two aspects: the degree of reliance on different mobility modes, and daily/monthly trip frequencies and driven distances for each vehicle. Note that the sample also included households without a vehicle at the time. These households skipped this section as vehicle inventory and travel patterns did not apply for them.</w:t>
      </w:r>
    </w:p>
    <w:p w14:paraId="3BC4A753"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The second section covered the household </w:t>
      </w:r>
      <w:r w:rsidRPr="003C3597">
        <w:rPr>
          <w:rFonts w:ascii="Times New Roman" w:hAnsi="Times New Roman" w:cs="Times New Roman"/>
          <w:i/>
          <w:iCs/>
          <w:color w:val="000000"/>
        </w:rPr>
        <w:t>purchase/lease plan</w:t>
      </w:r>
      <w:r w:rsidRPr="003C3597">
        <w:rPr>
          <w:rFonts w:ascii="Times New Roman" w:hAnsi="Times New Roman" w:cs="Times New Roman"/>
          <w:color w:val="000000"/>
        </w:rPr>
        <w:t xml:space="preserve"> including their expected vehicle type, price, and timing of purchase/lease. This part contained a variety of supporting questions, particularly, the ones that play a more critical role in an EV purchase/lease decision such </w:t>
      </w:r>
      <w:r w:rsidRPr="003C3597">
        <w:rPr>
          <w:rFonts w:ascii="Times New Roman" w:hAnsi="Times New Roman" w:cs="Times New Roman"/>
          <w:color w:val="000000"/>
        </w:rPr>
        <w:lastRenderedPageBreak/>
        <w:t xml:space="preserve">as replacement vs. additional car , and new vs. used car purchase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{"citationItems":[{"id":"ITEM-1","itemData":{"DOI":"10.1179/1942787514Y.0000000022","ISSN":"1942-7867","abstract":"This paper analyses the practice of SP surveys for Electric Vehicles and identifies a number of their limitations. Specifically it is found that SP surveys may not represent adequately several dimensions that are relevant in the context of EV purchase such as garage ownership, second versus first car, refuelling conditions, and that they often neglect transitory technologies (Plug in Hybrid) which are instead an important element in the diffusion of EVs. This paper also provides a number of recommendations for practitioners to conceive more realistic SP surveys which could increase the validity of policy recommendations formulated by economists.","author":[{"dropping-particle":"","family":"Massiani","given":"Jérôme","non-dropping-particle":"","parse-names":false,"suffix":""}],"container-title":"Transportation Letters","id":"ITEM-1","issue":"3","issued":{"date-parts":[["2014"]]},"page":"152-160","title":"Stated preference surveys for electric and alternative fuel vehicles: are we doing the right thing?","type":"article-journal","volume":"6"},"uris":["http://www.mendeley.com/documents/?uuid=325b9264-29b9-4913-bcf1-9ee37773c8f3"]}],"mendeley":{"formattedCitation":"(Massiani, 2014)","manualFormatting":"(Massiani 2014)","plainTextFormattedCitation":"(Massiani, 2014)","previouslyFormattedCitation":"(Massiani, 2014)"},"properties":{"noteIndex":0},"schema":"https://github.com/citation-style-language/schema/raw/master/csl-citation.json"}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(Massiani 2014)</w:t>
      </w:r>
      <w:r w:rsidRPr="003C3597">
        <w:rPr>
          <w:rFonts w:ascii="Times New Roman" w:hAnsi="Times New Roman" w:cs="Times New Roman"/>
          <w:color w:val="000000"/>
        </w:rPr>
        <w:fldChar w:fldCharType="end"/>
      </w:r>
      <w:r w:rsidRPr="003C3597">
        <w:rPr>
          <w:rFonts w:ascii="Times New Roman" w:hAnsi="Times New Roman" w:cs="Times New Roman"/>
          <w:color w:val="000000"/>
        </w:rPr>
        <w:t>. The time horizon for acquiring a vehicle as well as reasons and budget for their purchase/lease were investigated here. A Likert-scale matrix was included in this section to measure the importance of some vehicle attributes (e.g. cargo space, etc.). They were collected to obtain a separate viewpoint on vehicle attributes from the insight that would emerge from the SP scenarios.</w:t>
      </w:r>
    </w:p>
    <w:p w14:paraId="0253E449"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i/>
          <w:iCs/>
          <w:color w:val="000000"/>
        </w:rPr>
        <w:t>Attitudinal statements</w:t>
      </w:r>
      <w:r w:rsidRPr="003C3597">
        <w:rPr>
          <w:rFonts w:ascii="Times New Roman" w:hAnsi="Times New Roman" w:cs="Times New Roman"/>
          <w:color w:val="000000"/>
        </w:rPr>
        <w:t xml:space="preserve"> comprised section five of SPACE and captured the behavioural intentions of participants to purchase an electric vehicle. We developed thirty</w:t>
      </w:r>
      <w:r w:rsidRPr="003C3597" w:rsidDel="00357390">
        <w:rPr>
          <w:rFonts w:ascii="Times New Roman" w:hAnsi="Times New Roman" w:cs="Times New Roman"/>
          <w:color w:val="000000"/>
        </w:rPr>
        <w:t xml:space="preserve"> </w:t>
      </w:r>
      <w:r w:rsidRPr="003C3597">
        <w:rPr>
          <w:rFonts w:ascii="Times New Roman" w:hAnsi="Times New Roman" w:cs="Times New Roman"/>
          <w:color w:val="000000"/>
        </w:rPr>
        <w:t xml:space="preserve">items based on an extended theory of planned behaviour that were structured around six constructs related to EV purchase decision: environmental concern, attitude, social norm, personal moral norm, perceived behavioural control, and behavioural intention. Although independently the attitudinal factors provided comprehensive analyses of the behavioural factor influencing EV adoption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{"citationItems":[{"id":"ITEM-1","itemData":{"DOI":"10.1016/j.tranpol.2016.07.006","ISSN":"1879310X","abstract":"This article presents a two-stage structural equation modelling and segmentation process to identify likely electric vehicle adopters in Canada. Using a sample of 3505 households who have expressed an interest in the future purchase of an economy car, the paper operationalizes an extended version of the Theory of Planned Behaviour in a structural equation model to quantify the impacts of personal beliefs on individual adoption intention towards electric vehicles. Model results show that attitude, perceived behavioural control, and norms (moral and subjective) have significant direct impacts on behavioural intention, while a household's concern for the environment has an indirect impact. Age, level of employment, and employment status are identified, among other variables, to significantly influence the adoption intention. Collectively, findings indicate that beliefs vary across socioeconomic and demographic characteristics. To best characterize the most likely group of early adopters, we then conduct a Two-Step cluster analysis on households with a high demonstrated intention to adopt EVs. This results in three distinct socio-economic and demographic segments: Typical Early Adopters, Emerging Early Adopters, and Interested Retirees. Each have their own unique socioeconomic and demographic profile. Insights derived from this work can help tailor marketing strategies that are important for accelerating the adoption of electric vehicles in the future.","author":[{"dropping-particle":"","family":"Mohamed","given":"Moataz","non-dropping-particle":"","parse-names":false,"suffix":""},{"dropping-particle":"","family":"Higgins","given":"Chris","non-dropping-particle":"","parse-names":false,"suffix":""},{"dropping-particle":"","family":"Ferguson","given":"Mark","non-dropping-particle":"","parse-names":false,"suffix":""},{"dropping-particle":"","family":"Kanaroglou","given":"Pavlos","non-dropping-particle":"","parse-names":false,"suffix":""}],"container-title":"Transport Policy","id":"ITEM-1","issued":{"date-parts":[["2016"]]},"page":"100-112","publisher":"Elsevier","title":"Identifying and characterizing potential electric vehicle adopters in Canada: A two-stage modelling approach","type":"article-journal","volume":"52"},"uris":["http://www.mendeley.com/documents/?uuid=d6e0e4bd-af38-40f8-9373-f73b76827c48"]}],"mendeley":{"formattedCitation":"(Mohamed, Higgins, Ferguson, &amp; Kanaroglou, 2016)","manualFormatting":"(Mohamed et al., 2016)","plainTextFormattedCitation":"(Mohamed, Higgins, Ferguson, &amp; Kanaroglou, 2016)","previouslyFormattedCitation":"(Mohamed, Higgins, Ferguson, &amp; Kanaroglou, 2016)"},"properties":{"noteIndex":0},"schema":"https://github.com/citation-style-language/schema/raw/master/csl-citation.json"}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(Mohamed et al., 2016)</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it also provided a strong ground that could be integrated in econometric analysis to explain heterogeneity within the sample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{"citationItems":[{"id":"ITEM-1","itemData":{"DOI":"10.1016/j.trd.2017.12.006","ISSN":"13619209","abstract":"This paper reports on results developed from a 2015 national survey of Canadian consumers that sought to assess attitudes and preferences towards consumer electric vehicles. A latent class discrete choice model was developed based on stated preferences choices. Four classes emerged with each being oriented to one of the primary vehicle technologies considered. The dominant characteristics of the Internal Combustion Engine (ICE)-oriented class are purchase price sensitivity, EV scepticism and an apparent resistance to change; for the Hybrid Electric Vehicle (HEV)-oriented class it is reluctance to plug-in and an unusual combination of high environmental concern and an acceptance to burn gasoline; for the suburban-oriented Plug-in Hybrid Electric Vehicle (PHEV)-oriented class it is measured optimism about plugging-in combined with an orientation to a replacement vehicle for the next purchase; and for the younger and most urban Battery Electric Vehicle (BEV)-oriented class it is the highest optimism about electric vehicles and a focus on positive aspects such as rapid acceleration and minimized maintenance costs. By orientation of household mindset, approximately 40% are ICE, 30% are PHEV, 20% are HEV and 10% are BEV. These results suggest considerable openness to electric vehicles. Willingness-to-pay for vehicle and charging attributes and incentives were calculated and are highly useful in interpreting the latent classes. The results feature interesting geographical variation which is captured at the level of Canadian metropolitan areas.","author":[{"dropping-particle":"","family":"Ferguson","given":"Mark","non-dropping-particle":"","parse-names":false,"suffix":""},{"dropping-particle":"","family":"Mohamed","given":"Moataz","non-dropping-particle":"","parse-names":false,"suffix":""},{"dropping-particle":"","family":"Higgins","given":"Christopher D.","non-dropping-particle":"","parse-names":false,"suffix":""},{"dropping-particle":"","family":"Abotalebi","given":"Elnaz","non-dropping-particle":"","parse-names":false,"suffix":""},{"dropping-particle":"","family":"Kanaroglou","given":"Pavlos","non-dropping-particle":"","parse-names":false,"suffix":""}],"container-title":"Transportation Research Part D: Transport and Environment","id":"ITEM-1","issued":{"date-parts":[["2018"]]},"page":"208-224","publisher":"Elsevier","title":"How open are Canadian households to electric vehicles? A national latent class choice analysis with willingness-to-pay and metropolitan characterization","type":"article-journal","volume":"58"},"uris":["http://www.mendeley.com/documents/?uuid=c615551d-f062-4882-8b38-a38c4b1fdf57"]}],"mendeley":{"formattedCitation":"(Ferguson, Mohamed, Higgins, Abotalebi, &amp; Kanaroglou, 2018)","manualFormatting":"(Ferguson et al., 2018)","plainTextFormattedCitation":"(Ferguson, Mohamed, Higgins, Abotalebi, &amp; Kanaroglou, 2018)","previouslyFormattedCitation":"(Ferguson, Mohamed, Higgins, Abotalebi, &amp; Kanaroglou, 2018)"},"properties":{"noteIndex":0},"schema":"https://github.com/citation-style-language/schema/raw/master/csl-citation.json"}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(Ferguson et al., 2018)</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w:t>
      </w:r>
    </w:p>
    <w:p w14:paraId="676982C8" w14:textId="77777777" w:rsidR="003C3597" w:rsidRPr="003C3597" w:rsidRDefault="003C3597" w:rsidP="00AB3A45">
      <w:pPr>
        <w:rPr>
          <w:rFonts w:ascii="Times New Roman" w:hAnsi="Times New Roman" w:cs="Times New Roman"/>
          <w:color w:val="000000"/>
        </w:rPr>
      </w:pPr>
      <w:r w:rsidRPr="003C3597">
        <w:rPr>
          <w:rFonts w:ascii="Times New Roman" w:hAnsi="Times New Roman" w:cs="Times New Roman"/>
          <w:color w:val="000000"/>
        </w:rPr>
        <w:t xml:space="preserve">The last part of our survey included </w:t>
      </w:r>
      <w:r w:rsidRPr="003C3597">
        <w:rPr>
          <w:rFonts w:ascii="Times New Roman" w:hAnsi="Times New Roman" w:cs="Times New Roman"/>
          <w:i/>
          <w:iCs/>
          <w:color w:val="000000"/>
        </w:rPr>
        <w:t>socioeconomic</w:t>
      </w:r>
      <w:r w:rsidRPr="003C3597">
        <w:rPr>
          <w:rFonts w:ascii="Times New Roman" w:hAnsi="Times New Roman" w:cs="Times New Roman"/>
          <w:color w:val="000000"/>
        </w:rPr>
        <w:t xml:space="preserve"> questions, which collected potentially relevant variables that could influence the choice of vehicle powertrain, such as place of residence and housing type (single family housing vs. apartments). We also collected postal codes of the household residence and workplace which provided us with valuable information for a future geodemographic analysis. Note that for the most part, SPACE took advantage of closed-ended questions to reduce the amount of effort needed from respondents. The question types of each s</w:t>
      </w:r>
      <w:r w:rsidR="00AB3A45">
        <w:rPr>
          <w:rFonts w:ascii="Times New Roman" w:hAnsi="Times New Roman" w:cs="Times New Roman"/>
          <w:color w:val="000000"/>
        </w:rPr>
        <w:t xml:space="preserve">ection are provided in Table </w:t>
      </w:r>
      <w:r w:rsidR="00B957FF">
        <w:rPr>
          <w:rFonts w:ascii="Times New Roman" w:hAnsi="Times New Roman" w:cs="Times New Roman"/>
          <w:color w:val="000000"/>
        </w:rPr>
        <w:t>2.</w:t>
      </w:r>
      <w:r w:rsidR="00AB3A45">
        <w:rPr>
          <w:rFonts w:ascii="Times New Roman" w:hAnsi="Times New Roman" w:cs="Times New Roman"/>
          <w:color w:val="000000"/>
        </w:rPr>
        <w:t>2.</w:t>
      </w:r>
    </w:p>
    <w:p w14:paraId="55CB30B0" w14:textId="77777777" w:rsidR="003C3597" w:rsidRPr="00E1100F" w:rsidRDefault="00E1100F" w:rsidP="00E1100F">
      <w:pPr>
        <w:pStyle w:val="Caption"/>
        <w:ind w:firstLine="0"/>
        <w:rPr>
          <w:rFonts w:ascii="Times New Roman" w:hAnsi="Times New Roman" w:cs="Times New Roman"/>
          <w:i w:val="0"/>
          <w:iCs w:val="0"/>
          <w:color w:val="000000"/>
          <w:sz w:val="24"/>
          <w:szCs w:val="24"/>
        </w:rPr>
      </w:pPr>
      <w:bookmarkStart w:id="23" w:name="_Toc528649787"/>
      <w:r w:rsidRPr="00E1100F">
        <w:rPr>
          <w:rFonts w:ascii="Times New Roman" w:hAnsi="Times New Roman" w:cs="Times New Roman"/>
          <w:i w:val="0"/>
          <w:iCs w:val="0"/>
          <w:color w:val="000000"/>
          <w:sz w:val="24"/>
          <w:szCs w:val="24"/>
        </w:rPr>
        <w:lastRenderedPageBreak/>
        <w:t>Table 2.</w:t>
      </w:r>
      <w:r w:rsidRPr="00E1100F">
        <w:rPr>
          <w:rFonts w:ascii="Times New Roman" w:hAnsi="Times New Roman" w:cs="Times New Roman"/>
          <w:i w:val="0"/>
          <w:iCs w:val="0"/>
          <w:color w:val="000000"/>
          <w:sz w:val="24"/>
          <w:szCs w:val="24"/>
        </w:rPr>
        <w:fldChar w:fldCharType="begin"/>
      </w:r>
      <w:r w:rsidRPr="00E1100F">
        <w:rPr>
          <w:rFonts w:ascii="Times New Roman" w:hAnsi="Times New Roman" w:cs="Times New Roman"/>
          <w:i w:val="0"/>
          <w:iCs w:val="0"/>
          <w:color w:val="000000"/>
          <w:sz w:val="24"/>
          <w:szCs w:val="24"/>
        </w:rPr>
        <w:instrText xml:space="preserve"> SEQ Table \* ARABIC </w:instrText>
      </w:r>
      <w:r w:rsidRPr="00E1100F">
        <w:rPr>
          <w:rFonts w:ascii="Times New Roman" w:hAnsi="Times New Roman" w:cs="Times New Roman"/>
          <w:i w:val="0"/>
          <w:iCs w:val="0"/>
          <w:color w:val="000000"/>
          <w:sz w:val="24"/>
          <w:szCs w:val="24"/>
        </w:rPr>
        <w:fldChar w:fldCharType="separate"/>
      </w:r>
      <w:r w:rsidR="00BC70AE">
        <w:rPr>
          <w:rFonts w:ascii="Times New Roman" w:hAnsi="Times New Roman" w:cs="Times New Roman"/>
          <w:i w:val="0"/>
          <w:iCs w:val="0"/>
          <w:noProof/>
          <w:color w:val="000000"/>
          <w:sz w:val="24"/>
          <w:szCs w:val="24"/>
        </w:rPr>
        <w:t>2</w:t>
      </w:r>
      <w:r w:rsidRPr="00E1100F">
        <w:rPr>
          <w:rFonts w:ascii="Times New Roman" w:hAnsi="Times New Roman" w:cs="Times New Roman"/>
          <w:i w:val="0"/>
          <w:iCs w:val="0"/>
          <w:color w:val="000000"/>
          <w:sz w:val="24"/>
          <w:szCs w:val="24"/>
        </w:rPr>
        <w:fldChar w:fldCharType="end"/>
      </w:r>
      <w:r w:rsidR="00545F67" w:rsidRPr="00E1100F">
        <w:rPr>
          <w:rFonts w:ascii="Times New Roman" w:hAnsi="Times New Roman" w:cs="Times New Roman"/>
          <w:i w:val="0"/>
          <w:iCs w:val="0"/>
          <w:color w:val="000000"/>
          <w:sz w:val="24"/>
          <w:szCs w:val="24"/>
        </w:rPr>
        <w:t xml:space="preserve"> </w:t>
      </w:r>
      <w:r w:rsidR="003C3597" w:rsidRPr="00E1100F">
        <w:rPr>
          <w:rFonts w:ascii="Times New Roman" w:hAnsi="Times New Roman" w:cs="Times New Roman"/>
          <w:i w:val="0"/>
          <w:iCs w:val="0"/>
          <w:color w:val="000000"/>
          <w:sz w:val="24"/>
          <w:szCs w:val="24"/>
        </w:rPr>
        <w:t>SPACE sections and question types</w:t>
      </w:r>
      <w:bookmarkEnd w:id="23"/>
    </w:p>
    <w:tbl>
      <w:tblPr>
        <w:tblStyle w:val="TableGrid"/>
        <w:tblpPr w:leftFromText="180" w:rightFromText="180" w:vertAnchor="text" w:tblpXSpec="center" w:tblpY="1"/>
        <w:tblOverlap w:val="never"/>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055"/>
        <w:gridCol w:w="5276"/>
      </w:tblGrid>
      <w:tr w:rsidR="00B00A98" w:rsidRPr="00DB2721" w14:paraId="0A7E00CE" w14:textId="77777777" w:rsidTr="0079642D">
        <w:trPr>
          <w:trHeight w:val="277"/>
        </w:trPr>
        <w:tc>
          <w:tcPr>
            <w:tcW w:w="1101" w:type="pct"/>
            <w:tcBorders>
              <w:top w:val="single" w:sz="4" w:space="0" w:color="auto"/>
              <w:bottom w:val="single" w:sz="4" w:space="0" w:color="auto"/>
            </w:tcBorders>
          </w:tcPr>
          <w:p w14:paraId="6F17AE58"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Survey sections</w:t>
            </w:r>
          </w:p>
        </w:tc>
        <w:tc>
          <w:tcPr>
            <w:tcW w:w="1093" w:type="pct"/>
            <w:tcBorders>
              <w:top w:val="single" w:sz="4" w:space="0" w:color="auto"/>
              <w:bottom w:val="single" w:sz="4" w:space="0" w:color="auto"/>
            </w:tcBorders>
          </w:tcPr>
          <w:p w14:paraId="7A886113"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Question types</w:t>
            </w:r>
          </w:p>
        </w:tc>
        <w:tc>
          <w:tcPr>
            <w:tcW w:w="2806" w:type="pct"/>
            <w:tcBorders>
              <w:top w:val="single" w:sz="4" w:space="0" w:color="auto"/>
              <w:bottom w:val="single" w:sz="4" w:space="0" w:color="auto"/>
            </w:tcBorders>
          </w:tcPr>
          <w:p w14:paraId="5D010086"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 xml:space="preserve">Survey elements </w:t>
            </w:r>
          </w:p>
        </w:tc>
      </w:tr>
      <w:tr w:rsidR="00B00A98" w:rsidRPr="00DB2721" w14:paraId="3888D251" w14:textId="77777777" w:rsidTr="0079642D">
        <w:trPr>
          <w:trHeight w:val="267"/>
        </w:trPr>
        <w:tc>
          <w:tcPr>
            <w:tcW w:w="1101" w:type="pct"/>
            <w:tcBorders>
              <w:top w:val="single" w:sz="4" w:space="0" w:color="auto"/>
            </w:tcBorders>
          </w:tcPr>
          <w:p w14:paraId="1EF1966F" w14:textId="77777777" w:rsidR="00B00A98" w:rsidRPr="0079642D" w:rsidRDefault="00B00A98" w:rsidP="0079642D">
            <w:pPr>
              <w:pStyle w:val="NoSpacing"/>
              <w:framePr w:hSpace="0" w:wrap="auto" w:vAnchor="margin" w:yAlign="inline"/>
              <w:spacing w:after="60"/>
              <w:suppressOverlap w:val="0"/>
              <w:jc w:val="left"/>
              <w:rPr>
                <w:sz w:val="18"/>
                <w:szCs w:val="18"/>
              </w:rPr>
            </w:pPr>
            <w:r w:rsidRPr="0079642D">
              <w:rPr>
                <w:sz w:val="18"/>
                <w:szCs w:val="18"/>
              </w:rPr>
              <w:t>Survey start screen</w:t>
            </w:r>
          </w:p>
        </w:tc>
        <w:tc>
          <w:tcPr>
            <w:tcW w:w="1093" w:type="pct"/>
            <w:tcBorders>
              <w:top w:val="single" w:sz="4" w:space="0" w:color="auto"/>
            </w:tcBorders>
          </w:tcPr>
          <w:p w14:paraId="3524F19F" w14:textId="77777777" w:rsidR="00B00A98" w:rsidRPr="0079642D" w:rsidRDefault="0079642D" w:rsidP="0079642D">
            <w:pPr>
              <w:pStyle w:val="NoSpacing"/>
              <w:framePr w:hSpace="0" w:wrap="auto" w:vAnchor="margin" w:yAlign="inline"/>
              <w:spacing w:after="60"/>
              <w:suppressOverlap w:val="0"/>
              <w:jc w:val="left"/>
              <w:rPr>
                <w:sz w:val="18"/>
                <w:szCs w:val="18"/>
              </w:rPr>
            </w:pPr>
            <w:r>
              <w:rPr>
                <w:sz w:val="18"/>
                <w:szCs w:val="18"/>
              </w:rPr>
              <w:t>One-page text</w:t>
            </w:r>
          </w:p>
        </w:tc>
        <w:tc>
          <w:tcPr>
            <w:tcW w:w="2806" w:type="pct"/>
            <w:tcBorders>
              <w:top w:val="single" w:sz="4" w:space="0" w:color="auto"/>
            </w:tcBorders>
          </w:tcPr>
          <w:p w14:paraId="65563DAC" w14:textId="77777777" w:rsidR="00B00A98" w:rsidRPr="0079642D" w:rsidRDefault="00B00A98" w:rsidP="0079642D">
            <w:pPr>
              <w:pStyle w:val="NoSpacing"/>
              <w:framePr w:hSpace="0" w:wrap="auto" w:vAnchor="margin" w:yAlign="inline"/>
              <w:spacing w:after="60"/>
              <w:suppressOverlap w:val="0"/>
              <w:jc w:val="left"/>
              <w:rPr>
                <w:sz w:val="18"/>
                <w:szCs w:val="18"/>
              </w:rPr>
            </w:pPr>
            <w:r w:rsidRPr="0079642D">
              <w:rPr>
                <w:sz w:val="18"/>
                <w:szCs w:val="18"/>
              </w:rPr>
              <w:t xml:space="preserve">Introduction </w:t>
            </w:r>
          </w:p>
        </w:tc>
      </w:tr>
      <w:tr w:rsidR="00B00A98" w:rsidRPr="00DB2721" w14:paraId="45E78417" w14:textId="77777777" w:rsidTr="0079642D">
        <w:trPr>
          <w:trHeight w:val="277"/>
        </w:trPr>
        <w:tc>
          <w:tcPr>
            <w:tcW w:w="1101" w:type="pct"/>
          </w:tcPr>
          <w:p w14:paraId="73F9374D" w14:textId="77777777" w:rsidR="00B00A98" w:rsidRPr="0079642D" w:rsidRDefault="00B00A98" w:rsidP="0079642D">
            <w:pPr>
              <w:pStyle w:val="NoSpacing"/>
              <w:framePr w:hSpace="0" w:wrap="auto" w:vAnchor="margin" w:yAlign="inline"/>
              <w:spacing w:after="60"/>
              <w:suppressOverlap w:val="0"/>
              <w:jc w:val="left"/>
              <w:rPr>
                <w:sz w:val="18"/>
                <w:szCs w:val="18"/>
              </w:rPr>
            </w:pPr>
            <w:r w:rsidRPr="0079642D">
              <w:rPr>
                <w:sz w:val="18"/>
                <w:szCs w:val="18"/>
              </w:rPr>
              <w:t>Screening</w:t>
            </w:r>
          </w:p>
        </w:tc>
        <w:tc>
          <w:tcPr>
            <w:tcW w:w="1093" w:type="pct"/>
          </w:tcPr>
          <w:p w14:paraId="3ACB88EC" w14:textId="77777777" w:rsidR="00B00A98" w:rsidRPr="0079642D" w:rsidRDefault="00B00A98" w:rsidP="0079642D">
            <w:pPr>
              <w:pStyle w:val="NoSpacing"/>
              <w:framePr w:hSpace="0" w:wrap="auto" w:vAnchor="margin" w:yAlign="inline"/>
              <w:spacing w:after="60"/>
              <w:suppressOverlap w:val="0"/>
              <w:jc w:val="left"/>
              <w:rPr>
                <w:sz w:val="18"/>
                <w:szCs w:val="18"/>
              </w:rPr>
            </w:pPr>
            <w:r w:rsidRPr="0079642D">
              <w:rPr>
                <w:sz w:val="18"/>
                <w:szCs w:val="18"/>
              </w:rPr>
              <w:t>Single-select questions</w:t>
            </w:r>
          </w:p>
        </w:tc>
        <w:tc>
          <w:tcPr>
            <w:tcW w:w="2806" w:type="pct"/>
          </w:tcPr>
          <w:p w14:paraId="2D509AA1" w14:textId="77777777" w:rsidR="00B00A98" w:rsidRPr="0079642D" w:rsidRDefault="00B00A98" w:rsidP="0079642D">
            <w:pPr>
              <w:pStyle w:val="NoSpacing"/>
              <w:framePr w:hSpace="0" w:wrap="auto" w:vAnchor="margin" w:yAlign="inline"/>
              <w:suppressOverlap w:val="0"/>
              <w:jc w:val="left"/>
              <w:rPr>
                <w:sz w:val="18"/>
                <w:szCs w:val="18"/>
              </w:rPr>
            </w:pPr>
            <w:r w:rsidRPr="0079642D">
              <w:rPr>
                <w:sz w:val="18"/>
                <w:szCs w:val="18"/>
              </w:rPr>
              <w:t>Age</w:t>
            </w:r>
          </w:p>
          <w:p w14:paraId="0848E49D" w14:textId="77777777" w:rsidR="00B00A98" w:rsidRPr="0079642D" w:rsidRDefault="00B00A98" w:rsidP="0079642D">
            <w:pPr>
              <w:pStyle w:val="NoSpacing"/>
              <w:framePr w:hSpace="0" w:wrap="auto" w:vAnchor="margin" w:yAlign="inline"/>
              <w:suppressOverlap w:val="0"/>
              <w:jc w:val="left"/>
              <w:rPr>
                <w:sz w:val="18"/>
                <w:szCs w:val="18"/>
              </w:rPr>
            </w:pPr>
            <w:r w:rsidRPr="0079642D">
              <w:rPr>
                <w:sz w:val="18"/>
                <w:szCs w:val="18"/>
              </w:rPr>
              <w:t>If a household decision-maker or not</w:t>
            </w:r>
          </w:p>
          <w:p w14:paraId="6F771181" w14:textId="77777777" w:rsidR="00B00A98" w:rsidRPr="0079642D" w:rsidRDefault="00B00A98" w:rsidP="0079642D">
            <w:pPr>
              <w:pStyle w:val="NoSpacing"/>
              <w:framePr w:hSpace="0" w:wrap="auto" w:vAnchor="margin" w:yAlign="inline"/>
              <w:spacing w:after="60"/>
              <w:suppressOverlap w:val="0"/>
              <w:jc w:val="left"/>
              <w:rPr>
                <w:sz w:val="18"/>
                <w:szCs w:val="18"/>
              </w:rPr>
            </w:pPr>
            <w:r w:rsidRPr="0079642D">
              <w:rPr>
                <w:sz w:val="18"/>
                <w:szCs w:val="18"/>
              </w:rPr>
              <w:t>Likelihood to acquire a household vehicle in the future (replacement or incremental)</w:t>
            </w:r>
          </w:p>
        </w:tc>
      </w:tr>
      <w:tr w:rsidR="00B00A98" w:rsidRPr="00DB2721" w14:paraId="40F60A3B" w14:textId="77777777" w:rsidTr="0079642D">
        <w:trPr>
          <w:trHeight w:val="665"/>
        </w:trPr>
        <w:tc>
          <w:tcPr>
            <w:tcW w:w="1101" w:type="pct"/>
          </w:tcPr>
          <w:p w14:paraId="5DC33481"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 xml:space="preserve">Section 1: </w:t>
            </w:r>
          </w:p>
          <w:p w14:paraId="24C22403"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Current vehicles and travel pattern</w:t>
            </w:r>
          </w:p>
        </w:tc>
        <w:tc>
          <w:tcPr>
            <w:tcW w:w="1093" w:type="pct"/>
          </w:tcPr>
          <w:p w14:paraId="46EC5730"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 xml:space="preserve">Drop-down lists and Single-select questions </w:t>
            </w:r>
          </w:p>
        </w:tc>
        <w:tc>
          <w:tcPr>
            <w:tcW w:w="2806" w:type="pct"/>
          </w:tcPr>
          <w:p w14:paraId="73D9ACF1"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Number of registered vehicles in household</w:t>
            </w:r>
          </w:p>
          <w:p w14:paraId="00CC97F6"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 xml:space="preserve">Make/model/year of vehicles </w:t>
            </w:r>
          </w:p>
          <w:p w14:paraId="43EE55F7"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Ownership status (e.g. owned or leased)</w:t>
            </w:r>
          </w:p>
          <w:p w14:paraId="2964B4E8"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Fuel type</w:t>
            </w:r>
          </w:p>
          <w:p w14:paraId="177CF4DC"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Household parking context and exposure to weather</w:t>
            </w:r>
          </w:p>
          <w:p w14:paraId="2FCA67D3"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 xml:space="preserve">Access to electrical outlets </w:t>
            </w:r>
          </w:p>
          <w:p w14:paraId="02FDE392"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Average number of trips per weekday/weekend per vehicle</w:t>
            </w:r>
          </w:p>
          <w:p w14:paraId="61100A50"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Average kilometers driven per weekday/weekend per vehicle</w:t>
            </w:r>
          </w:p>
          <w:p w14:paraId="3F689AB2"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 xml:space="preserve">Estimated monthly number of high mileage days </w:t>
            </w:r>
          </w:p>
          <w:p w14:paraId="2B038445" w14:textId="77777777" w:rsidR="00B00A98" w:rsidRPr="0079642D" w:rsidRDefault="00B00A98" w:rsidP="0079642D">
            <w:pPr>
              <w:pStyle w:val="NoSpacing"/>
              <w:framePr w:hSpace="0" w:wrap="auto" w:vAnchor="margin" w:yAlign="inline"/>
              <w:spacing w:after="60"/>
              <w:suppressOverlap w:val="0"/>
              <w:jc w:val="left"/>
              <w:rPr>
                <w:sz w:val="18"/>
                <w:szCs w:val="18"/>
              </w:rPr>
            </w:pPr>
            <w:r w:rsidRPr="0079642D">
              <w:rPr>
                <w:sz w:val="18"/>
                <w:szCs w:val="18"/>
              </w:rPr>
              <w:t xml:space="preserve">Average annual kilometers </w:t>
            </w:r>
          </w:p>
        </w:tc>
      </w:tr>
      <w:tr w:rsidR="00B00A98" w:rsidRPr="00DB2721" w14:paraId="5ED27174" w14:textId="77777777" w:rsidTr="0079642D">
        <w:trPr>
          <w:trHeight w:val="546"/>
        </w:trPr>
        <w:tc>
          <w:tcPr>
            <w:tcW w:w="1101" w:type="pct"/>
          </w:tcPr>
          <w:p w14:paraId="39F357FE"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 xml:space="preserve">Section 2: </w:t>
            </w:r>
          </w:p>
          <w:p w14:paraId="47838DF4"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Vehicle purchase/lease plan</w:t>
            </w:r>
          </w:p>
          <w:p w14:paraId="1CE9ABF3" w14:textId="77777777" w:rsidR="00B00A98" w:rsidRPr="0079642D" w:rsidRDefault="00B00A98" w:rsidP="00B00A98">
            <w:pPr>
              <w:pStyle w:val="NoSpacing"/>
              <w:framePr w:hSpace="0" w:wrap="auto" w:vAnchor="margin" w:yAlign="inline"/>
              <w:suppressOverlap w:val="0"/>
              <w:jc w:val="left"/>
              <w:rPr>
                <w:sz w:val="18"/>
                <w:szCs w:val="18"/>
              </w:rPr>
            </w:pPr>
          </w:p>
        </w:tc>
        <w:tc>
          <w:tcPr>
            <w:tcW w:w="1093" w:type="pct"/>
          </w:tcPr>
          <w:p w14:paraId="4B7648BE"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 xml:space="preserve">Single-select questions and Likert-scale matrix </w:t>
            </w:r>
          </w:p>
        </w:tc>
        <w:tc>
          <w:tcPr>
            <w:tcW w:w="2806" w:type="pct"/>
          </w:tcPr>
          <w:p w14:paraId="13D17519"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 xml:space="preserve">Number of years before vehicle replacement </w:t>
            </w:r>
          </w:p>
          <w:p w14:paraId="6585EBEA"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 xml:space="preserve">Number of years until next vehicle purchase/lease </w:t>
            </w:r>
          </w:p>
          <w:p w14:paraId="5DB853D0"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 xml:space="preserve">Replacement or incremental vehicle purchase/lease  </w:t>
            </w:r>
          </w:p>
          <w:p w14:paraId="03742A4F"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 xml:space="preserve">Reason for vehicle purchase/lease  </w:t>
            </w:r>
          </w:p>
          <w:p w14:paraId="1A87C0B7"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Expected purchase/lease price</w:t>
            </w:r>
          </w:p>
          <w:p w14:paraId="64F8DFCE"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 xml:space="preserve">New or used </w:t>
            </w:r>
          </w:p>
          <w:p w14:paraId="3AAECBEF" w14:textId="77777777" w:rsidR="00B00A98" w:rsidRPr="0079642D" w:rsidRDefault="00B00A98" w:rsidP="0079642D">
            <w:pPr>
              <w:pStyle w:val="NoSpacing"/>
              <w:framePr w:hSpace="0" w:wrap="auto" w:vAnchor="margin" w:yAlign="inline"/>
              <w:spacing w:after="60"/>
              <w:suppressOverlap w:val="0"/>
              <w:jc w:val="left"/>
              <w:rPr>
                <w:sz w:val="18"/>
                <w:szCs w:val="18"/>
              </w:rPr>
            </w:pPr>
            <w:r w:rsidRPr="0079642D">
              <w:rPr>
                <w:sz w:val="18"/>
                <w:szCs w:val="18"/>
              </w:rPr>
              <w:t>Importance rating of key vehicle attributes</w:t>
            </w:r>
          </w:p>
        </w:tc>
      </w:tr>
      <w:tr w:rsidR="00B00A98" w:rsidRPr="00DB2721" w14:paraId="41FC69C8" w14:textId="77777777" w:rsidTr="0079642D">
        <w:trPr>
          <w:trHeight w:val="343"/>
        </w:trPr>
        <w:tc>
          <w:tcPr>
            <w:tcW w:w="1101" w:type="pct"/>
            <w:shd w:val="clear" w:color="auto" w:fill="auto"/>
          </w:tcPr>
          <w:p w14:paraId="4A5762FB"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 xml:space="preserve">Section 3: </w:t>
            </w:r>
          </w:p>
          <w:p w14:paraId="157D09FB" w14:textId="77777777" w:rsidR="00B00A98" w:rsidRPr="0079642D" w:rsidRDefault="00B00A98" w:rsidP="0079642D">
            <w:pPr>
              <w:pStyle w:val="NoSpacing"/>
              <w:framePr w:hSpace="0" w:wrap="auto" w:vAnchor="margin" w:yAlign="inline"/>
              <w:spacing w:after="60"/>
              <w:suppressOverlap w:val="0"/>
              <w:jc w:val="left"/>
              <w:rPr>
                <w:sz w:val="18"/>
                <w:szCs w:val="18"/>
              </w:rPr>
            </w:pPr>
            <w:r w:rsidRPr="0079642D">
              <w:rPr>
                <w:sz w:val="18"/>
                <w:szCs w:val="18"/>
              </w:rPr>
              <w:t>Educational part</w:t>
            </w:r>
          </w:p>
        </w:tc>
        <w:tc>
          <w:tcPr>
            <w:tcW w:w="1093" w:type="pct"/>
            <w:shd w:val="clear" w:color="auto" w:fill="auto"/>
          </w:tcPr>
          <w:p w14:paraId="78F4B101" w14:textId="77777777" w:rsidR="00B00A98" w:rsidRPr="0079642D" w:rsidRDefault="00B00A98" w:rsidP="0079642D">
            <w:pPr>
              <w:pStyle w:val="NoSpacing"/>
              <w:framePr w:hSpace="0" w:wrap="auto" w:vAnchor="margin" w:yAlign="inline"/>
              <w:spacing w:after="60"/>
              <w:suppressOverlap w:val="0"/>
              <w:jc w:val="left"/>
              <w:rPr>
                <w:sz w:val="18"/>
                <w:szCs w:val="18"/>
              </w:rPr>
            </w:pPr>
            <w:r w:rsidRPr="0079642D">
              <w:rPr>
                <w:sz w:val="18"/>
                <w:szCs w:val="18"/>
              </w:rPr>
              <w:t>Three-page text and images</w:t>
            </w:r>
          </w:p>
        </w:tc>
        <w:tc>
          <w:tcPr>
            <w:tcW w:w="2806" w:type="pct"/>
            <w:shd w:val="clear" w:color="auto" w:fill="auto"/>
          </w:tcPr>
          <w:p w14:paraId="5E3776DC"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 xml:space="preserve">Introduction of four powertrains and the differences </w:t>
            </w:r>
          </w:p>
          <w:p w14:paraId="10D7CDBC" w14:textId="77777777" w:rsidR="00B00A98" w:rsidRPr="0079642D" w:rsidRDefault="00B00A98" w:rsidP="0079642D">
            <w:pPr>
              <w:pStyle w:val="NoSpacing"/>
              <w:framePr w:hSpace="0" w:wrap="auto" w:vAnchor="margin" w:yAlign="inline"/>
              <w:spacing w:after="60"/>
              <w:suppressOverlap w:val="0"/>
              <w:jc w:val="left"/>
              <w:rPr>
                <w:sz w:val="18"/>
                <w:szCs w:val="18"/>
              </w:rPr>
            </w:pPr>
            <w:r w:rsidRPr="0079642D">
              <w:rPr>
                <w:sz w:val="18"/>
                <w:szCs w:val="18"/>
              </w:rPr>
              <w:t>Detailed description of attributes used in the SP scenarios</w:t>
            </w:r>
          </w:p>
        </w:tc>
      </w:tr>
      <w:tr w:rsidR="00B00A98" w:rsidRPr="00DB2721" w14:paraId="146CE013" w14:textId="77777777" w:rsidTr="0079642D">
        <w:trPr>
          <w:trHeight w:val="208"/>
        </w:trPr>
        <w:tc>
          <w:tcPr>
            <w:tcW w:w="1101" w:type="pct"/>
            <w:shd w:val="clear" w:color="auto" w:fill="auto"/>
          </w:tcPr>
          <w:p w14:paraId="0B72F840"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 xml:space="preserve">Section 4: </w:t>
            </w:r>
          </w:p>
          <w:p w14:paraId="54AA5384" w14:textId="77777777" w:rsidR="00B00A98" w:rsidRPr="0079642D" w:rsidRDefault="00B00A98" w:rsidP="0079642D">
            <w:pPr>
              <w:pStyle w:val="NoSpacing"/>
              <w:framePr w:hSpace="0" w:wrap="auto" w:vAnchor="margin" w:yAlign="inline"/>
              <w:spacing w:after="60"/>
              <w:suppressOverlap w:val="0"/>
              <w:jc w:val="left"/>
              <w:rPr>
                <w:sz w:val="18"/>
                <w:szCs w:val="18"/>
              </w:rPr>
            </w:pPr>
            <w:r w:rsidRPr="0079642D">
              <w:rPr>
                <w:sz w:val="18"/>
                <w:szCs w:val="18"/>
              </w:rPr>
              <w:t>SP scenarios</w:t>
            </w:r>
          </w:p>
        </w:tc>
        <w:tc>
          <w:tcPr>
            <w:tcW w:w="1093" w:type="pct"/>
            <w:shd w:val="clear" w:color="auto" w:fill="auto"/>
          </w:tcPr>
          <w:p w14:paraId="2552C57F"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Four SP scenarios</w:t>
            </w:r>
          </w:p>
        </w:tc>
        <w:tc>
          <w:tcPr>
            <w:tcW w:w="2806" w:type="pct"/>
            <w:shd w:val="clear" w:color="auto" w:fill="auto"/>
          </w:tcPr>
          <w:p w14:paraId="736F6B1B" w14:textId="77777777" w:rsidR="00B00A98" w:rsidRPr="0079642D" w:rsidRDefault="00B00A98" w:rsidP="0079642D">
            <w:pPr>
              <w:pStyle w:val="NoSpacing"/>
              <w:framePr w:hSpace="0" w:wrap="auto" w:vAnchor="margin" w:yAlign="inline"/>
              <w:spacing w:after="60"/>
              <w:suppressOverlap w:val="0"/>
              <w:jc w:val="left"/>
              <w:rPr>
                <w:sz w:val="18"/>
                <w:szCs w:val="18"/>
              </w:rPr>
            </w:pPr>
            <w:r w:rsidRPr="0079642D">
              <w:rPr>
                <w:sz w:val="18"/>
                <w:szCs w:val="18"/>
              </w:rPr>
              <w:t>Each scenario is similar to F</w:t>
            </w:r>
            <w:r w:rsidR="00B957FF" w:rsidRPr="0079642D">
              <w:rPr>
                <w:sz w:val="18"/>
                <w:szCs w:val="18"/>
              </w:rPr>
              <w:t>igure</w:t>
            </w:r>
            <w:r w:rsidRPr="0079642D">
              <w:rPr>
                <w:sz w:val="18"/>
                <w:szCs w:val="18"/>
              </w:rPr>
              <w:t xml:space="preserve"> </w:t>
            </w:r>
            <w:r w:rsidR="00B957FF" w:rsidRPr="0079642D">
              <w:rPr>
                <w:sz w:val="18"/>
                <w:szCs w:val="18"/>
              </w:rPr>
              <w:t>2.</w:t>
            </w:r>
            <w:r w:rsidRPr="0079642D">
              <w:rPr>
                <w:sz w:val="18"/>
                <w:szCs w:val="18"/>
              </w:rPr>
              <w:t>3</w:t>
            </w:r>
          </w:p>
        </w:tc>
      </w:tr>
      <w:tr w:rsidR="00B00A98" w:rsidRPr="00DB2721" w14:paraId="7E2069CF" w14:textId="77777777" w:rsidTr="0079642D">
        <w:trPr>
          <w:trHeight w:val="422"/>
        </w:trPr>
        <w:tc>
          <w:tcPr>
            <w:tcW w:w="1101" w:type="pct"/>
          </w:tcPr>
          <w:p w14:paraId="2FDCF6B8"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 xml:space="preserve">Section 5: </w:t>
            </w:r>
          </w:p>
          <w:p w14:paraId="4AF1C510" w14:textId="77777777" w:rsidR="00B00A98" w:rsidRPr="0079642D" w:rsidRDefault="00B00A98" w:rsidP="0079642D">
            <w:pPr>
              <w:pStyle w:val="NoSpacing"/>
              <w:framePr w:hSpace="0" w:wrap="auto" w:vAnchor="margin" w:yAlign="inline"/>
              <w:spacing w:after="60"/>
              <w:suppressOverlap w:val="0"/>
              <w:jc w:val="left"/>
              <w:rPr>
                <w:sz w:val="18"/>
                <w:szCs w:val="18"/>
              </w:rPr>
            </w:pPr>
            <w:r w:rsidRPr="0079642D">
              <w:rPr>
                <w:sz w:val="18"/>
                <w:szCs w:val="18"/>
              </w:rPr>
              <w:t>Attitudinal statements</w:t>
            </w:r>
          </w:p>
        </w:tc>
        <w:tc>
          <w:tcPr>
            <w:tcW w:w="1093" w:type="pct"/>
          </w:tcPr>
          <w:p w14:paraId="3821D6F2"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Likert-scale matrices</w:t>
            </w:r>
          </w:p>
        </w:tc>
        <w:tc>
          <w:tcPr>
            <w:tcW w:w="2806" w:type="pct"/>
          </w:tcPr>
          <w:p w14:paraId="053FDD7B" w14:textId="77777777" w:rsidR="00B00A98" w:rsidRPr="0079642D" w:rsidRDefault="00B00A98" w:rsidP="0079642D">
            <w:pPr>
              <w:pStyle w:val="NoSpacing"/>
              <w:framePr w:hSpace="0" w:wrap="auto" w:vAnchor="margin" w:yAlign="inline"/>
              <w:spacing w:after="60"/>
              <w:suppressOverlap w:val="0"/>
              <w:jc w:val="left"/>
              <w:rPr>
                <w:sz w:val="18"/>
                <w:szCs w:val="18"/>
              </w:rPr>
            </w:pPr>
            <w:r w:rsidRPr="0079642D">
              <w:rPr>
                <w:sz w:val="18"/>
                <w:szCs w:val="18"/>
              </w:rPr>
              <w:t>Thirty attitudinal statements (largely linked to Theory of Planned Behaviour)</w:t>
            </w:r>
          </w:p>
        </w:tc>
      </w:tr>
      <w:tr w:rsidR="00B00A98" w:rsidRPr="00DB2721" w14:paraId="685B3903" w14:textId="77777777" w:rsidTr="0079642D">
        <w:trPr>
          <w:trHeight w:val="348"/>
        </w:trPr>
        <w:tc>
          <w:tcPr>
            <w:tcW w:w="1101" w:type="pct"/>
            <w:tcBorders>
              <w:bottom w:val="single" w:sz="4" w:space="0" w:color="auto"/>
            </w:tcBorders>
          </w:tcPr>
          <w:p w14:paraId="3C8817E5"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Section 6: Socioeconomics</w:t>
            </w:r>
          </w:p>
        </w:tc>
        <w:tc>
          <w:tcPr>
            <w:tcW w:w="1093" w:type="pct"/>
            <w:tcBorders>
              <w:bottom w:val="single" w:sz="4" w:space="0" w:color="auto"/>
            </w:tcBorders>
          </w:tcPr>
          <w:p w14:paraId="4C098308"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Single-select questions and Textboxes</w:t>
            </w:r>
          </w:p>
        </w:tc>
        <w:tc>
          <w:tcPr>
            <w:tcW w:w="2806" w:type="pct"/>
            <w:tcBorders>
              <w:bottom w:val="single" w:sz="4" w:space="0" w:color="auto"/>
            </w:tcBorders>
          </w:tcPr>
          <w:p w14:paraId="23F4B7C1"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 xml:space="preserve">Province of Residence </w:t>
            </w:r>
          </w:p>
          <w:p w14:paraId="7E3A2586"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Sex of householder</w:t>
            </w:r>
          </w:p>
          <w:p w14:paraId="17BE91A6"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Postal code (home and work)</w:t>
            </w:r>
          </w:p>
          <w:p w14:paraId="04E64C79"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Dwelling type</w:t>
            </w:r>
          </w:p>
          <w:p w14:paraId="12107628"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 xml:space="preserve">Home ownership status </w:t>
            </w:r>
          </w:p>
          <w:p w14:paraId="1C9198DA"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Number of years living at current place of residence</w:t>
            </w:r>
          </w:p>
          <w:p w14:paraId="18A19F24"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Marital status of Respondent</w:t>
            </w:r>
          </w:p>
          <w:p w14:paraId="0B62E78C"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 xml:space="preserve">Household size </w:t>
            </w:r>
          </w:p>
          <w:p w14:paraId="6C599390"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Number of adults (18+) in household</w:t>
            </w:r>
          </w:p>
          <w:p w14:paraId="437EF3DF"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 xml:space="preserve">Important travel modes per household member </w:t>
            </w:r>
          </w:p>
          <w:p w14:paraId="785E95E3"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 xml:space="preserve">Relation between household members </w:t>
            </w:r>
          </w:p>
          <w:p w14:paraId="5FA92A89"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Employment status per household member</w:t>
            </w:r>
          </w:p>
          <w:p w14:paraId="77D1BA62"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Education per household member (18+)</w:t>
            </w:r>
          </w:p>
          <w:p w14:paraId="43E84207"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 xml:space="preserve">Number of licensed drivers </w:t>
            </w:r>
          </w:p>
          <w:p w14:paraId="4039ED45" w14:textId="77777777" w:rsidR="00B00A98" w:rsidRPr="0079642D" w:rsidRDefault="00B00A98" w:rsidP="00B00A98">
            <w:pPr>
              <w:pStyle w:val="NoSpacing"/>
              <w:framePr w:hSpace="0" w:wrap="auto" w:vAnchor="margin" w:yAlign="inline"/>
              <w:suppressOverlap w:val="0"/>
              <w:jc w:val="left"/>
              <w:rPr>
                <w:sz w:val="18"/>
                <w:szCs w:val="18"/>
              </w:rPr>
            </w:pPr>
            <w:r w:rsidRPr="0079642D">
              <w:rPr>
                <w:sz w:val="18"/>
                <w:szCs w:val="18"/>
              </w:rPr>
              <w:t xml:space="preserve">Household income </w:t>
            </w:r>
          </w:p>
          <w:p w14:paraId="09504B08" w14:textId="77777777" w:rsidR="00B00A98" w:rsidRPr="0079642D" w:rsidRDefault="00B00A98" w:rsidP="0079642D">
            <w:pPr>
              <w:pStyle w:val="NoSpacing"/>
              <w:framePr w:hSpace="0" w:wrap="auto" w:vAnchor="margin" w:yAlign="inline"/>
              <w:spacing w:after="60"/>
              <w:suppressOverlap w:val="0"/>
              <w:jc w:val="left"/>
              <w:rPr>
                <w:sz w:val="18"/>
                <w:szCs w:val="18"/>
              </w:rPr>
            </w:pPr>
            <w:r w:rsidRPr="0079642D">
              <w:rPr>
                <w:sz w:val="18"/>
                <w:szCs w:val="18"/>
              </w:rPr>
              <w:t>Language spoken most often at home</w:t>
            </w:r>
          </w:p>
        </w:tc>
      </w:tr>
    </w:tbl>
    <w:p w14:paraId="0EA71065" w14:textId="77777777" w:rsidR="00B00A98" w:rsidRPr="003C3597" w:rsidRDefault="00B00A98" w:rsidP="003C3597">
      <w:pPr>
        <w:rPr>
          <w:rFonts w:ascii="Times New Roman" w:hAnsi="Times New Roman" w:cs="Times New Roman"/>
          <w:color w:val="000000"/>
        </w:rPr>
      </w:pPr>
    </w:p>
    <w:p w14:paraId="3A2CA02C" w14:textId="77777777" w:rsidR="003C3597" w:rsidRPr="00B00A98" w:rsidRDefault="003C3597" w:rsidP="00E1100F">
      <w:pPr>
        <w:pStyle w:val="ListParagraph"/>
        <w:numPr>
          <w:ilvl w:val="1"/>
          <w:numId w:val="8"/>
        </w:numPr>
        <w:outlineLvl w:val="1"/>
        <w:rPr>
          <w:rFonts w:ascii="Times New Roman" w:hAnsi="Times New Roman" w:cs="Times New Roman"/>
          <w:b/>
          <w:color w:val="000000"/>
        </w:rPr>
      </w:pPr>
      <w:bookmarkStart w:id="24" w:name="_Toc528650853"/>
      <w:r w:rsidRPr="00B00A98">
        <w:rPr>
          <w:rFonts w:ascii="Times New Roman" w:hAnsi="Times New Roman" w:cs="Times New Roman"/>
          <w:b/>
          <w:color w:val="000000"/>
        </w:rPr>
        <w:lastRenderedPageBreak/>
        <w:t>Significant Survey Design Decisions</w:t>
      </w:r>
      <w:bookmarkEnd w:id="24"/>
    </w:p>
    <w:p w14:paraId="5D099BA3"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In the course of developing this survey, there were some decisions made that involved choosing one direction over another. The purpose of this section is to discuss some of the most significant decisions in terms of the thinking that went into them. </w:t>
      </w:r>
      <w:r w:rsidRPr="003C3597" w:rsidDel="00607C7F">
        <w:rPr>
          <w:rFonts w:ascii="Times New Roman" w:hAnsi="Times New Roman" w:cs="Times New Roman"/>
          <w:color w:val="000000"/>
        </w:rPr>
        <w:t xml:space="preserve"> </w:t>
      </w:r>
    </w:p>
    <w:p w14:paraId="54A4AC62" w14:textId="77777777" w:rsidR="003C3597" w:rsidRPr="00E1100F" w:rsidRDefault="003C3597" w:rsidP="00E1100F">
      <w:pPr>
        <w:pStyle w:val="ListParagraph"/>
        <w:numPr>
          <w:ilvl w:val="2"/>
          <w:numId w:val="8"/>
        </w:numPr>
        <w:ind w:left="709" w:hanging="709"/>
        <w:outlineLvl w:val="2"/>
        <w:rPr>
          <w:rFonts w:ascii="Times New Roman" w:hAnsi="Times New Roman" w:cs="Times New Roman"/>
          <w:b/>
          <w:color w:val="000000"/>
        </w:rPr>
      </w:pPr>
      <w:bookmarkStart w:id="25" w:name="_Toc528650854"/>
      <w:r w:rsidRPr="00E1100F">
        <w:rPr>
          <w:rFonts w:ascii="Times New Roman" w:hAnsi="Times New Roman" w:cs="Times New Roman"/>
          <w:b/>
          <w:color w:val="000000"/>
        </w:rPr>
        <w:t>In-house or Outsourced Data Collection</w:t>
      </w:r>
      <w:bookmarkEnd w:id="25"/>
      <w:r w:rsidRPr="00E1100F">
        <w:rPr>
          <w:rFonts w:ascii="Times New Roman" w:hAnsi="Times New Roman" w:cs="Times New Roman"/>
          <w:b/>
          <w:color w:val="000000"/>
        </w:rPr>
        <w:t xml:space="preserve"> </w:t>
      </w:r>
    </w:p>
    <w:p w14:paraId="4C760238"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Surveys have moved from traditional means of data collection (e.g. mail-outs) to internet-based methods that are more efficient in many aspects ranging from actual collection to implementing as usable data. Associated with the maturation of internet surveys has been the rise of the survey panel where a firm will maintain a set of thousands of survey panelists who are willing to take internet surveys on different topics over time in exchange for incentives. The availability of survey panels means that researchers do not need to find ways to access actual lists of potential respondents (e.g. e-mails) which had been </w:t>
      </w:r>
      <w:r w:rsidR="004D01AC">
        <w:rPr>
          <w:rFonts w:ascii="Times New Roman" w:hAnsi="Times New Roman" w:cs="Times New Roman"/>
          <w:color w:val="000000"/>
        </w:rPr>
        <w:t xml:space="preserve">historically </w:t>
      </w:r>
      <w:r w:rsidRPr="003C3597">
        <w:rPr>
          <w:rFonts w:ascii="Times New Roman" w:hAnsi="Times New Roman" w:cs="Times New Roman"/>
          <w:color w:val="000000"/>
        </w:rPr>
        <w:t>problematic. In the absence of a survey panel, it takes longer and there is more uncertainty involved, in researchers reaching a target number of responses and respondents may require repeated reminders.</w:t>
      </w:r>
    </w:p>
    <w:p w14:paraId="663FF748"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A survey panel can provide a geographically comprehensive and representative sample for all states/provinces/regions in a shorter period of time across a country. SPACE has been deployed for this on a large scale across Canada. As further examples within the EV domain, Hidrue et al. (2011) used a panel to collect a national sample in the United States, and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DOI":"10.1016/j.trd.2013.07.002","ISSN":"13619209","author":[{"dropping-particle":"","family":"Hackbarth","given":"André","non-dropping-particle":"","parse-names":false,"suffix":""},{"dropping-particle":"","family":"Madlener","given":"Reinhard","non-dropping-particle":"","parse-names":false,"suffix":""}],"container-title":"Transportation Research Part D: Transport and Environment","id":"ITEM-1","issued":{"date-parts":[["2013","12"]]},"page":"5-17","title":"Consumer preferences for alternative fuel vehicles: A discrete choice analysis","type":"article-journal","volume":"25"},"uris":["http://www.mendeley.com/documents/?uuid=e0eda076-c114-46a0-b9ef-d6a1f2f091d6"]}],"mendeley":{"formattedCitation":"(Hackbarth &amp; Madlener, 2013)","manualFormatting":"Hackbarth &amp; Madlener (2013)","plainTextFormattedCitation":"(Hackbarth &amp; Madlener, 2013)","previouslyFormattedCitation":"(Hackbarth &amp; Madlener, 2013)"},"properties":{"noteIndex":0},"schema":"https://github.com/citation-style-language/schema/raw/master/csl-citation.json"}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Hackbarth &amp; Madlener (2013)</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did so for Germany. One other important advantage is that panelists have already expressed </w:t>
      </w:r>
      <w:r w:rsidRPr="003C3597">
        <w:rPr>
          <w:rFonts w:ascii="Times New Roman" w:hAnsi="Times New Roman" w:cs="Times New Roman"/>
          <w:color w:val="000000"/>
        </w:rPr>
        <w:lastRenderedPageBreak/>
        <w:t xml:space="preserve">a general willingness to participate in surveys and are often familiar with a range of survey types including those with choice experiments.  </w:t>
      </w:r>
    </w:p>
    <w:p w14:paraId="3EFE764C" w14:textId="77777777" w:rsidR="004D01AC"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While the clear advantages of a survey panel are very attractive, one possible drawback is that the cost is likely to be higher than for traditional sample recruitment. Certainly, the use of a survey panel has to be well-budgeted ahead of time, especially if it will be a large survey. Another limitation is that panelists who are doing many surveys may compromise data quality by rushing through the questions to get to the end and receive the incentive. However, panel operators adopt policies such as removing careless respondents from the panel to increase the quality of survey responses. For instance, our panel operator dropped those respondents from the delivered data who finished the survey ‘too quickly’, i.e. in less than 30% of the median survey completion time. </w:t>
      </w:r>
      <w:r w:rsidR="004D01AC" w:rsidRPr="004D01AC">
        <w:rPr>
          <w:rFonts w:ascii="Times New Roman" w:hAnsi="Times New Roman" w:cs="Times New Roman"/>
          <w:color w:val="000000"/>
        </w:rPr>
        <w:t>There are still issues in an online panel regarding inattentive and fully/partially-random responses, especially within the stated preference components of surveys (Petrik et al., 2016), and thus post-collection screening and cleaning is important (Meade &amp; Craig, 2011).</w:t>
      </w:r>
    </w:p>
    <w:p w14:paraId="430D2617"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Also, panels can be associated with ethical concerns from a university research perspective.  There may be issues having to do with the level and type of incentives that are offered to respondents, loss of incentive for an incomplete survey, or concerns with an excessive number of questions that are ma</w:t>
      </w:r>
      <w:r w:rsidR="0079642D">
        <w:rPr>
          <w:rFonts w:ascii="Times New Roman" w:hAnsi="Times New Roman" w:cs="Times New Roman"/>
          <w:color w:val="000000"/>
        </w:rPr>
        <w:t>ndatory as opposed to optional.</w:t>
      </w:r>
      <w:r w:rsidR="004D01AC" w:rsidRPr="004D01AC">
        <w:t xml:space="preserve"> </w:t>
      </w:r>
      <w:r w:rsidR="004D01AC" w:rsidRPr="004D01AC">
        <w:rPr>
          <w:rFonts w:ascii="Times New Roman" w:hAnsi="Times New Roman" w:cs="Times New Roman"/>
          <w:color w:val="000000"/>
        </w:rPr>
        <w:t xml:space="preserve">Another potential drawback of online panels is the issue of representativeness (Szolnoki &amp; Hoffmann, 2013) as raised in Blasius &amp;Brandt’s (2010) study which found that their online sample was not representative of the population on some demographic and attitudinal characteristics. Results in Table </w:t>
      </w:r>
      <w:r w:rsidR="002D68C2">
        <w:rPr>
          <w:rFonts w:ascii="Times New Roman" w:hAnsi="Times New Roman" w:cs="Times New Roman"/>
          <w:color w:val="000000"/>
        </w:rPr>
        <w:t>2.</w:t>
      </w:r>
      <w:r w:rsidR="004D01AC" w:rsidRPr="004D01AC">
        <w:rPr>
          <w:rFonts w:ascii="Times New Roman" w:hAnsi="Times New Roman" w:cs="Times New Roman"/>
          <w:color w:val="000000"/>
        </w:rPr>
        <w:t xml:space="preserve">3 suggest that our panel operator </w:t>
      </w:r>
      <w:r w:rsidR="004D01AC" w:rsidRPr="004D01AC">
        <w:rPr>
          <w:rFonts w:ascii="Times New Roman" w:hAnsi="Times New Roman" w:cs="Times New Roman"/>
          <w:color w:val="000000"/>
        </w:rPr>
        <w:lastRenderedPageBreak/>
        <w:t xml:space="preserve">was able to deliver a sample that was reasonably representative of the population for characteristics that we could compare.  </w:t>
      </w:r>
    </w:p>
    <w:p w14:paraId="6A7B0A15" w14:textId="77777777" w:rsidR="003C3597" w:rsidRPr="00B00A98" w:rsidRDefault="003C3597" w:rsidP="00E1100F">
      <w:pPr>
        <w:pStyle w:val="ListParagraph"/>
        <w:numPr>
          <w:ilvl w:val="2"/>
          <w:numId w:val="8"/>
        </w:numPr>
        <w:outlineLvl w:val="2"/>
        <w:rPr>
          <w:rFonts w:ascii="Times New Roman" w:hAnsi="Times New Roman" w:cs="Times New Roman"/>
          <w:b/>
          <w:color w:val="000000"/>
        </w:rPr>
      </w:pPr>
      <w:bookmarkStart w:id="26" w:name="_Toc528650855"/>
      <w:r w:rsidRPr="00B00A98">
        <w:rPr>
          <w:rFonts w:ascii="Times New Roman" w:hAnsi="Times New Roman" w:cs="Times New Roman"/>
          <w:b/>
          <w:color w:val="000000"/>
        </w:rPr>
        <w:t>Conceptualization of Respondent and Implications for Screening</w:t>
      </w:r>
      <w:bookmarkEnd w:id="26"/>
      <w:r w:rsidRPr="00B00A98">
        <w:rPr>
          <w:rFonts w:ascii="Times New Roman" w:hAnsi="Times New Roman" w:cs="Times New Roman"/>
          <w:b/>
          <w:color w:val="000000"/>
        </w:rPr>
        <w:t xml:space="preserve"> </w:t>
      </w:r>
    </w:p>
    <w:p w14:paraId="0D3EBDA5"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In SPACE, we stressed “households” as opposed to individual respondents. Respondents were required to represent their household and provide information on their household members. The acquisition of an expensive, relatively infrequently renewed item like a car can often be seen as a household decision. As such, while it was individuals who responded, those who did not consider themselves as primary household decision-makers (effectively household heads or maintainers) were screened out. This aspect was reinforced several times during the survey. For example, phrases such as “your next household vehicle” or “members of your household” were used as the survey progressed. The primary householder criterion aligns with the other screening criterion that excluded respondents aged less than 18. A potential limitation to both screens is that they de-emphasize young people who are</w:t>
      </w:r>
      <w:r w:rsidRPr="003C3597" w:rsidDel="009C414B">
        <w:rPr>
          <w:rFonts w:ascii="Times New Roman" w:hAnsi="Times New Roman" w:cs="Times New Roman"/>
          <w:color w:val="000000"/>
        </w:rPr>
        <w:t xml:space="preserve"> </w:t>
      </w:r>
      <w:r w:rsidRPr="003C3597">
        <w:rPr>
          <w:rFonts w:ascii="Times New Roman" w:hAnsi="Times New Roman" w:cs="Times New Roman"/>
          <w:color w:val="000000"/>
        </w:rPr>
        <w:t>important to the future of electric mobility.</w:t>
      </w:r>
    </w:p>
    <w:p w14:paraId="3AFE19A4"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The third criterion was the inclusion of households who had at least some intention to purchase/lease a vehicle (new or used) in the future. In contrast to previous works, respondents were not required to be recent or urgent car buyers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{"citationItems":[{"id":"ITEM-1","itemData":{"DOI":"10.1016/j.trd.2010.11.001","ISSN":"13619209","abstract":"This paper investigates the potential futures for alternative-fuel vehicles in Denmark, where the vehicle registration tax is very high and large tax rebates can be given. A large stated choice dataset has been collected concerning vehicle choice among conventional, hydrogen, hybrid, bio-diesel, and electric vehicles. We estimate a mixed logit model that improves on previous contributions by controlling for reference dependence and allowing for correlation of random effects. Both improvements are found to be important. An application of the model shows that alternative-fuel vehicles with present technology could obtain fairly high market shares given tax regulations possible in the present high-tax vehicle market. ?? 2010 Elsevier Ltd.","author":[{"dropping-particle":"","family":"Mabit","given":"Stefan L.","non-dropping-particle":"","parse-names":false,"suffix":""},{"dropping-particle":"","family":"Fosgerau","given":"Mogens","non-dropping-particle":"","parse-names":false,"suffix":""}],"container-title":"Transportation Research Part D: Transport and Environment","id":"ITEM-1","issue":"3","issued":{"date-parts":[["2011","5"]]},"page":"225-231","publisher":"Elsevier Ltd","title":"Demand for alternative-fuel vehicles when registration taxes are high","type":"article-journal","volume":"16"},"uris":["http://www.mendeley.com/documents/?uuid=7e8be2b9-7b43-4518-b2ec-ad3d8a344f70"]},{"id":"ITEM-2","itemData":{"DOI":"10.1016/j.tra.2013.01.015","ISSN":"09658564","author":[{"dropping-particle":"","family":"Beck","given":"Matthew J.","non-dropping-particle":"","parse-names":false,"suffix":""},{"dropping-particle":"","family":"Rose","given":"John M.","non-dropping-particle":"","parse-names":false,"suffix":""},{"dropping-particle":"","family":"Hensher","given":"David a.","non-dropping-particle":"","parse-names":false,"suffix":""}],"container-title":"Transportation Research Part A: Policy and Practice","id":"ITEM-2","issued":{"date-parts":[["2013","4"]]},"page":"171-182","title":"Environmental attitudes and emissions charging: An example of policy implications for vehicle choice","type":"article-journal","volume":"50"},"uris":["http://www.mendeley.com/documents/?uuid=67a5eb8a-00a6-4ad6-ac4b-ad6c7d8f0a5f"]},{"id":"ITEM-3","itemData":{"DOI":"10.1007/s10584-011-0362-8","ISSN":"0165-0009","author":[{"dropping-particle":"","family":"Achtnicht","given":"Martin","non-dropping-particle":"","parse-names":false,"suffix":""}],"container-title":"Climatic Change","id":"ITEM-3","issue":"3-4","issued":{"date-parts":[["2011","12","7"]]},"page":"679-697","title":"German car buyers’ willingness to pay to reduce CO2 emissions","type":"article-journal","volume":"113"},"uris":["http://www.mendeley.com/documents/?uuid=6403922d-e741-457b-8c5b-5853ee76844d"]}],"mendeley":{"formattedCitation":"(Achtnicht, 2011; Beck et al., 2013; Mabit &amp; Fosgerau, 2011)","manualFormatting":"(e.g. Achtnicht, 2011; Mabit &amp; Fosgerau, 2011)","plainTextFormattedCitation":"(Achtnicht, 2011; Beck et al., 2013; Mabit &amp; Fosgerau, 2011)","previouslyFormattedCitation":"(Achtnicht, 2011; Beck et al., 2013; Mabit &amp; Fosgerau, 2011)"},"properties":{"noteIndex":0},"schema":"https://github.com/citation-style-language/schema/raw/master/csl-citation.json"}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(e.g. Achtnicht, 2011; Mabit &amp; Fosgerau, 2011)</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Our sample, therefore, was more general as the only group we excluded were those who were ‘not at all likely’ to purchase a vehicle in the foreseeable future. We did not specify an exact timeframe for that purchase since it could potentially exclude some car buyers that consider a vehicle purchase </w:t>
      </w:r>
      <w:r w:rsidRPr="003C3597">
        <w:rPr>
          <w:rFonts w:ascii="Times New Roman" w:hAnsi="Times New Roman" w:cs="Times New Roman"/>
          <w:color w:val="000000"/>
        </w:rPr>
        <w:lastRenderedPageBreak/>
        <w:t xml:space="preserve">as a long-term decision. Also, those households currently without a vehicle were not excluded from our database, as opposed to studies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{"citationItems":[{"id":"ITEM-1","itemData":{"DOI":"10.1016/j.tra.2014.01.008","ISSN":"09658564","author":[{"dropping-particle":"","family":"Hoen","given":"Anco","non-dropping-particle":"","parse-names":false,"suffix":""},{"dropping-particle":"","family":"Koetse","given":"Mark J.","non-dropping-particle":"","parse-names":false,"suffix":""}],"container-title":"Transportation Research Part A: Policy and Practice","id":"ITEM-1","issued":{"date-parts":[["2014","3"]]},"page":"199-215","publisher":"Elsevier Ltd","title":"A choice experiment on alternative fuel vehicle preferences of private car owners in the Netherlands","type":"article-journal","volume":"61"},"uris":["http://www.mendeley.com/documents/?uuid=c832ad12-8e58-47a7-a310-2f4b40d6df33"]}],"mendeley":{"formattedCitation":"(Hoen &amp; Koetse, 2014)","manualFormatting":"(e.g. Hoen &amp; Koetse, 2014)","plainTextFormattedCitation":"(Hoen &amp; Koetse, 2014)","previouslyFormattedCitation":"(Hoen &amp; Koetse, 2014)"},"properties":{"noteIndex":0},"schema":"https://github.com/citation-style-language/schema/raw/master/csl-citation.json"}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(e.g. Hoen &amp; Koetse, 2014)</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that included car owners only. </w:t>
      </w:r>
    </w:p>
    <w:p w14:paraId="412A72FB"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As Figure </w:t>
      </w:r>
      <w:r w:rsidR="00B957FF">
        <w:rPr>
          <w:rFonts w:ascii="Times New Roman" w:hAnsi="Times New Roman" w:cs="Times New Roman"/>
          <w:color w:val="000000"/>
        </w:rPr>
        <w:t>2.1</w:t>
      </w:r>
      <w:r w:rsidRPr="003C3597">
        <w:rPr>
          <w:rFonts w:ascii="Times New Roman" w:hAnsi="Times New Roman" w:cs="Times New Roman"/>
          <w:color w:val="000000"/>
        </w:rPr>
        <w:t xml:space="preserve"> below makes clear, a very large collection of panelists indeed (35,795) at least considered the completion of the survey. Of</w:t>
      </w:r>
      <w:r w:rsidRPr="003C3597" w:rsidDel="00E27A55">
        <w:rPr>
          <w:rFonts w:ascii="Times New Roman" w:hAnsi="Times New Roman" w:cs="Times New Roman"/>
          <w:color w:val="000000"/>
        </w:rPr>
        <w:t xml:space="preserve"> </w:t>
      </w:r>
      <w:r w:rsidRPr="003C3597">
        <w:rPr>
          <w:rFonts w:ascii="Times New Roman" w:hAnsi="Times New Roman" w:cs="Times New Roman"/>
          <w:color w:val="000000"/>
        </w:rPr>
        <w:t>all those who considered the survey, only about 57% actually saw the survey through to completion and this translated to the 20,520 final respondents. About 8.6% evaluated the survey’s letter of information and decided not to participate. About 17.6% were willing to participate but were screened out if they failed to meet any one of the criteria relating to age, being a household maintainer or being interested in acquiring a vehicle in the future. Finally, 16.5% decided to withdraw from the survey at some point after beginning to answer the questions or were eliminated from the final database by the panel operator if not passing quality control criteria. With regard to the latter, data were not shared by the survey operator to shed light on the nature and causes of withdrawals.</w:t>
      </w:r>
    </w:p>
    <w:p w14:paraId="1489EF30" w14:textId="77777777" w:rsidR="00EC3DFE"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Of the 17.6% that were screened out, not being willing to acquire a vehicle in the future (11.6%) was about twice as important as not being a household head (5.9%) in influencing the screening outcome. The loss of potential respondents because they were aged less than 18 was essentially a non-</w:t>
      </w:r>
      <w:r w:rsidR="00CB0C16">
        <w:rPr>
          <w:rFonts w:ascii="Times New Roman" w:hAnsi="Times New Roman" w:cs="Times New Roman"/>
          <w:color w:val="000000"/>
        </w:rPr>
        <w:t>factor in the screening (0.1%).</w:t>
      </w:r>
      <w:r w:rsidRPr="003C3597">
        <w:rPr>
          <w:rFonts w:ascii="Times New Roman" w:hAnsi="Times New Roman" w:cs="Times New Roman"/>
          <w:color w:val="000000"/>
        </w:rPr>
        <w:t xml:space="preserve"> In terms of how these screening results were applied, age was given first priority, household head was given second and the desire for a future vehicle was given third priority. Furthermore, the detailed time tracking option enabled by our panel operator gave us the ability to search for people that were unengaged in some sections of the survey to be eliminated from the final sample for certain types of analysis. Overall engagement can </w:t>
      </w:r>
      <w:r w:rsidRPr="003C3597">
        <w:rPr>
          <w:rFonts w:ascii="Times New Roman" w:hAnsi="Times New Roman" w:cs="Times New Roman"/>
          <w:color w:val="000000"/>
        </w:rPr>
        <w:lastRenderedPageBreak/>
        <w:t>be assessed through total time spent on the survey and tendency to “straight-line” answers to s</w:t>
      </w:r>
      <w:r w:rsidR="0079642D">
        <w:rPr>
          <w:rFonts w:ascii="Times New Roman" w:hAnsi="Times New Roman" w:cs="Times New Roman"/>
          <w:color w:val="000000"/>
        </w:rPr>
        <w:t>uites of attitudinal questions.</w:t>
      </w:r>
    </w:p>
    <w:p w14:paraId="0AA9BC6A"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noProof/>
          <w:color w:val="000000"/>
          <w:lang w:eastAsia="en-CA"/>
        </w:rPr>
        <w:drawing>
          <wp:inline distT="0" distB="0" distL="0" distR="0" wp14:anchorId="49FE35EE" wp14:editId="3867C91F">
            <wp:extent cx="4873925" cy="2053086"/>
            <wp:effectExtent l="0" t="0" r="3175" b="444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3C3597">
        <w:rPr>
          <w:rFonts w:ascii="Times New Roman" w:hAnsi="Times New Roman" w:cs="Times New Roman"/>
          <w:color w:val="000000"/>
        </w:rPr>
        <w:t xml:space="preserve"> </w:t>
      </w:r>
    </w:p>
    <w:p w14:paraId="2CADD5EC" w14:textId="77777777" w:rsidR="003C3597" w:rsidRPr="0079642D" w:rsidRDefault="000C437C" w:rsidP="00EC3DFE">
      <w:pPr>
        <w:pStyle w:val="Caption"/>
        <w:spacing w:line="360" w:lineRule="auto"/>
        <w:ind w:firstLine="0"/>
        <w:jc w:val="center"/>
        <w:rPr>
          <w:rFonts w:ascii="Times New Roman" w:hAnsi="Times New Roman" w:cs="Times New Roman"/>
          <w:i w:val="0"/>
          <w:iCs w:val="0"/>
          <w:color w:val="000000"/>
          <w:sz w:val="24"/>
          <w:szCs w:val="24"/>
        </w:rPr>
      </w:pPr>
      <w:bookmarkStart w:id="27" w:name="_Toc528649443"/>
      <w:bookmarkStart w:id="28" w:name="_Toc528649563"/>
      <w:r w:rsidRPr="000C437C">
        <w:rPr>
          <w:rFonts w:ascii="Times New Roman" w:hAnsi="Times New Roman" w:cs="Times New Roman"/>
          <w:i w:val="0"/>
          <w:iCs w:val="0"/>
          <w:color w:val="000000"/>
          <w:sz w:val="24"/>
          <w:szCs w:val="24"/>
        </w:rPr>
        <w:t>Figure 2.</w:t>
      </w:r>
      <w:r w:rsidRPr="000C437C">
        <w:rPr>
          <w:rFonts w:ascii="Times New Roman" w:hAnsi="Times New Roman" w:cs="Times New Roman"/>
          <w:i w:val="0"/>
          <w:iCs w:val="0"/>
          <w:color w:val="000000"/>
          <w:sz w:val="24"/>
          <w:szCs w:val="24"/>
        </w:rPr>
        <w:fldChar w:fldCharType="begin"/>
      </w:r>
      <w:r w:rsidRPr="000C437C">
        <w:rPr>
          <w:rFonts w:ascii="Times New Roman" w:hAnsi="Times New Roman" w:cs="Times New Roman"/>
          <w:i w:val="0"/>
          <w:iCs w:val="0"/>
          <w:color w:val="000000"/>
          <w:sz w:val="24"/>
          <w:szCs w:val="24"/>
        </w:rPr>
        <w:instrText xml:space="preserve"> SEQ Figure_2. \* ARABIC </w:instrText>
      </w:r>
      <w:r w:rsidRPr="000C437C">
        <w:rPr>
          <w:rFonts w:ascii="Times New Roman" w:hAnsi="Times New Roman" w:cs="Times New Roman"/>
          <w:i w:val="0"/>
          <w:iCs w:val="0"/>
          <w:color w:val="000000"/>
          <w:sz w:val="24"/>
          <w:szCs w:val="24"/>
        </w:rPr>
        <w:fldChar w:fldCharType="separate"/>
      </w:r>
      <w:r w:rsidR="00BC70AE">
        <w:rPr>
          <w:rFonts w:ascii="Times New Roman" w:hAnsi="Times New Roman" w:cs="Times New Roman"/>
          <w:i w:val="0"/>
          <w:iCs w:val="0"/>
          <w:noProof/>
          <w:color w:val="000000"/>
          <w:sz w:val="24"/>
          <w:szCs w:val="24"/>
        </w:rPr>
        <w:t>1</w:t>
      </w:r>
      <w:r w:rsidRPr="000C437C">
        <w:rPr>
          <w:rFonts w:ascii="Times New Roman" w:hAnsi="Times New Roman" w:cs="Times New Roman"/>
          <w:i w:val="0"/>
          <w:iCs w:val="0"/>
          <w:color w:val="000000"/>
          <w:sz w:val="24"/>
          <w:szCs w:val="24"/>
        </w:rPr>
        <w:fldChar w:fldCharType="end"/>
      </w:r>
      <w:r w:rsidRPr="000C437C">
        <w:rPr>
          <w:rFonts w:ascii="Times New Roman" w:hAnsi="Times New Roman" w:cs="Times New Roman"/>
          <w:i w:val="0"/>
          <w:iCs w:val="0"/>
          <w:color w:val="000000"/>
          <w:sz w:val="24"/>
          <w:szCs w:val="24"/>
        </w:rPr>
        <w:t xml:space="preserve"> </w:t>
      </w:r>
      <w:r w:rsidR="003C3597" w:rsidRPr="000C437C">
        <w:rPr>
          <w:rFonts w:ascii="Times New Roman" w:hAnsi="Times New Roman" w:cs="Times New Roman"/>
          <w:i w:val="0"/>
          <w:iCs w:val="0"/>
          <w:color w:val="000000"/>
          <w:sz w:val="24"/>
          <w:szCs w:val="24"/>
        </w:rPr>
        <w:t>Inventory of outcomes for all panelists who considered the survey, the counts of respondents for each part are shown in parenthesis</w:t>
      </w:r>
      <w:bookmarkEnd w:id="27"/>
      <w:bookmarkEnd w:id="28"/>
    </w:p>
    <w:p w14:paraId="23F4870B"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Table </w:t>
      </w:r>
      <w:r w:rsidR="00B957FF">
        <w:rPr>
          <w:rFonts w:ascii="Times New Roman" w:hAnsi="Times New Roman" w:cs="Times New Roman"/>
          <w:color w:val="000000"/>
        </w:rPr>
        <w:t>2.</w:t>
      </w:r>
      <w:r w:rsidRPr="003C3597">
        <w:rPr>
          <w:rFonts w:ascii="Times New Roman" w:hAnsi="Times New Roman" w:cs="Times New Roman"/>
          <w:color w:val="000000"/>
        </w:rPr>
        <w:t xml:space="preserve">3 compares our sample with the 2016 Canadian census distribution of households (or household maintainers) across a range of variables. Education and marital status of the householders are derived from census 2011. Given the focus on people with an interest to acquire vehicle, there are “built-in” differences between the characteristics of our study population and the entire population of Canada. There is an over-representation of the more highly educated and two- or three-person sized households. Partly such households have a higher on-going intention to acquire a vehicle. But the higher educated are also more likely to participate in survey panels and sufficient recruitment of one-person household panelists seems challenging based on these results. Similar insights are likely to apply for income, where there is less representation from lower-income households. Under “Province”, it can be seen that the SPACE data collection was stratified </w:t>
      </w:r>
      <w:r w:rsidRPr="003C3597">
        <w:rPr>
          <w:rFonts w:ascii="Times New Roman" w:hAnsi="Times New Roman" w:cs="Times New Roman"/>
          <w:color w:val="000000"/>
        </w:rPr>
        <w:lastRenderedPageBreak/>
        <w:t>with the less-populated provinces more heavily sampled to ensure an adequate number of respondents from all provinces.</w:t>
      </w:r>
    </w:p>
    <w:p w14:paraId="76ED6F55" w14:textId="77777777" w:rsidR="003C3597" w:rsidRPr="00E1100F" w:rsidRDefault="00E1100F" w:rsidP="00EC3DFE">
      <w:pPr>
        <w:pStyle w:val="Caption"/>
        <w:spacing w:after="120"/>
        <w:ind w:firstLine="0"/>
        <w:rPr>
          <w:rFonts w:ascii="Times New Roman" w:hAnsi="Times New Roman" w:cs="Times New Roman"/>
          <w:i w:val="0"/>
          <w:iCs w:val="0"/>
          <w:color w:val="000000"/>
          <w:sz w:val="24"/>
          <w:szCs w:val="24"/>
        </w:rPr>
      </w:pPr>
      <w:bookmarkStart w:id="29" w:name="_Toc528649788"/>
      <w:r w:rsidRPr="00E1100F">
        <w:rPr>
          <w:rFonts w:ascii="Times New Roman" w:hAnsi="Times New Roman" w:cs="Times New Roman"/>
          <w:i w:val="0"/>
          <w:iCs w:val="0"/>
          <w:color w:val="000000"/>
          <w:sz w:val="24"/>
          <w:szCs w:val="24"/>
        </w:rPr>
        <w:t>Table 2.</w:t>
      </w:r>
      <w:r w:rsidRPr="00E1100F">
        <w:rPr>
          <w:rFonts w:ascii="Times New Roman" w:hAnsi="Times New Roman" w:cs="Times New Roman"/>
          <w:i w:val="0"/>
          <w:iCs w:val="0"/>
          <w:color w:val="000000"/>
          <w:sz w:val="24"/>
          <w:szCs w:val="24"/>
        </w:rPr>
        <w:fldChar w:fldCharType="begin"/>
      </w:r>
      <w:r w:rsidRPr="00E1100F">
        <w:rPr>
          <w:rFonts w:ascii="Times New Roman" w:hAnsi="Times New Roman" w:cs="Times New Roman"/>
          <w:i w:val="0"/>
          <w:iCs w:val="0"/>
          <w:color w:val="000000"/>
          <w:sz w:val="24"/>
          <w:szCs w:val="24"/>
        </w:rPr>
        <w:instrText xml:space="preserve"> SEQ Table \* ARABIC </w:instrText>
      </w:r>
      <w:r w:rsidRPr="00E1100F">
        <w:rPr>
          <w:rFonts w:ascii="Times New Roman" w:hAnsi="Times New Roman" w:cs="Times New Roman"/>
          <w:i w:val="0"/>
          <w:iCs w:val="0"/>
          <w:color w:val="000000"/>
          <w:sz w:val="24"/>
          <w:szCs w:val="24"/>
        </w:rPr>
        <w:fldChar w:fldCharType="separate"/>
      </w:r>
      <w:r w:rsidR="00BC70AE">
        <w:rPr>
          <w:rFonts w:ascii="Times New Roman" w:hAnsi="Times New Roman" w:cs="Times New Roman"/>
          <w:i w:val="0"/>
          <w:iCs w:val="0"/>
          <w:noProof/>
          <w:color w:val="000000"/>
          <w:sz w:val="24"/>
          <w:szCs w:val="24"/>
        </w:rPr>
        <w:t>3</w:t>
      </w:r>
      <w:r w:rsidRPr="00E1100F">
        <w:rPr>
          <w:rFonts w:ascii="Times New Roman" w:hAnsi="Times New Roman" w:cs="Times New Roman"/>
          <w:i w:val="0"/>
          <w:iCs w:val="0"/>
          <w:color w:val="000000"/>
          <w:sz w:val="24"/>
          <w:szCs w:val="24"/>
        </w:rPr>
        <w:fldChar w:fldCharType="end"/>
      </w:r>
      <w:r w:rsidR="00545F67" w:rsidRPr="00E1100F">
        <w:rPr>
          <w:rFonts w:ascii="Times New Roman" w:hAnsi="Times New Roman" w:cs="Times New Roman"/>
          <w:i w:val="0"/>
          <w:iCs w:val="0"/>
          <w:color w:val="000000"/>
          <w:sz w:val="24"/>
          <w:szCs w:val="24"/>
        </w:rPr>
        <w:t xml:space="preserve"> </w:t>
      </w:r>
      <w:r w:rsidR="003C3597" w:rsidRPr="00E1100F">
        <w:rPr>
          <w:rFonts w:ascii="Times New Roman" w:hAnsi="Times New Roman" w:cs="Times New Roman"/>
          <w:i w:val="0"/>
          <w:iCs w:val="0"/>
          <w:color w:val="000000"/>
          <w:sz w:val="24"/>
          <w:szCs w:val="24"/>
        </w:rPr>
        <w:t>Sample vs. Canadian households as derived from census.</w:t>
      </w:r>
      <w:bookmarkEnd w:id="29"/>
    </w:p>
    <w:tbl>
      <w:tblPr>
        <w:tblW w:w="8769" w:type="dxa"/>
        <w:tblLook w:val="04A0" w:firstRow="1" w:lastRow="0" w:firstColumn="1" w:lastColumn="0" w:noHBand="0" w:noVBand="1"/>
      </w:tblPr>
      <w:tblGrid>
        <w:gridCol w:w="2127"/>
        <w:gridCol w:w="141"/>
        <w:gridCol w:w="3402"/>
        <w:gridCol w:w="1560"/>
        <w:gridCol w:w="1539"/>
      </w:tblGrid>
      <w:tr w:rsidR="00B00A98" w:rsidRPr="00B00A98" w14:paraId="55610ABC" w14:textId="77777777" w:rsidTr="0079642D">
        <w:trPr>
          <w:trHeight w:val="70"/>
        </w:trPr>
        <w:tc>
          <w:tcPr>
            <w:tcW w:w="2127" w:type="dxa"/>
            <w:tcBorders>
              <w:top w:val="single" w:sz="4" w:space="0" w:color="000000" w:themeColor="text1"/>
              <w:left w:val="nil"/>
              <w:bottom w:val="single" w:sz="4" w:space="0" w:color="000000" w:themeColor="text1"/>
              <w:right w:val="nil"/>
            </w:tcBorders>
            <w:shd w:val="clear" w:color="auto" w:fill="auto"/>
            <w:noWrap/>
            <w:hideMark/>
          </w:tcPr>
          <w:p w14:paraId="0DD514E1" w14:textId="77777777" w:rsidR="00B00A98" w:rsidRPr="0079642D" w:rsidRDefault="00B00A98" w:rsidP="0079642D">
            <w:pPr>
              <w:spacing w:before="0" w:after="60" w:line="240" w:lineRule="auto"/>
              <w:ind w:firstLine="0"/>
              <w:jc w:val="left"/>
              <w:rPr>
                <w:rFonts w:ascii="Times New Roman" w:eastAsia="Times New Roman" w:hAnsi="Times New Roman" w:cs="Times New Roman"/>
                <w:sz w:val="18"/>
                <w:szCs w:val="18"/>
                <w:lang w:eastAsia="en-CA"/>
              </w:rPr>
            </w:pPr>
            <w:r w:rsidRPr="0079642D">
              <w:rPr>
                <w:rFonts w:ascii="Times New Roman" w:hAnsi="Times New Roman"/>
                <w:color w:val="000000"/>
                <w:sz w:val="18"/>
                <w:szCs w:val="18"/>
                <w:lang w:eastAsia="en-CA"/>
              </w:rPr>
              <w:t>Context</w:t>
            </w:r>
          </w:p>
        </w:tc>
        <w:tc>
          <w:tcPr>
            <w:tcW w:w="3543" w:type="dxa"/>
            <w:gridSpan w:val="2"/>
            <w:tcBorders>
              <w:top w:val="single" w:sz="4" w:space="0" w:color="000000" w:themeColor="text1"/>
              <w:left w:val="nil"/>
              <w:bottom w:val="single" w:sz="4" w:space="0" w:color="000000" w:themeColor="text1"/>
              <w:right w:val="nil"/>
            </w:tcBorders>
            <w:shd w:val="clear" w:color="auto" w:fill="auto"/>
            <w:noWrap/>
            <w:hideMark/>
          </w:tcPr>
          <w:p w14:paraId="428EBF19" w14:textId="77777777" w:rsidR="00B00A98" w:rsidRPr="0079642D" w:rsidRDefault="00B00A98" w:rsidP="0079642D">
            <w:pPr>
              <w:spacing w:before="0" w:after="60" w:line="240" w:lineRule="auto"/>
              <w:ind w:firstLine="0"/>
              <w:jc w:val="left"/>
              <w:rPr>
                <w:rFonts w:ascii="Times New Roman" w:eastAsia="Times New Roman" w:hAnsi="Times New Roman" w:cs="Times New Roman"/>
                <w:sz w:val="18"/>
                <w:szCs w:val="18"/>
                <w:lang w:eastAsia="en-CA"/>
              </w:rPr>
            </w:pPr>
          </w:p>
        </w:tc>
        <w:tc>
          <w:tcPr>
            <w:tcW w:w="1560" w:type="dxa"/>
            <w:tcBorders>
              <w:top w:val="single" w:sz="4" w:space="0" w:color="000000" w:themeColor="text1"/>
              <w:left w:val="nil"/>
              <w:bottom w:val="single" w:sz="4" w:space="0" w:color="000000" w:themeColor="text1"/>
            </w:tcBorders>
            <w:shd w:val="clear" w:color="auto" w:fill="auto"/>
            <w:noWrap/>
            <w:hideMark/>
          </w:tcPr>
          <w:p w14:paraId="7946073B" w14:textId="77777777" w:rsidR="00B00A98" w:rsidRPr="0079642D" w:rsidRDefault="00B00A98" w:rsidP="0079642D">
            <w:pPr>
              <w:spacing w:before="0" w:after="6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SPACE</w:t>
            </w:r>
          </w:p>
        </w:tc>
        <w:tc>
          <w:tcPr>
            <w:tcW w:w="1539" w:type="dxa"/>
            <w:tcBorders>
              <w:top w:val="single" w:sz="4" w:space="0" w:color="000000" w:themeColor="text1"/>
              <w:left w:val="nil"/>
              <w:bottom w:val="single" w:sz="4" w:space="0" w:color="000000" w:themeColor="text1"/>
            </w:tcBorders>
          </w:tcPr>
          <w:p w14:paraId="0E906AE2" w14:textId="77777777" w:rsidR="00B00A98" w:rsidRPr="0079642D" w:rsidRDefault="00B00A98" w:rsidP="0079642D">
            <w:pPr>
              <w:spacing w:before="0" w:after="6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Census</w:t>
            </w:r>
          </w:p>
        </w:tc>
      </w:tr>
      <w:tr w:rsidR="00B00A98" w:rsidRPr="00B00A98" w14:paraId="49942BEB" w14:textId="77777777" w:rsidTr="00B00A98">
        <w:trPr>
          <w:trHeight w:val="1049"/>
        </w:trPr>
        <w:tc>
          <w:tcPr>
            <w:tcW w:w="2268" w:type="dxa"/>
            <w:gridSpan w:val="2"/>
            <w:tcBorders>
              <w:left w:val="nil"/>
              <w:right w:val="nil"/>
            </w:tcBorders>
            <w:shd w:val="clear" w:color="auto" w:fill="auto"/>
            <w:noWrap/>
            <w:hideMark/>
          </w:tcPr>
          <w:p w14:paraId="06E5B5B4"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Age</w:t>
            </w:r>
          </w:p>
          <w:p w14:paraId="357860FB"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(householder)</w:t>
            </w:r>
          </w:p>
        </w:tc>
        <w:tc>
          <w:tcPr>
            <w:tcW w:w="3402" w:type="dxa"/>
            <w:tcBorders>
              <w:left w:val="nil"/>
              <w:right w:val="nil"/>
            </w:tcBorders>
            <w:shd w:val="clear" w:color="auto" w:fill="auto"/>
            <w:noWrap/>
            <w:hideMark/>
          </w:tcPr>
          <w:p w14:paraId="662D4590"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18-24</w:t>
            </w:r>
          </w:p>
          <w:p w14:paraId="71D290FB"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25-34</w:t>
            </w:r>
          </w:p>
          <w:p w14:paraId="3610EE10"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35-44</w:t>
            </w:r>
          </w:p>
          <w:p w14:paraId="42899F79"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45-54</w:t>
            </w:r>
          </w:p>
          <w:p w14:paraId="34B7BF9F"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55-64</w:t>
            </w:r>
          </w:p>
          <w:p w14:paraId="083F085D" w14:textId="77777777" w:rsidR="00B00A98" w:rsidRPr="0079642D" w:rsidRDefault="00B00A98" w:rsidP="0079642D">
            <w:pPr>
              <w:spacing w:before="0" w:after="6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65+</w:t>
            </w:r>
          </w:p>
        </w:tc>
        <w:tc>
          <w:tcPr>
            <w:tcW w:w="1560" w:type="dxa"/>
            <w:tcBorders>
              <w:left w:val="nil"/>
              <w:right w:val="nil"/>
            </w:tcBorders>
            <w:shd w:val="clear" w:color="auto" w:fill="auto"/>
            <w:noWrap/>
            <w:hideMark/>
          </w:tcPr>
          <w:p w14:paraId="753083D7"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4%</w:t>
            </w:r>
          </w:p>
          <w:p w14:paraId="613EC7D0"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14%</w:t>
            </w:r>
          </w:p>
          <w:p w14:paraId="40846861"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18%</w:t>
            </w:r>
          </w:p>
          <w:p w14:paraId="32A527B5"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23%</w:t>
            </w:r>
          </w:p>
          <w:p w14:paraId="04F115C3"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22%</w:t>
            </w:r>
          </w:p>
          <w:p w14:paraId="2FDC8680" w14:textId="77777777" w:rsidR="00B00A98" w:rsidRPr="0079642D" w:rsidRDefault="00B00A98" w:rsidP="0079642D">
            <w:pPr>
              <w:spacing w:before="0" w:after="6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19%</w:t>
            </w:r>
          </w:p>
        </w:tc>
        <w:tc>
          <w:tcPr>
            <w:tcW w:w="1539" w:type="dxa"/>
            <w:tcBorders>
              <w:left w:val="nil"/>
              <w:right w:val="nil"/>
            </w:tcBorders>
          </w:tcPr>
          <w:p w14:paraId="3A2099DE"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3%</w:t>
            </w:r>
          </w:p>
          <w:p w14:paraId="0FBBAA6D"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14%</w:t>
            </w:r>
          </w:p>
          <w:p w14:paraId="2D85C3BB"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17%</w:t>
            </w:r>
          </w:p>
          <w:p w14:paraId="7FB2B63F"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20%</w:t>
            </w:r>
          </w:p>
          <w:p w14:paraId="06067C83"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20%</w:t>
            </w:r>
          </w:p>
          <w:p w14:paraId="41E3572D" w14:textId="77777777" w:rsidR="00B00A98" w:rsidRPr="0079642D" w:rsidRDefault="00B00A98" w:rsidP="0079642D">
            <w:pPr>
              <w:spacing w:before="0" w:after="6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22%</w:t>
            </w:r>
          </w:p>
        </w:tc>
      </w:tr>
      <w:tr w:rsidR="00B00A98" w:rsidRPr="00B00A98" w14:paraId="42E35698" w14:textId="77777777" w:rsidTr="0079642D">
        <w:trPr>
          <w:trHeight w:val="1096"/>
        </w:trPr>
        <w:tc>
          <w:tcPr>
            <w:tcW w:w="2268" w:type="dxa"/>
            <w:gridSpan w:val="2"/>
            <w:tcBorders>
              <w:left w:val="nil"/>
              <w:right w:val="nil"/>
            </w:tcBorders>
            <w:shd w:val="clear" w:color="auto" w:fill="auto"/>
            <w:noWrap/>
            <w:hideMark/>
          </w:tcPr>
          <w:p w14:paraId="5465B6A7"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Education</w:t>
            </w:r>
          </w:p>
          <w:p w14:paraId="5D1D0E2A"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(householder)</w:t>
            </w:r>
          </w:p>
        </w:tc>
        <w:tc>
          <w:tcPr>
            <w:tcW w:w="3402" w:type="dxa"/>
            <w:tcBorders>
              <w:left w:val="nil"/>
              <w:bottom w:val="nil"/>
              <w:right w:val="nil"/>
            </w:tcBorders>
            <w:shd w:val="clear" w:color="auto" w:fill="auto"/>
            <w:noWrap/>
            <w:hideMark/>
          </w:tcPr>
          <w:p w14:paraId="3EB557DF" w14:textId="77777777" w:rsidR="00B00A98" w:rsidRPr="0079642D" w:rsidRDefault="00B00A98" w:rsidP="00B00A98">
            <w:pPr>
              <w:spacing w:before="0" w:after="0" w:line="240" w:lineRule="auto"/>
              <w:ind w:firstLine="0"/>
              <w:contextualSpacing/>
              <w:jc w:val="left"/>
              <w:rPr>
                <w:rFonts w:ascii="Times New Roman" w:hAnsi="Times New Roman"/>
                <w:color w:val="000000"/>
                <w:sz w:val="18"/>
                <w:szCs w:val="18"/>
                <w:lang w:eastAsia="en-CA"/>
              </w:rPr>
            </w:pPr>
            <w:r w:rsidRPr="0079642D">
              <w:rPr>
                <w:rFonts w:ascii="Times New Roman" w:hAnsi="Times New Roman"/>
                <w:color w:val="000000"/>
                <w:sz w:val="18"/>
                <w:szCs w:val="18"/>
                <w:lang w:eastAsia="en-CA"/>
              </w:rPr>
              <w:t>No certificate; diploma or degree</w:t>
            </w:r>
          </w:p>
          <w:p w14:paraId="4DF8CE18" w14:textId="77777777" w:rsidR="00B00A98" w:rsidRPr="0079642D" w:rsidRDefault="00B00A98" w:rsidP="00B00A98">
            <w:pPr>
              <w:spacing w:before="0" w:after="0" w:line="240" w:lineRule="auto"/>
              <w:ind w:firstLine="0"/>
              <w:contextualSpacing/>
              <w:jc w:val="left"/>
              <w:rPr>
                <w:rFonts w:ascii="Times New Roman" w:hAnsi="Times New Roman"/>
                <w:color w:val="000000"/>
                <w:sz w:val="18"/>
                <w:szCs w:val="18"/>
                <w:lang w:eastAsia="en-CA"/>
              </w:rPr>
            </w:pPr>
            <w:r w:rsidRPr="0079642D">
              <w:rPr>
                <w:rFonts w:ascii="Times New Roman" w:hAnsi="Times New Roman"/>
                <w:color w:val="000000"/>
                <w:sz w:val="18"/>
                <w:szCs w:val="18"/>
                <w:lang w:eastAsia="en-CA"/>
              </w:rPr>
              <w:t>High school diploma or equivalent</w:t>
            </w:r>
          </w:p>
          <w:p w14:paraId="5D073E84" w14:textId="77777777" w:rsidR="00B00A98" w:rsidRPr="0079642D" w:rsidRDefault="00B00A98" w:rsidP="00B00A98">
            <w:pPr>
              <w:spacing w:before="0" w:after="0" w:line="240" w:lineRule="auto"/>
              <w:ind w:firstLine="0"/>
              <w:contextualSpacing/>
              <w:jc w:val="left"/>
              <w:rPr>
                <w:rFonts w:ascii="Times New Roman" w:hAnsi="Times New Roman"/>
                <w:color w:val="000000"/>
                <w:sz w:val="18"/>
                <w:szCs w:val="18"/>
                <w:lang w:eastAsia="en-CA"/>
              </w:rPr>
            </w:pPr>
            <w:r w:rsidRPr="0079642D">
              <w:rPr>
                <w:rFonts w:ascii="Times New Roman" w:hAnsi="Times New Roman"/>
                <w:color w:val="000000"/>
                <w:sz w:val="18"/>
                <w:szCs w:val="18"/>
                <w:lang w:eastAsia="en-CA"/>
              </w:rPr>
              <w:t>College, trades certificate or diploma</w:t>
            </w:r>
          </w:p>
          <w:p w14:paraId="79F638F3" w14:textId="77777777" w:rsidR="00B00A98" w:rsidRPr="0079642D" w:rsidRDefault="00B00A98" w:rsidP="0079642D">
            <w:pPr>
              <w:spacing w:before="0" w:after="60" w:line="240" w:lineRule="auto"/>
              <w:ind w:firstLine="0"/>
              <w:jc w:val="left"/>
              <w:rPr>
                <w:rFonts w:ascii="Times New Roman" w:hAnsi="Times New Roman"/>
                <w:color w:val="000000"/>
                <w:sz w:val="18"/>
                <w:szCs w:val="18"/>
                <w:lang w:eastAsia="en-CA"/>
              </w:rPr>
            </w:pPr>
            <w:r w:rsidRPr="0079642D">
              <w:rPr>
                <w:rFonts w:ascii="Times New Roman" w:hAnsi="Times New Roman"/>
                <w:color w:val="000000"/>
                <w:sz w:val="18"/>
                <w:szCs w:val="18"/>
                <w:lang w:eastAsia="en-CA"/>
              </w:rPr>
              <w:t>University certificate, diploma or degree at bachelor level or above</w:t>
            </w:r>
          </w:p>
        </w:tc>
        <w:tc>
          <w:tcPr>
            <w:tcW w:w="1560" w:type="dxa"/>
            <w:tcBorders>
              <w:left w:val="nil"/>
              <w:bottom w:val="nil"/>
              <w:right w:val="nil"/>
            </w:tcBorders>
            <w:shd w:val="clear" w:color="auto" w:fill="auto"/>
            <w:noWrap/>
            <w:hideMark/>
          </w:tcPr>
          <w:p w14:paraId="75F3AACD" w14:textId="77777777" w:rsidR="00B00A98" w:rsidRPr="0079642D" w:rsidRDefault="00B00A98" w:rsidP="00B00A98">
            <w:pPr>
              <w:spacing w:before="0" w:after="0" w:line="240" w:lineRule="auto"/>
              <w:ind w:firstLine="0"/>
              <w:contextualSpacing/>
              <w:jc w:val="center"/>
              <w:rPr>
                <w:rFonts w:ascii="Times New Roman" w:hAnsi="Times New Roman"/>
                <w:color w:val="000000"/>
                <w:sz w:val="18"/>
                <w:szCs w:val="18"/>
                <w:lang w:eastAsia="en-CA"/>
              </w:rPr>
            </w:pPr>
            <w:r w:rsidRPr="0079642D">
              <w:rPr>
                <w:rFonts w:ascii="Times New Roman" w:hAnsi="Times New Roman"/>
                <w:color w:val="000000"/>
                <w:sz w:val="18"/>
                <w:szCs w:val="18"/>
                <w:lang w:eastAsia="en-CA"/>
              </w:rPr>
              <w:t>3%</w:t>
            </w:r>
          </w:p>
          <w:p w14:paraId="1FEC634D" w14:textId="77777777" w:rsidR="00B00A98" w:rsidRPr="0079642D" w:rsidRDefault="00B00A98" w:rsidP="00B00A98">
            <w:pPr>
              <w:spacing w:before="0" w:after="0" w:line="240" w:lineRule="auto"/>
              <w:ind w:firstLine="0"/>
              <w:contextualSpacing/>
              <w:jc w:val="center"/>
              <w:rPr>
                <w:rFonts w:ascii="Times New Roman" w:hAnsi="Times New Roman"/>
                <w:color w:val="000000"/>
                <w:sz w:val="18"/>
                <w:szCs w:val="18"/>
                <w:lang w:eastAsia="en-CA"/>
              </w:rPr>
            </w:pPr>
            <w:r w:rsidRPr="0079642D">
              <w:rPr>
                <w:rFonts w:ascii="Times New Roman" w:hAnsi="Times New Roman"/>
                <w:color w:val="000000"/>
                <w:sz w:val="18"/>
                <w:szCs w:val="18"/>
                <w:lang w:eastAsia="en-CA"/>
              </w:rPr>
              <w:t>18%</w:t>
            </w:r>
          </w:p>
          <w:p w14:paraId="4AAA38F2" w14:textId="77777777" w:rsidR="00B00A98" w:rsidRPr="0079642D" w:rsidRDefault="00B00A98" w:rsidP="00B00A98">
            <w:pPr>
              <w:spacing w:before="0" w:after="0" w:line="240" w:lineRule="auto"/>
              <w:ind w:firstLine="0"/>
              <w:contextualSpacing/>
              <w:jc w:val="center"/>
              <w:rPr>
                <w:rFonts w:ascii="Times New Roman" w:hAnsi="Times New Roman"/>
                <w:color w:val="000000"/>
                <w:sz w:val="18"/>
                <w:szCs w:val="18"/>
                <w:lang w:eastAsia="en-CA"/>
              </w:rPr>
            </w:pPr>
            <w:r w:rsidRPr="0079642D">
              <w:rPr>
                <w:rFonts w:ascii="Times New Roman" w:hAnsi="Times New Roman"/>
                <w:color w:val="000000"/>
                <w:sz w:val="18"/>
                <w:szCs w:val="18"/>
                <w:lang w:eastAsia="en-CA"/>
              </w:rPr>
              <w:t>34%</w:t>
            </w:r>
          </w:p>
          <w:p w14:paraId="7F5769B0" w14:textId="77777777" w:rsidR="00B00A98" w:rsidRPr="0079642D" w:rsidRDefault="00B00A98" w:rsidP="0079642D">
            <w:pPr>
              <w:spacing w:before="0" w:after="6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45%</w:t>
            </w:r>
          </w:p>
        </w:tc>
        <w:tc>
          <w:tcPr>
            <w:tcW w:w="1539" w:type="dxa"/>
            <w:tcBorders>
              <w:left w:val="nil"/>
              <w:bottom w:val="nil"/>
              <w:right w:val="nil"/>
            </w:tcBorders>
          </w:tcPr>
          <w:p w14:paraId="577E739B" w14:textId="77777777" w:rsidR="00B00A98" w:rsidRPr="0079642D" w:rsidRDefault="00B00A98" w:rsidP="00B00A98">
            <w:pPr>
              <w:spacing w:before="0" w:after="0" w:line="240" w:lineRule="auto"/>
              <w:ind w:firstLine="0"/>
              <w:contextualSpacing/>
              <w:jc w:val="center"/>
              <w:rPr>
                <w:rFonts w:ascii="Times New Roman" w:hAnsi="Times New Roman"/>
                <w:color w:val="000000"/>
                <w:sz w:val="18"/>
                <w:szCs w:val="18"/>
                <w:lang w:eastAsia="en-CA"/>
              </w:rPr>
            </w:pPr>
            <w:r w:rsidRPr="0079642D">
              <w:rPr>
                <w:rFonts w:ascii="Times New Roman" w:hAnsi="Times New Roman"/>
                <w:color w:val="000000"/>
                <w:sz w:val="18"/>
                <w:szCs w:val="18"/>
                <w:lang w:eastAsia="en-CA"/>
              </w:rPr>
              <w:t>17%</w:t>
            </w:r>
          </w:p>
          <w:p w14:paraId="2925E617" w14:textId="77777777" w:rsidR="00B00A98" w:rsidRPr="0079642D" w:rsidRDefault="00B00A98" w:rsidP="00B00A98">
            <w:pPr>
              <w:spacing w:before="0" w:after="0" w:line="240" w:lineRule="auto"/>
              <w:ind w:firstLine="0"/>
              <w:contextualSpacing/>
              <w:jc w:val="center"/>
              <w:rPr>
                <w:rFonts w:ascii="Times New Roman" w:hAnsi="Times New Roman"/>
                <w:color w:val="000000"/>
                <w:sz w:val="18"/>
                <w:szCs w:val="18"/>
                <w:lang w:eastAsia="en-CA"/>
              </w:rPr>
            </w:pPr>
            <w:r w:rsidRPr="0079642D">
              <w:rPr>
                <w:rFonts w:ascii="Times New Roman" w:hAnsi="Times New Roman"/>
                <w:color w:val="000000"/>
                <w:sz w:val="18"/>
                <w:szCs w:val="18"/>
                <w:lang w:eastAsia="en-CA"/>
              </w:rPr>
              <w:t>22%</w:t>
            </w:r>
          </w:p>
          <w:p w14:paraId="2DF8BF99" w14:textId="77777777" w:rsidR="00B00A98" w:rsidRPr="0079642D" w:rsidRDefault="00B00A98" w:rsidP="00B00A98">
            <w:pPr>
              <w:spacing w:before="0" w:after="0" w:line="240" w:lineRule="auto"/>
              <w:ind w:firstLine="0"/>
              <w:contextualSpacing/>
              <w:jc w:val="center"/>
              <w:rPr>
                <w:rFonts w:ascii="Times New Roman" w:hAnsi="Times New Roman"/>
                <w:color w:val="000000"/>
                <w:sz w:val="18"/>
                <w:szCs w:val="18"/>
                <w:lang w:eastAsia="en-CA"/>
              </w:rPr>
            </w:pPr>
            <w:r w:rsidRPr="0079642D">
              <w:rPr>
                <w:rFonts w:ascii="Times New Roman" w:hAnsi="Times New Roman"/>
                <w:color w:val="000000"/>
                <w:sz w:val="18"/>
                <w:szCs w:val="18"/>
                <w:lang w:eastAsia="en-CA"/>
              </w:rPr>
              <w:t>37%</w:t>
            </w:r>
          </w:p>
          <w:p w14:paraId="3ADB0FBF" w14:textId="77777777" w:rsidR="00B00A98" w:rsidRPr="0079642D" w:rsidRDefault="00B00A98" w:rsidP="0079642D">
            <w:pPr>
              <w:spacing w:before="0" w:after="6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23%</w:t>
            </w:r>
          </w:p>
          <w:p w14:paraId="00F7F0F3" w14:textId="77777777" w:rsidR="00B00A98" w:rsidRPr="0079642D" w:rsidRDefault="00B00A98" w:rsidP="00B00A98">
            <w:pPr>
              <w:spacing w:before="0" w:after="0" w:line="240" w:lineRule="auto"/>
              <w:ind w:firstLine="0"/>
              <w:contextualSpacing/>
              <w:jc w:val="center"/>
              <w:rPr>
                <w:rFonts w:ascii="Times New Roman" w:eastAsia="Times New Roman" w:hAnsi="Times New Roman" w:cs="Times New Roman"/>
                <w:color w:val="000000"/>
                <w:sz w:val="18"/>
                <w:szCs w:val="18"/>
                <w:lang w:eastAsia="en-CA"/>
              </w:rPr>
            </w:pPr>
          </w:p>
        </w:tc>
      </w:tr>
      <w:tr w:rsidR="00B00A98" w:rsidRPr="00B00A98" w14:paraId="757AFE33" w14:textId="77777777" w:rsidTr="00B00A98">
        <w:trPr>
          <w:trHeight w:val="301"/>
        </w:trPr>
        <w:tc>
          <w:tcPr>
            <w:tcW w:w="2268" w:type="dxa"/>
            <w:gridSpan w:val="2"/>
            <w:tcBorders>
              <w:left w:val="nil"/>
              <w:right w:val="nil"/>
            </w:tcBorders>
            <w:shd w:val="clear" w:color="auto" w:fill="auto"/>
            <w:noWrap/>
          </w:tcPr>
          <w:p w14:paraId="267DE787"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 xml:space="preserve">Marital status </w:t>
            </w:r>
          </w:p>
          <w:p w14:paraId="4727F0F9"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(householder)</w:t>
            </w:r>
          </w:p>
        </w:tc>
        <w:tc>
          <w:tcPr>
            <w:tcW w:w="3402" w:type="dxa"/>
            <w:tcBorders>
              <w:left w:val="nil"/>
              <w:right w:val="nil"/>
            </w:tcBorders>
            <w:shd w:val="clear" w:color="auto" w:fill="auto"/>
            <w:noWrap/>
          </w:tcPr>
          <w:p w14:paraId="62544C82"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Single</w:t>
            </w:r>
          </w:p>
          <w:p w14:paraId="5707FF13"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Married or common law</w:t>
            </w:r>
          </w:p>
          <w:p w14:paraId="68D172A9" w14:textId="77777777" w:rsidR="00B00A98" w:rsidRPr="0079642D" w:rsidRDefault="00B00A98" w:rsidP="0079642D">
            <w:pPr>
              <w:spacing w:before="0" w:after="6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Other</w:t>
            </w:r>
          </w:p>
        </w:tc>
        <w:tc>
          <w:tcPr>
            <w:tcW w:w="1560" w:type="dxa"/>
            <w:tcBorders>
              <w:left w:val="nil"/>
              <w:right w:val="nil"/>
            </w:tcBorders>
            <w:shd w:val="clear" w:color="auto" w:fill="auto"/>
            <w:noWrap/>
          </w:tcPr>
          <w:p w14:paraId="4628B9C7"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25%</w:t>
            </w:r>
          </w:p>
          <w:p w14:paraId="236BCEDA"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69%</w:t>
            </w:r>
          </w:p>
          <w:p w14:paraId="79EB4693" w14:textId="77777777" w:rsidR="00B00A98" w:rsidRPr="0079642D" w:rsidRDefault="00B00A98" w:rsidP="0079642D">
            <w:pPr>
              <w:spacing w:before="0" w:after="6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6%</w:t>
            </w:r>
          </w:p>
        </w:tc>
        <w:tc>
          <w:tcPr>
            <w:tcW w:w="1539" w:type="dxa"/>
            <w:tcBorders>
              <w:left w:val="nil"/>
              <w:right w:val="nil"/>
            </w:tcBorders>
          </w:tcPr>
          <w:p w14:paraId="51FF7D3F"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18%</w:t>
            </w:r>
          </w:p>
          <w:p w14:paraId="5174BFDD"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58%</w:t>
            </w:r>
          </w:p>
          <w:p w14:paraId="06F1634C" w14:textId="77777777" w:rsidR="00B00A98" w:rsidRPr="0079642D" w:rsidDel="00766D4F" w:rsidRDefault="00B00A98" w:rsidP="0079642D">
            <w:pPr>
              <w:spacing w:before="0" w:after="6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23%</w:t>
            </w:r>
          </w:p>
        </w:tc>
      </w:tr>
      <w:tr w:rsidR="00B00A98" w:rsidRPr="00B00A98" w14:paraId="60B6C856" w14:textId="77777777" w:rsidTr="00B00A98">
        <w:trPr>
          <w:trHeight w:val="301"/>
        </w:trPr>
        <w:tc>
          <w:tcPr>
            <w:tcW w:w="2268" w:type="dxa"/>
            <w:gridSpan w:val="2"/>
            <w:tcBorders>
              <w:left w:val="nil"/>
              <w:right w:val="nil"/>
            </w:tcBorders>
            <w:shd w:val="clear" w:color="auto" w:fill="auto"/>
            <w:noWrap/>
          </w:tcPr>
          <w:p w14:paraId="0A76CF16"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Household income (CAD$)</w:t>
            </w:r>
          </w:p>
        </w:tc>
        <w:tc>
          <w:tcPr>
            <w:tcW w:w="3402" w:type="dxa"/>
            <w:vMerge w:val="restart"/>
            <w:tcBorders>
              <w:left w:val="nil"/>
              <w:right w:val="nil"/>
            </w:tcBorders>
            <w:shd w:val="clear" w:color="auto" w:fill="auto"/>
            <w:noWrap/>
          </w:tcPr>
          <w:p w14:paraId="0AF3297B"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Less than $25,000</w:t>
            </w:r>
          </w:p>
          <w:p w14:paraId="2D8B06C9"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$25,000 to $49,999</w:t>
            </w:r>
          </w:p>
          <w:p w14:paraId="49902236"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$50,000 to $99,999</w:t>
            </w:r>
          </w:p>
          <w:p w14:paraId="397D5F9D"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$100,000 and more</w:t>
            </w:r>
          </w:p>
          <w:p w14:paraId="19C9D664" w14:textId="77777777" w:rsidR="00B00A98" w:rsidRPr="0079642D" w:rsidRDefault="00B00A98" w:rsidP="0079642D">
            <w:pPr>
              <w:spacing w:before="0" w:after="6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Refused</w:t>
            </w:r>
          </w:p>
        </w:tc>
        <w:tc>
          <w:tcPr>
            <w:tcW w:w="1560" w:type="dxa"/>
            <w:vMerge w:val="restart"/>
            <w:tcBorders>
              <w:left w:val="nil"/>
              <w:right w:val="nil"/>
            </w:tcBorders>
            <w:shd w:val="clear" w:color="auto" w:fill="auto"/>
            <w:noWrap/>
          </w:tcPr>
          <w:p w14:paraId="6F327153"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5%</w:t>
            </w:r>
          </w:p>
          <w:p w14:paraId="7D32636D"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16%</w:t>
            </w:r>
          </w:p>
          <w:p w14:paraId="111D4A8E"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37%</w:t>
            </w:r>
          </w:p>
          <w:p w14:paraId="2BC1EA1A"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29%</w:t>
            </w:r>
          </w:p>
          <w:p w14:paraId="493EA9FB" w14:textId="77777777" w:rsidR="00B00A98" w:rsidRPr="0079642D" w:rsidRDefault="00B00A98" w:rsidP="0079642D">
            <w:pPr>
              <w:spacing w:before="0" w:after="6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14%</w:t>
            </w:r>
          </w:p>
        </w:tc>
        <w:tc>
          <w:tcPr>
            <w:tcW w:w="1539" w:type="dxa"/>
            <w:vMerge w:val="restart"/>
            <w:tcBorders>
              <w:left w:val="nil"/>
              <w:right w:val="nil"/>
            </w:tcBorders>
          </w:tcPr>
          <w:p w14:paraId="040BE76A"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14%</w:t>
            </w:r>
          </w:p>
          <w:p w14:paraId="57B99031"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21%</w:t>
            </w:r>
          </w:p>
          <w:p w14:paraId="04DD9AF8"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33%</w:t>
            </w:r>
          </w:p>
          <w:p w14:paraId="448ED68A"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32%</w:t>
            </w:r>
          </w:p>
          <w:p w14:paraId="36C939AF" w14:textId="77777777" w:rsidR="00B00A98" w:rsidRPr="0079642D" w:rsidRDefault="00B00A98" w:rsidP="0079642D">
            <w:pPr>
              <w:spacing w:before="0" w:after="6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eastAsia="Times New Roman" w:hAnsi="Times New Roman" w:cs="Times New Roman"/>
                <w:color w:val="000000"/>
                <w:sz w:val="18"/>
                <w:szCs w:val="18"/>
                <w:lang w:eastAsia="en-CA"/>
              </w:rPr>
              <w:t>--</w:t>
            </w:r>
          </w:p>
        </w:tc>
      </w:tr>
      <w:tr w:rsidR="00B00A98" w:rsidRPr="00B00A98" w14:paraId="7B67143A" w14:textId="77777777" w:rsidTr="00B00A98">
        <w:trPr>
          <w:trHeight w:val="301"/>
        </w:trPr>
        <w:tc>
          <w:tcPr>
            <w:tcW w:w="2268" w:type="dxa"/>
            <w:gridSpan w:val="2"/>
            <w:tcBorders>
              <w:left w:val="nil"/>
              <w:right w:val="nil"/>
            </w:tcBorders>
            <w:shd w:val="clear" w:color="auto" w:fill="auto"/>
            <w:noWrap/>
          </w:tcPr>
          <w:p w14:paraId="5F307C4F"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p>
        </w:tc>
        <w:tc>
          <w:tcPr>
            <w:tcW w:w="3402" w:type="dxa"/>
            <w:vMerge/>
            <w:tcBorders>
              <w:left w:val="nil"/>
              <w:right w:val="nil"/>
            </w:tcBorders>
            <w:shd w:val="clear" w:color="auto" w:fill="auto"/>
            <w:noWrap/>
          </w:tcPr>
          <w:p w14:paraId="621DC035"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p>
        </w:tc>
        <w:tc>
          <w:tcPr>
            <w:tcW w:w="1560" w:type="dxa"/>
            <w:vMerge/>
            <w:tcBorders>
              <w:left w:val="nil"/>
              <w:right w:val="nil"/>
            </w:tcBorders>
            <w:shd w:val="clear" w:color="auto" w:fill="auto"/>
            <w:noWrap/>
          </w:tcPr>
          <w:p w14:paraId="2A63A578"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p>
        </w:tc>
        <w:tc>
          <w:tcPr>
            <w:tcW w:w="1539" w:type="dxa"/>
            <w:vMerge/>
            <w:tcBorders>
              <w:left w:val="nil"/>
              <w:right w:val="nil"/>
            </w:tcBorders>
          </w:tcPr>
          <w:p w14:paraId="4BCFBBDE"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p>
        </w:tc>
      </w:tr>
      <w:tr w:rsidR="00B00A98" w:rsidRPr="00B00A98" w14:paraId="2594C34F" w14:textId="77777777" w:rsidTr="00B00A98">
        <w:trPr>
          <w:trHeight w:val="301"/>
        </w:trPr>
        <w:tc>
          <w:tcPr>
            <w:tcW w:w="2268" w:type="dxa"/>
            <w:gridSpan w:val="2"/>
            <w:tcBorders>
              <w:left w:val="nil"/>
              <w:right w:val="nil"/>
            </w:tcBorders>
            <w:shd w:val="clear" w:color="auto" w:fill="auto"/>
            <w:noWrap/>
          </w:tcPr>
          <w:p w14:paraId="3C7FFA71"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p>
        </w:tc>
        <w:tc>
          <w:tcPr>
            <w:tcW w:w="3402" w:type="dxa"/>
            <w:vMerge/>
            <w:tcBorders>
              <w:left w:val="nil"/>
              <w:right w:val="nil"/>
            </w:tcBorders>
            <w:shd w:val="clear" w:color="auto" w:fill="auto"/>
            <w:noWrap/>
          </w:tcPr>
          <w:p w14:paraId="14B7A72E"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p>
        </w:tc>
        <w:tc>
          <w:tcPr>
            <w:tcW w:w="1560" w:type="dxa"/>
            <w:vMerge/>
            <w:tcBorders>
              <w:left w:val="nil"/>
              <w:right w:val="nil"/>
            </w:tcBorders>
            <w:shd w:val="clear" w:color="auto" w:fill="auto"/>
            <w:noWrap/>
          </w:tcPr>
          <w:p w14:paraId="6495594A"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p>
        </w:tc>
        <w:tc>
          <w:tcPr>
            <w:tcW w:w="1539" w:type="dxa"/>
            <w:vMerge/>
            <w:tcBorders>
              <w:left w:val="nil"/>
              <w:right w:val="nil"/>
            </w:tcBorders>
          </w:tcPr>
          <w:p w14:paraId="508F53F5"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p>
        </w:tc>
      </w:tr>
      <w:tr w:rsidR="00B00A98" w:rsidRPr="00B00A98" w14:paraId="70FDA487" w14:textId="77777777" w:rsidTr="0079642D">
        <w:trPr>
          <w:trHeight w:val="113"/>
        </w:trPr>
        <w:tc>
          <w:tcPr>
            <w:tcW w:w="2268" w:type="dxa"/>
            <w:gridSpan w:val="2"/>
            <w:tcBorders>
              <w:left w:val="nil"/>
              <w:right w:val="nil"/>
            </w:tcBorders>
            <w:shd w:val="clear" w:color="auto" w:fill="auto"/>
            <w:noWrap/>
          </w:tcPr>
          <w:p w14:paraId="5715775A"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p>
        </w:tc>
        <w:tc>
          <w:tcPr>
            <w:tcW w:w="3402" w:type="dxa"/>
            <w:vMerge/>
            <w:tcBorders>
              <w:left w:val="nil"/>
              <w:right w:val="nil"/>
            </w:tcBorders>
            <w:shd w:val="clear" w:color="auto" w:fill="auto"/>
            <w:noWrap/>
          </w:tcPr>
          <w:p w14:paraId="6D90A6BD"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p>
        </w:tc>
        <w:tc>
          <w:tcPr>
            <w:tcW w:w="1560" w:type="dxa"/>
            <w:vMerge/>
            <w:tcBorders>
              <w:left w:val="nil"/>
              <w:right w:val="nil"/>
            </w:tcBorders>
            <w:shd w:val="clear" w:color="auto" w:fill="auto"/>
            <w:noWrap/>
          </w:tcPr>
          <w:p w14:paraId="615981D7"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p>
        </w:tc>
        <w:tc>
          <w:tcPr>
            <w:tcW w:w="1539" w:type="dxa"/>
            <w:vMerge/>
            <w:tcBorders>
              <w:left w:val="nil"/>
              <w:right w:val="nil"/>
            </w:tcBorders>
          </w:tcPr>
          <w:p w14:paraId="41D70593"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p>
        </w:tc>
      </w:tr>
      <w:tr w:rsidR="00B00A98" w:rsidRPr="00B00A98" w14:paraId="38721319" w14:textId="77777777" w:rsidTr="00B00A98">
        <w:trPr>
          <w:trHeight w:val="301"/>
        </w:trPr>
        <w:tc>
          <w:tcPr>
            <w:tcW w:w="2268" w:type="dxa"/>
            <w:gridSpan w:val="2"/>
            <w:tcBorders>
              <w:left w:val="nil"/>
              <w:right w:val="nil"/>
            </w:tcBorders>
            <w:shd w:val="clear" w:color="auto" w:fill="auto"/>
            <w:noWrap/>
          </w:tcPr>
          <w:p w14:paraId="4D9DBDDD"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Language spoken most often at home</w:t>
            </w:r>
          </w:p>
        </w:tc>
        <w:tc>
          <w:tcPr>
            <w:tcW w:w="3402" w:type="dxa"/>
            <w:tcBorders>
              <w:left w:val="nil"/>
              <w:right w:val="nil"/>
            </w:tcBorders>
            <w:shd w:val="clear" w:color="auto" w:fill="auto"/>
            <w:noWrap/>
          </w:tcPr>
          <w:p w14:paraId="378993A3"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English</w:t>
            </w:r>
          </w:p>
          <w:p w14:paraId="33F1B194"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French</w:t>
            </w:r>
          </w:p>
          <w:p w14:paraId="5A363AAE" w14:textId="77777777" w:rsidR="00B00A98" w:rsidRPr="0079642D" w:rsidRDefault="00B00A98" w:rsidP="0079642D">
            <w:pPr>
              <w:spacing w:before="0" w:after="6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 xml:space="preserve">Other </w:t>
            </w:r>
          </w:p>
        </w:tc>
        <w:tc>
          <w:tcPr>
            <w:tcW w:w="1560" w:type="dxa"/>
            <w:tcBorders>
              <w:left w:val="nil"/>
              <w:right w:val="nil"/>
            </w:tcBorders>
            <w:shd w:val="clear" w:color="auto" w:fill="auto"/>
            <w:noWrap/>
          </w:tcPr>
          <w:p w14:paraId="6D75FCBA"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77%</w:t>
            </w:r>
          </w:p>
          <w:p w14:paraId="626D4B67"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18%</w:t>
            </w:r>
          </w:p>
          <w:p w14:paraId="15F2948C"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5%</w:t>
            </w:r>
          </w:p>
        </w:tc>
        <w:tc>
          <w:tcPr>
            <w:tcW w:w="1539" w:type="dxa"/>
            <w:tcBorders>
              <w:left w:val="nil"/>
              <w:right w:val="nil"/>
            </w:tcBorders>
          </w:tcPr>
          <w:p w14:paraId="16398871"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67%</w:t>
            </w:r>
          </w:p>
          <w:p w14:paraId="383418C4"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21%</w:t>
            </w:r>
          </w:p>
          <w:p w14:paraId="41A6D625"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12%</w:t>
            </w:r>
          </w:p>
        </w:tc>
      </w:tr>
      <w:tr w:rsidR="00B00A98" w:rsidRPr="00B00A98" w14:paraId="329129EC" w14:textId="77777777" w:rsidTr="00B00A98">
        <w:trPr>
          <w:trHeight w:val="1017"/>
        </w:trPr>
        <w:tc>
          <w:tcPr>
            <w:tcW w:w="2268" w:type="dxa"/>
            <w:gridSpan w:val="2"/>
            <w:tcBorders>
              <w:left w:val="nil"/>
              <w:right w:val="nil"/>
            </w:tcBorders>
            <w:shd w:val="clear" w:color="auto" w:fill="auto"/>
            <w:noWrap/>
          </w:tcPr>
          <w:p w14:paraId="0B536EC4"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Household size</w:t>
            </w:r>
          </w:p>
        </w:tc>
        <w:tc>
          <w:tcPr>
            <w:tcW w:w="3402" w:type="dxa"/>
            <w:tcBorders>
              <w:left w:val="nil"/>
              <w:right w:val="nil"/>
            </w:tcBorders>
            <w:shd w:val="clear" w:color="auto" w:fill="auto"/>
            <w:noWrap/>
          </w:tcPr>
          <w:p w14:paraId="1ACD1006"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1</w:t>
            </w:r>
          </w:p>
          <w:p w14:paraId="47EC8035"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2</w:t>
            </w:r>
          </w:p>
          <w:p w14:paraId="56FF5CC6"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3</w:t>
            </w:r>
          </w:p>
          <w:p w14:paraId="1D970ADF"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4</w:t>
            </w:r>
          </w:p>
          <w:p w14:paraId="4688D8EA"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5 or more</w:t>
            </w:r>
          </w:p>
        </w:tc>
        <w:tc>
          <w:tcPr>
            <w:tcW w:w="1560" w:type="dxa"/>
            <w:tcBorders>
              <w:left w:val="nil"/>
              <w:right w:val="nil"/>
            </w:tcBorders>
            <w:shd w:val="clear" w:color="auto" w:fill="auto"/>
            <w:noWrap/>
          </w:tcPr>
          <w:p w14:paraId="0AF662ED"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18%</w:t>
            </w:r>
          </w:p>
          <w:p w14:paraId="293DD060"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45%</w:t>
            </w:r>
          </w:p>
          <w:p w14:paraId="436FC825"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17%</w:t>
            </w:r>
          </w:p>
          <w:p w14:paraId="325E020B"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14%</w:t>
            </w:r>
          </w:p>
          <w:p w14:paraId="5B81283A"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7%</w:t>
            </w:r>
          </w:p>
        </w:tc>
        <w:tc>
          <w:tcPr>
            <w:tcW w:w="1539" w:type="dxa"/>
            <w:tcBorders>
              <w:left w:val="nil"/>
              <w:right w:val="nil"/>
            </w:tcBorders>
          </w:tcPr>
          <w:p w14:paraId="04F116CF"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28%</w:t>
            </w:r>
          </w:p>
          <w:p w14:paraId="3004BF98"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34%</w:t>
            </w:r>
          </w:p>
          <w:p w14:paraId="4136ED21"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15%</w:t>
            </w:r>
          </w:p>
          <w:p w14:paraId="7333ECB1"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14%</w:t>
            </w:r>
          </w:p>
          <w:p w14:paraId="2A0C3D1C"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8%</w:t>
            </w:r>
          </w:p>
        </w:tc>
      </w:tr>
      <w:tr w:rsidR="00B00A98" w:rsidRPr="00B00A98" w14:paraId="22295871" w14:textId="77777777" w:rsidTr="00B00A98">
        <w:trPr>
          <w:trHeight w:val="301"/>
        </w:trPr>
        <w:tc>
          <w:tcPr>
            <w:tcW w:w="2268" w:type="dxa"/>
            <w:gridSpan w:val="2"/>
            <w:tcBorders>
              <w:left w:val="nil"/>
              <w:right w:val="nil"/>
            </w:tcBorders>
            <w:shd w:val="clear" w:color="auto" w:fill="auto"/>
            <w:noWrap/>
          </w:tcPr>
          <w:p w14:paraId="060218E8"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Dwelling type</w:t>
            </w:r>
          </w:p>
        </w:tc>
        <w:tc>
          <w:tcPr>
            <w:tcW w:w="3402" w:type="dxa"/>
            <w:tcBorders>
              <w:left w:val="nil"/>
              <w:right w:val="nil"/>
            </w:tcBorders>
            <w:shd w:val="clear" w:color="auto" w:fill="auto"/>
            <w:noWrap/>
          </w:tcPr>
          <w:p w14:paraId="19822B6A"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Single detached house</w:t>
            </w:r>
          </w:p>
          <w:p w14:paraId="31C83EA7"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Townhouse or semi-detached</w:t>
            </w:r>
          </w:p>
          <w:p w14:paraId="6A184889"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Apartment or condo</w:t>
            </w:r>
          </w:p>
          <w:p w14:paraId="40A38EA1" w14:textId="77777777" w:rsidR="00B00A98" w:rsidRPr="0079642D" w:rsidRDefault="00B00A98" w:rsidP="0079642D">
            <w:pPr>
              <w:spacing w:before="0" w:after="6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Other</w:t>
            </w:r>
          </w:p>
        </w:tc>
        <w:tc>
          <w:tcPr>
            <w:tcW w:w="1560" w:type="dxa"/>
            <w:tcBorders>
              <w:left w:val="nil"/>
              <w:right w:val="nil"/>
            </w:tcBorders>
            <w:shd w:val="clear" w:color="auto" w:fill="auto"/>
            <w:noWrap/>
          </w:tcPr>
          <w:p w14:paraId="5DA38EAD"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65%</w:t>
            </w:r>
          </w:p>
          <w:p w14:paraId="66A57B08"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12%</w:t>
            </w:r>
          </w:p>
          <w:p w14:paraId="756DC93B"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21%</w:t>
            </w:r>
          </w:p>
          <w:p w14:paraId="0FCDC8C8"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1%</w:t>
            </w:r>
          </w:p>
        </w:tc>
        <w:tc>
          <w:tcPr>
            <w:tcW w:w="1539" w:type="dxa"/>
            <w:tcBorders>
              <w:left w:val="nil"/>
              <w:right w:val="nil"/>
            </w:tcBorders>
          </w:tcPr>
          <w:p w14:paraId="649C6D4E"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54%</w:t>
            </w:r>
          </w:p>
          <w:p w14:paraId="601A4291"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12%</w:t>
            </w:r>
          </w:p>
          <w:p w14:paraId="6A78B0D4"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34%</w:t>
            </w:r>
          </w:p>
          <w:p w14:paraId="3324B465"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1%</w:t>
            </w:r>
          </w:p>
        </w:tc>
      </w:tr>
      <w:tr w:rsidR="00B00A98" w:rsidRPr="00B00A98" w14:paraId="7029FB70" w14:textId="77777777" w:rsidTr="00B00A98">
        <w:trPr>
          <w:trHeight w:val="301"/>
        </w:trPr>
        <w:tc>
          <w:tcPr>
            <w:tcW w:w="2268" w:type="dxa"/>
            <w:gridSpan w:val="2"/>
            <w:tcBorders>
              <w:left w:val="nil"/>
              <w:right w:val="nil"/>
            </w:tcBorders>
            <w:shd w:val="clear" w:color="auto" w:fill="auto"/>
            <w:noWrap/>
          </w:tcPr>
          <w:p w14:paraId="2732A10C"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Dwelling tenure</w:t>
            </w:r>
          </w:p>
        </w:tc>
        <w:tc>
          <w:tcPr>
            <w:tcW w:w="3402" w:type="dxa"/>
            <w:tcBorders>
              <w:left w:val="nil"/>
              <w:right w:val="nil"/>
            </w:tcBorders>
            <w:shd w:val="clear" w:color="auto" w:fill="auto"/>
            <w:noWrap/>
          </w:tcPr>
          <w:p w14:paraId="5C591376"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Owner</w:t>
            </w:r>
          </w:p>
          <w:p w14:paraId="604C885B" w14:textId="77777777" w:rsidR="00B00A98" w:rsidRPr="0079642D" w:rsidRDefault="00B00A98" w:rsidP="0079642D">
            <w:pPr>
              <w:spacing w:before="0" w:after="6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Renter</w:t>
            </w:r>
          </w:p>
        </w:tc>
        <w:tc>
          <w:tcPr>
            <w:tcW w:w="1560" w:type="dxa"/>
            <w:tcBorders>
              <w:left w:val="nil"/>
              <w:right w:val="nil"/>
            </w:tcBorders>
            <w:shd w:val="clear" w:color="auto" w:fill="auto"/>
            <w:noWrap/>
          </w:tcPr>
          <w:p w14:paraId="7317F9E0"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78%</w:t>
            </w:r>
          </w:p>
          <w:p w14:paraId="79D9F903"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22%</w:t>
            </w:r>
          </w:p>
        </w:tc>
        <w:tc>
          <w:tcPr>
            <w:tcW w:w="1539" w:type="dxa"/>
            <w:tcBorders>
              <w:left w:val="nil"/>
              <w:right w:val="nil"/>
            </w:tcBorders>
          </w:tcPr>
          <w:p w14:paraId="3A32E4FF"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68%</w:t>
            </w:r>
          </w:p>
          <w:p w14:paraId="4D87DCAF"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32%</w:t>
            </w:r>
          </w:p>
        </w:tc>
      </w:tr>
      <w:tr w:rsidR="00B00A98" w:rsidRPr="00B00A98" w14:paraId="19A33D21" w14:textId="77777777" w:rsidTr="00B00A98">
        <w:trPr>
          <w:trHeight w:val="301"/>
        </w:trPr>
        <w:tc>
          <w:tcPr>
            <w:tcW w:w="2268" w:type="dxa"/>
            <w:gridSpan w:val="2"/>
            <w:tcBorders>
              <w:left w:val="nil"/>
              <w:bottom w:val="single" w:sz="4" w:space="0" w:color="000000" w:themeColor="text1"/>
              <w:right w:val="nil"/>
            </w:tcBorders>
            <w:shd w:val="clear" w:color="auto" w:fill="auto"/>
            <w:noWrap/>
          </w:tcPr>
          <w:p w14:paraId="159FFE09"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 xml:space="preserve">Province  </w:t>
            </w:r>
          </w:p>
        </w:tc>
        <w:tc>
          <w:tcPr>
            <w:tcW w:w="3402" w:type="dxa"/>
            <w:tcBorders>
              <w:left w:val="nil"/>
              <w:bottom w:val="single" w:sz="4" w:space="0" w:color="000000" w:themeColor="text1"/>
              <w:right w:val="nil"/>
            </w:tcBorders>
            <w:shd w:val="clear" w:color="auto" w:fill="auto"/>
            <w:noWrap/>
          </w:tcPr>
          <w:p w14:paraId="35E16CF9"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Newfoundland and Labrador</w:t>
            </w:r>
          </w:p>
          <w:p w14:paraId="241E4DCC"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Prince Edward Island</w:t>
            </w:r>
          </w:p>
          <w:p w14:paraId="399B4D92"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Nova Scotia</w:t>
            </w:r>
          </w:p>
          <w:p w14:paraId="15FBB84D"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New Brunswick</w:t>
            </w:r>
          </w:p>
          <w:p w14:paraId="74DA28C7"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Quebec</w:t>
            </w:r>
          </w:p>
          <w:p w14:paraId="705B4D15"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Ontario</w:t>
            </w:r>
          </w:p>
          <w:p w14:paraId="79A902F4"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Manitoba</w:t>
            </w:r>
          </w:p>
          <w:p w14:paraId="63E3533C"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Saskatchewan</w:t>
            </w:r>
          </w:p>
          <w:p w14:paraId="22FD03BC" w14:textId="77777777" w:rsidR="00B00A98" w:rsidRPr="0079642D" w:rsidRDefault="00B00A98" w:rsidP="00B00A98">
            <w:pPr>
              <w:spacing w:before="0" w:after="0" w:line="240" w:lineRule="auto"/>
              <w:ind w:firstLine="0"/>
              <w:jc w:val="left"/>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Alberta</w:t>
            </w:r>
          </w:p>
          <w:p w14:paraId="5F84FC17" w14:textId="77777777" w:rsidR="00B00A98" w:rsidRPr="00EC3DFE" w:rsidRDefault="00B00A98" w:rsidP="00B00A98">
            <w:pPr>
              <w:spacing w:before="0" w:after="0" w:line="240" w:lineRule="auto"/>
              <w:ind w:firstLine="0"/>
              <w:jc w:val="left"/>
              <w:rPr>
                <w:rFonts w:ascii="Times New Roman" w:hAnsi="Times New Roman"/>
                <w:color w:val="000000"/>
                <w:sz w:val="18"/>
                <w:szCs w:val="18"/>
                <w:lang w:eastAsia="en-CA"/>
              </w:rPr>
            </w:pPr>
            <w:r w:rsidRPr="0079642D">
              <w:rPr>
                <w:rFonts w:ascii="Times New Roman" w:hAnsi="Times New Roman"/>
                <w:color w:val="000000"/>
                <w:sz w:val="18"/>
                <w:szCs w:val="18"/>
                <w:lang w:eastAsia="en-CA"/>
              </w:rPr>
              <w:t>British Columbia</w:t>
            </w:r>
          </w:p>
        </w:tc>
        <w:tc>
          <w:tcPr>
            <w:tcW w:w="1560" w:type="dxa"/>
            <w:tcBorders>
              <w:left w:val="nil"/>
              <w:bottom w:val="single" w:sz="4" w:space="0" w:color="000000" w:themeColor="text1"/>
              <w:right w:val="nil"/>
            </w:tcBorders>
            <w:shd w:val="clear" w:color="auto" w:fill="auto"/>
            <w:noWrap/>
          </w:tcPr>
          <w:p w14:paraId="0BC7F26C"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3%</w:t>
            </w:r>
          </w:p>
          <w:p w14:paraId="10ABDA93"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1%</w:t>
            </w:r>
          </w:p>
          <w:p w14:paraId="2BECFBDE"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5%</w:t>
            </w:r>
          </w:p>
          <w:p w14:paraId="3D872B8C"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4%</w:t>
            </w:r>
          </w:p>
          <w:p w14:paraId="059E60AC"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22%</w:t>
            </w:r>
          </w:p>
          <w:p w14:paraId="27EF4C8D"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29%</w:t>
            </w:r>
          </w:p>
          <w:p w14:paraId="22587B31"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5%</w:t>
            </w:r>
          </w:p>
          <w:p w14:paraId="377AC298"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4%</w:t>
            </w:r>
          </w:p>
          <w:p w14:paraId="7B88191B"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12%</w:t>
            </w:r>
          </w:p>
          <w:p w14:paraId="2F38237C"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15%</w:t>
            </w:r>
          </w:p>
        </w:tc>
        <w:tc>
          <w:tcPr>
            <w:tcW w:w="1539" w:type="dxa"/>
            <w:tcBorders>
              <w:left w:val="nil"/>
              <w:bottom w:val="single" w:sz="4" w:space="0" w:color="000000" w:themeColor="text1"/>
              <w:right w:val="nil"/>
            </w:tcBorders>
          </w:tcPr>
          <w:p w14:paraId="17B61D7F"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1%</w:t>
            </w:r>
          </w:p>
          <w:p w14:paraId="4096559F"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0.4%</w:t>
            </w:r>
          </w:p>
          <w:p w14:paraId="625F8F59"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3%</w:t>
            </w:r>
          </w:p>
          <w:p w14:paraId="070B3A54"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2%</w:t>
            </w:r>
          </w:p>
          <w:p w14:paraId="54C958B2"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23%</w:t>
            </w:r>
          </w:p>
          <w:p w14:paraId="4B5C76A3"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38%</w:t>
            </w:r>
          </w:p>
          <w:p w14:paraId="35401A1E"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4%</w:t>
            </w:r>
          </w:p>
          <w:p w14:paraId="7736AEA3"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3%</w:t>
            </w:r>
          </w:p>
          <w:p w14:paraId="07D696D5"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12%</w:t>
            </w:r>
          </w:p>
          <w:p w14:paraId="4E652758" w14:textId="77777777" w:rsidR="00B00A98" w:rsidRPr="0079642D" w:rsidRDefault="00B00A98" w:rsidP="00B00A98">
            <w:pPr>
              <w:spacing w:before="0" w:after="0" w:line="240" w:lineRule="auto"/>
              <w:ind w:firstLine="0"/>
              <w:jc w:val="center"/>
              <w:rPr>
                <w:rFonts w:ascii="Times New Roman" w:eastAsia="Times New Roman" w:hAnsi="Times New Roman" w:cs="Times New Roman"/>
                <w:color w:val="000000"/>
                <w:sz w:val="18"/>
                <w:szCs w:val="18"/>
                <w:lang w:eastAsia="en-CA"/>
              </w:rPr>
            </w:pPr>
            <w:r w:rsidRPr="0079642D">
              <w:rPr>
                <w:rFonts w:ascii="Times New Roman" w:hAnsi="Times New Roman"/>
                <w:color w:val="000000"/>
                <w:sz w:val="18"/>
                <w:szCs w:val="18"/>
                <w:lang w:eastAsia="en-CA"/>
              </w:rPr>
              <w:t>13%</w:t>
            </w:r>
          </w:p>
        </w:tc>
      </w:tr>
    </w:tbl>
    <w:p w14:paraId="266CCC85" w14:textId="77777777" w:rsidR="003C3597" w:rsidRPr="00B00A98" w:rsidRDefault="003C3597" w:rsidP="00E1100F">
      <w:pPr>
        <w:pStyle w:val="ListParagraph"/>
        <w:numPr>
          <w:ilvl w:val="2"/>
          <w:numId w:val="8"/>
        </w:numPr>
        <w:outlineLvl w:val="2"/>
        <w:rPr>
          <w:rFonts w:ascii="Times New Roman" w:hAnsi="Times New Roman" w:cs="Times New Roman"/>
          <w:b/>
          <w:color w:val="000000"/>
        </w:rPr>
      </w:pPr>
      <w:bookmarkStart w:id="30" w:name="_Toc528650856"/>
      <w:r w:rsidRPr="00B00A98">
        <w:rPr>
          <w:rFonts w:ascii="Times New Roman" w:hAnsi="Times New Roman" w:cs="Times New Roman"/>
          <w:b/>
          <w:color w:val="000000"/>
        </w:rPr>
        <w:lastRenderedPageBreak/>
        <w:t>Educating Respondents on Powertrains and Vehicle Attributes</w:t>
      </w:r>
      <w:bookmarkEnd w:id="30"/>
    </w:p>
    <w:p w14:paraId="36EEC044"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At the time (mid-2014) when survey development was initiated, the research team was of the opinion that most respondents would likely have at least some misconceptions about the main vehicle types under study and many would have no knowledge about plug-in electric vehicles</w:t>
      </w:r>
      <w:r w:rsidR="002D68C2">
        <w:rPr>
          <w:rFonts w:ascii="Times New Roman" w:hAnsi="Times New Roman" w:cs="Times New Roman"/>
          <w:color w:val="000000"/>
        </w:rPr>
        <w:t xml:space="preserve"> (Krause et al. 2013).</w:t>
      </w:r>
      <w:r w:rsidRPr="003C3597">
        <w:rPr>
          <w:rFonts w:ascii="Times New Roman" w:hAnsi="Times New Roman" w:cs="Times New Roman"/>
          <w:color w:val="000000"/>
        </w:rPr>
        <w:t xml:space="preserve"> It was clear at the time anecdotally that such misconceptions applied at dealerships let alone among consumers! In the philosophical discussions which were held about the survey, the research team came to the conclusion that this survey might well influence potential car buyers who previously had incomplete information about them. It was decided that there was not much we could do about that but that it was better in any case for respondents to improve their knowledge about EVs as the survey progressed. Current knowledge about EVs was not assessed at the beginning of the survey though some information about general environmental attitudes was collected including the connections between vehicles and the environment.</w:t>
      </w:r>
    </w:p>
    <w:p w14:paraId="0052C228"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Measures were taken to adequately educate respondents so that they could make informed choices within the SP section of the survey grounded on correct information. The introductory script of the survey introduced the term “electric mobility” and that it was our research mandate to investigate the topic but definitions were not provided.</w:t>
      </w:r>
      <w:r w:rsidR="002D68C2">
        <w:rPr>
          <w:rFonts w:ascii="Times New Roman" w:hAnsi="Times New Roman" w:cs="Times New Roman"/>
          <w:color w:val="000000"/>
        </w:rPr>
        <w:t xml:space="preserve"> </w:t>
      </w:r>
      <w:r w:rsidR="002D68C2" w:rsidRPr="002D68C2">
        <w:rPr>
          <w:rFonts w:ascii="Times New Roman" w:hAnsi="Times New Roman" w:cs="Times New Roman"/>
          <w:color w:val="000000"/>
        </w:rPr>
        <w:t xml:space="preserve">In retrospect, and as cautioned by Dillman (1978), this introductory script could have been written in a manner that was more "powertrain neutral." It is possible that our script attracted a disproportionate share of respondents with an </w:t>
      </w:r>
      <w:r w:rsidR="002D68C2">
        <w:rPr>
          <w:rFonts w:ascii="Times New Roman" w:hAnsi="Times New Roman" w:cs="Times New Roman"/>
          <w:color w:val="000000"/>
        </w:rPr>
        <w:t>interest in electric vehicles. A</w:t>
      </w:r>
      <w:r w:rsidRPr="003C3597">
        <w:rPr>
          <w:rFonts w:ascii="Times New Roman" w:hAnsi="Times New Roman" w:cs="Times New Roman"/>
          <w:color w:val="000000"/>
        </w:rPr>
        <w:t>t the start of the SP section</w:t>
      </w:r>
      <w:r w:rsidR="002D68C2">
        <w:rPr>
          <w:rFonts w:ascii="Times New Roman" w:hAnsi="Times New Roman" w:cs="Times New Roman"/>
          <w:color w:val="000000"/>
        </w:rPr>
        <w:t>, the survey instrument clarified</w:t>
      </w:r>
      <w:r w:rsidRPr="003C3597">
        <w:rPr>
          <w:rFonts w:ascii="Times New Roman" w:hAnsi="Times New Roman" w:cs="Times New Roman"/>
          <w:color w:val="000000"/>
        </w:rPr>
        <w:t xml:space="preserve"> the types of powertrains that </w:t>
      </w:r>
      <w:r w:rsidR="00B957FF">
        <w:rPr>
          <w:rFonts w:ascii="Times New Roman" w:hAnsi="Times New Roman" w:cs="Times New Roman"/>
          <w:color w:val="000000"/>
        </w:rPr>
        <w:t>respondents would consider. Figure</w:t>
      </w:r>
      <w:r w:rsidRPr="003C3597">
        <w:rPr>
          <w:rFonts w:ascii="Times New Roman" w:hAnsi="Times New Roman" w:cs="Times New Roman"/>
          <w:color w:val="000000"/>
        </w:rPr>
        <w:t xml:space="preserve"> </w:t>
      </w:r>
      <w:r w:rsidR="00B957FF">
        <w:rPr>
          <w:rFonts w:ascii="Times New Roman" w:hAnsi="Times New Roman" w:cs="Times New Roman"/>
          <w:color w:val="000000"/>
        </w:rPr>
        <w:t>2.</w:t>
      </w:r>
      <w:r w:rsidRPr="003C3597">
        <w:rPr>
          <w:rFonts w:ascii="Times New Roman" w:hAnsi="Times New Roman" w:cs="Times New Roman"/>
          <w:color w:val="000000"/>
        </w:rPr>
        <w:t xml:space="preserve">2 illustrates what was briefly presented </w:t>
      </w:r>
      <w:r w:rsidRPr="003C3597">
        <w:rPr>
          <w:rFonts w:ascii="Times New Roman" w:hAnsi="Times New Roman" w:cs="Times New Roman"/>
          <w:color w:val="000000"/>
        </w:rPr>
        <w:lastRenderedPageBreak/>
        <w:t>and how we covered basic knowledge about how the vehicles were powered, what types of behaviours were required of the owner, and some implications of driving these vehicles. Gasoline vehicles were explained in a similar way. Further details about vehicles types became clear as we described the attribute</w:t>
      </w:r>
      <w:r w:rsidR="00B957FF">
        <w:rPr>
          <w:rFonts w:ascii="Times New Roman" w:hAnsi="Times New Roman" w:cs="Times New Roman"/>
          <w:color w:val="000000"/>
        </w:rPr>
        <w:t>s associated with vehicles (Figure</w:t>
      </w:r>
      <w:r w:rsidRPr="003C3597">
        <w:rPr>
          <w:rFonts w:ascii="Times New Roman" w:hAnsi="Times New Roman" w:cs="Times New Roman"/>
          <w:color w:val="000000"/>
        </w:rPr>
        <w:t xml:space="preserve"> </w:t>
      </w:r>
      <w:r w:rsidR="00B957FF">
        <w:rPr>
          <w:rFonts w:ascii="Times New Roman" w:hAnsi="Times New Roman" w:cs="Times New Roman"/>
          <w:color w:val="000000"/>
        </w:rPr>
        <w:t>2.</w:t>
      </w:r>
      <w:r w:rsidRPr="003C3597">
        <w:rPr>
          <w:rFonts w:ascii="Times New Roman" w:hAnsi="Times New Roman" w:cs="Times New Roman"/>
          <w:color w:val="000000"/>
        </w:rPr>
        <w:t>4) that would be assessed by the respondent during the SP scenarios. These were treated as a second layer of fundamental information about these vehicles and covered aspects such as fuel/charging costs and battery range among several others.</w:t>
      </w:r>
    </w:p>
    <w:p w14:paraId="01EF16A8" w14:textId="77777777" w:rsidR="00EC3DFE" w:rsidRPr="00EC3DFE" w:rsidRDefault="003C3597" w:rsidP="00EC3DFE">
      <w:pPr>
        <w:rPr>
          <w:rFonts w:ascii="Times New Roman" w:hAnsi="Times New Roman" w:cs="Times New Roman"/>
          <w:color w:val="000000"/>
        </w:rPr>
      </w:pPr>
      <w:r w:rsidRPr="003C3597">
        <w:rPr>
          <w:rFonts w:ascii="Times New Roman" w:hAnsi="Times New Roman" w:cs="Times New Roman"/>
          <w:noProof/>
          <w:color w:val="000000"/>
          <w:lang w:eastAsia="en-CA"/>
        </w:rPr>
        <w:drawing>
          <wp:anchor distT="0" distB="0" distL="114300" distR="114300" simplePos="0" relativeHeight="251660288" behindDoc="0" locked="0" layoutInCell="1" allowOverlap="1" wp14:anchorId="009B860E" wp14:editId="697267C1">
            <wp:simplePos x="0" y="0"/>
            <wp:positionH relativeFrom="margin">
              <wp:posOffset>-386080</wp:posOffset>
            </wp:positionH>
            <wp:positionV relativeFrom="paragraph">
              <wp:posOffset>242570</wp:posOffset>
            </wp:positionV>
            <wp:extent cx="6716395" cy="3761105"/>
            <wp:effectExtent l="0" t="0" r="825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hicle Technology 2nd version.ps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16395" cy="3761105"/>
                    </a:xfrm>
                    <a:prstGeom prst="rect">
                      <a:avLst/>
                    </a:prstGeom>
                  </pic:spPr>
                </pic:pic>
              </a:graphicData>
            </a:graphic>
            <wp14:sizeRelH relativeFrom="page">
              <wp14:pctWidth>0</wp14:pctWidth>
            </wp14:sizeRelH>
            <wp14:sizeRelV relativeFrom="page">
              <wp14:pctHeight>0</wp14:pctHeight>
            </wp14:sizeRelV>
          </wp:anchor>
        </w:drawing>
      </w:r>
      <w:bookmarkStart w:id="31" w:name="_Toc528649444"/>
      <w:bookmarkStart w:id="32" w:name="_Toc528649564"/>
    </w:p>
    <w:p w14:paraId="4C44DF42" w14:textId="77777777" w:rsidR="003C3597" w:rsidRPr="000C437C" w:rsidRDefault="000C437C" w:rsidP="000C437C">
      <w:pPr>
        <w:pStyle w:val="Caption"/>
        <w:ind w:firstLine="0"/>
        <w:jc w:val="center"/>
        <w:rPr>
          <w:rFonts w:ascii="Times New Roman" w:hAnsi="Times New Roman" w:cs="Times New Roman"/>
          <w:i w:val="0"/>
          <w:iCs w:val="0"/>
          <w:color w:val="000000"/>
          <w:sz w:val="24"/>
          <w:szCs w:val="24"/>
        </w:rPr>
      </w:pPr>
      <w:r w:rsidRPr="000C437C">
        <w:rPr>
          <w:rFonts w:ascii="Times New Roman" w:hAnsi="Times New Roman" w:cs="Times New Roman"/>
          <w:i w:val="0"/>
          <w:iCs w:val="0"/>
          <w:color w:val="000000"/>
          <w:sz w:val="24"/>
          <w:szCs w:val="24"/>
        </w:rPr>
        <w:t>Figure 2.</w:t>
      </w:r>
      <w:r w:rsidRPr="000C437C">
        <w:rPr>
          <w:rFonts w:ascii="Times New Roman" w:hAnsi="Times New Roman" w:cs="Times New Roman"/>
          <w:i w:val="0"/>
          <w:iCs w:val="0"/>
          <w:color w:val="000000"/>
          <w:sz w:val="24"/>
          <w:szCs w:val="24"/>
        </w:rPr>
        <w:fldChar w:fldCharType="begin"/>
      </w:r>
      <w:r w:rsidRPr="000C437C">
        <w:rPr>
          <w:rFonts w:ascii="Times New Roman" w:hAnsi="Times New Roman" w:cs="Times New Roman"/>
          <w:i w:val="0"/>
          <w:iCs w:val="0"/>
          <w:color w:val="000000"/>
          <w:sz w:val="24"/>
          <w:szCs w:val="24"/>
        </w:rPr>
        <w:instrText xml:space="preserve"> SEQ Figure_2. \* ARABIC </w:instrText>
      </w:r>
      <w:r w:rsidRPr="000C437C">
        <w:rPr>
          <w:rFonts w:ascii="Times New Roman" w:hAnsi="Times New Roman" w:cs="Times New Roman"/>
          <w:i w:val="0"/>
          <w:iCs w:val="0"/>
          <w:color w:val="000000"/>
          <w:sz w:val="24"/>
          <w:szCs w:val="24"/>
        </w:rPr>
        <w:fldChar w:fldCharType="separate"/>
      </w:r>
      <w:r w:rsidR="00BC70AE">
        <w:rPr>
          <w:rFonts w:ascii="Times New Roman" w:hAnsi="Times New Roman" w:cs="Times New Roman"/>
          <w:i w:val="0"/>
          <w:iCs w:val="0"/>
          <w:noProof/>
          <w:color w:val="000000"/>
          <w:sz w:val="24"/>
          <w:szCs w:val="24"/>
        </w:rPr>
        <w:t>2</w:t>
      </w:r>
      <w:r w:rsidRPr="000C437C">
        <w:rPr>
          <w:rFonts w:ascii="Times New Roman" w:hAnsi="Times New Roman" w:cs="Times New Roman"/>
          <w:i w:val="0"/>
          <w:iCs w:val="0"/>
          <w:color w:val="000000"/>
          <w:sz w:val="24"/>
          <w:szCs w:val="24"/>
        </w:rPr>
        <w:fldChar w:fldCharType="end"/>
      </w:r>
      <w:r w:rsidR="003C3597" w:rsidRPr="000C437C">
        <w:rPr>
          <w:rFonts w:ascii="Times New Roman" w:hAnsi="Times New Roman" w:cs="Times New Roman"/>
          <w:i w:val="0"/>
          <w:iCs w:val="0"/>
          <w:color w:val="000000"/>
          <w:sz w:val="24"/>
          <w:szCs w:val="24"/>
        </w:rPr>
        <w:t xml:space="preserve"> Educational materials; four powertrains and their features.</w:t>
      </w:r>
      <w:bookmarkEnd w:id="31"/>
      <w:bookmarkEnd w:id="32"/>
    </w:p>
    <w:p w14:paraId="0935BFFC" w14:textId="77777777" w:rsidR="003C3597" w:rsidRPr="003C3597" w:rsidRDefault="003C3597" w:rsidP="003C3597">
      <w:pPr>
        <w:rPr>
          <w:rFonts w:ascii="Times New Roman" w:hAnsi="Times New Roman" w:cs="Times New Roman"/>
          <w:color w:val="000000"/>
        </w:rPr>
      </w:pPr>
    </w:p>
    <w:p w14:paraId="6E12D201" w14:textId="77777777" w:rsidR="003C3597" w:rsidRPr="00B00A98" w:rsidRDefault="003C3597" w:rsidP="00E1100F">
      <w:pPr>
        <w:pStyle w:val="ListParagraph"/>
        <w:numPr>
          <w:ilvl w:val="2"/>
          <w:numId w:val="8"/>
        </w:numPr>
        <w:outlineLvl w:val="2"/>
        <w:rPr>
          <w:rFonts w:ascii="Times New Roman" w:hAnsi="Times New Roman" w:cs="Times New Roman"/>
          <w:b/>
          <w:color w:val="000000"/>
        </w:rPr>
      </w:pPr>
      <w:bookmarkStart w:id="33" w:name="_Toc528650857"/>
      <w:r w:rsidRPr="00B00A98">
        <w:rPr>
          <w:rFonts w:ascii="Times New Roman" w:hAnsi="Times New Roman" w:cs="Times New Roman"/>
          <w:b/>
          <w:color w:val="000000"/>
        </w:rPr>
        <w:lastRenderedPageBreak/>
        <w:t>Selection of SP Attributes and Levels</w:t>
      </w:r>
      <w:bookmarkEnd w:id="33"/>
    </w:p>
    <w:p w14:paraId="630F57B0" w14:textId="77777777" w:rsidR="003C3597" w:rsidRPr="003C3597" w:rsidRDefault="003C3597" w:rsidP="003C3597">
      <w:pPr>
        <w:rPr>
          <w:rFonts w:ascii="Times New Roman" w:hAnsi="Times New Roman" w:cs="Times New Roman"/>
          <w:color w:val="000000"/>
        </w:rPr>
      </w:pPr>
      <w:r w:rsidRPr="003C3597" w:rsidDel="00825FC9">
        <w:rPr>
          <w:rFonts w:ascii="Times New Roman" w:hAnsi="Times New Roman" w:cs="Times New Roman"/>
          <w:color w:val="000000"/>
        </w:rPr>
        <w:t>G</w:t>
      </w:r>
      <w:r w:rsidRPr="003C3597">
        <w:rPr>
          <w:rFonts w:ascii="Times New Roman" w:hAnsi="Times New Roman" w:cs="Times New Roman"/>
          <w:color w:val="000000"/>
        </w:rPr>
        <w:t xml:space="preserve">iven the continuing small market penetration of EVs, the Stated Preference (SP) approach has remained the most widely applied methodology and the primary source of data for obtaining people’s preferences towards such vehicles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author":[{"dropping-particle":"","family":"Abotalebi","given":"Elnaz","non-dropping-particle":"","parse-names":false,"suffix":""},{"dropping-particle":"","family":"Mahmoud","given":"Moataz","non-dropping-particle":"","parse-names":false,"suffix":""},{"dropping-particle":"","family":"Ferguson","given":"Mark","non-dropping-particle":"","parse-names":false,"suffix":""},{"dropping-particle":"","family":"Kanaroglou","given":"Pavlos S.","non-dropping-particle":"","parse-names":false,"suffix":""}],"id":"ITEM-1","issue":"MAY","issued":{"date-parts":[["2015"]]},"page":"1-19","title":"Utilizing Stated Preference in Electric Vehicle Research ; Evidence from the Literature","type":"paper-conference"},"uris":["http://www.mendeley.com/documents/?uuid=43c7bfca-e63b-4a5f-b713-189000a7d36d"]}],"mendeley":{"formattedCitation":"(Abotalebi, Mahmoud, Ferguson, &amp; Kanaroglou, 2015)","manualFormatting":"(Abotalebi et al., 2015)","plainTextFormattedCitation":"(Abotalebi, Mahmoud, Ferguson, &amp; Kanaroglou, 2015)","previouslyFormattedCitation":"(Abotalebi, Mahmoud, Ferguson, &amp; Kanaroglou, 2015)"},"properties":{"noteIndex":0},"schema":"https://github.com/citation-style-language/schema/raw/master/csl-citation.json"}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(Abotalebi et al., 2015)</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In an SP scenario, respondents choose or rank their most preferred options, with these options being characterized through a series of attributes and assigned “levels” for these attributes in accordance with an experimental design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author":[{"dropping-particle":"","family":"Louviere","given":"Jordan","non-dropping-particle":"","parse-names":false,"suffix":""},{"dropping-particle":"","family":"Hensher","given":"David","non-dropping-particle":"","parse-names":false,"suffix":""},{"dropping-particle":"","family":"Swait","given":"Joffre","non-dropping-particle":"","parse-names":false,"suffix":""}],"id":"ITEM-1","issued":{"date-parts":[["2000"]]},"publisher":"Cambridge University Press","title":"Stated choice methods: analysis and applications","type":"book"},"uris":["http://www.mendeley.com/documents/?uuid=596906e9-ff3c-4ece-a68b-c19e50a02b12"]}],"mendeley":{"formattedCitation":"(Louviere, Hensher, &amp; Swait, 2000)","manualFormatting":"(Louviere et al., 2000)","plainTextFormattedCitation":"(Louviere, Hensher, &amp; Swait, 2000)","previouslyFormattedCitation":"(Louviere, Hensher, &amp; Swait, 2000)"},"properties":{"noteIndex":0},"schema":"https://github.com/citation-style-language/schema/raw/master/csl-citation.json"}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(Louviere et al., 2000)</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The selection and quantity of attributes for SP scenarios is an important consideration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author":[{"dropping-particle":"","family":"Louviere","given":"Jordan","non-dropping-particle":"","parse-names":false,"suffix":""},{"dropping-particle":"","family":"Hensher","given":"David","non-dropping-particle":"","parse-names":false,"suffix":""},{"dropping-particle":"","family":"Swait","given":"Joffre","non-dropping-particle":"","parse-names":false,"suffix":""}],"id":"ITEM-1","issued":{"date-parts":[["2000"]]},"publisher":"Cambridge University Press","title":"Stated choice methods: analysis and applications","type":"book"},"uris":["http://www.mendeley.com/documents/?uuid=596906e9-ff3c-4ece-a68b-c19e50a02b12"]},{"id":"ITEM-2","itemData":{"author":[{"dropping-particle":"","family":"Hensher","given":"David","non-dropping-particle":"","parse-names":false,"suffix":""},{"dropping-particle":"","family":"Rose","given":"John","non-dropping-particle":"","parse-names":false,"suffix":""},{"dropping-particle":"","family":"Greene","given":"William","non-dropping-particle":"","parse-names":false,"suffix":""}],"id":"ITEM-2","issued":{"date-parts":[["2005"]]},"publisher":"Cambridge University Press","title":"Applied choice analysis: a primer","type":"book"},"uris":["http://www.mendeley.com/documents/?uuid=c608edbe-ac9b-42c6-8183-82e9d8f44c92"]}],"mendeley":{"formattedCitation":"(D. Hensher, Rose, &amp; Greene, 2005; Louviere et al., 2000)","manualFormatting":"(Hensher et al., 2005; Louviere et al., 2000)","plainTextFormattedCitation":"(D. Hensher, Rose, &amp; Greene, 2005; Louviere et al., 2000)","previouslyFormattedCitation":"(D. Hensher, Rose, &amp; Greene, 2005; Louviere et al., 2000)"},"properties":{"noteIndex":0},"schema":"https://github.com/citation-style-language/schema/raw/master/csl-citation.json"}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(Hensher et al., 2005; Louviere et al., 2000)</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Monetary attributes (i.e. purchase price and fuel, maintenance or operational cost) have been included in almost all reviewed studies, as well as charging time/availability and vehicle range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{"citationItems":[{"id":"ITEM-1","itemData":{"DOI":"10.1080/01441647.2016.1230794","ISBN":"0144-1647","ISSN":"14645327","abstract":"ABSTRACTWidespread adoption of electric vehicles (EVs) may contribute to the alleviation of problems such as environmental pollution, global warming and oil dependency. However, the current market penetration of EV is relatively low in spite of many governments implementing strong promotion policies. This paper presents a comprehensive review of studies on consumer preferences for EV, aiming to better inform policy-makers and give direction to further research. First, we compare the economic and psychological approach towards this topic, followed by a conceptual framework of EV preferences which is then implemented to organise our review. We also briefly review the modelling techniques applied in the selected studies. Estimates of consumer preferences for financial, technical, infrastructure and policy attributes are then reviewed. A categorisation of influential factors for consumer preferences into groups such as socio-economic variables, psychological factors, mobility condition, social influence, etc....","author":[{"dropping-particle":"","family":"Liao","given":"Fanchao","non-dropping-particle":"","parse-names":false,"suffix":""},{"dropping-particle":"","family":"Molin","given":"Eric","non-dropping-particle":"","parse-names":false,"suffix":""},{"dropping-particle":"","family":"Wee","given":"Bert","non-dropping-particle":"van","parse-names":false,"suffix":""}],"container-title":"Transport Reviews","id":"ITEM-1","issue":"3","issued":{"date-parts":[["2017"]]},"page":"252-275","publisher":"Taylor &amp; Francis","title":"Consumer preferences for electric vehicles: a literature review","type":"article-journal","volume":"37"},"uris":["http://www.mendeley.com/documents/?uuid=d1a5fe88-4783-41c0-96d3-d3f27e3b8e21"]}],"mendeley":{"formattedCitation":"(Liao, Molin, &amp; van Wee, 2017)","manualFormatting":"(See Table 1 and Liao et al., 2017)","plainTextFormattedCitation":"(Liao, Molin, &amp; van Wee, 2017)","previouslyFormattedCitation":"(Liao, Molin, &amp; van Wee, 2017)"},"properties":{"noteIndex":0},"schema":"https://github.com/citation-style-language/schema/raw/master/csl-citation.json"}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 xml:space="preserve">(See Table </w:t>
      </w:r>
      <w:r w:rsidR="00B957FF">
        <w:rPr>
          <w:rFonts w:ascii="Times New Roman" w:hAnsi="Times New Roman" w:cs="Times New Roman"/>
          <w:color w:val="000000"/>
        </w:rPr>
        <w:t>2.</w:t>
      </w:r>
      <w:r w:rsidRPr="003C3597">
        <w:rPr>
          <w:rFonts w:ascii="Times New Roman" w:hAnsi="Times New Roman" w:cs="Times New Roman"/>
          <w:color w:val="000000"/>
        </w:rPr>
        <w:t>1 and Liao et al., 2017)</w:t>
      </w:r>
      <w:r w:rsidRPr="003C3597">
        <w:rPr>
          <w:rFonts w:ascii="Times New Roman" w:hAnsi="Times New Roman" w:cs="Times New Roman"/>
          <w:color w:val="000000"/>
        </w:rPr>
        <w:fldChar w:fldCharType="end"/>
      </w:r>
      <w:r w:rsidRPr="003C3597">
        <w:rPr>
          <w:rFonts w:ascii="Times New Roman" w:hAnsi="Times New Roman" w:cs="Times New Roman"/>
          <w:color w:val="000000"/>
        </w:rPr>
        <w:t>. Other attributes such as emissions and various forms of incentives have been considered less often.</w:t>
      </w:r>
    </w:p>
    <w:p w14:paraId="5EA3E75B"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The selection of SP attributes for the present study was jointly guided by the literature (Table </w:t>
      </w:r>
      <w:r w:rsidR="00B957FF">
        <w:rPr>
          <w:rFonts w:ascii="Times New Roman" w:hAnsi="Times New Roman" w:cs="Times New Roman"/>
          <w:color w:val="000000"/>
        </w:rPr>
        <w:t>2.</w:t>
      </w:r>
      <w:r w:rsidRPr="003C3597">
        <w:rPr>
          <w:rFonts w:ascii="Times New Roman" w:hAnsi="Times New Roman" w:cs="Times New Roman"/>
          <w:color w:val="000000"/>
        </w:rPr>
        <w:t>1) and feedback from partners. We sought specifically to understand the importance of technical EV attributes that include range, charging time, fuel/maintenance cost savings, emission reduction, and performance; as well as the impact of policy measures including the quality of the battery warranty, government cash incentives, and various non-cash incentives (e.g. access to high occupancy lanes</w:t>
      </w:r>
      <w:r w:rsidRPr="003C3597" w:rsidDel="006E7666">
        <w:rPr>
          <w:rFonts w:ascii="Times New Roman" w:hAnsi="Times New Roman" w:cs="Times New Roman"/>
          <w:color w:val="000000"/>
        </w:rPr>
        <w:t xml:space="preserve">, </w:t>
      </w:r>
      <w:r w:rsidRPr="003C3597">
        <w:rPr>
          <w:rFonts w:ascii="Times New Roman" w:hAnsi="Times New Roman" w:cs="Times New Roman"/>
          <w:color w:val="000000"/>
        </w:rPr>
        <w:t>free municipal parking and exemptions from tolls).</w:t>
      </w:r>
      <w:r w:rsidRPr="003C3597" w:rsidDel="00A86C42">
        <w:rPr>
          <w:rFonts w:ascii="Times New Roman" w:hAnsi="Times New Roman" w:cs="Times New Roman"/>
          <w:color w:val="000000"/>
        </w:rPr>
        <w:t xml:space="preserve"> </w:t>
      </w:r>
      <w:r w:rsidRPr="003C3597">
        <w:rPr>
          <w:rFonts w:ascii="Times New Roman" w:hAnsi="Times New Roman" w:cs="Times New Roman"/>
          <w:color w:val="000000"/>
        </w:rPr>
        <w:t>Overall, 12 attributes were included in each SP scenario covering all the items under study. On the SP screen, attributes appeared in four main categories; cost, operational, non-cas</w:t>
      </w:r>
      <w:r w:rsidR="00B957FF">
        <w:rPr>
          <w:rFonts w:ascii="Times New Roman" w:hAnsi="Times New Roman" w:cs="Times New Roman"/>
          <w:color w:val="000000"/>
        </w:rPr>
        <w:t>h incentives, and charging (Figure</w:t>
      </w:r>
      <w:r w:rsidRPr="003C3597">
        <w:rPr>
          <w:rFonts w:ascii="Times New Roman" w:hAnsi="Times New Roman" w:cs="Times New Roman"/>
          <w:color w:val="000000"/>
        </w:rPr>
        <w:t xml:space="preserve"> </w:t>
      </w:r>
      <w:r w:rsidR="00B957FF">
        <w:rPr>
          <w:rFonts w:ascii="Times New Roman" w:hAnsi="Times New Roman" w:cs="Times New Roman"/>
          <w:color w:val="000000"/>
        </w:rPr>
        <w:t>2.</w:t>
      </w:r>
      <w:r w:rsidRPr="003C3597">
        <w:rPr>
          <w:rFonts w:ascii="Times New Roman" w:hAnsi="Times New Roman" w:cs="Times New Roman"/>
          <w:color w:val="000000"/>
        </w:rPr>
        <w:t>3). This was preceded by another screen informing respondents about the attributes in</w:t>
      </w:r>
      <w:r w:rsidR="00B957FF">
        <w:rPr>
          <w:rFonts w:ascii="Times New Roman" w:hAnsi="Times New Roman" w:cs="Times New Roman"/>
          <w:color w:val="000000"/>
        </w:rPr>
        <w:t xml:space="preserve">cluded in the SP </w:t>
      </w:r>
      <w:r w:rsidR="00B957FF">
        <w:rPr>
          <w:rFonts w:ascii="Times New Roman" w:hAnsi="Times New Roman" w:cs="Times New Roman"/>
          <w:color w:val="000000"/>
        </w:rPr>
        <w:lastRenderedPageBreak/>
        <w:t>scenarios (Figure</w:t>
      </w:r>
      <w:r w:rsidRPr="003C3597">
        <w:rPr>
          <w:rFonts w:ascii="Times New Roman" w:hAnsi="Times New Roman" w:cs="Times New Roman"/>
          <w:color w:val="000000"/>
        </w:rPr>
        <w:t xml:space="preserve"> </w:t>
      </w:r>
      <w:r w:rsidR="00B957FF">
        <w:rPr>
          <w:rFonts w:ascii="Times New Roman" w:hAnsi="Times New Roman" w:cs="Times New Roman"/>
          <w:color w:val="000000"/>
        </w:rPr>
        <w:t>2.</w:t>
      </w:r>
      <w:r w:rsidRPr="003C3597">
        <w:rPr>
          <w:rFonts w:ascii="Times New Roman" w:hAnsi="Times New Roman" w:cs="Times New Roman"/>
          <w:color w:val="000000"/>
        </w:rPr>
        <w:t>4).  The information from Fig. 4 was accessible as pop-up tex</w:t>
      </w:r>
      <w:r w:rsidR="00B957FF">
        <w:rPr>
          <w:rFonts w:ascii="Times New Roman" w:hAnsi="Times New Roman" w:cs="Times New Roman"/>
          <w:color w:val="000000"/>
        </w:rPr>
        <w:t>t via icons in Figure</w:t>
      </w:r>
      <w:r w:rsidRPr="003C3597">
        <w:rPr>
          <w:rFonts w:ascii="Times New Roman" w:hAnsi="Times New Roman" w:cs="Times New Roman"/>
          <w:color w:val="000000"/>
        </w:rPr>
        <w:t xml:space="preserve"> </w:t>
      </w:r>
      <w:r w:rsidR="00B957FF">
        <w:rPr>
          <w:rFonts w:ascii="Times New Roman" w:hAnsi="Times New Roman" w:cs="Times New Roman"/>
          <w:color w:val="000000"/>
        </w:rPr>
        <w:t>2.</w:t>
      </w:r>
      <w:r w:rsidRPr="003C3597">
        <w:rPr>
          <w:rFonts w:ascii="Times New Roman" w:hAnsi="Times New Roman" w:cs="Times New Roman"/>
          <w:color w:val="000000"/>
        </w:rPr>
        <w:t>3.</w:t>
      </w:r>
      <w:r w:rsidRPr="003C3597" w:rsidDel="00735D79">
        <w:rPr>
          <w:rFonts w:ascii="Times New Roman" w:hAnsi="Times New Roman" w:cs="Times New Roman"/>
          <w:color w:val="000000"/>
        </w:rPr>
        <w:t xml:space="preserve"> </w:t>
      </w:r>
      <w:r w:rsidRPr="003C3597">
        <w:rPr>
          <w:rFonts w:ascii="Times New Roman" w:hAnsi="Times New Roman" w:cs="Times New Roman"/>
          <w:color w:val="000000"/>
        </w:rPr>
        <w:t>Hence, there was an opportunity to refresh one’s memory about the attributes once the scenarios were under way.</w:t>
      </w:r>
    </w:p>
    <w:p w14:paraId="50EF87E4"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noProof/>
          <w:color w:val="000000"/>
          <w:lang w:eastAsia="en-CA"/>
        </w:rPr>
        <w:drawing>
          <wp:inline distT="0" distB="0" distL="0" distR="0" wp14:anchorId="65033872" wp14:editId="479950D8">
            <wp:extent cx="5219700" cy="4092668"/>
            <wp:effectExtent l="0" t="0" r="0" b="3175"/>
            <wp:docPr id="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4"/>
                    <a:stretch>
                      <a:fillRect/>
                    </a:stretch>
                  </pic:blipFill>
                  <pic:spPr>
                    <a:xfrm>
                      <a:off x="0" y="0"/>
                      <a:ext cx="5276365" cy="4137098"/>
                    </a:xfrm>
                    <a:prstGeom prst="rect">
                      <a:avLst/>
                    </a:prstGeom>
                  </pic:spPr>
                </pic:pic>
              </a:graphicData>
            </a:graphic>
          </wp:inline>
        </w:drawing>
      </w:r>
    </w:p>
    <w:p w14:paraId="103D1D02" w14:textId="77777777" w:rsidR="003C3597" w:rsidRPr="000C437C" w:rsidRDefault="000C437C" w:rsidP="000C437C">
      <w:pPr>
        <w:pStyle w:val="Caption"/>
        <w:ind w:firstLine="0"/>
        <w:jc w:val="center"/>
        <w:rPr>
          <w:rFonts w:ascii="Times New Roman" w:hAnsi="Times New Roman" w:cs="Times New Roman"/>
          <w:i w:val="0"/>
          <w:iCs w:val="0"/>
          <w:color w:val="000000"/>
          <w:sz w:val="24"/>
          <w:szCs w:val="24"/>
        </w:rPr>
      </w:pPr>
      <w:bookmarkStart w:id="34" w:name="_Toc528649445"/>
      <w:bookmarkStart w:id="35" w:name="_Toc528649565"/>
      <w:r w:rsidRPr="000C437C">
        <w:rPr>
          <w:rFonts w:ascii="Times New Roman" w:hAnsi="Times New Roman" w:cs="Times New Roman"/>
          <w:i w:val="0"/>
          <w:iCs w:val="0"/>
          <w:color w:val="000000"/>
          <w:sz w:val="24"/>
          <w:szCs w:val="24"/>
        </w:rPr>
        <w:t>Figure 2.</w:t>
      </w:r>
      <w:r w:rsidRPr="000C437C">
        <w:rPr>
          <w:rFonts w:ascii="Times New Roman" w:hAnsi="Times New Roman" w:cs="Times New Roman"/>
          <w:i w:val="0"/>
          <w:iCs w:val="0"/>
          <w:color w:val="000000"/>
          <w:sz w:val="24"/>
          <w:szCs w:val="24"/>
        </w:rPr>
        <w:fldChar w:fldCharType="begin"/>
      </w:r>
      <w:r w:rsidRPr="000C437C">
        <w:rPr>
          <w:rFonts w:ascii="Times New Roman" w:hAnsi="Times New Roman" w:cs="Times New Roman"/>
          <w:i w:val="0"/>
          <w:iCs w:val="0"/>
          <w:color w:val="000000"/>
          <w:sz w:val="24"/>
          <w:szCs w:val="24"/>
        </w:rPr>
        <w:instrText xml:space="preserve"> SEQ Figure_2. \* ARABIC </w:instrText>
      </w:r>
      <w:r w:rsidRPr="000C437C">
        <w:rPr>
          <w:rFonts w:ascii="Times New Roman" w:hAnsi="Times New Roman" w:cs="Times New Roman"/>
          <w:i w:val="0"/>
          <w:iCs w:val="0"/>
          <w:color w:val="000000"/>
          <w:sz w:val="24"/>
          <w:szCs w:val="24"/>
        </w:rPr>
        <w:fldChar w:fldCharType="separate"/>
      </w:r>
      <w:r w:rsidR="00BC70AE">
        <w:rPr>
          <w:rFonts w:ascii="Times New Roman" w:hAnsi="Times New Roman" w:cs="Times New Roman"/>
          <w:i w:val="0"/>
          <w:iCs w:val="0"/>
          <w:noProof/>
          <w:color w:val="000000"/>
          <w:sz w:val="24"/>
          <w:szCs w:val="24"/>
        </w:rPr>
        <w:t>3</w:t>
      </w:r>
      <w:r w:rsidRPr="000C437C">
        <w:rPr>
          <w:rFonts w:ascii="Times New Roman" w:hAnsi="Times New Roman" w:cs="Times New Roman"/>
          <w:i w:val="0"/>
          <w:iCs w:val="0"/>
          <w:color w:val="000000"/>
          <w:sz w:val="24"/>
          <w:szCs w:val="24"/>
        </w:rPr>
        <w:fldChar w:fldCharType="end"/>
      </w:r>
      <w:r w:rsidRPr="000C437C">
        <w:rPr>
          <w:rFonts w:ascii="Times New Roman" w:hAnsi="Times New Roman" w:cs="Times New Roman"/>
          <w:i w:val="0"/>
          <w:iCs w:val="0"/>
          <w:color w:val="000000"/>
          <w:sz w:val="24"/>
          <w:szCs w:val="24"/>
        </w:rPr>
        <w:t xml:space="preserve"> </w:t>
      </w:r>
      <w:r w:rsidR="003C3597" w:rsidRPr="000C437C">
        <w:rPr>
          <w:rFonts w:ascii="Times New Roman" w:hAnsi="Times New Roman" w:cs="Times New Roman"/>
          <w:i w:val="0"/>
          <w:iCs w:val="0"/>
          <w:color w:val="000000"/>
          <w:sz w:val="24"/>
          <w:szCs w:val="24"/>
        </w:rPr>
        <w:t>A sample stated preference choice scenario</w:t>
      </w:r>
      <w:bookmarkEnd w:id="34"/>
      <w:bookmarkEnd w:id="35"/>
    </w:p>
    <w:p w14:paraId="138E8DC7" w14:textId="77777777" w:rsidR="00EC3DFE" w:rsidRDefault="00EC3DFE" w:rsidP="003C3597">
      <w:pPr>
        <w:rPr>
          <w:rFonts w:ascii="Times New Roman" w:hAnsi="Times New Roman" w:cs="Times New Roman"/>
          <w:color w:val="000000"/>
        </w:rPr>
      </w:pPr>
    </w:p>
    <w:p w14:paraId="5EE1B9AC" w14:textId="77777777" w:rsidR="00EC3DFE" w:rsidRDefault="00EC3DFE" w:rsidP="003C3597">
      <w:pPr>
        <w:rPr>
          <w:rFonts w:ascii="Times New Roman" w:hAnsi="Times New Roman" w:cs="Times New Roman"/>
          <w:color w:val="000000"/>
        </w:rPr>
      </w:pPr>
    </w:p>
    <w:p w14:paraId="149CE609"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lastRenderedPageBreak/>
        <w:t xml:space="preserve">A few salient points about the chosen attributes are worth noting. First, purchase price and government cash incentives appeared as a single line item on the SP screen, as a “net” purchase price calculation, even though they were treated as two distinct attributes in the experimental design. The highest level for cash incentives reflected the maximum ($10k) offered in Canada at the time. Subsequently, even higher incentives (up to nearly $15k) were offered in Canada and our experimental design would have benefitted from capturing the same. </w:t>
      </w:r>
    </w:p>
    <w:p w14:paraId="6231A5FC"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Interestingly, range was treated in our implementation as two distinct attributes: gasoline and battery range. The results from a national analysis (Ferguson et al., 2018) showed the utility of this approach. For example, willingness-to-pay analysis found that HEV-oriented households placed a very high per km value on gasoline range while those inclined towards BEVs shunned consideration of gasoline range and instead highly valued per km increases in electric range. </w:t>
      </w:r>
    </w:p>
    <w:p w14:paraId="25B98FA9"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Third, we distinguished between charging times for home/work and public stations, with the latter generally being associated with faster rates of charging in the experimental design since public charging is typically more “opportunistic” and time-constrained in nature. The approach to separate and independently explore the primary charging contexts differed from previous EV surveys, with the exception of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{"citationItems":[{"id":"ITEM-1","itemData":{"DOI":"10.1016/j.trd.2013.07.006","ISSN":"13619209","author":[{"dropping-particle":"","family":"Jensen, A. F., Cherchi, E., &amp; Mabit","given":"S. L.","non-dropping-particle":"","parse-names":false,"suffix":""}],"container-title":"Transportation Research Part D: Transport and Environment","id":"ITEM-1","issued":{"date-parts":[["2013","12"]]},"page":"24-32","publisher":"Elsevier Ltd","title":"On the stability of preferences and attitudes before and after experiencing an electric vehicle","type":"article-journal","volume":"25"},"uris":["http://www.mendeley.com/documents/?uuid=fdda6b2d-162a-4b29-aa41-89bca320cebf"]}],"mendeley":{"formattedCitation":"(Jensen, A. F., Cherchi, E., &amp; Mabit, 2013)","manualFormatting":"Jensen et al. (2013)","plainTextFormattedCitation":"(Jensen, A. F., Cherchi, E., &amp; Mabit, 2013)","previouslyFormattedCitation":"(Jensen, A. F., Cherchi, E., &amp; Mabit, 2013)"},"properties":{"noteIndex":0},"schema":"https://github.com/citation-style-language/schema/raw/master/csl-citation.json"}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Jensen et al. (2013)</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where home, work, and public stations were presented as distinct attributes.   </w:t>
      </w:r>
    </w:p>
    <w:p w14:paraId="5AC91B70" w14:textId="77777777" w:rsidR="003C3597" w:rsidRPr="003C3597" w:rsidRDefault="003C3597" w:rsidP="003C3597">
      <w:pPr>
        <w:rPr>
          <w:rFonts w:ascii="Times New Roman" w:hAnsi="Times New Roman" w:cs="Times New Roman"/>
          <w:color w:val="000000"/>
        </w:rPr>
      </w:pPr>
    </w:p>
    <w:p w14:paraId="702E77BE" w14:textId="77777777" w:rsidR="003C3597" w:rsidRPr="003C3597" w:rsidRDefault="003C3597" w:rsidP="00B02EB5">
      <w:pPr>
        <w:pStyle w:val="Caption"/>
        <w:jc w:val="center"/>
        <w:rPr>
          <w:rFonts w:ascii="Times New Roman" w:hAnsi="Times New Roman" w:cs="Times New Roman"/>
          <w:color w:val="000000"/>
        </w:rPr>
      </w:pPr>
      <w:bookmarkStart w:id="36" w:name="_Toc528649446"/>
      <w:bookmarkStart w:id="37" w:name="_Toc528649566"/>
      <w:r w:rsidRPr="003C3597">
        <w:rPr>
          <w:rFonts w:ascii="Times New Roman" w:hAnsi="Times New Roman" w:cs="Times New Roman"/>
          <w:noProof/>
          <w:color w:val="000000"/>
          <w:lang w:eastAsia="en-CA"/>
        </w:rPr>
        <w:lastRenderedPageBreak/>
        <w:drawing>
          <wp:anchor distT="0" distB="0" distL="114300" distR="114300" simplePos="0" relativeHeight="251668480" behindDoc="1" locked="0" layoutInCell="1" allowOverlap="1" wp14:anchorId="5FBF49BB" wp14:editId="487C6DEA">
            <wp:simplePos x="0" y="0"/>
            <wp:positionH relativeFrom="margin">
              <wp:align>center</wp:align>
            </wp:positionH>
            <wp:positionV relativeFrom="paragraph">
              <wp:posOffset>0</wp:posOffset>
            </wp:positionV>
            <wp:extent cx="6600190" cy="3935730"/>
            <wp:effectExtent l="0" t="0" r="0" b="7620"/>
            <wp:wrapTight wrapText="bothSides">
              <wp:wrapPolygon edited="0">
                <wp:start x="0" y="0"/>
                <wp:lineTo x="0" y="21537"/>
                <wp:lineTo x="21509" y="21537"/>
                <wp:lineTo x="2150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fonodeN5_cost.PNG"/>
                    <pic:cNvPicPr/>
                  </pic:nvPicPr>
                  <pic:blipFill rotWithShape="1">
                    <a:blip r:embed="rId15">
                      <a:extLst>
                        <a:ext uri="{28A0092B-C50C-407E-A947-70E740481C1C}">
                          <a14:useLocalDpi xmlns:a14="http://schemas.microsoft.com/office/drawing/2010/main" val="0"/>
                        </a:ext>
                      </a:extLst>
                    </a:blip>
                    <a:srcRect t="5269" r="600"/>
                    <a:stretch/>
                  </pic:blipFill>
                  <pic:spPr bwMode="auto">
                    <a:xfrm>
                      <a:off x="0" y="0"/>
                      <a:ext cx="6600190" cy="3935730"/>
                    </a:xfrm>
                    <a:prstGeom prst="rect">
                      <a:avLst/>
                    </a:prstGeom>
                    <a:ln>
                      <a:noFill/>
                    </a:ln>
                    <a:extLst>
                      <a:ext uri="{53640926-AAD7-44D8-BBD7-CCE9431645EC}">
                        <a14:shadowObscured xmlns:a14="http://schemas.microsoft.com/office/drawing/2010/main"/>
                      </a:ext>
                    </a:extLst>
                  </pic:spPr>
                </pic:pic>
              </a:graphicData>
            </a:graphic>
          </wp:anchor>
        </w:drawing>
      </w:r>
      <w:r w:rsidR="00B02EB5" w:rsidRPr="00B02EB5">
        <w:rPr>
          <w:rFonts w:ascii="Times New Roman" w:hAnsi="Times New Roman" w:cs="Times New Roman"/>
          <w:i w:val="0"/>
          <w:iCs w:val="0"/>
          <w:color w:val="000000"/>
          <w:sz w:val="24"/>
          <w:szCs w:val="24"/>
        </w:rPr>
        <w:t>Figure 2.</w:t>
      </w:r>
      <w:r w:rsidR="00B02EB5" w:rsidRPr="00B02EB5">
        <w:rPr>
          <w:rFonts w:ascii="Times New Roman" w:hAnsi="Times New Roman" w:cs="Times New Roman"/>
          <w:i w:val="0"/>
          <w:iCs w:val="0"/>
          <w:color w:val="000000"/>
          <w:sz w:val="24"/>
          <w:szCs w:val="24"/>
        </w:rPr>
        <w:fldChar w:fldCharType="begin"/>
      </w:r>
      <w:r w:rsidR="00B02EB5" w:rsidRPr="00B02EB5">
        <w:rPr>
          <w:rFonts w:ascii="Times New Roman" w:hAnsi="Times New Roman" w:cs="Times New Roman"/>
          <w:i w:val="0"/>
          <w:iCs w:val="0"/>
          <w:color w:val="000000"/>
          <w:sz w:val="24"/>
          <w:szCs w:val="24"/>
        </w:rPr>
        <w:instrText xml:space="preserve"> SEQ Figure_2. \* ARABIC </w:instrText>
      </w:r>
      <w:r w:rsidR="00B02EB5" w:rsidRPr="00B02EB5">
        <w:rPr>
          <w:rFonts w:ascii="Times New Roman" w:hAnsi="Times New Roman" w:cs="Times New Roman"/>
          <w:i w:val="0"/>
          <w:iCs w:val="0"/>
          <w:color w:val="000000"/>
          <w:sz w:val="24"/>
          <w:szCs w:val="24"/>
        </w:rPr>
        <w:fldChar w:fldCharType="separate"/>
      </w:r>
      <w:r w:rsidR="00BC70AE">
        <w:rPr>
          <w:rFonts w:ascii="Times New Roman" w:hAnsi="Times New Roman" w:cs="Times New Roman"/>
          <w:i w:val="0"/>
          <w:iCs w:val="0"/>
          <w:noProof/>
          <w:color w:val="000000"/>
          <w:sz w:val="24"/>
          <w:szCs w:val="24"/>
        </w:rPr>
        <w:t>4</w:t>
      </w:r>
      <w:r w:rsidR="00B02EB5" w:rsidRPr="00B02EB5">
        <w:rPr>
          <w:rFonts w:ascii="Times New Roman" w:hAnsi="Times New Roman" w:cs="Times New Roman"/>
          <w:i w:val="0"/>
          <w:iCs w:val="0"/>
          <w:color w:val="000000"/>
          <w:sz w:val="24"/>
          <w:szCs w:val="24"/>
        </w:rPr>
        <w:fldChar w:fldCharType="end"/>
      </w:r>
      <w:r w:rsidRPr="00B02EB5">
        <w:rPr>
          <w:rFonts w:ascii="Times New Roman" w:hAnsi="Times New Roman" w:cs="Times New Roman"/>
          <w:i w:val="0"/>
          <w:iCs w:val="0"/>
          <w:color w:val="000000"/>
          <w:sz w:val="24"/>
          <w:szCs w:val="24"/>
        </w:rPr>
        <w:t xml:space="preserve"> Survey overview material on selected SP vehicle </w:t>
      </w:r>
      <w:r w:rsidRPr="00B02EB5" w:rsidDel="00E66563">
        <w:rPr>
          <w:rFonts w:ascii="Times New Roman" w:hAnsi="Times New Roman" w:cs="Times New Roman"/>
          <w:i w:val="0"/>
          <w:iCs w:val="0"/>
          <w:color w:val="000000"/>
          <w:sz w:val="24"/>
          <w:szCs w:val="24"/>
        </w:rPr>
        <w:t>attributes</w:t>
      </w:r>
      <w:bookmarkEnd w:id="36"/>
      <w:bookmarkEnd w:id="37"/>
    </w:p>
    <w:p w14:paraId="41B4AEFB" w14:textId="77777777" w:rsidR="003C3597" w:rsidRPr="003C3597" w:rsidRDefault="003C3597" w:rsidP="003C3597">
      <w:pPr>
        <w:rPr>
          <w:rFonts w:ascii="Times New Roman" w:hAnsi="Times New Roman" w:cs="Times New Roman"/>
          <w:color w:val="000000"/>
        </w:rPr>
      </w:pPr>
    </w:p>
    <w:p w14:paraId="4BA9AFDF" w14:textId="77777777" w:rsidR="003C3597" w:rsidRPr="00B00A98" w:rsidRDefault="003C3597" w:rsidP="00E1100F">
      <w:pPr>
        <w:pStyle w:val="ListParagraph"/>
        <w:numPr>
          <w:ilvl w:val="2"/>
          <w:numId w:val="8"/>
        </w:numPr>
        <w:outlineLvl w:val="2"/>
        <w:rPr>
          <w:rFonts w:ascii="Times New Roman" w:hAnsi="Times New Roman" w:cs="Times New Roman"/>
          <w:b/>
          <w:color w:val="000000"/>
        </w:rPr>
      </w:pPr>
      <w:bookmarkStart w:id="38" w:name="_Toc528650858"/>
      <w:r w:rsidRPr="00B00A98">
        <w:rPr>
          <w:rFonts w:ascii="Times New Roman" w:hAnsi="Times New Roman" w:cs="Times New Roman"/>
          <w:b/>
          <w:color w:val="000000"/>
        </w:rPr>
        <w:t>SP Alternatives and their Identification to Respondents</w:t>
      </w:r>
      <w:bookmarkEnd w:id="38"/>
    </w:p>
    <w:p w14:paraId="47CCCBF0"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As our research mandate was to focus on electric vehicles, we included EV-related technologies, hybrid (HEV), plug-in hybrid (PHEV) and battery electric vehicles (BEV), to compete with internal combustion engines (ICE) in SP scenarios. Within the literature, a considerable range of powertrains/fuel types are utilized (Table </w:t>
      </w:r>
      <w:r w:rsidR="00B957FF">
        <w:rPr>
          <w:rFonts w:ascii="Times New Roman" w:hAnsi="Times New Roman" w:cs="Times New Roman"/>
          <w:color w:val="000000"/>
        </w:rPr>
        <w:t>2.</w:t>
      </w:r>
      <w:r w:rsidRPr="003C3597">
        <w:rPr>
          <w:rFonts w:ascii="Times New Roman" w:hAnsi="Times New Roman" w:cs="Times New Roman"/>
          <w:color w:val="000000"/>
        </w:rPr>
        <w:t xml:space="preserve">1). With the exception of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{"citationItems":[{"id":"ITEM-1","itemData":{"author":[{"dropping-particle":"","family":"Potoglou","given":"Dimitris","non-dropping-particle":"","parse-names":false,"suffix":""},{"dropping-particle":"","family":"Kanaroglou","given":"Pavlos S.","non-dropping-particle":"","parse-names":false,"suffix":""}],"container-title":"Canadian Journal of Transportation","id":"ITEM-1","issue":"August 2006","issued":{"date-parts":[["2007"]]},"page":"36-55","title":"An Internet-Based Stated Choices Household Survey for Alternative Fuelled Vehicles Dimitris Potoglou and Pavlos Savvas Kanaroglou","type":"article-journal","volume":"1"},"uris":["http://www.mendeley.com/documents/?uuid=47e378e4-02ad-46d7-8980-20331588323c"]}],"mendeley":{"formattedCitation":"(Potoglou &amp; Kanaroglou, 2007a)","manualFormatting":"Potoglou &amp; Kanaroglou (2007)","plainTextFormattedCitation":"(Potoglou &amp; Kanaroglou, 2007a)","previouslyFormattedCitation":"(Potoglou &amp; Kanaroglou, 2007a)"},"properties":{"noteIndex":0},"schema":"https://github.com/citation-style-language/schema/raw/master/csl-citation.json"}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Potoglou &amp; Kanaroglou (2007)</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ICE and BEV define two of the powertrains in all studies reviewed. Other fuel types such as natural gas, hydrogen, and biofuel that are included in a number of studies </w:t>
      </w:r>
      <w:r w:rsidRPr="003C3597">
        <w:rPr>
          <w:rFonts w:ascii="Times New Roman" w:hAnsi="Times New Roman" w:cs="Times New Roman"/>
          <w:color w:val="000000"/>
        </w:rPr>
        <w:lastRenderedPageBreak/>
        <w:fldChar w:fldCharType="begin" w:fldLock="1"/>
      </w:r>
      <w:r w:rsidRPr="003C3597">
        <w:rPr>
          <w:rFonts w:ascii="Times New Roman" w:hAnsi="Times New Roman" w:cs="Times New Roman"/>
          <w:color w:val="000000"/>
        </w:rPr>
        <w:instrText>ADDIN CSL_CITATION {"citationItems":[{"id":"ITEM-1","itemData":{"DOI":"10.1007/s10584-011-0362-8","ISSN":"0165-0009","author":[{"dropping-particle":"","family":"Achtnicht","given":"Martin","non-dropping-particle":"","parse-names":false,"suffix":""}],"container-title":"Climatic Change","id":"ITEM-1","issue":"3-4","issued":{"date-parts":[["2011","12","7"]]},"page":"679-697","title":"German car buyers’ willingness to pay to reduce CO2 emissions","type":"article-journal","volume":"113"},"uris":["http://www.mendeley.com/documents/?uuid=6403922d-e741-457b-8c5b-5853ee76844d"]},{"id":"ITEM-2","itemData":{"DOI":"10.1016/j.tra.2012.05.016","ISSN":"09658564","abstract":"With respect to the German goal of a transition to a lead market for electromobility within a short time period, this paper empirically examines the preferences for alternative energy sources or propulsion technologies in vehicles and particularly for electric vehicles. The data stem from a stated preference discrete choice experiment with 598 potential German car buyers. In order to simulate a realistic future purchase situation, seven vehicle types were incorporated in each of the six choice sets, i.e. hybrid, gas, biofuel, hydrogen, and electric vehicles besides common gasoline and diesel vehicles. The econometric analysis with flexible multinomial probit models reveals that potential car buyers in Germany currently have a low stated preference for electric, hydrogen, and hybrid vehicles. While our paper also discusses the impact of common vehicle attributes such as purchase price or service station availability, it particularly considers the effect of socio-demographic and environmental awareness variables. The estimation results reveal that younger potential car buyers have a higher stated preference for hydrogen and electric vehicles, males have a higher stated choice of hydrogen vehicles, and environmentally aware potential car buyers have a higher stated preference for hydrogen and electric vehicles. These results suggest that common policy instruments such as the promotion of research and development, taxation, or subsidization in the field of electromobility could be supplemented by strategies to increase the social acceptance of alternative vehicle types that are directly oriented to these population groups. Methodologically, our study highlights the importance of the inclusion of taste persistence across the choice sets and a high number of random draws in the Geweke-Hajivassiliou-Keane simulator in the simulated maximum likelihood estimation of the multinomial probit models. ?? 2012 Elsevier Ltd.","author":[{"dropping-particle":"","family":"Ziegler","given":"Andreas","non-dropping-particle":"","parse-names":false,"suffix":""}],"container-title":"Transportation Research Part A: Policy and Practice","id":"ITEM-2","issue":"8","issued":{"date-parts":[["2012","10"]]},"page":"1372-1385","publisher":"Elsevier Ltd","title":"Individual characteristics and stated preferences for alternative energy sources and propulsion technologies in vehicles: A discrete choice analysis for Germany","type":"article-journal","volume":"46"},"uris":["http://www.mendeley.com/documents/?uuid=c5e67293-8ff1-44d1-af86-36966a8ddd89"]},{"id":"ITEM-3","itemData":{"DOI":"10.1016/j.trd.2013.07.002","ISSN":"13619209","author":[{"dropping-particle":"","family":"Hackbarth","given":"André","non-dropping-particle":"","parse-names":false,"suffix":""},{"dropping-particle":"","family":"Madlener","given":"Reinhard","non-dropping-particle":"","parse-names":false,"suffix":""}],"container-title":"Transportation Research Part D: Transport and Environment","id":"ITEM-3","issued":{"date-parts":[["2013","12"]]},"page":"5-17","title":"Consumer preferences for alternative fuel vehicles: A discrete choice analysis","type":"article-journal","volume":"25"},"uris":["http://www.mendeley.com/documents/?uuid=e0eda076-c114-46a0-b9ef-d6a1f2f091d6"]}],"mendeley":{"formattedCitation":"(Achtnicht, 2011; Hackbarth &amp; Madlener, 2013; Ziegler, 2012)","plainTextFormattedCitation":"(Achtnicht, 2011; Hackbarth &amp; Madlener, 2013; Ziegler, 2012)","previouslyFormattedCitation":"(Achtnicht, 2011; Hackbarth &amp; Madlener, 2013; Ziegler, 2012)"},"properties":{"noteIndex":0},"schema":"https://github.com/citation-style-language/schema/raw/master/csl-citation.json"}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(Achtnicht, 2011; Hackbarth &amp; Madlener, 2013; Ziegler, 2012)</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were not included in SPACE as these were judged outside our EV-oriented mandate and are not widely available within the Canadian vehicle market. HEV and PHEV were only considered in a subset of past studies, however when included, they achieved  considerable predicted market shares sometimes larger than BEVs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{"citationItems":[{"id":"ITEM-1","itemData":{"DOI":"10.1016/j.tra.2015.01.002","ISSN":"0965-8564","abstract":"We model consumer preferences for conventional, hybrid electric, plug-in hybrid electric (PHEV), and battery electric (BEV) vehicle technologies in China and the U.S. using data from choice-based conjoint surveys fielded in 2012–2013 in both countries. We find that with the combined bundle of attributes offered by vehicles available today, gasoline vehicles continue in both countries to be most attractive to consumers, and American respondents have significantly lower relative willingness-to-pay for BEV technology than Chinese respondents. While U.S. and Chinese subsidies are similar, favoring vehicles with larger battery packs, differences in consumer preferences lead to different outcomes. Our results suggest that with or without each country’s 2012–2013 subsidies, Chinese consumers are willing to adopt today’s BEVs and mid-range PHEVs at similar rates relative to their respective gasoline counterparts, whereas American consumers prefer low-range PHEVs despite subsidies. This implies potential for earlier BEV adoption in China, given adequate supply. While there are clear national security benefits for adoption of BEVs in China, the local and global social impact is unclear: With higher electricity generation emissions in China, a transition to BEVs may reduce oil consumption at the expense of increased air pollution and/or greenhouse gas emissions. On the other hand, demand from China could increase global incentives for electric vehicle technology development with the potential to reduce emissions in countries where electricity generation is associated with lower emissions.","author":[{"dropping-particle":"","family":"Helveston","given":"John Paul","non-dropping-particle":"","parse-names":false,"suffix":""},{"dropping-particle":"","family":"Liu","given":"Yimin","non-dropping-particle":"","parse-names":false,"suffix":""},{"dropping-particle":"","family":"Feit","given":"Elea McDonnell","non-dropping-particle":"","parse-names":false,"suffix":""},{"dropping-particle":"","family":"Fuchs","given":"Erica","non-dropping-particle":"","parse-names":false,"suffix":""},{"dropping-particle":"","family":"Klampfl","given":"Erica","non-dropping-particle":"","parse-names":false,"suffix":""},{"dropping-particle":"","family":"Michalek","given":"Jeremy J.","non-dropping-particle":"","parse-names":false,"suffix":""}],"container-title":"Transportation Research Part A: Policy and Practice","id":"ITEM-1","issued":{"date-parts":[["2015"]]},"page":"96-112","publisher":"Elsevier Ltd","title":"Will subsidies drive electric vehicle adoption? Measuring consumer preferences in the U.S. and China","type":"article-journal","volume":"73"},"uris":["http://www.mendeley.com/documents/?uuid=5ba1d597-867c-4ac9-9f0e-dfd53163fa41"]},{"id":"ITEM-2","itemData":{"author":[{"dropping-particle":"","family":"Axsen","given":"Jonn","non-dropping-particle":"","parse-names":false,"suffix":""},{"dropping-particle":"","family":"Goldberg","given":"Suzanne","non-dropping-particle":"","parse-names":false,"suffix":""},{"dropping-particle":"","family":"Bailey","given":"Joseph","non-dropping-particle":"","parse-names":false,"suffix":""}],"id":"ITEM-2","issue":"July","issued":{"date-parts":[["2015"]]},"title":"Electrif ying Vehicles; insights from the Canadian plug-in electric vehicle study","type":"report"},"uris":["http://www.mendeley.com/documents/?uuid=3bfe47d5-06f2-45f8-a5b6-f89a090fd9ae"]},{"id":"ITEM-3","itemData":{"DOI":"10.1016/j.trd.2013.07.002","ISSN":"13619209","author":[{"dropping-particle":"","family":"Hackbarth","given":"André","non-dropping-particle":"","parse-names":false,"suffix":""},{"dropping-particle":"","family":"Madlener","given":"Reinhard","non-dropping-particle":"","parse-names":false,"suffix":""}],"container-title":"Transportation Research Part D: Transport and Environment","id":"ITEM-3","issued":{"date-parts":[["2013","12"]]},"page":"5-17","title":"Consumer preferences for alternative fuel vehicles: A discrete choice analysis","type":"article-journal","volume":"25"},"uris":["http://www.mendeley.com/documents/?uuid=e0eda076-c114-46a0-b9ef-d6a1f2f091d6"]},{"id":"ITEM-4","itemData":{"DOI":"10.1179/1942787514Y.0000000022","ISSN":"1942-7867","abstract":"This paper analyses the practice of SP surveys for Electric Vehicles and identifies a number of their limitations. Specifically it is found that SP surveys may not represent adequately several dimensions that are relevant in the context of EV purchase such as garage ownership, second versus first car, refuelling conditions, and that they often neglect transitory technologies (Plug in Hybrid) which are instead an important element in the diffusion of EVs. This paper also provides a number of recommendations for practitioners to conceive more realistic SP surveys which could increase the validity of policy recommendations formulated by economists.","author":[{"dropping-particle":"","family":"Massiani","given":"Jérôme","non-dropping-particle":"","parse-names":false,"suffix":""}],"container-title":"Transportation Letters","id":"ITEM-4","issue":"3","issued":{"date-parts":[["2014"]]},"page":"152-160","title":"Stated preference surveys for electric and alternative fuel vehicles: are we doing the right thing?","type":"article-journal","volume":"6"},"uris":["http://www.mendeley.com/documents/?uuid=325b9264-29b9-4913-bcf1-9ee37773c8f3"]}],"mendeley":{"formattedCitation":"(Axsen, Goldberg, &amp; Bailey, 2015; Hackbarth &amp; Madlener, 2013; Helveston et al., 2015; Massiani, 2014)","manualFormatting":"(Axsen et al., 2015; Hackbarth &amp; Madlener, 2013; Helveston et al., 2015; Massiani, 2014)","plainTextFormattedCitation":"(Axsen, Goldberg, &amp; Bailey, 2015; Hackbarth &amp; Madlener, 2013; Helveston et al., 2015; Massiani, 2014)","previouslyFormattedCitation":"(Axsen, Goldberg, &amp; Bailey, 2015; Hackbarth &amp; Madlener, 2013; Helveston et al., 2015; Massiani, 2014)"},"properties":{"noteIndex":0},"schema":"https://github.com/citation-style-language/schema/raw/master/csl-citation.json"}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(Axsen et al., 2015; Hackbarth &amp; Madlener, 2013; Helveston et al., 2015; Massiani, 2014)</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w:t>
      </w:r>
    </w:p>
    <w:p w14:paraId="16B88C6F"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Apart from types and number of alternatives, another important decision was the presentation of alternatives on the SP screen, whether in a labeled or unlabeled form. Some previous works designed their choice sets as unlabeled experiments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{"citationItems":[{"id":"ITEM-1","itemData":{"DOI":"10.1016/j.tra.2012.05.016","ISSN":"09658564","abstract":"With respect to the German goal of a transition to a lead market for electromobility within a short time period, this paper empirically examines the preferences for alternative energy sources or propulsion technologies in vehicles and particularly for electric vehicles. The data stem from a stated preference discrete choice experiment with 598 potential German car buyers. In order to simulate a realistic future purchase situation, seven vehicle types were incorporated in each of the six choice sets, i.e. hybrid, gas, biofuel, hydrogen, and electric vehicles besides common gasoline and diesel vehicles. The econometric analysis with flexible multinomial probit models reveals that potential car buyers in Germany currently have a low stated preference for electric, hydrogen, and hybrid vehicles. While our paper also discusses the impact of common vehicle attributes such as purchase price or service station availability, it particularly considers the effect of socio-demographic and environmental awareness variables. The estimation results reveal that younger potential car buyers have a higher stated preference for hydrogen and electric vehicles, males have a higher stated choice of hydrogen vehicles, and environmentally aware potential car buyers have a higher stated preference for hydrogen and electric vehicles. These results suggest that common policy instruments such as the promotion of research and development, taxation, or subsidization in the field of electromobility could be supplemented by strategies to increase the social acceptance of alternative vehicle types that are directly oriented to these population groups. Methodologically, our study highlights the importance of the inclusion of taste persistence across the choice sets and a high number of random draws in the Geweke-Hajivassiliou-Keane simulator in the simulated maximum likelihood estimation of the multinomial probit models. ?? 2012 Elsevier Ltd.","author":[{"dropping-particle":"","family":"Ziegler","given":"Andreas","non-dropping-particle":"","parse-names":false,"suffix":""}],"container-title":"Transportation Research Part A: Policy and Practice","id":"ITEM-1","issue":"8","issued":{"date-parts":[["2012","10"]]},"page":"1372-1385","publisher":"Elsevier Ltd","title":"Individual characteristics and stated preferences for alternative energy sources and propulsion technologies in vehicles: A discrete choice analysis for Germany","type":"article-journal","volume":"46"},"uris":["http://www.mendeley.com/documents/?uuid=c5e67293-8ff1-44d1-af86-36966a8ddd89"]},{"id":"ITEM-2","itemData":{"DOI":"10.1016/j.tra.2014.01.008","ISSN":"09658564","author":[{"dropping-particle":"","family":"Hoen","given":"Anco","non-dropping-particle":"","parse-names":false,"suffix":""},{"dropping-particle":"","family":"Koetse","given":"Mark J.","non-dropping-particle":"","parse-names":false,"suffix":""}],"container-title":"Transportation Research Part A: Policy and Practice","id":"ITEM-2","issued":{"date-parts":[["2014","3"]]},"page":"199-215","publisher":"Elsevier Ltd","title":"A choice experiment on alternative fuel vehicle preferences of private car owners in the Netherlands","type":"article-journal","volume":"61"},"uris":["http://www.mendeley.com/documents/?uuid=c832ad12-8e58-47a7-a310-2f4b40d6df33"]},{"id":"ITEM-3","itemData":{"DOI":"10.1016/j.tra.2015.01.002","ISSN":"0965-8564","abstract":"We model consumer preferences for conventional, hybrid electric, plug-in hybrid electric (PHEV), and battery electric (BEV) vehicle technologies in China and the U.S. using data from choice-based conjoint surveys fielded in 2012–2013 in both countries. We find that with the combined bundle of attributes offered by vehicles available today, gasoline vehicles continue in both countries to be most attractive to consumers, and American respondents have significantly lower relative willingness-to-pay for BEV technology than Chinese respondents. While U.S. and Chinese subsidies are similar, favoring vehicles with larger battery packs, differences in consumer preferences lead to different outcomes. Our results suggest that with or without each country’s 2012–2013 subsidies, Chinese consumers are willing to adopt today’s BEVs and mid-range PHEVs at similar rates relative to their respective gasoline counterparts, whereas American consumers prefer low-range PHEVs despite subsidies. This implies potential for earlier BEV adoption in China, given adequate supply. While there are clear national security benefits for adoption of BEVs in China, the local and global social impact is unclear: With higher electricity generation emissions in China, a transition to BEVs may reduce oil consumption at the expense of increased air pollution and/or greenhouse gas emissions. On the other hand, demand from China could increase global incentives for electric vehicle technology development with the potential to reduce emissions in countries where electricity generation is associated with lower emissions.","author":[{"dropping-particle":"","family":"Helveston","given":"John Paul","non-dropping-particle":"","parse-names":false,"suffix":""},{"dropping-particle":"","family":"Liu","given":"Yimin","non-dropping-particle":"","parse-names":false,"suffix":""},{"dropping-particle":"","family":"Feit","given":"Elea McDonnell","non-dropping-particle":"","parse-names":false,"suffix":""},{"dropping-particle":"","family":"Fuchs","given":"Erica","non-dropping-particle":"","parse-names":false,"suffix":""},{"dropping-particle":"","family":"Klampfl","given":"Erica","non-dropping-particle":"","parse-names":false,"suffix":""},{"dropping-particle":"","family":"Michalek","given":"Jeremy J.","non-dropping-particle":"","parse-names":false,"suffix":""}],"container-title":"Transportation Research Part A: Policy and Practice","id":"ITEM-3","issued":{"date-parts":[["2015"]]},"page":"96-112","publisher":"Elsevier Ltd","title":"Will subsidies drive electric vehicle adoption? Measuring consumer preferences in the U.S. and China","type":"article-journal","volume":"73"},"uris":["http://www.mendeley.com/documents/?uuid=5ba1d597-867c-4ac9-9f0e-dfd53163fa41"]}],"mendeley":{"formattedCitation":"(Helveston et al., 2015; Hoen &amp; Koetse, 2014; Ziegler, 2012)","plainTextFormattedCitation":"(Helveston et al., 2015; Hoen &amp; Koetse, 2014; Ziegler, 2012)","previouslyFormattedCitation":"(Helveston et al., 2015; Hoen &amp; Koetse, 2014; Ziegler, 2012)"},"properties":{"noteIndex":0},"schema":"https://github.com/citation-style-language/schema/raw/master/csl-citation.json"}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(Helveston et al., 2015; Hoen &amp; Koetse, 2014; Ziegler, 2012)</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while the choice of fuel type was nevertheless incorporated in their modeling analyses as the dependent variable. The term quasi-labeled has been used for such experiments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{"citationItems":[{"id":"ITEM-1","itemData":{"DOI":"10.1016/j.tra.2012.05.016","ISSN":"09658564","abstract":"With respect to the German goal of a transition to a lead market for electromobility within a short time period, this paper empirically examines the preferences for alternative energy sources or propulsion technologies in vehicles and particularly for electric vehicles. The data stem from a stated preference discrete choice experiment with 598 potential German car buyers. In order to simulate a realistic future purchase situation, seven vehicle types were incorporated in each of the six choice sets, i.e. hybrid, gas, biofuel, hydrogen, and electric vehicles besides common gasoline and diesel vehicles. The econometric analysis with flexible multinomial probit models reveals that potential car buyers in Germany currently have a low stated preference for electric, hydrogen, and hybrid vehicles. While our paper also discusses the impact of common vehicle attributes such as purchase price or service station availability, it particularly considers the effect of socio-demographic and environmental awareness variables. The estimation results reveal that younger potential car buyers have a higher stated preference for hydrogen and electric vehicles, males have a higher stated choice of hydrogen vehicles, and environmentally aware potential car buyers have a higher stated preference for hydrogen and electric vehicles. These results suggest that common policy instruments such as the promotion of research and development, taxation, or subsidization in the field of electromobility could be supplemented by strategies to increase the social acceptance of alternative vehicle types that are directly oriented to these population groups. Methodologically, our study highlights the importance of the inclusion of taste persistence across the choice sets and a high number of random draws in the Geweke-Hajivassiliou-Keane simulator in the simulated maximum likelihood estimation of the multinomial probit models. ?? 2012 Elsevier Ltd.","author":[{"dropping-particle":"","family":"Ziegler","given":"Andreas","non-dropping-particle":"","parse-names":false,"suffix":""}],"container-title":"Transportation Research Part A: Policy and Practice","id":"ITEM-1","issue":"8","issued":{"date-parts":[["2012","10"]]},"page":"1372-1385","publisher":"Elsevier Ltd","title":"Individual characteristics and stated preferences for alternative energy sources and propulsion technologies in vehicles: A discrete choice analysis for Germany","type":"article-journal","volume":"46"},"uris":["http://www.mendeley.com/documents/?uuid=c5e67293-8ff1-44d1-af86-36966a8ddd89"]}],"mendeley":{"formattedCitation":"(Ziegler, 2012)","plainTextFormattedCitation":"(Ziegler, 2012)","previouslyFormattedCitation":"(Ziegler, 2012)"},"properties":{"noteIndex":0},"schema":"https://github.com/citation-style-language/schema/raw/master/csl-citation.json"}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(Ziegler, 2012)</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meaning that while the names of alternatives convey no information to the respondents, their attributes and levels are designed in a way that relates exactly to one powertrain or fuel type. </w:t>
      </w:r>
    </w:p>
    <w:p w14:paraId="40F0346C"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On a labeled choice, however, vehicle powertrains can be identified before reviewing the attributes associated with each alternative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{"citationItems":[{"id":"ITEM-1","itemData":{"DOI":"10.1016/j.tra.2014.10.019","ISBN":"0965-8564","ISSN":"09658564","abstract":"This paper conducts a comparative discrete choice analysis to estimate consumers' willingness to pay (WTP) for electric vehicles (EVs) and plug-in hybrid electric vehicles (PHEVs) on the basis of the same stated preference survey carried out in the US and Japan in 2012. We also carry out a comparative analysis across four US states. We find that on average US consumers are more sensitive to fuel cost reductions and alternative fuel station availability than are Japanese consumers. With regard to the comparative analysis across the four US states, consumers' WTP for a fuel cost reduction in California is considerably greater than in the other three states. We use the estimates obtained in the discrete choice analysis to examine the EV/PHEV market shares under several scenarios. In a base case scenario with relatively realistic attribute levels, conventional gasoline vehicles still dominate both in the US and Japan. However, in an innovation scenario with a significant purchase price reduction, we observe a high penetration of alternative fuel vehicles both in the US and Japan. We illustrate the potential use of a discrete choice analysis for forward-looking policy analysis, with the future opportunity to compare its predictions against actual revealed choices. In this case, increased purchase price subsidies are likely to have a significant impact on the market shares of alternative fuel vehicles.","author":[{"dropping-particle":"","family":"Tanaka","given":"Makoto","non-dropping-particle":"","parse-names":false,"suffix":""},{"dropping-particle":"","family":"Ida","given":"Takanori","non-dropping-particle":"","parse-names":false,"suffix":""},{"dropping-particle":"","family":"Murakami","given":"Kayo","non-dropping-particle":"","parse-names":false,"suffix":""},{"dropping-particle":"","family":"Friedman","given":"Lee","non-dropping-particle":"","parse-names":false,"suffix":""}],"container-title":"Transportation Research Part A: Policy and Practice","id":"ITEM-1","issued":{"date-parts":[["2014"]]},"page":"194-209","publisher":"Elsevier Ltd","title":"Consumers' willingness to pay for alternative fuel vehicles: A comparative discrete choice analysis between the US and Japan","type":"article-journal","volume":"70"},"uris":["http://www.mendeley.com/documents/?uuid=82e9962a-89eb-408c-b135-0ebc08c9db58"]},{"id":"ITEM-2","itemData":{"DOI":"10.1016/j.trd.2013.07.006","ISSN":"13619209","author":[{"dropping-particle":"","family":"Jensen, A. F., Cherchi, E., &amp; Mabit","given":"S. L.","non-dropping-particle":"","parse-names":false,"suffix":""}],"container-title":"Transportation Research Part D: Transport and Environment","id":"ITEM-2","issued":{"date-parts":[["2013","12"]]},"page":"24-32","publisher":"Elsevier Ltd","title":"On the stability of preferences and attitudes before and after experiencing an electric vehicle","type":"article-journal","volume":"25"},"uris":["http://www.mendeley.com/documents/?uuid=fdda6b2d-162a-4b29-aa41-89bca320cebf"]},{"id":"ITEM-3","itemData":{"DOI":"10.1016/j.reseneeco.2011.02.002","ISSN":"09287655","author":[{"dropping-particle":"","family":"Hidrue","given":"Michael K.","non-dropping-particle":"","parse-names":false,"suffix":""},{"dropping-particle":"","family":"Parsons","given":"George R.","non-dropping-particle":"","parse-names":false,"suffix":""},{"dropping-particle":"","family":"Kempton","given":"Willett","non-dropping-particle":"","parse-names":false,"suffix":""},{"dropping-particle":"","family":"Gardner","given":"Meryl P.","non-dropping-particle":"","parse-names":false,"suffix":""}],"container-title":"Resource and Energy Economics","id":"ITEM-3","issue":"3","issued":{"date-parts":[["2011","9"]]},"page":"686-705","publisher":"Elsevier B.V.","title":"Willingness to pay for electric vehicles and their attributes","type":"article-journal","volume":"33"},"uris":["http://www.mendeley.com/documents/?uuid=63deed0b-ad6d-4e45-892f-7b53ac91ce81"]},{"id":"ITEM-4","itemData":{"DOI":"10.1016/j.trd.2010.11.001","ISSN":"13619209","abstract":"This paper investigates the potential futures for alternative-fuel vehicles in Denmark, where the vehicle registration tax is very high and large tax rebates can be given. A large stated choice dataset has been collected concerning vehicle choice among conventional, hydrogen, hybrid, bio-diesel, and electric vehicles. We estimate a mixed logit model that improves on previous contributions by controlling for reference dependence and allowing for correlation of random effects. Both improvements are found to be important. An application of the model shows that alternative-fuel vehicles with present technology could obtain fairly high market shares given tax regulations possible in the present high-tax vehicle market. ?? 2010 Elsevier Ltd.","author":[{"dropping-particle":"","family":"Mabit","given":"Stefan L.","non-dropping-particle":"","parse-names":false,"suffix":""},{"dropping-particle":"","family":"Fosgerau","given":"Mogens","non-dropping-particle":"","parse-names":false,"suffix":""}],"container-title":"Transportation Research Part D: Transport and Environment","id":"ITEM-4","issue":"3","issued":{"date-parts":[["2011","5"]]},"page":"225-231","publisher":"Elsevier Ltd","title":"Demand for alternative-fuel vehicles when registration taxes are high","type":"article-journal","volume":"16"},"uris":["http://www.mendeley.com/documents/?uuid=7e8be2b9-7b43-4518-b2ec-ad3d8a344f70"]}],"mendeley":{"formattedCitation":"(Hidrue, Parsons, Kempton, &amp; Gardner, 2011; Jensen, A. F., Cherchi, E., &amp; Mabit, 2013; Mabit &amp; Fosgerau, 2011; Tanaka et al., 2014)","manualFormatting":"(Hidrue et al., 2011; Jensen et al. , 2013; Mabit &amp; Fosgerau, 2011; Tanaka et al., 2014)","plainTextFormattedCitation":"(Hidrue, Parsons, Kempton, &amp; Gardner, 2011; Jensen, A. F., Cherchi, E., &amp; Mabit, 2013; Mabit &amp; Fosgerau, 2011; Tanaka et al., 2014)","previouslyFormattedCitation":"(Hidrue, Parsons, Kempton, &amp; Gardner, 2011; Jensen, A. F., Cherchi, E., &amp; Mabit, 2013; Mabit &amp; Fosgerau, 2011; Tanaka et al., 2014)"},"properties":{"noteIndex":0},"schema":"https://github.com/citation-style-language/schema/raw/master/csl-citation.json"}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(Hidrue et al., 2011; Jensen et al.</w:t>
      </w:r>
      <w:r w:rsidRPr="003C3597" w:rsidDel="00DB5C32">
        <w:rPr>
          <w:rFonts w:ascii="Times New Roman" w:hAnsi="Times New Roman" w:cs="Times New Roman"/>
          <w:color w:val="000000"/>
        </w:rPr>
        <w:t xml:space="preserve"> </w:t>
      </w:r>
      <w:r w:rsidRPr="003C3597">
        <w:rPr>
          <w:rFonts w:ascii="Times New Roman" w:hAnsi="Times New Roman" w:cs="Times New Roman"/>
          <w:color w:val="000000"/>
        </w:rPr>
        <w:t>, 2013; Mabit &amp; Fosgerau, 2011; Tanaka et al., 2014)</w:t>
      </w:r>
      <w:r w:rsidRPr="003C3597">
        <w:rPr>
          <w:rFonts w:ascii="Times New Roman" w:hAnsi="Times New Roman" w:cs="Times New Roman"/>
          <w:color w:val="000000"/>
        </w:rPr>
        <w:fldChar w:fldCharType="end"/>
      </w:r>
      <w:r w:rsidRPr="003C3597">
        <w:rPr>
          <w:rFonts w:ascii="Times New Roman" w:hAnsi="Times New Roman" w:cs="Times New Roman"/>
          <w:color w:val="000000"/>
        </w:rPr>
        <w:t>. As such, the name each alternative carries can have a significant influence on the choices that respondents make. For instance, some people may select a BEV</w:t>
      </w:r>
      <w:r w:rsidRPr="003C3597" w:rsidDel="00F6548B">
        <w:rPr>
          <w:rFonts w:ascii="Times New Roman" w:hAnsi="Times New Roman" w:cs="Times New Roman"/>
          <w:color w:val="000000"/>
        </w:rPr>
        <w:t xml:space="preserve"> </w:t>
      </w:r>
      <w:r w:rsidRPr="003C3597">
        <w:rPr>
          <w:rFonts w:ascii="Times New Roman" w:hAnsi="Times New Roman" w:cs="Times New Roman"/>
          <w:color w:val="000000"/>
        </w:rPr>
        <w:t xml:space="preserve">simply because of their pro-environmental attitudes, without consideration of attributes associated with that alternative. While the trade-offs between attributes are somewhat downgraded </w:t>
      </w:r>
      <w:r w:rsidRPr="003C3597">
        <w:rPr>
          <w:rFonts w:ascii="Times New Roman" w:hAnsi="Times New Roman" w:cs="Times New Roman"/>
          <w:color w:val="000000"/>
        </w:rPr>
        <w:lastRenderedPageBreak/>
        <w:t xml:space="preserve">in this approach, labeled experiments are more in line with choices people make in the real world where a number of branded goods or services are considered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author":[{"dropping-particle":"","family":"Hensher","given":"David","non-dropping-particle":"","parse-names":false,"suffix":""},{"dropping-particle":"","family":"Rose","given":"John","non-dropping-particle":"","parse-names":false,"suffix":""},{"dropping-particle":"","family":"Greene","given":"William","non-dropping-particle":"","parse-names":false,"suffix":""}],"id":"ITEM-1","issued":{"date-parts":[["2005"]]},"publisher":"Cambridge University Press","title":"Applied choice analysis: a primer","type":"book"},"uris":["http://www.mendeley.com/documents/?uuid=c608edbe-ac9b-42c6-8183-82e9d8f44c92"]}],"mendeley":{"formattedCitation":"(D. Hensher et al., 2005)","manualFormatting":"(Hensher et al., 2005)","plainTextFormattedCitation":"(D. Hensher et al., 2005)","previouslyFormattedCitation":"(D. Hensher et al., 2005)"},"properties":{"noteIndex":0},"schema":"https://github.com/citation-style-language/schema/raw/master/csl-citation.json"}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(Hensher et al., 2005)</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Indeed, the label given to each alternative adds an extra level of realism to SP surveys. Also, labeled alternatives are preferred when the focus is on prediction and forecasting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author":[{"dropping-particle":"","family":"Hensher","given":"David","non-dropping-particle":"","parse-names":false,"suffix":""},{"dropping-particle":"","family":"Rose","given":"John","non-dropping-particle":"","parse-names":false,"suffix":""},{"dropping-particle":"","family":"Greene","given":"William","non-dropping-particle":"","parse-names":false,"suffix":""}],"id":"ITEM-1","issued":{"date-parts":[["2005"]]},"publisher":"Cambridge University Press","title":"Applied choice analysis: a primer","type":"book"},"uris":["http://www.mendeley.com/documents/?uuid=c608edbe-ac9b-42c6-8183-82e9d8f44c92"]}],"mendeley":{"formattedCitation":"(D. Hensher et al., 2005)","manualFormatting":"(Hensher et al., 2005)","plainTextFormattedCitation":"(D. Hensher et al., 2005)","previouslyFormattedCitation":"(D. Hensher et al., 2005)"},"properties":{"noteIndex":0},"schema":"https://github.com/citation-style-language/schema/raw/master/csl-citation.json"}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(Hensher et al., 2005)</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w:t>
      </w:r>
    </w:p>
    <w:p w14:paraId="5A17F29E"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In SPACE, the SP scenarios consisted of four fixed ‘labeled’ alternatives illustrated wi</w:t>
      </w:r>
      <w:r w:rsidR="00B957FF">
        <w:rPr>
          <w:rFonts w:ascii="Times New Roman" w:hAnsi="Times New Roman" w:cs="Times New Roman"/>
          <w:color w:val="000000"/>
        </w:rPr>
        <w:t>th a related visual design (Figure</w:t>
      </w:r>
      <w:r w:rsidRPr="003C3597">
        <w:rPr>
          <w:rFonts w:ascii="Times New Roman" w:hAnsi="Times New Roman" w:cs="Times New Roman"/>
          <w:color w:val="000000"/>
        </w:rPr>
        <w:t xml:space="preserve"> </w:t>
      </w:r>
      <w:r w:rsidR="00B957FF">
        <w:rPr>
          <w:rFonts w:ascii="Times New Roman" w:hAnsi="Times New Roman" w:cs="Times New Roman"/>
          <w:color w:val="000000"/>
        </w:rPr>
        <w:t>2.</w:t>
      </w:r>
      <w:r w:rsidRPr="003C3597">
        <w:rPr>
          <w:rFonts w:ascii="Times New Roman" w:hAnsi="Times New Roman" w:cs="Times New Roman"/>
          <w:color w:val="000000"/>
        </w:rPr>
        <w:t>3). Respondents were required to make a choice between these four alternatives for the primary choice context, which most often was for a replacement vehicle.</w:t>
      </w:r>
      <w:r w:rsidRPr="003C3597" w:rsidDel="00DD7B81">
        <w:rPr>
          <w:rFonts w:ascii="Times New Roman" w:hAnsi="Times New Roman" w:cs="Times New Roman"/>
          <w:color w:val="000000"/>
        </w:rPr>
        <w:t xml:space="preserve"> </w:t>
      </w:r>
      <w:r w:rsidRPr="003C3597">
        <w:rPr>
          <w:rFonts w:ascii="Times New Roman" w:hAnsi="Times New Roman" w:cs="Times New Roman"/>
          <w:color w:val="000000"/>
        </w:rPr>
        <w:t>A secondary choice context was also examined but this choice was for five alternatives includ</w:t>
      </w:r>
      <w:r w:rsidR="000C2D62">
        <w:rPr>
          <w:rFonts w:ascii="Times New Roman" w:hAnsi="Times New Roman" w:cs="Times New Roman"/>
          <w:color w:val="000000"/>
        </w:rPr>
        <w:t>ing an opt-out option.</w:t>
      </w:r>
      <w:r w:rsidRPr="003C3597">
        <w:rPr>
          <w:rFonts w:ascii="Times New Roman" w:hAnsi="Times New Roman" w:cs="Times New Roman"/>
          <w:color w:val="000000"/>
        </w:rPr>
        <w:t xml:space="preserve"> The reasoning for this had to</w:t>
      </w:r>
      <w:r w:rsidR="000C2D62">
        <w:rPr>
          <w:rFonts w:ascii="Times New Roman" w:hAnsi="Times New Roman" w:cs="Times New Roman"/>
          <w:color w:val="000000"/>
        </w:rPr>
        <w:t xml:space="preserve"> do</w:t>
      </w:r>
      <w:r w:rsidRPr="003C3597">
        <w:rPr>
          <w:rFonts w:ascii="Times New Roman" w:hAnsi="Times New Roman" w:cs="Times New Roman"/>
          <w:color w:val="000000"/>
        </w:rPr>
        <w:t xml:space="preserve"> with context sensitivity and is</w:t>
      </w:r>
      <w:r w:rsidR="00EC3DFE">
        <w:rPr>
          <w:rFonts w:ascii="Times New Roman" w:hAnsi="Times New Roman" w:cs="Times New Roman"/>
          <w:color w:val="000000"/>
        </w:rPr>
        <w:t xml:space="preserve"> thus discussed in Section 4.4.</w:t>
      </w:r>
    </w:p>
    <w:p w14:paraId="63C37A01" w14:textId="77777777" w:rsidR="003C3597" w:rsidRPr="00B00A98" w:rsidRDefault="003C3597" w:rsidP="00E1100F">
      <w:pPr>
        <w:pStyle w:val="ListParagraph"/>
        <w:numPr>
          <w:ilvl w:val="2"/>
          <w:numId w:val="8"/>
        </w:numPr>
        <w:outlineLvl w:val="2"/>
        <w:rPr>
          <w:rFonts w:ascii="Times New Roman" w:hAnsi="Times New Roman" w:cs="Times New Roman"/>
          <w:b/>
          <w:color w:val="000000"/>
        </w:rPr>
      </w:pPr>
      <w:bookmarkStart w:id="39" w:name="_Toc528650859"/>
      <w:r w:rsidRPr="00B00A98">
        <w:rPr>
          <w:rFonts w:ascii="Times New Roman" w:hAnsi="Times New Roman" w:cs="Times New Roman"/>
          <w:b/>
          <w:color w:val="000000"/>
        </w:rPr>
        <w:t>Choice of Design Technique for SP Scenarios and Implications</w:t>
      </w:r>
      <w:bookmarkEnd w:id="39"/>
    </w:p>
    <w:p w14:paraId="5D2C53B3" w14:textId="77777777" w:rsidR="003C3597" w:rsidRPr="003C3597" w:rsidRDefault="003C3597" w:rsidP="003C3597">
      <w:pPr>
        <w:rPr>
          <w:rFonts w:ascii="Times New Roman" w:hAnsi="Times New Roman" w:cs="Times New Roman"/>
          <w:color w:val="000000"/>
          <w:lang w:val="en-US"/>
        </w:rPr>
      </w:pPr>
      <w:r w:rsidRPr="003C3597">
        <w:rPr>
          <w:rFonts w:ascii="Times New Roman" w:hAnsi="Times New Roman" w:cs="Times New Roman"/>
          <w:i/>
          <w:iCs/>
          <w:color w:val="000000"/>
          <w:lang w:val="en-US"/>
        </w:rPr>
        <w:t>D-efficient</w:t>
      </w:r>
      <w:r w:rsidRPr="003C3597">
        <w:rPr>
          <w:rFonts w:ascii="Times New Roman" w:hAnsi="Times New Roman" w:cs="Times New Roman"/>
          <w:color w:val="000000"/>
          <w:lang w:val="en-US"/>
        </w:rPr>
        <w:t xml:space="preserve"> or Efficient experimental design was employed for generation of our SP scenarios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lang w:val="en-US"/>
        </w:rPr>
        <w:instrText>ADDIN CSL_CITATION {"citationItems":[{"id":"ITEM-1","itemData":{"author":[{"dropping-particle":"","family":"Hensher","given":"David","non-dropping-particle":"","parse-names":false,"suffix":""},{"dropping-particle":"","family":"Rose","given":"John","non-dropping-particle":"","parse-names":false,"suffix":""},{"dropping-particle":"","family":"Greene","given":"William","non-dropping-particle":"","parse-names":false,"suffix":""}],"id":"ITEM-1","issued":{"date-parts":[["2005"]]},"publisher":"Cambridge University Press","title":"Applied choice analysis: a primer","type":"book"},"uris":["http://www.mendeley.com/documents/?uuid=c608edbe-ac9b-42c6-8183-82e9d8f44c92"]},{"id":"ITEM-2","itemData":{"DOI":"10.1016/j.ijresmar.2005.09.003","ISBN":"0167-8116","ISSN":"01678116","abstract":"In this paper we compare a number of common strategies for constructing discrete choice experiments. Two of the strategies, including one based on theoretical constructions for optimal discrete choice experiments, produce designs that are better than those that come about from random grouping and from using the LMA construction. A simple account of this theoretical construction is given. © 2005 Elsevier B.V. All rights reserved.","author":[{"dropping-particle":"","family":"Street","given":"Deborah J.","non-dropping-particle":"","parse-names":false,"suffix":""},{"dropping-particle":"","family":"Burgess","given":"Leonie","non-dropping-particle":"","parse-names":false,"suffix":""},{"dropping-particle":"","family":"Louviere","given":"Jordan J.","non-dropping-particle":"","parse-names":false,"suffix":""}],"container-title":"International Journal of Research in Marketing","id":"ITEM-2","issue":"4","issued":{"date-parts":[["2005"]]},"page":"459-470","title":"Quick and easy choice sets: Constructing optimal and nearly optimal stated choice experiments","type":"article-journal","volume":"22"},"uris":["http://www.mendeley.com/documents/?uuid=8d5a9e5e-c026-49a9-98d4-87153e6ff44d"]}],"mendeley":{"formattedCitation":"(D. Hensher et al., 2005; Street, Burgess, &amp; Louviere, 2005)","manualFormatting":"(Hensher et al., 2005; Street, Burgess, &amp; Louviere, 2005)","plainTextFormattedCitation":"(D. Hensher et al., 2005; Street, Burgess, &amp; Louviere, 2005)","previouslyFormattedCitation":"(D. Hensher et al., 2005; Street, Burgess, &amp; Louviere, 2005)"},"properties":{"noteIndex":0},"schema":"https://github.com/citation-style-language/schema/raw/master/csl-citation.json"}</w:instrText>
      </w:r>
      <w:r w:rsidRPr="003C3597">
        <w:rPr>
          <w:rFonts w:ascii="Times New Roman" w:hAnsi="Times New Roman" w:cs="Times New Roman"/>
          <w:color w:val="000000"/>
          <w:lang w:val="en-US"/>
        </w:rPr>
        <w:fldChar w:fldCharType="separate"/>
      </w:r>
      <w:r w:rsidRPr="003C3597">
        <w:rPr>
          <w:rFonts w:ascii="Times New Roman" w:hAnsi="Times New Roman" w:cs="Times New Roman"/>
          <w:color w:val="000000"/>
          <w:lang w:val="en-US"/>
        </w:rPr>
        <w:t>(Hensher et al., 2005; Street, Burgess, &amp; Louviere, 2005)</w:t>
      </w:r>
      <w:r w:rsidRPr="003C3597">
        <w:rPr>
          <w:rFonts w:ascii="Times New Roman" w:hAnsi="Times New Roman" w:cs="Times New Roman"/>
          <w:color w:val="000000"/>
        </w:rPr>
        <w:fldChar w:fldCharType="end"/>
      </w:r>
      <w:r w:rsidRPr="003C3597">
        <w:rPr>
          <w:rFonts w:ascii="Times New Roman" w:hAnsi="Times New Roman" w:cs="Times New Roman"/>
          <w:color w:val="000000"/>
          <w:lang w:val="en-US"/>
        </w:rPr>
        <w:t xml:space="preserve">. </w:t>
      </w:r>
      <w:r w:rsidRPr="003C3597">
        <w:rPr>
          <w:rFonts w:ascii="Times New Roman" w:hAnsi="Times New Roman" w:cs="Times New Roman"/>
          <w:i/>
          <w:iCs/>
          <w:color w:val="000000"/>
          <w:lang w:val="en-US"/>
        </w:rPr>
        <w:t>Orthogonal</w:t>
      </w:r>
      <w:r w:rsidRPr="003C3597">
        <w:rPr>
          <w:rFonts w:ascii="Times New Roman" w:hAnsi="Times New Roman" w:cs="Times New Roman"/>
          <w:color w:val="000000"/>
          <w:lang w:val="en-US"/>
        </w:rPr>
        <w:t xml:space="preserve"> and </w:t>
      </w:r>
      <w:r w:rsidRPr="003C3597">
        <w:rPr>
          <w:rFonts w:ascii="Times New Roman" w:hAnsi="Times New Roman" w:cs="Times New Roman"/>
          <w:i/>
          <w:iCs/>
          <w:color w:val="000000"/>
          <w:lang w:val="en-US"/>
        </w:rPr>
        <w:t xml:space="preserve">D-efficient </w:t>
      </w:r>
      <w:r w:rsidRPr="003C3597">
        <w:rPr>
          <w:rFonts w:ascii="Times New Roman" w:hAnsi="Times New Roman" w:cs="Times New Roman"/>
          <w:color w:val="000000"/>
          <w:lang w:val="en-US"/>
        </w:rPr>
        <w:t xml:space="preserve">design are the two main design types used in previous EV studies (See Table </w:t>
      </w:r>
      <w:r w:rsidR="00B957FF">
        <w:rPr>
          <w:rFonts w:ascii="Times New Roman" w:hAnsi="Times New Roman" w:cs="Times New Roman"/>
          <w:color w:val="000000"/>
          <w:lang w:val="en-US"/>
        </w:rPr>
        <w:t>2.</w:t>
      </w:r>
      <w:r w:rsidRPr="003C3597">
        <w:rPr>
          <w:rFonts w:ascii="Times New Roman" w:hAnsi="Times New Roman" w:cs="Times New Roman"/>
          <w:color w:val="000000"/>
          <w:lang w:val="en-US"/>
        </w:rPr>
        <w:t xml:space="preserve">1). Although </w:t>
      </w:r>
      <w:r w:rsidRPr="003C3597">
        <w:rPr>
          <w:rFonts w:ascii="Times New Roman" w:hAnsi="Times New Roman" w:cs="Times New Roman"/>
          <w:i/>
          <w:iCs/>
          <w:color w:val="000000"/>
          <w:lang w:val="en-US"/>
        </w:rPr>
        <w:t>orthogonal</w:t>
      </w:r>
      <w:r w:rsidRPr="003C3597">
        <w:rPr>
          <w:rFonts w:ascii="Times New Roman" w:hAnsi="Times New Roman" w:cs="Times New Roman"/>
          <w:color w:val="000000"/>
          <w:lang w:val="en-US"/>
        </w:rPr>
        <w:t xml:space="preserve"> has been used most often within EV research, evidence from the literature demonstrates the outperformance of efficient design </w:t>
      </w:r>
      <w:r w:rsidRPr="003C3597">
        <w:rPr>
          <w:rFonts w:ascii="Times New Roman" w:hAnsi="Times New Roman" w:cs="Times New Roman"/>
          <w:color w:val="000000"/>
          <w:lang w:val="en-US"/>
        </w:rPr>
        <w:fldChar w:fldCharType="begin" w:fldLock="1"/>
      </w:r>
      <w:r w:rsidRPr="003C3597">
        <w:rPr>
          <w:rFonts w:ascii="Times New Roman" w:hAnsi="Times New Roman" w:cs="Times New Roman"/>
          <w:color w:val="000000"/>
          <w:lang w:val="en-US"/>
        </w:rPr>
        <w:instrText>ADDIN CSL_CITATION {"citationItems":[{"id":"ITEM-1","itemData":{"DOI":"10.1016/j.tra.2010.09.003","ISSN":"09658564","author":[{"dropping-particle":"","family":"Bliemer","given":"Michiel C.J.","non-dropping-particle":"","parse-names":false,"suffix":""},{"dropping-particle":"","family":"Rose","given":"John M.","non-dropping-particle":"","parse-names":false,"suffix":""}],"container-title":"Transportation Research Part A: Policy and Practice","id":"ITEM-1","issue":"1","issued":{"date-parts":[["2011","1"]]},"page":"63-79","publisher":"Elsevier Ltd","title":"Experimental design influences on stated choice outputs: An empirical study in air travel choice","type":"article-journal","volume":"45"},"uris":["http://www.mendeley.com/documents/?uuid=8033c231-4602-4ade-89b2-7a4408c2f801"]},{"id":"ITEM-2","itemData":{"author":[{"dropping-particle":"","family":"Rose","given":"John M.","non-dropping-particle":"","parse-names":false,"suffix":""},{"dropping-particle":"","family":"Bliemer","given":"Michiel C.J.","non-dropping-particle":"","parse-names":false,"suffix":""}],"container-title":"Elsevier","id":"ITEM-2","issued":{"date-parts":[["2008"]]},"page":"1-26","title":"Stated Preference Experimental Design Strategies","type":"article-journal"},"uris":["http://www.mendeley.com/documents/?uuid=b960fa02-42ef-4a5f-895e-d65f6f93cd54"]},{"id":"ITEM-3","itemData":{"DOI":"10.1002/hec.729","ISBN":"1057-9230","ISSN":"10579230","PMID":"12652515","abstract":"This paper discusses different design techniques for stated preference surveys in health economic applications. In particular, we focus on different design techniques, i.e. how to combine the attribute levels into alternatives and choice sets, for choice experiments. Design is a vital issue in choice experiments since the combination of alternatives in the choice sets will determine the degree of precision obtainable from the estimates and welfare measures. In this paper we compare orthogonal, cyclical and D-optimal designs, where the latter allows expectations about the true parameters to be included when creating the design. Moreover, we discuss how to obtain prior information on the parameters and how to conduct a sequential design procedure during the actual experiment in order to improve the precision in the estimates. The designs are evaluated according to their ability to predict the true marginal willingness to pay under different specifications of the utility function in Monte Carlo simulations. Our results suggest that the designs produce unbiased estimations, but orthogonal designs result in larger mean square error in comparison to D-optimal designs. This result is expected when using correct priors on the parameters in D-optimal designs. However, the simulations show that welfare measures are not very sensitive if the choice sets are generated from a D-optimal design with biased priors.","author":[{"dropping-particle":"","family":"Carlsson","given":"Fredrik","non-dropping-particle":"","parse-names":false,"suffix":""},{"dropping-particle":"","family":"Martinsson","given":"Peter","non-dropping-particle":"","parse-names":false,"suffix":""}],"container-title":"Health Economics","id":"ITEM-3","issue":"4","issued":{"date-parts":[["2003"]]},"page":"281-294","title":"Design techniques for stated preference methods in health economics","type":"article-journal","volume":"12"},"uris":["http://www.mendeley.com/documents/?uuid=563df759-599d-4760-9c94-8607fb3d6223"]}],"mendeley":{"formattedCitation":"(Bliemer &amp; Rose, 2011; Carlsson &amp; Martinsson, 2003; Rose &amp; Bliemer, 2008)","plainTextFormattedCitation":"(Bliemer &amp; Rose, 2011; Carlsson &amp; Martinsson, 2003; Rose &amp; Bliemer, 2008)","previouslyFormattedCitation":"(Bliemer &amp; Rose, 2011; Carlsson &amp; Martinsson, 2003; Rose &amp; Bliemer, 2008)"},"properties":{"noteIndex":0},"schema":"https://github.com/citation-style-language/schema/raw/master/csl-citation.json"}</w:instrText>
      </w:r>
      <w:r w:rsidRPr="003C3597">
        <w:rPr>
          <w:rFonts w:ascii="Times New Roman" w:hAnsi="Times New Roman" w:cs="Times New Roman"/>
          <w:color w:val="000000"/>
          <w:lang w:val="en-US"/>
        </w:rPr>
        <w:fldChar w:fldCharType="separate"/>
      </w:r>
      <w:r w:rsidRPr="003C3597">
        <w:rPr>
          <w:rFonts w:ascii="Times New Roman" w:hAnsi="Times New Roman" w:cs="Times New Roman"/>
          <w:color w:val="000000"/>
          <w:lang w:val="en-US"/>
        </w:rPr>
        <w:t>(Bliemer &amp; Rose, 2011; Carlsson &amp; Martinsson, 2003; Rose &amp; Bliemer, 2008)</w:t>
      </w:r>
      <w:r w:rsidRPr="003C3597">
        <w:rPr>
          <w:rFonts w:ascii="Times New Roman" w:hAnsi="Times New Roman" w:cs="Times New Roman"/>
          <w:color w:val="000000"/>
        </w:rPr>
        <w:fldChar w:fldCharType="end"/>
      </w:r>
      <w:r w:rsidRPr="003C3597">
        <w:rPr>
          <w:rFonts w:ascii="Times New Roman" w:hAnsi="Times New Roman" w:cs="Times New Roman"/>
          <w:color w:val="000000"/>
          <w:lang w:val="en-US"/>
        </w:rPr>
        <w:t xml:space="preserve">.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lang w:val="en-US"/>
        </w:rPr>
        <w:instrText>ADDIN CSL_CITATION {"citationItems":[{"id":"ITEM-1","itemData":{"DOI":"10.1016/j.tra.2010.09.003","ISSN":"09658564","author":[{"dropping-particle":"","family":"Bliemer","given":"Michiel C.J.","non-dropping-particle":"","parse-names":false,"suffix":""},{"dropping-particle":"","family":"Rose","given":"John M.","non-dropping-particle":"","parse-names":false,"suffix":""}],"container-title":"Transportation Research Part A: Policy and Practice","id":"ITEM-1","issue":"1","issued":{"date-parts":[["2011","1"]]},"page":"63-79","publisher":"Elsevier Ltd","title":"Experimental design influences on stated choice outputs: An empirical study in air travel choice","type":"article-journal","volume":"45"},"uris":["http://www.mendeley.com/documents/?uuid=8033c231-4602-4ade-89b2-7a4408c2f801"]}],"mendeley":{"formattedCitation":"(Bliemer &amp; Rose, 2011)","manualFormatting":"Bliemer &amp; Rose (2011)","plainTextFormattedCitation":"(Bliemer &amp; Rose, 2011)","previouslyFormattedCitation":"(Bliemer &amp; Rose, 2011)"},"properties":{"noteIndex":0},"schema":"https://github.com/citation-style-language/schema/raw/master/csl-citation.json"}</w:instrText>
      </w:r>
      <w:r w:rsidRPr="003C3597">
        <w:rPr>
          <w:rFonts w:ascii="Times New Roman" w:hAnsi="Times New Roman" w:cs="Times New Roman"/>
          <w:color w:val="000000"/>
          <w:lang w:val="en-US"/>
        </w:rPr>
        <w:fldChar w:fldCharType="separate"/>
      </w:r>
      <w:r w:rsidRPr="003C3597">
        <w:rPr>
          <w:rFonts w:ascii="Times New Roman" w:hAnsi="Times New Roman" w:cs="Times New Roman"/>
          <w:color w:val="000000"/>
          <w:lang w:val="en-US"/>
        </w:rPr>
        <w:t>Bliemer &amp; Rose (2011)</w:t>
      </w:r>
      <w:r w:rsidRPr="003C3597">
        <w:rPr>
          <w:rFonts w:ascii="Times New Roman" w:hAnsi="Times New Roman" w:cs="Times New Roman"/>
          <w:color w:val="000000"/>
        </w:rPr>
        <w:fldChar w:fldCharType="end"/>
      </w:r>
      <w:r w:rsidRPr="003C3597">
        <w:rPr>
          <w:rFonts w:ascii="Times New Roman" w:hAnsi="Times New Roman" w:cs="Times New Roman"/>
          <w:color w:val="000000"/>
          <w:lang w:val="en-US"/>
        </w:rPr>
        <w:t xml:space="preserve">, for example, tested the impact of different experimental design types (i.e. orthogonal vs. efficient) on the estimation results, and found that efficient design lowered standard errors in the estimation of parameters. The efficiency of experimental design can be further improved, if there is </w:t>
      </w:r>
      <w:r w:rsidRPr="003C3597">
        <w:rPr>
          <w:rFonts w:ascii="Times New Roman" w:hAnsi="Times New Roman" w:cs="Times New Roman"/>
          <w:i/>
          <w:iCs/>
          <w:color w:val="000000"/>
          <w:lang w:val="en-US"/>
        </w:rPr>
        <w:t>a priori</w:t>
      </w:r>
      <w:r w:rsidRPr="003C3597">
        <w:rPr>
          <w:rFonts w:ascii="Times New Roman" w:hAnsi="Times New Roman" w:cs="Times New Roman"/>
          <w:color w:val="000000"/>
          <w:lang w:val="en-US"/>
        </w:rPr>
        <w:t xml:space="preserve"> information available about coefficients of attributes (e.g., </w:t>
      </w:r>
      <w:r w:rsidRPr="003C3597">
        <w:rPr>
          <w:rFonts w:ascii="Times New Roman" w:hAnsi="Times New Roman" w:cs="Times New Roman"/>
          <w:color w:val="000000"/>
          <w:lang w:val="en-US"/>
        </w:rPr>
        <w:lastRenderedPageBreak/>
        <w:t xml:space="preserve">price, range, etc.), perhaps through the literature, pilot surveys, or secondary data </w:t>
      </w:r>
      <w:r w:rsidRPr="003C3597">
        <w:rPr>
          <w:rFonts w:ascii="Times New Roman" w:hAnsi="Times New Roman" w:cs="Times New Roman"/>
          <w:color w:val="000000"/>
          <w:lang w:val="en-US"/>
        </w:rPr>
        <w:fldChar w:fldCharType="begin" w:fldLock="1"/>
      </w:r>
      <w:r w:rsidRPr="003C3597">
        <w:rPr>
          <w:rFonts w:ascii="Times New Roman" w:hAnsi="Times New Roman" w:cs="Times New Roman"/>
          <w:color w:val="000000"/>
          <w:lang w:val="en-US"/>
        </w:rPr>
        <w:instrText>ADDIN CSL_CITATION {"citationItems":[{"id":"ITEM-1","itemData":{"author":[{"dropping-particle":"","family":"Huber","given":"Joel","non-dropping-particle":"","parse-names":false,"suffix":""},{"dropping-particle":"","family":"Zwerina","given":"Klaus","non-dropping-particle":"","parse-names":false,"suffix":""}],"container-title":"Journal of Marketing Research","id":"ITEM-1","issued":{"date-parts":[["1996"]]},"page":"307-317","title":"The Importance of Utility Balance in Efficient Choice Designs","type":"article-journal","volume":"XXXIII"},"uris":["http://www.mendeley.com/documents/?uuid=5dc83a0d-4369-455c-ac2f-742e81943e55"]},{"id":"ITEM-2","itemData":{"DOI":"10.1016/j.tra.2010.09.003","ISSN":"09658564","author":[{"dropping-particle":"","family":"Bliemer","given":"Michiel C.J.","non-dropping-particle":"","parse-names":false,"suffix":""},{"dropping-particle":"","family":"Rose","given":"John M.","non-dropping-particle":"","parse-names":false,"suffix":""}],"container-title":"Transportation Research Part A: Policy and Practice","id":"ITEM-2","issue":"1","issued":{"date-parts":[["2011","1"]]},"page":"63-79","publisher":"Elsevier Ltd","title":"Experimental design influences on stated choice outputs: An empirical study in air travel choice","type":"article-journal","volume":"45"},"uris":["http://www.mendeley.com/documents/?uuid=8033c231-4602-4ade-89b2-7a4408c2f801"]},{"id":"ITEM-3","itemData":{"author":[{"dropping-particle":"","family":"Rose","given":"John M.","non-dropping-particle":"","parse-names":false,"suffix":""},{"dropping-particle":"","family":"Bliemer","given":"Michiel C.J.","non-dropping-particle":"","parse-names":false,"suffix":""}],"container-title":"Elsevier","id":"ITEM-3","issued":{"date-parts":[["2008"]]},"page":"1-26","title":"Stated Preference Experimental Design Strategies","type":"article-journal"},"uris":["http://www.mendeley.com/documents/?uuid=b960fa02-42ef-4a5f-895e-d65f6f93cd54"]}],"mendeley":{"formattedCitation":"(Bliemer &amp; Rose, 2011; Huber &amp; Zwerina, 1996; Rose &amp; Bliemer, 2008)","plainTextFormattedCitation":"(Bliemer &amp; Rose, 2011; Huber &amp; Zwerina, 1996; Rose &amp; Bliemer, 2008)","previouslyFormattedCitation":"(Bliemer &amp; Rose, 2011; Huber &amp; Zwerina, 1996; Rose &amp; Bliemer, 2008)"},"properties":{"noteIndex":0},"schema":"https://github.com/citation-style-language/schema/raw/master/csl-citation.json"}</w:instrText>
      </w:r>
      <w:r w:rsidRPr="003C3597">
        <w:rPr>
          <w:rFonts w:ascii="Times New Roman" w:hAnsi="Times New Roman" w:cs="Times New Roman"/>
          <w:color w:val="000000"/>
          <w:lang w:val="en-US"/>
        </w:rPr>
        <w:fldChar w:fldCharType="separate"/>
      </w:r>
      <w:r w:rsidRPr="003C3597">
        <w:rPr>
          <w:rFonts w:ascii="Times New Roman" w:hAnsi="Times New Roman" w:cs="Times New Roman"/>
          <w:color w:val="000000"/>
          <w:lang w:val="en-US"/>
        </w:rPr>
        <w:t>(Bliemer &amp; Rose, 2011; Huber &amp; Zwerina, 1996; Rose &amp; Bliemer, 2008)</w:t>
      </w:r>
      <w:r w:rsidRPr="003C3597">
        <w:rPr>
          <w:rFonts w:ascii="Times New Roman" w:hAnsi="Times New Roman" w:cs="Times New Roman"/>
          <w:color w:val="000000"/>
        </w:rPr>
        <w:fldChar w:fldCharType="end"/>
      </w:r>
      <w:r w:rsidRPr="003C3597">
        <w:rPr>
          <w:rFonts w:ascii="Times New Roman" w:hAnsi="Times New Roman" w:cs="Times New Roman"/>
          <w:color w:val="000000"/>
          <w:lang w:val="en-US"/>
        </w:rPr>
        <w:t>.</w:t>
      </w:r>
    </w:p>
    <w:p w14:paraId="0893E3FB" w14:textId="77777777" w:rsidR="003C3597" w:rsidRPr="003C3597" w:rsidRDefault="003C3597" w:rsidP="003C3597">
      <w:pPr>
        <w:rPr>
          <w:rFonts w:ascii="Times New Roman" w:hAnsi="Times New Roman" w:cs="Times New Roman"/>
          <w:color w:val="000000"/>
          <w:lang w:val="en-US"/>
        </w:rPr>
      </w:pPr>
      <w:r w:rsidRPr="003C3597">
        <w:rPr>
          <w:rFonts w:ascii="Times New Roman" w:hAnsi="Times New Roman" w:cs="Times New Roman"/>
          <w:color w:val="000000"/>
          <w:lang w:val="en-US"/>
        </w:rPr>
        <w:t xml:space="preserve">The pre-known information about an attribute, the so-called “prior,” is an initial value used as a coefficient when computing utilities for each alternative in a SP scenario </w:t>
      </w:r>
      <w:r w:rsidRPr="003C3597">
        <w:rPr>
          <w:rFonts w:ascii="Times New Roman" w:hAnsi="Times New Roman" w:cs="Times New Roman"/>
          <w:color w:val="000000"/>
          <w:lang w:val="en-US"/>
        </w:rPr>
        <w:fldChar w:fldCharType="begin" w:fldLock="1"/>
      </w:r>
      <w:r w:rsidRPr="003C3597">
        <w:rPr>
          <w:rFonts w:ascii="Times New Roman" w:hAnsi="Times New Roman" w:cs="Times New Roman"/>
          <w:color w:val="000000"/>
          <w:lang w:val="en-US"/>
        </w:rPr>
        <w:instrText>ADDIN CSL_CITATION {"citationItems":[{"id":"ITEM-1","itemData":{"DOI":"10.1002/hec.729","ISBN":"1057-9230","ISSN":"10579230","PMID":"12652515","abstract":"This paper discusses different design techniques for stated preference surveys in health economic applications. In particular, we focus on different design techniques, i.e. how to combine the attribute levels into alternatives and choice sets, for choice experiments. Design is a vital issue in choice experiments since the combination of alternatives in the choice sets will determine the degree of precision obtainable from the estimates and welfare measures. In this paper we compare orthogonal, cyclical and D-optimal designs, where the latter allows expectations about the true parameters to be included when creating the design. Moreover, we discuss how to obtain prior information on the parameters and how to conduct a sequential design procedure during the actual experiment in order to improve the precision in the estimates. The designs are evaluated according to their ability to predict the true marginal willingness to pay under different specifications of the utility function in Monte Carlo simulations. Our results suggest that the designs produce unbiased estimations, but orthogonal designs result in larger mean square error in comparison to D-optimal designs. This result is expected when using correct priors on the parameters in D-optimal designs. However, the simulations show that welfare measures are not very sensitive if the choice sets are generated from a D-optimal design with biased priors.","author":[{"dropping-particle":"","family":"Carlsson","given":"Fredrik","non-dropping-particle":"","parse-names":false,"suffix":""},{"dropping-particle":"","family":"Martinsson","given":"Peter","non-dropping-particle":"","parse-names":false,"suffix":""}],"container-title":"Health Economics","id":"ITEM-1","issue":"4","issued":{"date-parts":[["2003"]]},"page":"281-294","title":"Design techniques for stated preference methods in health economics","type":"article-journal","volume":"12"},"uris":["http://www.mendeley.com/documents/?uuid=563df759-599d-4760-9c94-8607fb3d6223"]},{"id":"ITEM-2","itemData":{"author":[{"dropping-particle":"","family":"Huber","given":"Joel","non-dropping-particle":"","parse-names":false,"suffix":""},{"dropping-particle":"","family":"Zwerina","given":"Klaus","non-dropping-particle":"","parse-names":false,"suffix":""}],"container-title":"Journal of Marketing Research","id":"ITEM-2","issued":{"date-parts":[["1996"]]},"page":"307-317","title":"The Importance of Utility Balance in Efficient Choice Designs","type":"article-journal","volume":"XXXIII"},"uris":["http://www.mendeley.com/documents/?uuid=5dc83a0d-4369-455c-ac2f-742e81943e55"]}],"mendeley":{"formattedCitation":"(Carlsson &amp; Martinsson, 2003; Huber &amp; Zwerina, 1996)","plainTextFormattedCitation":"(Carlsson &amp; Martinsson, 2003; Huber &amp; Zwerina, 1996)","previouslyFormattedCitation":"(Carlsson &amp; Martinsson, 2003; Huber &amp; Zwerina, 1996)"},"properties":{"noteIndex":0},"schema":"https://github.com/citation-style-language/schema/raw/master/csl-citation.json"}</w:instrText>
      </w:r>
      <w:r w:rsidRPr="003C3597">
        <w:rPr>
          <w:rFonts w:ascii="Times New Roman" w:hAnsi="Times New Roman" w:cs="Times New Roman"/>
          <w:color w:val="000000"/>
          <w:lang w:val="en-US"/>
        </w:rPr>
        <w:fldChar w:fldCharType="separate"/>
      </w:r>
      <w:r w:rsidRPr="003C3597">
        <w:rPr>
          <w:rFonts w:ascii="Times New Roman" w:hAnsi="Times New Roman" w:cs="Times New Roman"/>
          <w:color w:val="000000"/>
          <w:lang w:val="en-US"/>
        </w:rPr>
        <w:t>(Carlsson &amp; Martinsson, 2003; Huber &amp; Zwerina, 1996)</w:t>
      </w:r>
      <w:r w:rsidRPr="003C3597">
        <w:rPr>
          <w:rFonts w:ascii="Times New Roman" w:hAnsi="Times New Roman" w:cs="Times New Roman"/>
          <w:color w:val="000000"/>
        </w:rPr>
        <w:fldChar w:fldCharType="end"/>
      </w:r>
      <w:r w:rsidRPr="003C3597">
        <w:rPr>
          <w:rFonts w:ascii="Times New Roman" w:hAnsi="Times New Roman" w:cs="Times New Roman"/>
          <w:color w:val="000000"/>
          <w:lang w:val="en-US"/>
        </w:rPr>
        <w:t xml:space="preserve">. In the present study, we conducted a pilot survey using an orthogonal design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lang w:val="en-US"/>
        </w:rPr>
        <w:instrText>ADDIN CSL_CITATION {"citationItems":[{"id":"ITEM-1","itemData":{"author":[{"dropping-particle":"","family":"Louviere","given":"Jordan","non-dropping-particle":"","parse-names":false,"suffix":""},{"dropping-particle":"","family":"Hensher","given":"David","non-dropping-particle":"","parse-names":false,"suffix":""},{"dropping-particle":"","family":"Swait","given":"Joffre","non-dropping-particle":"","parse-names":false,"suffix":""}],"id":"ITEM-1","issued":{"date-parts":[["2000"]]},"publisher":"Cambridge University Press","title":"Stated choice methods: analysis and applications","type":"book"},"uris":["http://www.mendeley.com/documents/?uuid=596906e9-ff3c-4ece-a68b-c19e50a02b12"]}],"mendeley":{"formattedCitation":"(Louviere et al., 2000)","manualFormatting":"(Louviere et al. 2000)","plainTextFormattedCitation":"(Louviere et al., 2000)","previouslyFormattedCitation":"(Louviere et al., 2000)"},"properties":{"noteIndex":0},"schema":"https://github.com/citation-style-language/schema/raw/master/csl-citation.json"}</w:instrText>
      </w:r>
      <w:r w:rsidRPr="003C3597">
        <w:rPr>
          <w:rFonts w:ascii="Times New Roman" w:hAnsi="Times New Roman" w:cs="Times New Roman"/>
          <w:color w:val="000000"/>
          <w:lang w:val="en-US"/>
        </w:rPr>
        <w:fldChar w:fldCharType="separate"/>
      </w:r>
      <w:r w:rsidRPr="003C3597">
        <w:rPr>
          <w:rFonts w:ascii="Times New Roman" w:hAnsi="Times New Roman" w:cs="Times New Roman"/>
          <w:color w:val="000000"/>
          <w:lang w:val="en-US"/>
        </w:rPr>
        <w:t>(Louviere et al. 2000)</w:t>
      </w:r>
      <w:r w:rsidRPr="003C3597">
        <w:rPr>
          <w:rFonts w:ascii="Times New Roman" w:hAnsi="Times New Roman" w:cs="Times New Roman"/>
          <w:color w:val="000000"/>
        </w:rPr>
        <w:fldChar w:fldCharType="end"/>
      </w:r>
      <w:r w:rsidRPr="003C3597">
        <w:rPr>
          <w:rFonts w:ascii="Times New Roman" w:hAnsi="Times New Roman" w:cs="Times New Roman"/>
          <w:color w:val="000000"/>
          <w:lang w:val="en-US"/>
        </w:rPr>
        <w:t xml:space="preserve">, based on priors being equal to zero (we assumed no information was available ). A subset of the estimated coefficients from the pilot survey were used as priors for our final survey. We only used those coefficients that were statistically significant with expected signs. For instance, the estimated coefficient for the </w:t>
      </w:r>
      <w:r w:rsidRPr="003C3597">
        <w:rPr>
          <w:rFonts w:ascii="Times New Roman" w:hAnsi="Times New Roman" w:cs="Times New Roman"/>
          <w:i/>
          <w:color w:val="000000"/>
          <w:lang w:val="en-US"/>
        </w:rPr>
        <w:t>price</w:t>
      </w:r>
      <w:r w:rsidRPr="003C3597">
        <w:rPr>
          <w:rFonts w:ascii="Times New Roman" w:hAnsi="Times New Roman" w:cs="Times New Roman"/>
          <w:color w:val="000000"/>
          <w:lang w:val="en-US"/>
        </w:rPr>
        <w:t xml:space="preserve"> attribute was a significant, negative value, and hence was used as a prior to generate an efficient design for our final survey. We assigned no prior to those attributes that had insignificant or counterintuitive coefficients, as it could result in a negative impact on the efficient design </w:t>
      </w:r>
      <w:r w:rsidRPr="003C3597">
        <w:rPr>
          <w:rFonts w:ascii="Times New Roman" w:hAnsi="Times New Roman" w:cs="Times New Roman"/>
          <w:color w:val="000000"/>
          <w:lang w:val="en-US"/>
        </w:rPr>
        <w:fldChar w:fldCharType="begin" w:fldLock="1"/>
      </w:r>
      <w:r w:rsidRPr="003C3597">
        <w:rPr>
          <w:rFonts w:ascii="Times New Roman" w:hAnsi="Times New Roman" w:cs="Times New Roman"/>
          <w:color w:val="000000"/>
          <w:lang w:val="en-US"/>
        </w:rPr>
        <w:instrText>ADDIN CSL_CITATION {"citationItems":[{"id":"ITEM-1","itemData":{"DOI":"10.1016/j.tra.2010.09.003","ISSN":"09658564","author":[{"dropping-particle":"","family":"Bliemer","given":"Michiel C.J.","non-dropping-particle":"","parse-names":false,"suffix":""},{"dropping-particle":"","family":"Rose","given":"John M.","non-dropping-particle":"","parse-names":false,"suffix":""}],"container-title":"Transportation Research Part A: Policy and Practice","id":"ITEM-1","issue":"1","issued":{"date-parts":[["2011","1"]]},"page":"63-79","publisher":"Elsevier Ltd","title":"Experimental design influences on stated choice outputs: An empirical study in air travel choice","type":"article-journal","volume":"45"},"uris":["http://www.mendeley.com/documents/?uuid=8033c231-4602-4ade-89b2-7a4408c2f801"]}],"mendeley":{"formattedCitation":"(Bliemer &amp; Rose, 2011)","plainTextFormattedCitation":"(Bliemer &amp; Rose, 2011)","previouslyFormattedCitation":"(Bliemer &amp; Rose, 2011)"},"properties":{"noteIndex":0},"schema":"https://github.com/citation-style-language/schema/raw/master/csl-citation.json"}</w:instrText>
      </w:r>
      <w:r w:rsidRPr="003C3597">
        <w:rPr>
          <w:rFonts w:ascii="Times New Roman" w:hAnsi="Times New Roman" w:cs="Times New Roman"/>
          <w:color w:val="000000"/>
          <w:lang w:val="en-US"/>
        </w:rPr>
        <w:fldChar w:fldCharType="separate"/>
      </w:r>
      <w:r w:rsidRPr="003C3597">
        <w:rPr>
          <w:rFonts w:ascii="Times New Roman" w:hAnsi="Times New Roman" w:cs="Times New Roman"/>
          <w:color w:val="000000"/>
          <w:lang w:val="en-US"/>
        </w:rPr>
        <w:t>(Bliemer &amp; Rose, 2011)</w:t>
      </w:r>
      <w:r w:rsidRPr="003C3597">
        <w:rPr>
          <w:rFonts w:ascii="Times New Roman" w:hAnsi="Times New Roman" w:cs="Times New Roman"/>
          <w:color w:val="000000"/>
        </w:rPr>
        <w:fldChar w:fldCharType="end"/>
      </w:r>
      <w:r w:rsidRPr="003C3597">
        <w:rPr>
          <w:rFonts w:ascii="Times New Roman" w:hAnsi="Times New Roman" w:cs="Times New Roman"/>
          <w:color w:val="000000"/>
          <w:lang w:val="en-US"/>
        </w:rPr>
        <w:t xml:space="preserve">. </w:t>
      </w:r>
    </w:p>
    <w:p w14:paraId="2C9DC184" w14:textId="77777777" w:rsidR="003C3597" w:rsidRPr="003C3597" w:rsidRDefault="003C3597" w:rsidP="003C3597">
      <w:pPr>
        <w:rPr>
          <w:rFonts w:ascii="Times New Roman" w:hAnsi="Times New Roman" w:cs="Times New Roman"/>
          <w:color w:val="000000"/>
          <w:lang w:val="en-US"/>
        </w:rPr>
      </w:pPr>
      <w:r w:rsidRPr="003C3597">
        <w:rPr>
          <w:rFonts w:ascii="Times New Roman" w:hAnsi="Times New Roman" w:cs="Times New Roman"/>
          <w:color w:val="000000"/>
          <w:lang w:val="en-US"/>
        </w:rPr>
        <w:t xml:space="preserve">The Ngene program was used for both pilot and final surveys to generate choice scenarios for each of seven vehicle classes (See Table </w:t>
      </w:r>
      <w:r w:rsidR="00B957FF">
        <w:rPr>
          <w:rFonts w:ascii="Times New Roman" w:hAnsi="Times New Roman" w:cs="Times New Roman"/>
          <w:color w:val="000000"/>
          <w:lang w:val="en-US"/>
        </w:rPr>
        <w:t>2.</w:t>
      </w:r>
      <w:r w:rsidRPr="003C3597">
        <w:rPr>
          <w:rFonts w:ascii="Times New Roman" w:hAnsi="Times New Roman" w:cs="Times New Roman"/>
          <w:color w:val="000000"/>
          <w:lang w:val="en-US"/>
        </w:rPr>
        <w:t xml:space="preserve">4). In the experimental design, 48 scenarios were divided into 12 blocks, and each respondent was randomly assigned to one of these blocks, with 4 distinct scenarios. The design steps in Ngene begin by specifying the functional form of the utility for each alternative and choice probabilities are calculated for each scenario. This process is possible when priors are used, so the analyst can check for the potential ‘dominancy’ of a certain alternative, which is considered as an issue for a more traditional orthogonal design (Bliemer &amp; Rose, 2011). This ensures that there is a reasonable balance between utilities of all alternatives </w:t>
      </w:r>
      <w:r w:rsidRPr="003C3597">
        <w:rPr>
          <w:rFonts w:ascii="Times New Roman" w:hAnsi="Times New Roman" w:cs="Times New Roman"/>
          <w:color w:val="000000"/>
          <w:lang w:val="en-US"/>
        </w:rPr>
        <w:lastRenderedPageBreak/>
        <w:t xml:space="preserve">within an SP scenario, so that respondents actively “trade-off” when deciding on their choices </w:t>
      </w:r>
      <w:r w:rsidRPr="003C3597">
        <w:rPr>
          <w:rFonts w:ascii="Times New Roman" w:hAnsi="Times New Roman" w:cs="Times New Roman"/>
          <w:color w:val="000000"/>
          <w:lang w:val="en-US"/>
        </w:rPr>
        <w:fldChar w:fldCharType="begin" w:fldLock="1"/>
      </w:r>
      <w:r w:rsidRPr="003C3597">
        <w:rPr>
          <w:rFonts w:ascii="Times New Roman" w:hAnsi="Times New Roman" w:cs="Times New Roman"/>
          <w:color w:val="000000"/>
          <w:lang w:val="en-US"/>
        </w:rPr>
        <w:instrText>ADDIN CSL_CITATION {"citationItems":[{"id":"ITEM-1","itemData":{"author":[{"dropping-particle":"","family":"Huber","given":"Joel","non-dropping-particle":"","parse-names":false,"suffix":""},{"dropping-particle":"","family":"Zwerina","given":"Klaus","non-dropping-particle":"","parse-names":false,"suffix":""}],"container-title":"Journal of Marketing Research","id":"ITEM-1","issued":{"date-parts":[["1996"]]},"page":"307-317","title":"The Importance of Utility Balance in Efficient Choice Designs","type":"article-journal","volume":"XXXIII"},"uris":["http://www.mendeley.com/documents/?uuid=5dc83a0d-4369-455c-ac2f-742e81943e55"]}],"mendeley":{"formattedCitation":"(Huber &amp; Zwerina, 1996)","plainTextFormattedCitation":"(Huber &amp; Zwerina, 1996)","previouslyFormattedCitation":"(Huber &amp; Zwerina, 1996)"},"properties":{"noteIndex":0},"schema":"https://github.com/citation-style-language/schema/raw/master/csl-citation.json"}</w:instrText>
      </w:r>
      <w:r w:rsidRPr="003C3597">
        <w:rPr>
          <w:rFonts w:ascii="Times New Roman" w:hAnsi="Times New Roman" w:cs="Times New Roman"/>
          <w:color w:val="000000"/>
          <w:lang w:val="en-US"/>
        </w:rPr>
        <w:fldChar w:fldCharType="separate"/>
      </w:r>
      <w:r w:rsidRPr="003C3597">
        <w:rPr>
          <w:rFonts w:ascii="Times New Roman" w:hAnsi="Times New Roman" w:cs="Times New Roman"/>
          <w:color w:val="000000"/>
          <w:lang w:val="en-US"/>
        </w:rPr>
        <w:t>(Huber &amp; Zwerina, 1996)</w:t>
      </w:r>
      <w:r w:rsidRPr="003C3597">
        <w:rPr>
          <w:rFonts w:ascii="Times New Roman" w:hAnsi="Times New Roman" w:cs="Times New Roman"/>
          <w:color w:val="000000"/>
        </w:rPr>
        <w:fldChar w:fldCharType="end"/>
      </w:r>
      <w:r w:rsidRPr="003C3597">
        <w:rPr>
          <w:rFonts w:ascii="Times New Roman" w:hAnsi="Times New Roman" w:cs="Times New Roman"/>
          <w:color w:val="000000"/>
          <w:lang w:val="en-US"/>
        </w:rPr>
        <w:t xml:space="preserve">. </w:t>
      </w:r>
    </w:p>
    <w:p w14:paraId="3B15BAAC" w14:textId="77777777" w:rsidR="003C3597" w:rsidRPr="00EC3DFE" w:rsidRDefault="003C3597" w:rsidP="003C3597">
      <w:pPr>
        <w:rPr>
          <w:rFonts w:ascii="Times New Roman" w:hAnsi="Times New Roman" w:cs="Times New Roman"/>
          <w:color w:val="000000"/>
          <w:lang w:val="en-US"/>
        </w:rPr>
      </w:pPr>
      <w:r w:rsidRPr="003C3597">
        <w:rPr>
          <w:rFonts w:ascii="Times New Roman" w:hAnsi="Times New Roman" w:cs="Times New Roman"/>
          <w:color w:val="000000"/>
          <w:lang w:val="en-US"/>
        </w:rPr>
        <w:t xml:space="preserve">The efficiency of the design is assessed by the D-error which is the most widely used measure of the goodness-of-fit for experimental design </w:t>
      </w:r>
      <w:r w:rsidRPr="003C3597">
        <w:rPr>
          <w:rFonts w:ascii="Times New Roman" w:hAnsi="Times New Roman" w:cs="Times New Roman"/>
          <w:color w:val="000000"/>
          <w:lang w:val="en-US"/>
        </w:rPr>
        <w:fldChar w:fldCharType="begin" w:fldLock="1"/>
      </w:r>
      <w:r w:rsidRPr="003C3597">
        <w:rPr>
          <w:rFonts w:ascii="Times New Roman" w:hAnsi="Times New Roman" w:cs="Times New Roman"/>
          <w:color w:val="000000"/>
          <w:lang w:val="en-US"/>
        </w:rPr>
        <w:instrText>ADDIN CSL_CITATION {"citationItems":[{"id":"ITEM-1","itemData":{"author":[{"dropping-particle":"","family":"Rose","given":"John M.","non-dropping-particle":"","parse-names":false,"suffix":""},{"dropping-particle":"","family":"Bliemer","given":"Michiel C.J.","non-dropping-particle":"","parse-names":false,"suffix":""}],"container-title":"Elsevier","id":"ITEM-1","issued":{"date-parts":[["2008"]]},"page":"1-26","title":"Stated Preference Experimental Design Strategies","type":"article-journal"},"uris":["http://www.mendeley.com/documents/?uuid=b960fa02-42ef-4a5f-895e-d65f6f93cd54"]}],"mendeley":{"formattedCitation":"(Rose &amp; Bliemer, 2008)","plainTextFormattedCitation":"(Rose &amp; Bliemer, 2008)","previouslyFormattedCitation":"(Rose &amp; Bliemer, 2008)"},"properties":{"noteIndex":0},"schema":"https://github.com/citation-style-language/schema/raw/master/csl-citation.json"}</w:instrText>
      </w:r>
      <w:r w:rsidRPr="003C3597">
        <w:rPr>
          <w:rFonts w:ascii="Times New Roman" w:hAnsi="Times New Roman" w:cs="Times New Roman"/>
          <w:color w:val="000000"/>
          <w:lang w:val="en-US"/>
        </w:rPr>
        <w:fldChar w:fldCharType="separate"/>
      </w:r>
      <w:r w:rsidRPr="003C3597">
        <w:rPr>
          <w:rFonts w:ascii="Times New Roman" w:hAnsi="Times New Roman" w:cs="Times New Roman"/>
          <w:color w:val="000000"/>
          <w:lang w:val="en-US"/>
        </w:rPr>
        <w:t>(Rose &amp; Bliemer, 2008)</w:t>
      </w:r>
      <w:r w:rsidRPr="003C3597">
        <w:rPr>
          <w:rFonts w:ascii="Times New Roman" w:hAnsi="Times New Roman" w:cs="Times New Roman"/>
          <w:color w:val="000000"/>
        </w:rPr>
        <w:fldChar w:fldCharType="end"/>
      </w:r>
      <w:r w:rsidRPr="003C3597">
        <w:rPr>
          <w:rFonts w:ascii="Times New Roman" w:hAnsi="Times New Roman" w:cs="Times New Roman"/>
          <w:color w:val="000000"/>
          <w:lang w:val="en-US"/>
        </w:rPr>
        <w:t xml:space="preserve">. The D-error does not have a unit and its magnitude depends on the units of the design attributes </w:t>
      </w:r>
      <w:r w:rsidRPr="003C3597">
        <w:rPr>
          <w:rFonts w:ascii="Times New Roman" w:hAnsi="Times New Roman" w:cs="Times New Roman"/>
          <w:color w:val="000000"/>
          <w:lang w:val="en-US"/>
        </w:rPr>
        <w:fldChar w:fldCharType="begin" w:fldLock="1"/>
      </w:r>
      <w:r w:rsidRPr="003C3597">
        <w:rPr>
          <w:rFonts w:ascii="Times New Roman" w:hAnsi="Times New Roman" w:cs="Times New Roman"/>
          <w:color w:val="000000"/>
          <w:lang w:val="en-US"/>
        </w:rPr>
        <w:instrText>ADDIN CSL_CITATION {"citationItems":[{"id":"ITEM-1","itemData":{"author":[{"dropping-particle":"","family":"Rose","given":"John M.","non-dropping-particle":"","parse-names":false,"suffix":""},{"dropping-particle":"","family":"Bliemer","given":"Michiel C.J.","non-dropping-particle":"","parse-names":false,"suffix":""}],"container-title":"Elsevier","id":"ITEM-1","issued":{"date-parts":[["2008"]]},"page":"1-26","title":"Stated Preference Experimental Design Strategies","type":"article-journal"},"uris":["http://www.mendeley.com/documents/?uuid=b960fa02-42ef-4a5f-895e-d65f6f93cd54"]}],"mendeley":{"formattedCitation":"(Rose &amp; Bliemer, 2008)","plainTextFormattedCitation":"(Rose &amp; Bliemer, 2008)","previouslyFormattedCitation":"(Rose &amp; Bliemer, 2008)"},"properties":{"noteIndex":0},"schema":"https://github.com/citation-style-language/schema/raw/master/csl-citation.json"}</w:instrText>
      </w:r>
      <w:r w:rsidRPr="003C3597">
        <w:rPr>
          <w:rFonts w:ascii="Times New Roman" w:hAnsi="Times New Roman" w:cs="Times New Roman"/>
          <w:color w:val="000000"/>
          <w:lang w:val="en-US"/>
        </w:rPr>
        <w:fldChar w:fldCharType="separate"/>
      </w:r>
      <w:r w:rsidRPr="003C3597">
        <w:rPr>
          <w:rFonts w:ascii="Times New Roman" w:hAnsi="Times New Roman" w:cs="Times New Roman"/>
          <w:color w:val="000000"/>
          <w:lang w:val="en-US"/>
        </w:rPr>
        <w:t>(Rose &amp; Bliemer, 2008)</w:t>
      </w:r>
      <w:r w:rsidRPr="003C3597">
        <w:rPr>
          <w:rFonts w:ascii="Times New Roman" w:hAnsi="Times New Roman" w:cs="Times New Roman"/>
          <w:color w:val="000000"/>
        </w:rPr>
        <w:fldChar w:fldCharType="end"/>
      </w:r>
      <w:r w:rsidRPr="003C3597">
        <w:rPr>
          <w:rFonts w:ascii="Times New Roman" w:hAnsi="Times New Roman" w:cs="Times New Roman"/>
          <w:color w:val="000000"/>
          <w:lang w:val="en-US"/>
        </w:rPr>
        <w:t xml:space="preserve">. In practice, it is almost impossible to find a design with zero D-error; therefore, researchers are satisfied if the design has a sufficiently low D-error, depending on the units of the design attributes. This is called a D-efficient design </w:t>
      </w:r>
      <w:r w:rsidRPr="003C3597">
        <w:rPr>
          <w:rFonts w:ascii="Times New Roman" w:hAnsi="Times New Roman" w:cs="Times New Roman"/>
          <w:color w:val="000000"/>
          <w:lang w:val="en-US"/>
        </w:rPr>
        <w:fldChar w:fldCharType="begin" w:fldLock="1"/>
      </w:r>
      <w:r w:rsidRPr="003C3597">
        <w:rPr>
          <w:rFonts w:ascii="Times New Roman" w:hAnsi="Times New Roman" w:cs="Times New Roman"/>
          <w:color w:val="000000"/>
          <w:lang w:val="en-US"/>
        </w:rPr>
        <w:instrText>ADDIN CSL_CITATION {"citationItems":[{"id":"ITEM-1","itemData":{"author":[{"dropping-particle":"","family":"Rose","given":"John M.","non-dropping-particle":"","parse-names":false,"suffix":""},{"dropping-particle":"","family":"Bliemer","given":"Michiel C.J.","non-dropping-particle":"","parse-names":false,"suffix":""}],"container-title":"Elsevier","id":"ITEM-1","issued":{"date-parts":[["2008"]]},"page":"1-26","title":"Stated Preference Experimental Design Strategies","type":"article-journal"},"uris":["http://www.mendeley.com/documents/?uuid=b960fa02-42ef-4a5f-895e-d65f6f93cd54"]},{"id":"ITEM-2","itemData":{"author":[{"dropping-particle":"","family":"Huber","given":"Joel","non-dropping-particle":"","parse-names":false,"suffix":""},{"dropping-particle":"","family":"Zwerina","given":"Klaus","non-dropping-particle":"","parse-names":false,"suffix":""}],"container-title":"Journal of Marketing Research","id":"ITEM-2","issued":{"date-parts":[["1996"]]},"page":"307-317","title":"The Importance of Utility Balance in Efficient Choice Designs","type":"article-journal","volume":"XXXIII"},"uris":["http://www.mendeley.com/documents/?uuid=5dc83a0d-4369-455c-ac2f-742e81943e55"]}],"mendeley":{"formattedCitation":"(Huber &amp; Zwerina, 1996; Rose &amp; Bliemer, 2008)","plainTextFormattedCitation":"(Huber &amp; Zwerina, 1996; Rose &amp; Bliemer, 2008)","previouslyFormattedCitation":"(Huber &amp; Zwerina, 1996; Rose &amp; Bliemer, 2008)"},"properties":{"noteIndex":0},"schema":"https://github.com/citation-style-language/schema/raw/master/csl-citation.json"}</w:instrText>
      </w:r>
      <w:r w:rsidRPr="003C3597">
        <w:rPr>
          <w:rFonts w:ascii="Times New Roman" w:hAnsi="Times New Roman" w:cs="Times New Roman"/>
          <w:color w:val="000000"/>
          <w:lang w:val="en-US"/>
        </w:rPr>
        <w:fldChar w:fldCharType="separate"/>
      </w:r>
      <w:r w:rsidRPr="003C3597">
        <w:rPr>
          <w:rFonts w:ascii="Times New Roman" w:hAnsi="Times New Roman" w:cs="Times New Roman"/>
          <w:color w:val="000000"/>
          <w:lang w:val="en-US"/>
        </w:rPr>
        <w:t>(Huber &amp; Zwerina, 1996; Rose &amp; Bliemer, 2008)</w:t>
      </w:r>
      <w:r w:rsidRPr="003C3597">
        <w:rPr>
          <w:rFonts w:ascii="Times New Roman" w:hAnsi="Times New Roman" w:cs="Times New Roman"/>
          <w:color w:val="000000"/>
        </w:rPr>
        <w:fldChar w:fldCharType="end"/>
      </w:r>
      <w:r w:rsidRPr="003C3597">
        <w:rPr>
          <w:rFonts w:ascii="Times New Roman" w:hAnsi="Times New Roman" w:cs="Times New Roman"/>
          <w:color w:val="000000"/>
          <w:lang w:val="en-US"/>
        </w:rPr>
        <w:t>. If the error is large, the steps should be repeated by changing the variables or priors. In SPACE, we developed the experimental design based on attribute levels associated with each vehicle body type (See section 4.1), and the design with minimized D-error was used after several iterations, similar to the approach adopted by</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lang w:val="en-US"/>
        </w:rPr>
        <w:instrText>ADDIN CSL_CITATION {"citationItems":[{"id":"ITEM-1","itemData":{"DOI":"10.1007/s10640-010-9420-3","ISBN":"0924-6460","ISSN":"09246460","abstract":"The choice of automobile purchases in households often involves participation of more than one household member, each of which exerts some degree of influence on the final choice outcome. The influence of more than one agent has been recognised for many years, and yet the majority of automobile choice studies develop choice models as if a sin- gle agent is involved in the preference revelation process. What is not clear is whether it makes any substantive difference in preference revelation according to who is interviewed in a household. Using a generalised mixed logit framework that accounts for preference and scale heterogeneity, we estimate a series of models to investigate whether there are signifi- cant differences between the preferences of each individual in a household when assessed in isolation from other household members, as well as their joint preferences when expressing their preferences through a group choice task. The context is choosing amongst petrol, die- sel and hybrid fuelled vehicles (associated with specific levels of fuel efficiency and engine capacity) when faced with amix of vehicle prices, fuel prices, fixed annual registration fees, annual emission surcharges and vehicle kilometre emission surcharges.Using a stated choice experiment, we find that sampling a single individual as a representative of the household’s preferences is less appropriate than utilising preference information from the relevant group of decision makers in the household.","author":[{"dropping-particle":"","family":"Hensher","given":"David A.","non-dropping-particle":"","parse-names":false,"suffix":""},{"dropping-particle":"","family":"Beck","given":"Matthew J.","non-dropping-particle":"","parse-names":false,"suffix":""},{"dropping-particle":"","family":"Rose","given":"John M.","non-dropping-particle":"","parse-names":false,"suffix":""}],"container-title":"Environmental and Resource Economics","id":"ITEM-1","issue":"1","issued":{"date-parts":[["2011"]]},"page":"1-22","title":"Accounting for Preference and Scale Heterogeneity in Establishing Whether it Matters Who is Interviewed to Reveal Household Automobile Purchase Preferences","type":"article-journal","volume":"49"},"uris":["http://www.mendeley.com/documents/?uuid=17e2cdb9-84aa-416f-8784-379457f1ea8b"]}],"mendeley":{"formattedCitation":"(D. A. Hensher, Beck, &amp; Rose, 2011)","manualFormatting":" Hensher et al. (2011)","plainTextFormattedCitation":"(D. A. Hensher, Beck, &amp; Rose, 2011)","previouslyFormattedCitation":"(D. A. Hensher, Beck, &amp; Rose, 2011)"},"properties":{"noteIndex":0},"schema":"https://github.com/citation-style-language/schema/raw/master/csl-citation.json"}</w:instrText>
      </w:r>
      <w:r w:rsidRPr="003C3597">
        <w:rPr>
          <w:rFonts w:ascii="Times New Roman" w:hAnsi="Times New Roman" w:cs="Times New Roman"/>
          <w:color w:val="000000"/>
          <w:lang w:val="en-US"/>
        </w:rPr>
        <w:fldChar w:fldCharType="separate"/>
      </w:r>
      <w:r w:rsidRPr="003C3597">
        <w:rPr>
          <w:rFonts w:ascii="Times New Roman" w:hAnsi="Times New Roman" w:cs="Times New Roman"/>
          <w:color w:val="000000"/>
          <w:lang w:val="en-US"/>
        </w:rPr>
        <w:t xml:space="preserve"> Hensher et al. (2011)</w:t>
      </w:r>
      <w:r w:rsidRPr="003C3597">
        <w:rPr>
          <w:rFonts w:ascii="Times New Roman" w:hAnsi="Times New Roman" w:cs="Times New Roman"/>
          <w:color w:val="000000"/>
        </w:rPr>
        <w:fldChar w:fldCharType="end"/>
      </w:r>
      <w:r w:rsidR="00EC3DFE">
        <w:rPr>
          <w:rFonts w:ascii="Times New Roman" w:hAnsi="Times New Roman" w:cs="Times New Roman"/>
          <w:color w:val="000000"/>
          <w:lang w:val="en-US"/>
        </w:rPr>
        <w:t xml:space="preserve">. </w:t>
      </w:r>
    </w:p>
    <w:p w14:paraId="4BA72A88" w14:textId="77777777" w:rsidR="003C3597" w:rsidRPr="00B00A98" w:rsidRDefault="003C3597" w:rsidP="00E1100F">
      <w:pPr>
        <w:pStyle w:val="ListParagraph"/>
        <w:numPr>
          <w:ilvl w:val="2"/>
          <w:numId w:val="8"/>
        </w:numPr>
        <w:outlineLvl w:val="2"/>
        <w:rPr>
          <w:rFonts w:ascii="Times New Roman" w:hAnsi="Times New Roman" w:cs="Times New Roman"/>
          <w:b/>
          <w:color w:val="000000"/>
        </w:rPr>
      </w:pPr>
      <w:bookmarkStart w:id="40" w:name="_Toc528650860"/>
      <w:r w:rsidRPr="00B00A98">
        <w:rPr>
          <w:rFonts w:ascii="Times New Roman" w:hAnsi="Times New Roman" w:cs="Times New Roman"/>
          <w:b/>
          <w:color w:val="000000"/>
        </w:rPr>
        <w:t>Respondent Cognitive Burden</w:t>
      </w:r>
      <w:bookmarkEnd w:id="40"/>
    </w:p>
    <w:p w14:paraId="67177946"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One challenge in the design of a survey that seeks to be comprehensive is to gather as much high-quality information about respondents as possible while appropriately m</w:t>
      </w:r>
      <w:r w:rsidR="002D68C2">
        <w:rPr>
          <w:rFonts w:ascii="Times New Roman" w:hAnsi="Times New Roman" w:cs="Times New Roman"/>
          <w:color w:val="000000"/>
        </w:rPr>
        <w:t>anaging cognitive burden (Stopher, 1998).</w:t>
      </w:r>
      <w:r w:rsidRPr="003C3597">
        <w:rPr>
          <w:rFonts w:ascii="Times New Roman" w:hAnsi="Times New Roman" w:cs="Times New Roman"/>
          <w:color w:val="000000"/>
        </w:rPr>
        <w:t xml:space="preserve"> Generally, surveys are not seen as enjoyable by many respondents, so the degree to which a survey instrument is perceived as difficult, time consuming, or stressful is highly relevant. Partly the burden can be managed through economical and simple wording of questions and proper sequencing of questions. </w:t>
      </w:r>
    </w:p>
    <w:p w14:paraId="0A94526B"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lastRenderedPageBreak/>
        <w:t xml:space="preserve">Historically, cognitive burden has been discussed as an issue for SP scenarios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{"citationItems":[{"id":"ITEM-1","itemData":{"ISSN":"09658564","abstract":"A study was conducted to determine how demand for clean-fuel vehicles and their fuels is likely to vary as a function of attributes that distinguish these vehicles from conventional gasoline vehicles. For the purposes of the study, clean-fuel vehicles are defined to encompass both electric vehicles and unspecified (methanol, ethanol, compressed natural gas or propane) liquid and gaseous fuel vehicles, in both dedicated or multiple-fuel versions. The attributes include vehicle purchase price, fuel operating cost, vehicle range between refueling, availability of fuel, dedicated versus multiple-fuel capability and the level of reduction in emissions (compared to current vehicles). In a mail-back stated preference survey, approximately 700 respondents in the California South Coast Air Basin gave their choices among sets of hypothetical future vehicles, as well as their choices between alternative fuel versus gasoline for hypothetical multiple-fuel vehicles. Estimates of attribute importance and segment differences are made using discrete-choice nested multinomial logit models for vehicle choice and binomial logit models for fuel choice. These estimates can be used to modify present vehicle-type choice and utilization models to accommodate clean-fuel vehicles; they can also be used to evaluate scenarios for alternative clean-fuel vehicle and fuel supply configurations. Results indicate that range between refueling is an important attribute, particularly if range for an alternative fuel is substantially less than that for gasoline. For fuel choice, the most important attributes are range and fuel cost, but the predicted probability of choosing alternative fuel is also affected by emissions levels, which can compensate for differences in fuel prices.","author":[{"dropping-particle":"","family":"Bunch","given":"David S.","non-dropping-particle":"","parse-names":false,"suffix":""},{"dropping-particle":"","family":"Bradley","given":"Mark","non-dropping-particle":"","parse-names":false,"suffix":""},{"dropping-particle":"","family":"Golob","given":"Thomas F.","non-dropping-particle":"","parse-names":false,"suffix":""},{"dropping-particle":"","family":"Kitamura","given":"Ryuichi","non-dropping-particle":"","parse-names":false,"suffix":""},{"dropping-particle":"","family":"Occhiuzzo","given":"Gareth P.","non-dropping-particle":"","parse-names":false,"suffix":""}],"container-title":"Transportation Research Part A: Policy and Practice","id":"ITEM-1","issue":"3","issued":{"date-parts":[["1993"]]},"page":"237-253","title":"Demand for clean-fuel vehicles in California: A discrete-choice stated preference pilot project","type":"article","volume":"27"},"uris":["http://www.mendeley.com/documents/?uuid=c8872c6b-573a-487a-8cc4-21243fad05e9"]},{"id":"ITEM-2","itemData":{"author":[{"dropping-particle":"","family":"Potoglou","given":"Dimitris","non-dropping-particle":"","parse-names":false,"suffix":""},{"dropping-particle":"","family":"Kanaroglou","given":"Pavlos S.","non-dropping-particle":"","parse-names":false,"suffix":""}],"container-title":"Canadian Journal of Transportation","id":"ITEM-2","issue":"August 2006","issued":{"date-parts":[["2007"]]},"page":"36-55","title":"An Internet-Based Stated Choices Household Survey for Alternative Fuelled Vehicles Dimitris Potoglou and Pavlos Savvas Kanaroglou","type":"article-journal","volume":"1"},"uris":["http://www.mendeley.com/documents/?uuid=47e378e4-02ad-46d7-8980-20331588323c"]},{"id":"ITEM-3","itemData":{"DOI":"10.1007/s10584-011-0362-8","ISSN":"0165-0009","author":[{"dropping-particle":"","family":"Achtnicht","given":"Martin","non-dropping-particle":"","parse-names":false,"suffix":""}],"container-title":"Climatic Change","id":"ITEM-3","issue":"3-4","issued":{"date-parts":[["2011","12","7"]]},"page":"679-697","title":"German car buyers’ willingness to pay to reduce CO2 emissions","type":"article-journal","volume":"113"},"uris":["http://www.mendeley.com/documents/?uuid=6403922d-e741-457b-8c5b-5853ee76844d"]}],"mendeley":{"formattedCitation":"(Achtnicht, 2011; Bunch, Bradley, Golob, Kitamura, &amp; Occhiuzzo, 1993; Potoglou &amp; Kanaroglou, 2007a)","manualFormatting":"(e.g. Achtnicht, 2011; Bunch et al., 1993; Potoglou &amp; Kanaroglou, 2007)","plainTextFormattedCitation":"(Achtnicht, 2011; Bunch, Bradley, Golob, Kitamura, &amp; Occhiuzzo, 1993; Potoglou &amp; Kanaroglou, 2007a)","previouslyFormattedCitation":"(Achtnicht, 2011; Bunch, Bradley, Golob, Kitamura, &amp; Occhiuzzo, 1993; Potoglou &amp; Kanaroglou, 2007a)"},"properties":{"noteIndex":0},"schema":"https://github.com/citation-style-language/schema/raw/master/csl-citation.json"}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(e.g. Achtnicht, 2011; Bunch et al., 1993; Potoglou &amp; Kanaroglou, 2007)</w:t>
      </w:r>
      <w:r w:rsidRPr="003C3597">
        <w:rPr>
          <w:rFonts w:ascii="Times New Roman" w:hAnsi="Times New Roman" w:cs="Times New Roman"/>
          <w:color w:val="000000"/>
        </w:rPr>
        <w:fldChar w:fldCharType="end"/>
      </w:r>
      <w:r w:rsidRPr="003C3597">
        <w:rPr>
          <w:rFonts w:ascii="Times New Roman" w:hAnsi="Times New Roman" w:cs="Times New Roman"/>
          <w:color w:val="000000"/>
        </w:rPr>
        <w:t>, but the requirements for other survey components are considerable and impose some burden on the respondents</w:t>
      </w:r>
      <w:r w:rsidRPr="003C3597" w:rsidDel="00472F6A">
        <w:rPr>
          <w:rFonts w:ascii="Times New Roman" w:hAnsi="Times New Roman" w:cs="Times New Roman"/>
          <w:color w:val="000000"/>
        </w:rPr>
        <w:t>.</w:t>
      </w:r>
      <w:r w:rsidRPr="003C3597">
        <w:rPr>
          <w:rFonts w:ascii="Times New Roman" w:hAnsi="Times New Roman" w:cs="Times New Roman"/>
          <w:color w:val="000000"/>
        </w:rPr>
        <w:t xml:space="preserve"> It also has to be considered that there are survey section interdependencies in burden:  for example, if a respondent is tired or frustrated at the beginning of an SP section, this can only hurt the ultimate quality of the SP data.</w:t>
      </w:r>
      <w:r w:rsidRPr="003C3597" w:rsidDel="00B5010F">
        <w:rPr>
          <w:rFonts w:ascii="Times New Roman" w:hAnsi="Times New Roman" w:cs="Times New Roman"/>
          <w:color w:val="000000"/>
        </w:rPr>
        <w:t xml:space="preserve"> </w:t>
      </w:r>
    </w:p>
    <w:p w14:paraId="772A7A21"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In assessing the question of survey completion times for SPACE, it became clear in retrospect that there were issues of differential survey burden across respondents.  For example, SPACE collects several pieces of information over several questions on each vehicle in the household.  The questions gathered data such as daily trip and mileage patterns and other aspects.  Estimates were also asked regarding vehicles for which the respondent may not have been the primary driver. A similar dynamic, though less onerous, was at play in the gathering of information about household members. Respondents were required to provide this information and some other similar inquiries (See Table </w:t>
      </w:r>
      <w:r w:rsidR="00B957FF">
        <w:rPr>
          <w:rFonts w:ascii="Times New Roman" w:hAnsi="Times New Roman" w:cs="Times New Roman"/>
          <w:color w:val="000000"/>
        </w:rPr>
        <w:t>2.</w:t>
      </w:r>
      <w:r w:rsidRPr="003C3597">
        <w:rPr>
          <w:rFonts w:ascii="Times New Roman" w:hAnsi="Times New Roman" w:cs="Times New Roman"/>
          <w:color w:val="000000"/>
        </w:rPr>
        <w:t>2) for up to seven household members and as many as four vehicles registered by their households. Hence, a respondent with many family members and several vehicles had more to manage.</w:t>
      </w:r>
    </w:p>
    <w:p w14:paraId="339C4B16" w14:textId="77777777" w:rsidR="003C3597" w:rsidRPr="003C3597" w:rsidRDefault="003C3597" w:rsidP="00BA6F83">
      <w:pPr>
        <w:rPr>
          <w:rFonts w:ascii="Times New Roman" w:hAnsi="Times New Roman" w:cs="Times New Roman"/>
          <w:color w:val="000000"/>
        </w:rPr>
      </w:pPr>
      <w:r w:rsidRPr="003C3597">
        <w:rPr>
          <w:rFonts w:ascii="Times New Roman" w:hAnsi="Times New Roman" w:cs="Times New Roman"/>
          <w:color w:val="000000"/>
        </w:rPr>
        <w:t xml:space="preserve">Figure </w:t>
      </w:r>
      <w:r w:rsidR="00B957FF">
        <w:rPr>
          <w:rFonts w:ascii="Times New Roman" w:hAnsi="Times New Roman" w:cs="Times New Roman"/>
          <w:color w:val="000000"/>
        </w:rPr>
        <w:t>2.</w:t>
      </w:r>
      <w:r w:rsidRPr="003C3597">
        <w:rPr>
          <w:rFonts w:ascii="Times New Roman" w:hAnsi="Times New Roman" w:cs="Times New Roman"/>
          <w:color w:val="000000"/>
        </w:rPr>
        <w:t>5a suggests that the questioning associated with vehicles seemed to add more respondent burden than the questioning associated with household members and broadly that more vehicles and more household members added to completion time. However, another important factor in assessing the relationship is the age of the respondent as</w:t>
      </w:r>
      <w:r w:rsidR="00BA6F83">
        <w:rPr>
          <w:rFonts w:ascii="Times New Roman" w:hAnsi="Times New Roman" w:cs="Times New Roman"/>
          <w:color w:val="000000"/>
        </w:rPr>
        <w:t xml:space="preserve"> is seen in Figure </w:t>
      </w:r>
      <w:r w:rsidR="00B957FF">
        <w:rPr>
          <w:rFonts w:ascii="Times New Roman" w:hAnsi="Times New Roman" w:cs="Times New Roman"/>
          <w:color w:val="000000"/>
        </w:rPr>
        <w:t>2.</w:t>
      </w:r>
      <w:r w:rsidR="00BA6F83">
        <w:rPr>
          <w:rFonts w:ascii="Times New Roman" w:hAnsi="Times New Roman" w:cs="Times New Roman"/>
          <w:color w:val="000000"/>
        </w:rPr>
        <w:t xml:space="preserve">5b. There is </w:t>
      </w:r>
      <w:r w:rsidRPr="003C3597">
        <w:rPr>
          <w:rFonts w:ascii="Times New Roman" w:hAnsi="Times New Roman" w:cs="Times New Roman"/>
          <w:color w:val="000000"/>
        </w:rPr>
        <w:lastRenderedPageBreak/>
        <w:t>evidence that regardless of the number of vehicles in the household, younger people completed the survey faster. Each age group shows that a large number of vehicles imposes a burden but, this burden is of a large absolute magnitude for older respondents. Older people seemed to get more “bogged down” in the questions on vehicles and even with relatively few vehicles. Bear in mind that these results are medians and there would be many examples of larger burden differentials on a respondent-by-respondent basis.</w:t>
      </w:r>
    </w:p>
    <w:p w14:paraId="0DF951A7" w14:textId="77777777" w:rsidR="003C3597" w:rsidRPr="003C3597" w:rsidRDefault="00BA6F83" w:rsidP="00BA6F83">
      <w:pPr>
        <w:ind w:firstLine="0"/>
        <w:rPr>
          <w:rFonts w:ascii="Times New Roman" w:hAnsi="Times New Roman" w:cs="Times New Roman"/>
          <w:color w:val="000000"/>
        </w:rPr>
      </w:pPr>
      <w:r w:rsidRPr="003C3597">
        <w:rPr>
          <w:rFonts w:ascii="Times New Roman" w:hAnsi="Times New Roman" w:cs="Times New Roman"/>
          <w:noProof/>
          <w:color w:val="000000"/>
          <w:lang w:eastAsia="en-CA"/>
        </w:rPr>
        <mc:AlternateContent>
          <mc:Choice Requires="wpg">
            <w:drawing>
              <wp:anchor distT="0" distB="0" distL="114300" distR="114300" simplePos="0" relativeHeight="251661312" behindDoc="0" locked="0" layoutInCell="1" allowOverlap="1" wp14:anchorId="689181D2" wp14:editId="312E50FF">
                <wp:simplePos x="0" y="0"/>
                <wp:positionH relativeFrom="column">
                  <wp:posOffset>-662305</wp:posOffset>
                </wp:positionH>
                <wp:positionV relativeFrom="paragraph">
                  <wp:posOffset>177801</wp:posOffset>
                </wp:positionV>
                <wp:extent cx="7305675" cy="2715532"/>
                <wp:effectExtent l="0" t="0" r="0" b="8890"/>
                <wp:wrapTight wrapText="bothSides">
                  <wp:wrapPolygon edited="0">
                    <wp:start x="10870" y="0"/>
                    <wp:lineTo x="0" y="152"/>
                    <wp:lineTo x="0" y="21519"/>
                    <wp:lineTo x="21516" y="21519"/>
                    <wp:lineTo x="21516" y="0"/>
                    <wp:lineTo x="10870" y="0"/>
                  </wp:wrapPolygon>
                </wp:wrapTight>
                <wp:docPr id="6" name="Group 6"/>
                <wp:cNvGraphicFramePr/>
                <a:graphic xmlns:a="http://schemas.openxmlformats.org/drawingml/2006/main">
                  <a:graphicData uri="http://schemas.microsoft.com/office/word/2010/wordprocessingGroup">
                    <wpg:wgp>
                      <wpg:cNvGrpSpPr/>
                      <wpg:grpSpPr>
                        <a:xfrm>
                          <a:off x="0" y="0"/>
                          <a:ext cx="7305675" cy="2715532"/>
                          <a:chOff x="57177" y="4219707"/>
                          <a:chExt cx="7306850" cy="2715895"/>
                        </a:xfrm>
                      </wpg:grpSpPr>
                      <wpg:graphicFrame>
                        <wpg:cNvPr id="2" name="Chart 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01630E8-058D-8645-A16B-230FC88FCEDB}"/>
                            </a:ext>
                          </a:extLst>
                        </wpg:cNvPr>
                        <wpg:cNvFrPr/>
                        <wpg:xfrm>
                          <a:off x="57177" y="4256537"/>
                          <a:ext cx="4070986" cy="2679065"/>
                        </wpg:xfrm>
                        <a:graphic>
                          <a:graphicData uri="http://schemas.openxmlformats.org/drawingml/2006/chart">
                            <c:chart xmlns:c="http://schemas.openxmlformats.org/drawingml/2006/chart" xmlns:r="http://schemas.openxmlformats.org/officeDocument/2006/relationships" r:id="rId16"/>
                          </a:graphicData>
                        </a:graphic>
                      </wpg:graphicFrame>
                      <wpg:graphicFrame>
                        <wpg:cNvPr id="13" name="Chart 13"/>
                        <wpg:cNvFrPr/>
                        <wpg:xfrm>
                          <a:off x="3771197" y="4219707"/>
                          <a:ext cx="3592830" cy="2715895"/>
                        </wpg:xfrm>
                        <a:graphic>
                          <a:graphicData uri="http://schemas.openxmlformats.org/drawingml/2006/chart">
                            <c:chart xmlns:c="http://schemas.openxmlformats.org/drawingml/2006/chart" xmlns:r="http://schemas.openxmlformats.org/officeDocument/2006/relationships" r:id="rId17"/>
                          </a:graphicData>
                        </a:graphic>
                      </wpg:graphicFrame>
                    </wpg:wg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group w14:anchorId="7A7322D6" id="Group 6" o:spid="_x0000_s1026" style="position:absolute;margin-left:-52.15pt;margin-top:14pt;width:575.25pt;height:213.8pt;z-index:251661312;mso-width-relative:margin;mso-height-relative:margin" coordorigin="571,42197" coordsize="73068,27158"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 o:spid="_x0000_s1027" type="#_x0000_t75" style="position:absolute;left:571;top:42562;width:40728;height:2676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">
                  <v:imagedata r:id="rId19" o:title=""/>
                  <o:lock v:ext="edit" aspectratio="f"/>
                </v:shape>
                <v:shape id="Chart 13" o:spid="_x0000_s1028" type="#_x0000_t75" style="position:absolute;left:37702;top:42197;width:35911;height:271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">
                  <v:imagedata r:id="rId20" o:title=""/>
                  <o:lock v:ext="edit" aspectratio="f"/>
                </v:shape>
                <w10:wrap type="tight"/>
              </v:group>
            </w:pict>
          </mc:Fallback>
        </mc:AlternateContent>
      </w:r>
    </w:p>
    <w:p w14:paraId="30BE3229" w14:textId="77777777" w:rsidR="00EC3DFE" w:rsidRDefault="00EC3DFE" w:rsidP="00B02EB5">
      <w:pPr>
        <w:pStyle w:val="Caption"/>
        <w:ind w:firstLine="0"/>
        <w:jc w:val="center"/>
        <w:rPr>
          <w:rFonts w:ascii="Times New Roman" w:hAnsi="Times New Roman" w:cs="Times New Roman"/>
          <w:i w:val="0"/>
          <w:iCs w:val="0"/>
          <w:color w:val="000000"/>
          <w:sz w:val="24"/>
          <w:szCs w:val="24"/>
        </w:rPr>
      </w:pPr>
      <w:bookmarkStart w:id="41" w:name="_Toc528649447"/>
      <w:bookmarkStart w:id="42" w:name="_Toc528649567"/>
    </w:p>
    <w:p w14:paraId="0B97151B" w14:textId="77777777" w:rsidR="00EC3DFE" w:rsidRPr="00EC3DFE" w:rsidRDefault="00B02EB5" w:rsidP="00EC3DFE">
      <w:pPr>
        <w:pStyle w:val="Caption"/>
        <w:spacing w:line="360" w:lineRule="auto"/>
        <w:ind w:firstLine="0"/>
        <w:jc w:val="center"/>
        <w:rPr>
          <w:rFonts w:ascii="Times New Roman" w:hAnsi="Times New Roman" w:cs="Times New Roman"/>
          <w:i w:val="0"/>
          <w:iCs w:val="0"/>
          <w:color w:val="000000"/>
          <w:sz w:val="24"/>
          <w:szCs w:val="24"/>
        </w:rPr>
      </w:pPr>
      <w:r w:rsidRPr="00B02EB5">
        <w:rPr>
          <w:rFonts w:ascii="Times New Roman" w:hAnsi="Times New Roman" w:cs="Times New Roman"/>
          <w:i w:val="0"/>
          <w:iCs w:val="0"/>
          <w:color w:val="000000"/>
          <w:sz w:val="24"/>
          <w:szCs w:val="24"/>
        </w:rPr>
        <w:t>Figure 2.</w:t>
      </w:r>
      <w:r w:rsidRPr="00B02EB5">
        <w:rPr>
          <w:rFonts w:ascii="Times New Roman" w:hAnsi="Times New Roman" w:cs="Times New Roman"/>
          <w:i w:val="0"/>
          <w:iCs w:val="0"/>
          <w:color w:val="000000"/>
          <w:sz w:val="24"/>
          <w:szCs w:val="24"/>
        </w:rPr>
        <w:fldChar w:fldCharType="begin"/>
      </w:r>
      <w:r w:rsidRPr="00B02EB5">
        <w:rPr>
          <w:rFonts w:ascii="Times New Roman" w:hAnsi="Times New Roman" w:cs="Times New Roman"/>
          <w:i w:val="0"/>
          <w:iCs w:val="0"/>
          <w:color w:val="000000"/>
          <w:sz w:val="24"/>
          <w:szCs w:val="24"/>
        </w:rPr>
        <w:instrText xml:space="preserve"> SEQ Figure_2. \* ARABIC </w:instrText>
      </w:r>
      <w:r w:rsidRPr="00B02EB5">
        <w:rPr>
          <w:rFonts w:ascii="Times New Roman" w:hAnsi="Times New Roman" w:cs="Times New Roman"/>
          <w:i w:val="0"/>
          <w:iCs w:val="0"/>
          <w:color w:val="000000"/>
          <w:sz w:val="24"/>
          <w:szCs w:val="24"/>
        </w:rPr>
        <w:fldChar w:fldCharType="separate"/>
      </w:r>
      <w:r w:rsidR="00BC70AE">
        <w:rPr>
          <w:rFonts w:ascii="Times New Roman" w:hAnsi="Times New Roman" w:cs="Times New Roman"/>
          <w:i w:val="0"/>
          <w:iCs w:val="0"/>
          <w:noProof/>
          <w:color w:val="000000"/>
          <w:sz w:val="24"/>
          <w:szCs w:val="24"/>
        </w:rPr>
        <w:t>5</w:t>
      </w:r>
      <w:r w:rsidRPr="00B02EB5">
        <w:rPr>
          <w:rFonts w:ascii="Times New Roman" w:hAnsi="Times New Roman" w:cs="Times New Roman"/>
          <w:i w:val="0"/>
          <w:iCs w:val="0"/>
          <w:color w:val="000000"/>
          <w:sz w:val="24"/>
          <w:szCs w:val="24"/>
        </w:rPr>
        <w:fldChar w:fldCharType="end"/>
      </w:r>
      <w:r w:rsidRPr="00B02EB5">
        <w:rPr>
          <w:rFonts w:ascii="Times New Roman" w:hAnsi="Times New Roman" w:cs="Times New Roman"/>
          <w:i w:val="0"/>
          <w:iCs w:val="0"/>
          <w:color w:val="000000"/>
          <w:sz w:val="24"/>
          <w:szCs w:val="24"/>
        </w:rPr>
        <w:t xml:space="preserve"> </w:t>
      </w:r>
      <w:r w:rsidR="00BA6F83" w:rsidRPr="00B02EB5">
        <w:rPr>
          <w:rFonts w:ascii="Times New Roman" w:hAnsi="Times New Roman" w:cs="Times New Roman"/>
          <w:i w:val="0"/>
          <w:iCs w:val="0"/>
          <w:color w:val="000000"/>
          <w:sz w:val="24"/>
          <w:szCs w:val="24"/>
        </w:rPr>
        <w:t>Median survey completion time by combination of household size, number of vehicles and age groups</w:t>
      </w:r>
      <w:bookmarkEnd w:id="41"/>
      <w:bookmarkEnd w:id="42"/>
    </w:p>
    <w:p w14:paraId="3E1167DA"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Within the SP section, we decided on fewer scenarios (four per respondent) to further manage cognitive burden. This also provided an opportunity to include more attributes (12 attributes) per scenario to best capture the range of factors taken into account in an actual vehicle </w:t>
      </w:r>
      <w:r w:rsidRPr="003C3597">
        <w:rPr>
          <w:rFonts w:ascii="Times New Roman" w:hAnsi="Times New Roman" w:cs="Times New Roman"/>
          <w:color w:val="000000"/>
        </w:rPr>
        <w:lastRenderedPageBreak/>
        <w:t xml:space="preserve">purchase. We might have opted for a fewer number of attributes similar to most previous EV studies (See Table </w:t>
      </w:r>
      <w:r w:rsidR="00B957FF">
        <w:rPr>
          <w:rFonts w:ascii="Times New Roman" w:hAnsi="Times New Roman" w:cs="Times New Roman"/>
          <w:color w:val="000000"/>
        </w:rPr>
        <w:t>2.</w:t>
      </w:r>
      <w:r w:rsidRPr="003C3597">
        <w:rPr>
          <w:rFonts w:ascii="Times New Roman" w:hAnsi="Times New Roman" w:cs="Times New Roman"/>
          <w:color w:val="000000"/>
        </w:rPr>
        <w:t>1), but this was not judged as in line with the real-world complexity of a vehicle purchase decision. Appealing visual design along with informative pop-up text for all graphic icons on the SP screen were additional elements that sought to reduce per-scenario burden for the respondents. Also, as previously noted, we included attributes in four main</w:t>
      </w:r>
      <w:r w:rsidRPr="003C3597" w:rsidDel="00243050">
        <w:rPr>
          <w:rFonts w:ascii="Times New Roman" w:hAnsi="Times New Roman" w:cs="Times New Roman"/>
          <w:color w:val="000000"/>
        </w:rPr>
        <w:t xml:space="preserve"> </w:t>
      </w:r>
      <w:r w:rsidRPr="003C3597">
        <w:rPr>
          <w:rFonts w:ascii="Times New Roman" w:hAnsi="Times New Roman" w:cs="Times New Roman"/>
          <w:color w:val="000000"/>
        </w:rPr>
        <w:t>categories: cost, operational, non-cas</w:t>
      </w:r>
      <w:r w:rsidR="00B957FF">
        <w:rPr>
          <w:rFonts w:ascii="Times New Roman" w:hAnsi="Times New Roman" w:cs="Times New Roman"/>
          <w:color w:val="000000"/>
        </w:rPr>
        <w:t>h incentives, and charging (Figure</w:t>
      </w:r>
      <w:r w:rsidRPr="003C3597">
        <w:rPr>
          <w:rFonts w:ascii="Times New Roman" w:hAnsi="Times New Roman" w:cs="Times New Roman"/>
          <w:color w:val="000000"/>
        </w:rPr>
        <w:t xml:space="preserve"> </w:t>
      </w:r>
      <w:r w:rsidR="00B957FF">
        <w:rPr>
          <w:rFonts w:ascii="Times New Roman" w:hAnsi="Times New Roman" w:cs="Times New Roman"/>
          <w:color w:val="000000"/>
        </w:rPr>
        <w:t>2.</w:t>
      </w:r>
      <w:r w:rsidRPr="003C3597">
        <w:rPr>
          <w:rFonts w:ascii="Times New Roman" w:hAnsi="Times New Roman" w:cs="Times New Roman"/>
          <w:color w:val="000000"/>
        </w:rPr>
        <w:t xml:space="preserve">3) to assist respondents in sorting through the attributes to offset the additional burden in this respect. </w:t>
      </w:r>
    </w:p>
    <w:p w14:paraId="3CC9F521"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There were other aspects to respondent burden in the survey. Attitudinal questions (i.e. thirty Likert scale items), were dispersed in groups through the survey to reduce monotony. Another strategy was to leave socioeconomic inquiries to the end, as survey panelists see these types of questions a lot and are more comfortable with them. </w:t>
      </w:r>
    </w:p>
    <w:p w14:paraId="2ACDD226" w14:textId="77777777" w:rsid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Overall, there is evidence from the results here that the research team, as with several past studies, viewed the issue of survey burden too much from the viewpoint of the choice experiment and overlooked ways that additional burden was being added for some respondents in other sections of the survey. In retrospect, for example, we could have reduced the number of questions that asked about </w:t>
      </w:r>
      <w:r w:rsidRPr="003C3597">
        <w:rPr>
          <w:rFonts w:ascii="Times New Roman" w:hAnsi="Times New Roman" w:cs="Times New Roman"/>
          <w:color w:val="000000"/>
          <w:u w:val="single"/>
        </w:rPr>
        <w:t>all</w:t>
      </w:r>
      <w:r w:rsidRPr="003C3597">
        <w:rPr>
          <w:rFonts w:ascii="Times New Roman" w:hAnsi="Times New Roman" w:cs="Times New Roman"/>
          <w:color w:val="000000"/>
        </w:rPr>
        <w:t xml:space="preserve"> vehicles in the household.  We could have focused more specifically on the respondent’s vehicle and asked about other household vehicles only for the more important points (e.g. annual km driven).</w:t>
      </w:r>
    </w:p>
    <w:p w14:paraId="3503C982" w14:textId="77777777" w:rsidR="00EC3DFE" w:rsidRPr="003C3597" w:rsidRDefault="00EC3DFE" w:rsidP="003C3597">
      <w:pPr>
        <w:rPr>
          <w:rFonts w:ascii="Times New Roman" w:hAnsi="Times New Roman" w:cs="Times New Roman"/>
          <w:color w:val="000000"/>
        </w:rPr>
      </w:pPr>
    </w:p>
    <w:p w14:paraId="6D564190" w14:textId="77777777" w:rsidR="003C3597" w:rsidRPr="00B00A98" w:rsidRDefault="003C3597" w:rsidP="00E1100F">
      <w:pPr>
        <w:pStyle w:val="ListParagraph"/>
        <w:numPr>
          <w:ilvl w:val="1"/>
          <w:numId w:val="8"/>
        </w:numPr>
        <w:outlineLvl w:val="1"/>
        <w:rPr>
          <w:rFonts w:ascii="Times New Roman" w:hAnsi="Times New Roman" w:cs="Times New Roman"/>
          <w:b/>
          <w:color w:val="000000"/>
        </w:rPr>
      </w:pPr>
      <w:bookmarkStart w:id="43" w:name="_Toc528650861"/>
      <w:r w:rsidRPr="00B00A98">
        <w:rPr>
          <w:rFonts w:ascii="Times New Roman" w:hAnsi="Times New Roman" w:cs="Times New Roman"/>
          <w:b/>
          <w:color w:val="000000"/>
        </w:rPr>
        <w:lastRenderedPageBreak/>
        <w:t>Novel Aspects of the Survey Design</w:t>
      </w:r>
      <w:bookmarkEnd w:id="43"/>
    </w:p>
    <w:p w14:paraId="211E1A24"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While the previous section highlighted certain design dilemmas and some challenging decisions that were made, the current section focuses on novel features of the survey. For these, a consensus was reached among team members that implementation would improve the survey instrument and perhaps have our effort stand out f</w:t>
      </w:r>
      <w:r w:rsidR="00EC3DFE">
        <w:rPr>
          <w:rFonts w:ascii="Times New Roman" w:hAnsi="Times New Roman" w:cs="Times New Roman"/>
          <w:color w:val="000000"/>
        </w:rPr>
        <w:t>rom other work in the field.</w:t>
      </w:r>
    </w:p>
    <w:p w14:paraId="1ADD8F0D" w14:textId="77777777" w:rsidR="003C3597" w:rsidRPr="00B00A98" w:rsidRDefault="003C3597" w:rsidP="00E1100F">
      <w:pPr>
        <w:pStyle w:val="ListParagraph"/>
        <w:numPr>
          <w:ilvl w:val="2"/>
          <w:numId w:val="8"/>
        </w:numPr>
        <w:outlineLvl w:val="2"/>
        <w:rPr>
          <w:rFonts w:ascii="Times New Roman" w:hAnsi="Times New Roman" w:cs="Times New Roman"/>
          <w:b/>
          <w:color w:val="000000"/>
        </w:rPr>
      </w:pPr>
      <w:bookmarkStart w:id="44" w:name="_Toc528650862"/>
      <w:r w:rsidRPr="00B00A98">
        <w:rPr>
          <w:rFonts w:ascii="Times New Roman" w:hAnsi="Times New Roman" w:cs="Times New Roman"/>
          <w:b/>
          <w:color w:val="000000"/>
        </w:rPr>
        <w:t>Vehicle Body Type Conceptualization</w:t>
      </w:r>
      <w:bookmarkEnd w:id="44"/>
      <w:r w:rsidRPr="00B00A98">
        <w:rPr>
          <w:rFonts w:ascii="Times New Roman" w:hAnsi="Times New Roman" w:cs="Times New Roman"/>
          <w:b/>
          <w:color w:val="000000"/>
        </w:rPr>
        <w:t xml:space="preserve"> </w:t>
      </w:r>
    </w:p>
    <w:p w14:paraId="40C5B380"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The preferred vehicle body type of households shaped the implementation of our SP experiments. In many previous SP surveys, respondents were exposed to the attribute levels that were not specifically designed for their vehicle body type of interest. This reduces the ability of respondents to relate to scenarios they evaluate. In SPACE, the attribute levels were anchored realistically on a single vehicle body type that respondents were asked to identify prior to the SP experiment. Seven vehicle classes: economy, intermediate sedan, full sedan, luxury sedan, minivan/crossover, sport utility vehicle (SUV), and pick-up truck were presented to respondents. Related images and approximate prices were provided that corresponded to a conventional gasoline version of each type (Table </w:t>
      </w:r>
      <w:r w:rsidR="00B957FF">
        <w:rPr>
          <w:rFonts w:ascii="Times New Roman" w:hAnsi="Times New Roman" w:cs="Times New Roman"/>
          <w:color w:val="000000"/>
        </w:rPr>
        <w:t>2.</w:t>
      </w:r>
      <w:r w:rsidRPr="003C3597">
        <w:rPr>
          <w:rFonts w:ascii="Times New Roman" w:hAnsi="Times New Roman" w:cs="Times New Roman"/>
          <w:color w:val="000000"/>
        </w:rPr>
        <w:t xml:space="preserve">4). The respondents’ selected vehicle body type applied to all scenarios and was used as the basis to derive attribute levels per alternative (Table </w:t>
      </w:r>
      <w:r w:rsidR="00B957FF">
        <w:rPr>
          <w:rFonts w:ascii="Times New Roman" w:hAnsi="Times New Roman" w:cs="Times New Roman"/>
          <w:color w:val="000000"/>
        </w:rPr>
        <w:t>2.</w:t>
      </w:r>
      <w:r w:rsidRPr="003C3597">
        <w:rPr>
          <w:rFonts w:ascii="Times New Roman" w:hAnsi="Times New Roman" w:cs="Times New Roman"/>
          <w:color w:val="000000"/>
        </w:rPr>
        <w:t xml:space="preserve">5). This method added to the relevance and realism of the attribute levels being evaluated by the respondent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{"citationItems":[{"id":"ITEM-1","itemData":{"author":[{"dropping-particle":"","family":"Rose","given":"John M.","non-dropping-particle":"","parse-names":false,"suffix":""},{"dropping-particle":"","family":"Bliemer","given":"Michiel C.J.","non-dropping-particle":"","parse-names":false,"suffix":""}],"container-title":"Elsevier","id":"ITEM-1","issued":{"date-parts":[["2008"]]},"page":"1-26","title":"Stated Preference Experimental Design Strategies","type":"article-journal"},"uris":["http://www.mendeley.com/documents/?uuid=b960fa02-42ef-4a5f-895e-d65f6f93cd54"]},{"id":"ITEM-2","itemData":{"DOI":"10.1016/j.tra.2013.01.015","ISSN":"09658564","author":[{"dropping-particle":"","family":"Beck","given":"Matthew J.","non-dropping-particle":"","parse-names":false,"suffix":""},{"dropping-particle":"","family":"Rose","given":"John M.","non-dropping-particle":"","parse-names":false,"suffix":""},{"dropping-particle":"","family":"Hensher","given":"David a.","non-dropping-particle":"","parse-names":false,"suffix":""}],"container-title":"Transportation Research Part A: Policy and Practice","id":"ITEM-2","issued":{"date-parts":[["2013","4"]]},"page":"171-182","title":"Environmental attitudes and emissions charging: An example of policy implications for vehicle choice","type":"article-journal","volume":"50"},"uris":["http://www.mendeley.com/documents/?uuid=67a5eb8a-00a6-4ad6-ac4b-ad6c7d8f0a5f"]}],"mendeley":{"formattedCitation":"(Beck et al., 2013; Rose &amp; Bliemer, 2008)","manualFormatting":"(Beck et al. 2013; Rose and Bliemer 2008)","plainTextFormattedCitation":"(Beck et al., 2013; Rose &amp; Bliemer, 2008)","previouslyFormattedCitation":"(Beck et al., 2013; Rose &amp; Bliemer, 2008)"},"properties":{"noteIndex":0},"schema":"https://github.com/citation-style-language/schema/raw/master/csl-citation.json"}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(Beck et al. 2013; Rose and Bliemer 2008)</w:t>
      </w:r>
      <w:r w:rsidRPr="003C3597">
        <w:rPr>
          <w:rFonts w:ascii="Times New Roman" w:hAnsi="Times New Roman" w:cs="Times New Roman"/>
          <w:color w:val="000000"/>
        </w:rPr>
        <w:fldChar w:fldCharType="end"/>
      </w:r>
      <w:r w:rsidRPr="003C3597">
        <w:rPr>
          <w:rFonts w:ascii="Times New Roman" w:hAnsi="Times New Roman" w:cs="Times New Roman"/>
          <w:color w:val="000000"/>
        </w:rPr>
        <w:t>. For instance, a household interested in an economy size vehicle would see matching price or fuel cost levels in scenarios.</w:t>
      </w:r>
    </w:p>
    <w:p w14:paraId="7B83FDCD"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lastRenderedPageBreak/>
        <w:t xml:space="preserve">While the factor of vehicle body type has been included in a number of previous EV studies, it was either treated as an attribute within scenarios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{"citationItems":[{"id":"ITEM-1","itemData":{"author":[{"dropping-particle":"","family":"Potoglou","given":"Dimitris","non-dropping-particle":"","parse-names":false,"suffix":""},{"dropping-particle":"","family":"Kanaroglou","given":"Pavlos S.","non-dropping-particle":"","parse-names":false,"suffix":""}],"container-title":"Canadian Journal of Transportation","id":"ITEM-1","issue":"August 2006","issued":{"date-parts":[["2007"]]},"page":"36-55","title":"An Internet-Based Stated Choices Household Survey for Alternative Fuelled Vehicles Dimitris Potoglou and Pavlos Savvas Kanaroglou","type":"article-journal","volume":"1"},"uris":["http://www.mendeley.com/documents/?uuid=47e378e4-02ad-46d7-8980-20331588323c"]}],"mendeley":{"formattedCitation":"(Potoglou &amp; Kanaroglou, 2007a)","plainTextFormattedCitation":"(Potoglou &amp; Kanaroglou, 2007a)","previouslyFormattedCitation":"(Potoglou &amp; Kanaroglou, 2007a)"},"properties":{"noteIndex":0},"schema":"https://github.com/citation-style-language/schema/raw/master/csl-citation.json"}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(Potoglou &amp; Kanaroglou, 2007a)</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or the same attribute levels were utilized across different vehicle types. Our segmenting of the vehicle market into seven classes opened up the opportunity to investigate how preferences for EVs change according to households’ preferred vehicle body types as in the study by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{"citationItems":[{"id":"ITEM-1","itemData":{"DOI":"10.1016/j.tra.2017.04.014","ISSN":"09658564","abstract":"Electric vehicles (EVs) hold great promise for reducing greenhouse gas emissions, yet achieving their environmental benefits depends on greater market uptake. While a growing body of literature has sought to offer information on consumer stated preferences for EVs, to date no research has examined how preferences for hybrid, plug-in hybrid, and battery electric vehicles are shaped by vehicle body size or type. The automobile market is differentiated with vehicle attributes that respond to heterogeneous consumer demands. We hypothesize that each bundle of attributes as it relates to vehicle body size also shapes demand for EVs. Using a large primary dataset, we segment respondents according to their preferred next vehicle body type (economy, intermediate, full-size sedan, luxury, minivan, sport utility, and pickup). Multivariate analysis of variance (MANOVA) results show significant differences in the socioeconomic, demographic, and psychological profile of consumers across the seven vehicle segments. From this, discrete choice models detail how vehicle type plays a significant role in the choicemaking behaviour of potential EV consumers. While factors like age, education, and the importance of fuel economy and reduced or eliminated emissions generally play a consistent role in improving the utility of EVs, our results also reveal significant heterogeneity in choice of powertrain across vehicle segments, with luxury and pickup buyers among the most distinct. The results offer useful information for marketing, policy, and research.","author":[{"dropping-particle":"","family":"Higgins","given":"Christopher D.","non-dropping-particle":"","parse-names":false,"suffix":""},{"dropping-particle":"","family":"Mohamed","given":"Moataz","non-dropping-particle":"","parse-names":false,"suffix":""},{"dropping-particle":"","family":"Ferguson","given":"Mark R.","non-dropping-particle":"","parse-names":false,"suffix":""}],"container-title":"Transportation Research Part A: Policy and Practice","id":"ITEM-1","issued":{"date-parts":[["2017"]]},"page":"182-201","publisher":"Elsevier Ltd","title":"Size matters: How vehicle body type affects consumer preferences for electric vehicles","type":"article-journal","volume":"100"},"uris":["http://www.mendeley.com/documents/?uuid=9eb83de2-b6f1-42b2-ac04-bfd2dd73901b"]}],"mendeley":{"formattedCitation":"(Higgins, Mohamed, &amp; Ferguson, 2017)","manualFormatting":"Higgins et al. (2017)","plainTextFormattedCitation":"(Higgins, Mohamed, &amp; Ferguson, 2017)","previouslyFormattedCitation":"(Higgins, Mohamed, &amp; Ferguson, 2017)"},"properties":{"noteIndex":0},"schema":"https://github.com/citation-style-language/schema/raw/master/csl-citation.json"}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Higgins et al. (2017)</w:t>
      </w:r>
      <w:r w:rsidRPr="003C3597">
        <w:rPr>
          <w:rFonts w:ascii="Times New Roman" w:hAnsi="Times New Roman" w:cs="Times New Roman"/>
          <w:color w:val="000000"/>
        </w:rPr>
        <w:fldChar w:fldCharType="end"/>
      </w:r>
      <w:r w:rsidR="00EC3DFE">
        <w:rPr>
          <w:rFonts w:ascii="Times New Roman" w:hAnsi="Times New Roman" w:cs="Times New Roman"/>
          <w:color w:val="000000"/>
        </w:rPr>
        <w:t xml:space="preserve">.  </w:t>
      </w:r>
    </w:p>
    <w:p w14:paraId="11ACAC8B" w14:textId="77777777" w:rsidR="003C3597" w:rsidRDefault="00E1100F" w:rsidP="00E1100F">
      <w:pPr>
        <w:pStyle w:val="Caption"/>
        <w:ind w:firstLine="0"/>
        <w:rPr>
          <w:rFonts w:ascii="Times New Roman" w:hAnsi="Times New Roman" w:cs="Times New Roman"/>
          <w:i w:val="0"/>
          <w:iCs w:val="0"/>
          <w:color w:val="000000"/>
          <w:sz w:val="24"/>
          <w:szCs w:val="24"/>
        </w:rPr>
      </w:pPr>
      <w:bookmarkStart w:id="45" w:name="_Toc528649789"/>
      <w:r w:rsidRPr="00E1100F">
        <w:rPr>
          <w:rFonts w:ascii="Times New Roman" w:hAnsi="Times New Roman" w:cs="Times New Roman"/>
          <w:i w:val="0"/>
          <w:iCs w:val="0"/>
          <w:color w:val="000000"/>
          <w:sz w:val="24"/>
          <w:szCs w:val="24"/>
        </w:rPr>
        <w:t>Table 2.</w:t>
      </w:r>
      <w:r w:rsidRPr="00E1100F">
        <w:rPr>
          <w:rFonts w:ascii="Times New Roman" w:hAnsi="Times New Roman" w:cs="Times New Roman"/>
          <w:i w:val="0"/>
          <w:iCs w:val="0"/>
          <w:color w:val="000000"/>
          <w:sz w:val="24"/>
          <w:szCs w:val="24"/>
        </w:rPr>
        <w:fldChar w:fldCharType="begin"/>
      </w:r>
      <w:r w:rsidRPr="00E1100F">
        <w:rPr>
          <w:rFonts w:ascii="Times New Roman" w:hAnsi="Times New Roman" w:cs="Times New Roman"/>
          <w:i w:val="0"/>
          <w:iCs w:val="0"/>
          <w:color w:val="000000"/>
          <w:sz w:val="24"/>
          <w:szCs w:val="24"/>
        </w:rPr>
        <w:instrText xml:space="preserve"> SEQ Table \* ARABIC </w:instrText>
      </w:r>
      <w:r w:rsidRPr="00E1100F">
        <w:rPr>
          <w:rFonts w:ascii="Times New Roman" w:hAnsi="Times New Roman" w:cs="Times New Roman"/>
          <w:i w:val="0"/>
          <w:iCs w:val="0"/>
          <w:color w:val="000000"/>
          <w:sz w:val="24"/>
          <w:szCs w:val="24"/>
        </w:rPr>
        <w:fldChar w:fldCharType="separate"/>
      </w:r>
      <w:r w:rsidR="00BC70AE">
        <w:rPr>
          <w:rFonts w:ascii="Times New Roman" w:hAnsi="Times New Roman" w:cs="Times New Roman"/>
          <w:i w:val="0"/>
          <w:iCs w:val="0"/>
          <w:noProof/>
          <w:color w:val="000000"/>
          <w:sz w:val="24"/>
          <w:szCs w:val="24"/>
        </w:rPr>
        <w:t>4</w:t>
      </w:r>
      <w:r w:rsidRPr="00E1100F">
        <w:rPr>
          <w:rFonts w:ascii="Times New Roman" w:hAnsi="Times New Roman" w:cs="Times New Roman"/>
          <w:i w:val="0"/>
          <w:iCs w:val="0"/>
          <w:color w:val="000000"/>
          <w:sz w:val="24"/>
          <w:szCs w:val="24"/>
        </w:rPr>
        <w:fldChar w:fldCharType="end"/>
      </w:r>
      <w:r w:rsidR="003C3597" w:rsidRPr="00E1100F">
        <w:rPr>
          <w:rFonts w:ascii="Times New Roman" w:hAnsi="Times New Roman" w:cs="Times New Roman"/>
          <w:i w:val="0"/>
          <w:iCs w:val="0"/>
          <w:color w:val="000000"/>
          <w:sz w:val="24"/>
          <w:szCs w:val="24"/>
        </w:rPr>
        <w:t xml:space="preserve">  Base values for SP scenarios</w:t>
      </w:r>
      <w:bookmarkEnd w:id="45"/>
      <w:r w:rsidR="003C3597" w:rsidRPr="00E1100F">
        <w:rPr>
          <w:rFonts w:ascii="Times New Roman" w:hAnsi="Times New Roman" w:cs="Times New Roman"/>
          <w:i w:val="0"/>
          <w:iCs w:val="0"/>
          <w:color w:val="000000"/>
          <w:sz w:val="24"/>
          <w:szCs w:val="24"/>
        </w:rPr>
        <w:t xml:space="preserve"> </w:t>
      </w:r>
    </w:p>
    <w:tbl>
      <w:tblPr>
        <w:tblStyle w:val="TableGridLight"/>
        <w:tblW w:w="990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1260"/>
        <w:gridCol w:w="900"/>
        <w:gridCol w:w="1440"/>
        <w:gridCol w:w="1170"/>
        <w:gridCol w:w="1177"/>
        <w:gridCol w:w="1191"/>
        <w:gridCol w:w="1592"/>
      </w:tblGrid>
      <w:tr w:rsidR="00EC3DFE" w:rsidRPr="00633AB1" w14:paraId="5815CF15" w14:textId="77777777" w:rsidTr="00E349C8">
        <w:trPr>
          <w:trHeight w:val="596"/>
        </w:trPr>
        <w:tc>
          <w:tcPr>
            <w:tcW w:w="1170" w:type="dxa"/>
            <w:tcBorders>
              <w:top w:val="single" w:sz="4" w:space="0" w:color="auto"/>
              <w:bottom w:val="single" w:sz="4" w:space="0" w:color="auto"/>
            </w:tcBorders>
          </w:tcPr>
          <w:p w14:paraId="286408C5" w14:textId="77777777" w:rsidR="00EC3DFE" w:rsidRPr="00633AB1" w:rsidRDefault="00EC3DFE" w:rsidP="00E349C8">
            <w:pPr>
              <w:spacing w:before="60" w:after="60"/>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Body Type Image</w:t>
            </w:r>
          </w:p>
        </w:tc>
        <w:tc>
          <w:tcPr>
            <w:tcW w:w="1260" w:type="dxa"/>
            <w:tcBorders>
              <w:top w:val="single" w:sz="4" w:space="0" w:color="auto"/>
              <w:bottom w:val="single" w:sz="4" w:space="0" w:color="auto"/>
            </w:tcBorders>
            <w:hideMark/>
          </w:tcPr>
          <w:p w14:paraId="20B130DB" w14:textId="77777777" w:rsidR="00EC3DFE" w:rsidRPr="00633AB1" w:rsidRDefault="00EC3DFE" w:rsidP="00E349C8">
            <w:pPr>
              <w:spacing w:before="60" w:after="60"/>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 xml:space="preserve">Vehicle Size </w:t>
            </w:r>
          </w:p>
        </w:tc>
        <w:tc>
          <w:tcPr>
            <w:tcW w:w="900" w:type="dxa"/>
            <w:tcBorders>
              <w:top w:val="single" w:sz="4" w:space="0" w:color="auto"/>
              <w:bottom w:val="single" w:sz="4" w:space="0" w:color="auto"/>
            </w:tcBorders>
            <w:hideMark/>
          </w:tcPr>
          <w:p w14:paraId="48ABF961" w14:textId="77777777" w:rsidR="00EC3DFE" w:rsidRPr="00633AB1" w:rsidRDefault="00EC3DFE" w:rsidP="00E349C8">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Purchase Price ($)</w:t>
            </w:r>
          </w:p>
        </w:tc>
        <w:tc>
          <w:tcPr>
            <w:tcW w:w="1440" w:type="dxa"/>
            <w:tcBorders>
              <w:top w:val="single" w:sz="4" w:space="0" w:color="auto"/>
              <w:bottom w:val="single" w:sz="4" w:space="0" w:color="auto"/>
            </w:tcBorders>
            <w:hideMark/>
          </w:tcPr>
          <w:p w14:paraId="088AE472" w14:textId="77777777" w:rsidR="00EC3DFE" w:rsidRPr="00633AB1" w:rsidRDefault="00EC3DFE" w:rsidP="00E349C8">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Maintenance Cost ($/km)</w:t>
            </w:r>
          </w:p>
        </w:tc>
        <w:tc>
          <w:tcPr>
            <w:tcW w:w="1170" w:type="dxa"/>
            <w:tcBorders>
              <w:top w:val="single" w:sz="4" w:space="0" w:color="auto"/>
              <w:bottom w:val="single" w:sz="4" w:space="0" w:color="auto"/>
            </w:tcBorders>
            <w:hideMark/>
          </w:tcPr>
          <w:p w14:paraId="536A9399" w14:textId="77777777" w:rsidR="00EC3DFE" w:rsidRPr="00633AB1" w:rsidRDefault="00EC3DFE" w:rsidP="00E349C8">
            <w:pPr>
              <w:spacing w:before="60" w:after="60"/>
              <w:jc w:val="center"/>
              <w:textAlignment w:val="baseline"/>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 xml:space="preserve">Acceleration </w:t>
            </w:r>
            <w:r w:rsidRPr="00633AB1">
              <w:rPr>
                <w:rStyle w:val="Emphasis"/>
                <w:rFonts w:ascii="Times New Roman" w:hAnsi="Times New Roman"/>
                <w:color w:val="000000" w:themeColor="text1"/>
                <w:sz w:val="18"/>
                <w:szCs w:val="18"/>
              </w:rPr>
              <w:t>(sec to reach 100 km/hr)</w:t>
            </w:r>
          </w:p>
        </w:tc>
        <w:tc>
          <w:tcPr>
            <w:tcW w:w="1177" w:type="dxa"/>
            <w:tcBorders>
              <w:top w:val="single" w:sz="4" w:space="0" w:color="auto"/>
              <w:bottom w:val="single" w:sz="4" w:space="0" w:color="auto"/>
            </w:tcBorders>
            <w:hideMark/>
          </w:tcPr>
          <w:p w14:paraId="3AAD3889" w14:textId="77777777" w:rsidR="00EC3DFE" w:rsidRPr="00633AB1" w:rsidRDefault="00EC3DFE" w:rsidP="00E349C8">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Gasoline Range (km)</w:t>
            </w:r>
          </w:p>
        </w:tc>
        <w:tc>
          <w:tcPr>
            <w:tcW w:w="1191" w:type="dxa"/>
            <w:tcBorders>
              <w:top w:val="single" w:sz="4" w:space="0" w:color="auto"/>
              <w:bottom w:val="single" w:sz="4" w:space="0" w:color="auto"/>
            </w:tcBorders>
            <w:hideMark/>
          </w:tcPr>
          <w:p w14:paraId="225EC573" w14:textId="77777777" w:rsidR="00EC3DFE" w:rsidRPr="00633AB1" w:rsidRDefault="00EC3DFE" w:rsidP="00E349C8">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CO</w:t>
            </w:r>
            <w:r w:rsidRPr="00633AB1">
              <w:rPr>
                <w:rFonts w:ascii="Times New Roman" w:eastAsia="Times New Roman" w:hAnsi="Times New Roman" w:cs="Times New Roman"/>
                <w:color w:val="000000" w:themeColor="text1"/>
                <w:sz w:val="18"/>
                <w:szCs w:val="18"/>
                <w:vertAlign w:val="subscript"/>
                <w:lang w:eastAsia="en-CA"/>
              </w:rPr>
              <w:t>2</w:t>
            </w:r>
            <w:r w:rsidRPr="00633AB1">
              <w:rPr>
                <w:rFonts w:ascii="Times New Roman" w:eastAsia="Times New Roman" w:hAnsi="Times New Roman" w:cs="Times New Roman"/>
                <w:color w:val="000000" w:themeColor="text1"/>
                <w:sz w:val="18"/>
                <w:szCs w:val="18"/>
                <w:lang w:eastAsia="en-CA"/>
              </w:rPr>
              <w:t xml:space="preserve"> Tailpipe Emissions (tonnes/km)</w:t>
            </w:r>
          </w:p>
        </w:tc>
        <w:tc>
          <w:tcPr>
            <w:tcW w:w="1592" w:type="dxa"/>
            <w:tcBorders>
              <w:top w:val="single" w:sz="4" w:space="0" w:color="auto"/>
              <w:bottom w:val="single" w:sz="4" w:space="0" w:color="auto"/>
            </w:tcBorders>
            <w:hideMark/>
          </w:tcPr>
          <w:p w14:paraId="28C992E9" w14:textId="77777777" w:rsidR="00EC3DFE" w:rsidRPr="00633AB1" w:rsidRDefault="00EC3DFE" w:rsidP="00E349C8">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Fueling/Charging Cost ($/km)</w:t>
            </w:r>
          </w:p>
        </w:tc>
      </w:tr>
      <w:tr w:rsidR="00EC3DFE" w:rsidRPr="00633AB1" w14:paraId="1A902B07" w14:textId="77777777" w:rsidTr="00E349C8">
        <w:trPr>
          <w:trHeight w:val="206"/>
        </w:trPr>
        <w:tc>
          <w:tcPr>
            <w:tcW w:w="1170" w:type="dxa"/>
            <w:vMerge w:val="restart"/>
            <w:tcBorders>
              <w:top w:val="single" w:sz="4" w:space="0" w:color="auto"/>
            </w:tcBorders>
          </w:tcPr>
          <w:p w14:paraId="57B63BAF" w14:textId="77777777" w:rsidR="00EC3DFE" w:rsidRPr="00633AB1" w:rsidRDefault="00EC3DFE" w:rsidP="00E349C8">
            <w:pPr>
              <w:tabs>
                <w:tab w:val="center" w:pos="559"/>
              </w:tabs>
              <w:rPr>
                <w:rFonts w:ascii="Times New Roman" w:eastAsia="Times New Roman" w:hAnsi="Times New Roman" w:cs="Times New Roman"/>
                <w:color w:val="000000" w:themeColor="text1"/>
                <w:sz w:val="18"/>
                <w:szCs w:val="18"/>
                <w:lang w:val="en-US"/>
              </w:rPr>
            </w:pPr>
            <w:r w:rsidRPr="00633AB1">
              <w:rPr>
                <w:rFonts w:ascii="Times New Roman" w:eastAsia="Times New Roman" w:hAnsi="Times New Roman" w:cs="Times New Roman"/>
                <w:noProof/>
                <w:color w:val="000000" w:themeColor="text1"/>
                <w:sz w:val="18"/>
                <w:szCs w:val="18"/>
                <w:lang w:eastAsia="en-CA"/>
              </w:rPr>
              <w:drawing>
                <wp:anchor distT="0" distB="0" distL="114300" distR="114300" simplePos="0" relativeHeight="251670528" behindDoc="1" locked="0" layoutInCell="1" allowOverlap="1" wp14:anchorId="58E61C34" wp14:editId="0ED4E15E">
                  <wp:simplePos x="0" y="0"/>
                  <wp:positionH relativeFrom="margin">
                    <wp:posOffset>-68580</wp:posOffset>
                  </wp:positionH>
                  <wp:positionV relativeFrom="paragraph">
                    <wp:posOffset>10160</wp:posOffset>
                  </wp:positionV>
                  <wp:extent cx="695325" cy="1438275"/>
                  <wp:effectExtent l="0" t="0" r="9525" b="9525"/>
                  <wp:wrapTight wrapText="bothSides">
                    <wp:wrapPolygon edited="0">
                      <wp:start x="0" y="0"/>
                      <wp:lineTo x="0" y="21457"/>
                      <wp:lineTo x="21304" y="21457"/>
                      <wp:lineTo x="2130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01" r="69320" b="660"/>
                          <a:stretch/>
                        </pic:blipFill>
                        <pic:spPr bwMode="auto">
                          <a:xfrm>
                            <a:off x="0" y="0"/>
                            <a:ext cx="695325"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260" w:type="dxa"/>
            <w:tcBorders>
              <w:top w:val="single" w:sz="4" w:space="0" w:color="auto"/>
            </w:tcBorders>
            <w:hideMark/>
          </w:tcPr>
          <w:p w14:paraId="051C875D" w14:textId="77777777" w:rsidR="00EC3DFE" w:rsidRPr="00633AB1" w:rsidRDefault="00EC3DFE" w:rsidP="00E349C8">
            <w:pPr>
              <w:spacing w:before="60" w:after="60"/>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Economy</w:t>
            </w:r>
          </w:p>
        </w:tc>
        <w:tc>
          <w:tcPr>
            <w:tcW w:w="900" w:type="dxa"/>
            <w:tcBorders>
              <w:top w:val="single" w:sz="4" w:space="0" w:color="auto"/>
            </w:tcBorders>
            <w:hideMark/>
          </w:tcPr>
          <w:p w14:paraId="3281A5A5" w14:textId="77777777" w:rsidR="00EC3DFE" w:rsidRPr="00633AB1" w:rsidRDefault="00EC3DFE" w:rsidP="00E349C8">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22,000</w:t>
            </w:r>
          </w:p>
        </w:tc>
        <w:tc>
          <w:tcPr>
            <w:tcW w:w="1440" w:type="dxa"/>
            <w:tcBorders>
              <w:top w:val="single" w:sz="4" w:space="0" w:color="auto"/>
            </w:tcBorders>
            <w:hideMark/>
          </w:tcPr>
          <w:p w14:paraId="32BC80E3" w14:textId="77777777" w:rsidR="00EC3DFE" w:rsidRPr="00633AB1" w:rsidRDefault="00EC3DFE" w:rsidP="00E349C8">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0.051</w:t>
            </w:r>
          </w:p>
        </w:tc>
        <w:tc>
          <w:tcPr>
            <w:tcW w:w="1170" w:type="dxa"/>
            <w:tcBorders>
              <w:top w:val="single" w:sz="4" w:space="0" w:color="auto"/>
            </w:tcBorders>
            <w:hideMark/>
          </w:tcPr>
          <w:p w14:paraId="04A9450F" w14:textId="77777777" w:rsidR="00EC3DFE" w:rsidRPr="00633AB1" w:rsidRDefault="00EC3DFE" w:rsidP="00E349C8">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8.8</w:t>
            </w:r>
          </w:p>
        </w:tc>
        <w:tc>
          <w:tcPr>
            <w:tcW w:w="1177" w:type="dxa"/>
            <w:tcBorders>
              <w:top w:val="single" w:sz="4" w:space="0" w:color="auto"/>
            </w:tcBorders>
            <w:hideMark/>
          </w:tcPr>
          <w:p w14:paraId="6CCAF397" w14:textId="77777777" w:rsidR="00EC3DFE" w:rsidRPr="00633AB1" w:rsidRDefault="00EC3DFE" w:rsidP="00E349C8">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700</w:t>
            </w:r>
          </w:p>
        </w:tc>
        <w:tc>
          <w:tcPr>
            <w:tcW w:w="1191" w:type="dxa"/>
            <w:tcBorders>
              <w:top w:val="single" w:sz="4" w:space="0" w:color="auto"/>
            </w:tcBorders>
            <w:hideMark/>
          </w:tcPr>
          <w:p w14:paraId="40EFC8F6" w14:textId="77777777" w:rsidR="00EC3DFE" w:rsidRPr="00633AB1" w:rsidRDefault="00EC3DFE" w:rsidP="00E349C8">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0.000143</w:t>
            </w:r>
          </w:p>
        </w:tc>
        <w:tc>
          <w:tcPr>
            <w:tcW w:w="1592" w:type="dxa"/>
            <w:tcBorders>
              <w:top w:val="single" w:sz="4" w:space="0" w:color="auto"/>
            </w:tcBorders>
            <w:hideMark/>
          </w:tcPr>
          <w:p w14:paraId="49FD6ECA" w14:textId="77777777" w:rsidR="00EC3DFE" w:rsidRPr="00633AB1" w:rsidRDefault="00EC3DFE" w:rsidP="00E349C8">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0.07</w:t>
            </w:r>
          </w:p>
        </w:tc>
      </w:tr>
      <w:tr w:rsidR="00EC3DFE" w:rsidRPr="00633AB1" w14:paraId="6CB1B1F1" w14:textId="77777777" w:rsidTr="00E349C8">
        <w:trPr>
          <w:trHeight w:val="311"/>
        </w:trPr>
        <w:tc>
          <w:tcPr>
            <w:tcW w:w="1170" w:type="dxa"/>
            <w:vMerge/>
          </w:tcPr>
          <w:p w14:paraId="27CF77BF" w14:textId="77777777" w:rsidR="00EC3DFE" w:rsidRPr="00633AB1" w:rsidRDefault="00EC3DFE" w:rsidP="00E349C8">
            <w:pPr>
              <w:rPr>
                <w:rFonts w:ascii="Times New Roman" w:eastAsia="Times New Roman" w:hAnsi="Times New Roman" w:cs="Times New Roman"/>
                <w:color w:val="000000" w:themeColor="text1"/>
                <w:sz w:val="18"/>
                <w:szCs w:val="18"/>
                <w:lang w:eastAsia="en-CA"/>
              </w:rPr>
            </w:pPr>
          </w:p>
        </w:tc>
        <w:tc>
          <w:tcPr>
            <w:tcW w:w="1260" w:type="dxa"/>
            <w:hideMark/>
          </w:tcPr>
          <w:p w14:paraId="5D31A9CF" w14:textId="77777777" w:rsidR="00EC3DFE" w:rsidRPr="00633AB1" w:rsidRDefault="00EC3DFE" w:rsidP="00E349C8">
            <w:pPr>
              <w:spacing w:before="60" w:after="60"/>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Intermediate</w:t>
            </w:r>
          </w:p>
        </w:tc>
        <w:tc>
          <w:tcPr>
            <w:tcW w:w="900" w:type="dxa"/>
            <w:hideMark/>
          </w:tcPr>
          <w:p w14:paraId="554C58B8" w14:textId="77777777" w:rsidR="00EC3DFE" w:rsidRPr="00633AB1" w:rsidRDefault="00EC3DFE" w:rsidP="00E349C8">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25,000</w:t>
            </w:r>
          </w:p>
        </w:tc>
        <w:tc>
          <w:tcPr>
            <w:tcW w:w="1440" w:type="dxa"/>
            <w:hideMark/>
          </w:tcPr>
          <w:p w14:paraId="6CF4619C" w14:textId="77777777" w:rsidR="00EC3DFE" w:rsidRPr="00633AB1" w:rsidRDefault="00EC3DFE" w:rsidP="00E349C8">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0.051</w:t>
            </w:r>
          </w:p>
        </w:tc>
        <w:tc>
          <w:tcPr>
            <w:tcW w:w="1170" w:type="dxa"/>
            <w:hideMark/>
          </w:tcPr>
          <w:p w14:paraId="7651848C" w14:textId="77777777" w:rsidR="00EC3DFE" w:rsidRPr="00633AB1" w:rsidRDefault="00EC3DFE" w:rsidP="00E349C8">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9.0</w:t>
            </w:r>
          </w:p>
        </w:tc>
        <w:tc>
          <w:tcPr>
            <w:tcW w:w="1177" w:type="dxa"/>
            <w:hideMark/>
          </w:tcPr>
          <w:p w14:paraId="3056D7D6" w14:textId="77777777" w:rsidR="00EC3DFE" w:rsidRPr="00633AB1" w:rsidRDefault="00EC3DFE" w:rsidP="00E349C8">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700</w:t>
            </w:r>
          </w:p>
        </w:tc>
        <w:tc>
          <w:tcPr>
            <w:tcW w:w="1191" w:type="dxa"/>
            <w:hideMark/>
          </w:tcPr>
          <w:p w14:paraId="0EA2F2A7" w14:textId="77777777" w:rsidR="00EC3DFE" w:rsidRPr="00633AB1" w:rsidRDefault="00EC3DFE" w:rsidP="00E349C8">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0.000141</w:t>
            </w:r>
          </w:p>
        </w:tc>
        <w:tc>
          <w:tcPr>
            <w:tcW w:w="1592" w:type="dxa"/>
            <w:hideMark/>
          </w:tcPr>
          <w:p w14:paraId="1C43B634" w14:textId="77777777" w:rsidR="00EC3DFE" w:rsidRPr="00633AB1" w:rsidRDefault="00EC3DFE" w:rsidP="00E349C8">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0.07</w:t>
            </w:r>
          </w:p>
        </w:tc>
      </w:tr>
      <w:tr w:rsidR="00EC3DFE" w:rsidRPr="00633AB1" w14:paraId="0AB3A17F" w14:textId="77777777" w:rsidTr="00E349C8">
        <w:trPr>
          <w:trHeight w:val="267"/>
        </w:trPr>
        <w:tc>
          <w:tcPr>
            <w:tcW w:w="1170" w:type="dxa"/>
            <w:vMerge/>
          </w:tcPr>
          <w:p w14:paraId="78046E92" w14:textId="77777777" w:rsidR="00EC3DFE" w:rsidRPr="00633AB1" w:rsidRDefault="00EC3DFE" w:rsidP="00E349C8">
            <w:pPr>
              <w:rPr>
                <w:rFonts w:ascii="Times New Roman" w:eastAsia="Times New Roman" w:hAnsi="Times New Roman" w:cs="Times New Roman"/>
                <w:color w:val="000000" w:themeColor="text1"/>
                <w:sz w:val="18"/>
                <w:szCs w:val="18"/>
                <w:lang w:eastAsia="en-CA"/>
              </w:rPr>
            </w:pPr>
          </w:p>
        </w:tc>
        <w:tc>
          <w:tcPr>
            <w:tcW w:w="1260" w:type="dxa"/>
            <w:hideMark/>
          </w:tcPr>
          <w:p w14:paraId="5D12D957" w14:textId="77777777" w:rsidR="00EC3DFE" w:rsidRPr="00633AB1" w:rsidRDefault="00EC3DFE" w:rsidP="00E349C8">
            <w:pPr>
              <w:spacing w:before="60" w:after="60"/>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 xml:space="preserve">Full sedan </w:t>
            </w:r>
          </w:p>
        </w:tc>
        <w:tc>
          <w:tcPr>
            <w:tcW w:w="900" w:type="dxa"/>
            <w:hideMark/>
          </w:tcPr>
          <w:p w14:paraId="3728B3A6" w14:textId="77777777" w:rsidR="00EC3DFE" w:rsidRPr="00633AB1" w:rsidRDefault="00EC3DFE" w:rsidP="00E349C8">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35,000</w:t>
            </w:r>
          </w:p>
        </w:tc>
        <w:tc>
          <w:tcPr>
            <w:tcW w:w="1440" w:type="dxa"/>
            <w:hideMark/>
          </w:tcPr>
          <w:p w14:paraId="2F80C75D" w14:textId="77777777" w:rsidR="00EC3DFE" w:rsidRPr="00633AB1" w:rsidRDefault="00EC3DFE" w:rsidP="00E349C8">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0.060</w:t>
            </w:r>
          </w:p>
        </w:tc>
        <w:tc>
          <w:tcPr>
            <w:tcW w:w="1170" w:type="dxa"/>
            <w:hideMark/>
          </w:tcPr>
          <w:p w14:paraId="7A6D0F60" w14:textId="77777777" w:rsidR="00EC3DFE" w:rsidRPr="00633AB1" w:rsidRDefault="00EC3DFE" w:rsidP="00E349C8">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7.2</w:t>
            </w:r>
          </w:p>
        </w:tc>
        <w:tc>
          <w:tcPr>
            <w:tcW w:w="1177" w:type="dxa"/>
            <w:hideMark/>
          </w:tcPr>
          <w:p w14:paraId="44F3D8DA" w14:textId="77777777" w:rsidR="00EC3DFE" w:rsidRPr="00633AB1" w:rsidRDefault="00EC3DFE" w:rsidP="00E349C8">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800</w:t>
            </w:r>
          </w:p>
        </w:tc>
        <w:tc>
          <w:tcPr>
            <w:tcW w:w="1191" w:type="dxa"/>
            <w:hideMark/>
          </w:tcPr>
          <w:p w14:paraId="59D2EA27" w14:textId="77777777" w:rsidR="00EC3DFE" w:rsidRPr="00633AB1" w:rsidRDefault="00EC3DFE" w:rsidP="00E349C8">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0.000182</w:t>
            </w:r>
          </w:p>
        </w:tc>
        <w:tc>
          <w:tcPr>
            <w:tcW w:w="1592" w:type="dxa"/>
            <w:hideMark/>
          </w:tcPr>
          <w:p w14:paraId="0B6DB489" w14:textId="77777777" w:rsidR="00EC3DFE" w:rsidRPr="00633AB1" w:rsidRDefault="00EC3DFE" w:rsidP="00E349C8">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0.08</w:t>
            </w:r>
          </w:p>
        </w:tc>
      </w:tr>
      <w:tr w:rsidR="00EC3DFE" w:rsidRPr="00633AB1" w14:paraId="16B84C12" w14:textId="77777777" w:rsidTr="00E349C8">
        <w:trPr>
          <w:trHeight w:val="215"/>
        </w:trPr>
        <w:tc>
          <w:tcPr>
            <w:tcW w:w="1170" w:type="dxa"/>
            <w:vMerge/>
          </w:tcPr>
          <w:p w14:paraId="284741AE" w14:textId="77777777" w:rsidR="00EC3DFE" w:rsidRPr="00633AB1" w:rsidRDefault="00EC3DFE" w:rsidP="00E349C8">
            <w:pPr>
              <w:rPr>
                <w:rFonts w:ascii="Times New Roman" w:eastAsia="Times New Roman" w:hAnsi="Times New Roman" w:cs="Times New Roman"/>
                <w:color w:val="000000" w:themeColor="text1"/>
                <w:sz w:val="18"/>
                <w:szCs w:val="18"/>
                <w:lang w:eastAsia="en-CA"/>
              </w:rPr>
            </w:pPr>
          </w:p>
        </w:tc>
        <w:tc>
          <w:tcPr>
            <w:tcW w:w="1260" w:type="dxa"/>
            <w:hideMark/>
          </w:tcPr>
          <w:p w14:paraId="50AF810F" w14:textId="77777777" w:rsidR="00EC3DFE" w:rsidRPr="00633AB1" w:rsidRDefault="00EC3DFE" w:rsidP="00E349C8">
            <w:pPr>
              <w:spacing w:before="60" w:after="60"/>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Luxury sedan</w:t>
            </w:r>
          </w:p>
        </w:tc>
        <w:tc>
          <w:tcPr>
            <w:tcW w:w="900" w:type="dxa"/>
            <w:hideMark/>
          </w:tcPr>
          <w:p w14:paraId="77F6F5E9" w14:textId="77777777" w:rsidR="00EC3DFE" w:rsidRPr="00633AB1" w:rsidRDefault="00EC3DFE" w:rsidP="00E349C8">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59,000</w:t>
            </w:r>
          </w:p>
        </w:tc>
        <w:tc>
          <w:tcPr>
            <w:tcW w:w="1440" w:type="dxa"/>
            <w:hideMark/>
          </w:tcPr>
          <w:p w14:paraId="5844E733" w14:textId="77777777" w:rsidR="00EC3DFE" w:rsidRPr="00633AB1" w:rsidRDefault="00EC3DFE" w:rsidP="00E349C8">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0.072</w:t>
            </w:r>
          </w:p>
        </w:tc>
        <w:tc>
          <w:tcPr>
            <w:tcW w:w="1170" w:type="dxa"/>
            <w:hideMark/>
          </w:tcPr>
          <w:p w14:paraId="66667D98" w14:textId="77777777" w:rsidR="00EC3DFE" w:rsidRPr="00633AB1" w:rsidRDefault="00EC3DFE" w:rsidP="00E349C8">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6.5</w:t>
            </w:r>
          </w:p>
        </w:tc>
        <w:tc>
          <w:tcPr>
            <w:tcW w:w="1177" w:type="dxa"/>
            <w:hideMark/>
          </w:tcPr>
          <w:p w14:paraId="04ED29E8" w14:textId="77777777" w:rsidR="00EC3DFE" w:rsidRPr="00633AB1" w:rsidRDefault="00EC3DFE" w:rsidP="00E349C8">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700</w:t>
            </w:r>
          </w:p>
        </w:tc>
        <w:tc>
          <w:tcPr>
            <w:tcW w:w="1191" w:type="dxa"/>
            <w:hideMark/>
          </w:tcPr>
          <w:p w14:paraId="196D5C29" w14:textId="77777777" w:rsidR="00EC3DFE" w:rsidRPr="00633AB1" w:rsidRDefault="00EC3DFE" w:rsidP="00E349C8">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0.000202</w:t>
            </w:r>
          </w:p>
        </w:tc>
        <w:tc>
          <w:tcPr>
            <w:tcW w:w="1592" w:type="dxa"/>
            <w:hideMark/>
          </w:tcPr>
          <w:p w14:paraId="13755130" w14:textId="77777777" w:rsidR="00EC3DFE" w:rsidRPr="00633AB1" w:rsidRDefault="00EC3DFE" w:rsidP="00E349C8">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0.09</w:t>
            </w:r>
          </w:p>
        </w:tc>
      </w:tr>
      <w:tr w:rsidR="00EC3DFE" w:rsidRPr="00633AB1" w14:paraId="5856F6DA" w14:textId="77777777" w:rsidTr="00E349C8">
        <w:trPr>
          <w:trHeight w:val="177"/>
        </w:trPr>
        <w:tc>
          <w:tcPr>
            <w:tcW w:w="1170" w:type="dxa"/>
            <w:vMerge/>
          </w:tcPr>
          <w:p w14:paraId="374B19C5" w14:textId="77777777" w:rsidR="00EC3DFE" w:rsidRPr="00633AB1" w:rsidRDefault="00EC3DFE" w:rsidP="00E349C8">
            <w:pPr>
              <w:rPr>
                <w:rFonts w:ascii="Times New Roman" w:eastAsia="Times New Roman" w:hAnsi="Times New Roman" w:cs="Times New Roman"/>
                <w:color w:val="000000" w:themeColor="text1"/>
                <w:sz w:val="18"/>
                <w:szCs w:val="18"/>
                <w:lang w:eastAsia="en-CA"/>
              </w:rPr>
            </w:pPr>
          </w:p>
        </w:tc>
        <w:tc>
          <w:tcPr>
            <w:tcW w:w="1260" w:type="dxa"/>
            <w:hideMark/>
          </w:tcPr>
          <w:p w14:paraId="57285C21" w14:textId="77777777" w:rsidR="00EC3DFE" w:rsidRPr="00633AB1" w:rsidRDefault="00EC3DFE" w:rsidP="00E349C8">
            <w:pPr>
              <w:spacing w:before="60" w:after="60"/>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Minivan</w:t>
            </w:r>
          </w:p>
        </w:tc>
        <w:tc>
          <w:tcPr>
            <w:tcW w:w="900" w:type="dxa"/>
            <w:hideMark/>
          </w:tcPr>
          <w:p w14:paraId="4263355B" w14:textId="77777777" w:rsidR="00EC3DFE" w:rsidRPr="00633AB1" w:rsidRDefault="00EC3DFE" w:rsidP="00E349C8">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33,500</w:t>
            </w:r>
          </w:p>
        </w:tc>
        <w:tc>
          <w:tcPr>
            <w:tcW w:w="1440" w:type="dxa"/>
            <w:hideMark/>
          </w:tcPr>
          <w:p w14:paraId="7302B5F4" w14:textId="77777777" w:rsidR="00EC3DFE" w:rsidRPr="00633AB1" w:rsidRDefault="00EC3DFE" w:rsidP="00E349C8">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0.069</w:t>
            </w:r>
          </w:p>
        </w:tc>
        <w:tc>
          <w:tcPr>
            <w:tcW w:w="1170" w:type="dxa"/>
            <w:hideMark/>
          </w:tcPr>
          <w:p w14:paraId="4A0B3FEF" w14:textId="77777777" w:rsidR="00EC3DFE" w:rsidRPr="00633AB1" w:rsidRDefault="00EC3DFE" w:rsidP="00E349C8">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5.0</w:t>
            </w:r>
          </w:p>
        </w:tc>
        <w:tc>
          <w:tcPr>
            <w:tcW w:w="1177" w:type="dxa"/>
            <w:hideMark/>
          </w:tcPr>
          <w:p w14:paraId="2CA09C0D" w14:textId="77777777" w:rsidR="00EC3DFE" w:rsidRPr="00633AB1" w:rsidRDefault="00EC3DFE" w:rsidP="00E349C8">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700</w:t>
            </w:r>
          </w:p>
        </w:tc>
        <w:tc>
          <w:tcPr>
            <w:tcW w:w="1191" w:type="dxa"/>
            <w:hideMark/>
          </w:tcPr>
          <w:p w14:paraId="288F6B9A" w14:textId="77777777" w:rsidR="00EC3DFE" w:rsidRPr="00633AB1" w:rsidRDefault="00EC3DFE" w:rsidP="00E349C8">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0.000234</w:t>
            </w:r>
          </w:p>
        </w:tc>
        <w:tc>
          <w:tcPr>
            <w:tcW w:w="1592" w:type="dxa"/>
            <w:hideMark/>
          </w:tcPr>
          <w:p w14:paraId="211FB45C" w14:textId="77777777" w:rsidR="00EC3DFE" w:rsidRPr="00633AB1" w:rsidRDefault="00EC3DFE" w:rsidP="00E349C8">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0.14</w:t>
            </w:r>
          </w:p>
        </w:tc>
      </w:tr>
      <w:tr w:rsidR="00EC3DFE" w:rsidRPr="00633AB1" w14:paraId="7D05BC46" w14:textId="77777777" w:rsidTr="00E349C8">
        <w:trPr>
          <w:trHeight w:val="125"/>
        </w:trPr>
        <w:tc>
          <w:tcPr>
            <w:tcW w:w="1170" w:type="dxa"/>
            <w:vMerge/>
          </w:tcPr>
          <w:p w14:paraId="1B48E356" w14:textId="77777777" w:rsidR="00EC3DFE" w:rsidRPr="00633AB1" w:rsidRDefault="00EC3DFE" w:rsidP="00E349C8">
            <w:pPr>
              <w:rPr>
                <w:rFonts w:ascii="Times New Roman" w:eastAsia="Times New Roman" w:hAnsi="Times New Roman" w:cs="Times New Roman"/>
                <w:color w:val="000000" w:themeColor="text1"/>
                <w:sz w:val="18"/>
                <w:szCs w:val="18"/>
                <w:lang w:eastAsia="en-CA"/>
              </w:rPr>
            </w:pPr>
          </w:p>
        </w:tc>
        <w:tc>
          <w:tcPr>
            <w:tcW w:w="1260" w:type="dxa"/>
            <w:hideMark/>
          </w:tcPr>
          <w:p w14:paraId="5646216C" w14:textId="77777777" w:rsidR="00EC3DFE" w:rsidRPr="00633AB1" w:rsidRDefault="00EC3DFE" w:rsidP="00E349C8">
            <w:pPr>
              <w:spacing w:before="60" w:after="60"/>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SUV</w:t>
            </w:r>
          </w:p>
        </w:tc>
        <w:tc>
          <w:tcPr>
            <w:tcW w:w="900" w:type="dxa"/>
            <w:hideMark/>
          </w:tcPr>
          <w:p w14:paraId="5B7D1B80" w14:textId="77777777" w:rsidR="00EC3DFE" w:rsidRPr="00633AB1" w:rsidRDefault="00EC3DFE" w:rsidP="00E349C8">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30,000</w:t>
            </w:r>
          </w:p>
        </w:tc>
        <w:tc>
          <w:tcPr>
            <w:tcW w:w="1440" w:type="dxa"/>
            <w:hideMark/>
          </w:tcPr>
          <w:p w14:paraId="6994F396" w14:textId="77777777" w:rsidR="00EC3DFE" w:rsidRPr="00633AB1" w:rsidRDefault="00EC3DFE" w:rsidP="00E349C8">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0.072</w:t>
            </w:r>
          </w:p>
        </w:tc>
        <w:tc>
          <w:tcPr>
            <w:tcW w:w="1170" w:type="dxa"/>
            <w:hideMark/>
          </w:tcPr>
          <w:p w14:paraId="1251A586" w14:textId="77777777" w:rsidR="00EC3DFE" w:rsidRPr="00633AB1" w:rsidRDefault="00EC3DFE" w:rsidP="00E349C8">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9.0</w:t>
            </w:r>
          </w:p>
        </w:tc>
        <w:tc>
          <w:tcPr>
            <w:tcW w:w="1177" w:type="dxa"/>
            <w:hideMark/>
          </w:tcPr>
          <w:p w14:paraId="6147CBF6" w14:textId="77777777" w:rsidR="00EC3DFE" w:rsidRPr="00633AB1" w:rsidRDefault="00EC3DFE" w:rsidP="00E349C8">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670</w:t>
            </w:r>
          </w:p>
        </w:tc>
        <w:tc>
          <w:tcPr>
            <w:tcW w:w="1191" w:type="dxa"/>
            <w:hideMark/>
          </w:tcPr>
          <w:p w14:paraId="1A6884BF" w14:textId="77777777" w:rsidR="00EC3DFE" w:rsidRPr="00633AB1" w:rsidRDefault="00EC3DFE" w:rsidP="00E349C8">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0.000234</w:t>
            </w:r>
          </w:p>
        </w:tc>
        <w:tc>
          <w:tcPr>
            <w:tcW w:w="1592" w:type="dxa"/>
            <w:hideMark/>
          </w:tcPr>
          <w:p w14:paraId="36B947D6" w14:textId="77777777" w:rsidR="00EC3DFE" w:rsidRPr="00633AB1" w:rsidRDefault="00EC3DFE" w:rsidP="00E349C8">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0.09</w:t>
            </w:r>
          </w:p>
        </w:tc>
      </w:tr>
      <w:tr w:rsidR="00EC3DFE" w:rsidRPr="00633AB1" w14:paraId="4ED80168" w14:textId="77777777" w:rsidTr="00E349C8">
        <w:trPr>
          <w:trHeight w:val="357"/>
        </w:trPr>
        <w:tc>
          <w:tcPr>
            <w:tcW w:w="1170" w:type="dxa"/>
            <w:vMerge/>
          </w:tcPr>
          <w:p w14:paraId="6014B9F8" w14:textId="77777777" w:rsidR="00EC3DFE" w:rsidRPr="00633AB1" w:rsidRDefault="00EC3DFE" w:rsidP="00E349C8">
            <w:pPr>
              <w:rPr>
                <w:rFonts w:ascii="Times New Roman" w:eastAsia="Times New Roman" w:hAnsi="Times New Roman" w:cs="Times New Roman"/>
                <w:color w:val="000000" w:themeColor="text1"/>
                <w:sz w:val="18"/>
                <w:szCs w:val="18"/>
                <w:lang w:eastAsia="en-CA"/>
              </w:rPr>
            </w:pPr>
          </w:p>
        </w:tc>
        <w:tc>
          <w:tcPr>
            <w:tcW w:w="1260" w:type="dxa"/>
            <w:hideMark/>
          </w:tcPr>
          <w:p w14:paraId="162F58B5" w14:textId="77777777" w:rsidR="00EC3DFE" w:rsidRPr="00633AB1" w:rsidRDefault="00EC3DFE" w:rsidP="00E349C8">
            <w:pPr>
              <w:spacing w:before="60"/>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Pickup truck</w:t>
            </w:r>
          </w:p>
        </w:tc>
        <w:tc>
          <w:tcPr>
            <w:tcW w:w="900" w:type="dxa"/>
            <w:hideMark/>
          </w:tcPr>
          <w:p w14:paraId="316AC3AA" w14:textId="77777777" w:rsidR="00EC3DFE" w:rsidRPr="00633AB1" w:rsidRDefault="00EC3DFE" w:rsidP="00E349C8">
            <w:pPr>
              <w:spacing w:before="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40,000</w:t>
            </w:r>
          </w:p>
        </w:tc>
        <w:tc>
          <w:tcPr>
            <w:tcW w:w="1440" w:type="dxa"/>
            <w:hideMark/>
          </w:tcPr>
          <w:p w14:paraId="67E1152A" w14:textId="77777777" w:rsidR="00EC3DFE" w:rsidRPr="00633AB1" w:rsidRDefault="00EC3DFE" w:rsidP="00E349C8">
            <w:pPr>
              <w:spacing w:before="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0.081</w:t>
            </w:r>
          </w:p>
        </w:tc>
        <w:tc>
          <w:tcPr>
            <w:tcW w:w="1170" w:type="dxa"/>
            <w:hideMark/>
          </w:tcPr>
          <w:p w14:paraId="40F5E63E" w14:textId="77777777" w:rsidR="00EC3DFE" w:rsidRPr="00633AB1" w:rsidRDefault="00EC3DFE" w:rsidP="00E349C8">
            <w:pPr>
              <w:spacing w:before="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6.6</w:t>
            </w:r>
          </w:p>
        </w:tc>
        <w:tc>
          <w:tcPr>
            <w:tcW w:w="1177" w:type="dxa"/>
            <w:hideMark/>
          </w:tcPr>
          <w:p w14:paraId="348EA746" w14:textId="77777777" w:rsidR="00EC3DFE" w:rsidRPr="00633AB1" w:rsidRDefault="00EC3DFE" w:rsidP="00E349C8">
            <w:pPr>
              <w:spacing w:before="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750</w:t>
            </w:r>
          </w:p>
        </w:tc>
        <w:tc>
          <w:tcPr>
            <w:tcW w:w="1191" w:type="dxa"/>
            <w:hideMark/>
          </w:tcPr>
          <w:p w14:paraId="5FB3FE98" w14:textId="77777777" w:rsidR="00EC3DFE" w:rsidRPr="00633AB1" w:rsidRDefault="00EC3DFE" w:rsidP="00E349C8">
            <w:pPr>
              <w:spacing w:before="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0.000444</w:t>
            </w:r>
          </w:p>
        </w:tc>
        <w:tc>
          <w:tcPr>
            <w:tcW w:w="1592" w:type="dxa"/>
            <w:hideMark/>
          </w:tcPr>
          <w:p w14:paraId="173B0914" w14:textId="77777777" w:rsidR="00EC3DFE" w:rsidRPr="00633AB1" w:rsidRDefault="00EC3DFE" w:rsidP="00E349C8">
            <w:pPr>
              <w:spacing w:before="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0.13</w:t>
            </w:r>
          </w:p>
        </w:tc>
      </w:tr>
    </w:tbl>
    <w:p w14:paraId="4FBAD503" w14:textId="77777777" w:rsidR="00EC3DFE" w:rsidRDefault="00EC3DFE" w:rsidP="00EC3DFE"/>
    <w:p w14:paraId="4D8AB2F3" w14:textId="77777777" w:rsidR="00EC3DFE" w:rsidRDefault="00EC3DFE" w:rsidP="00EC3DFE"/>
    <w:p w14:paraId="5CFFEC77" w14:textId="77777777" w:rsidR="00EC3DFE" w:rsidRDefault="00EC3DFE" w:rsidP="00EC3DFE"/>
    <w:p w14:paraId="611F896A" w14:textId="77777777" w:rsidR="00EC3DFE" w:rsidRPr="00EC3DFE" w:rsidRDefault="00EC3DFE" w:rsidP="00EC3DFE"/>
    <w:p w14:paraId="11E78ED6" w14:textId="77777777" w:rsidR="003C3597" w:rsidRDefault="003C3597" w:rsidP="00BA6F83">
      <w:pPr>
        <w:ind w:firstLine="0"/>
        <w:rPr>
          <w:rFonts w:ascii="Times New Roman" w:hAnsi="Times New Roman" w:cs="Times New Roman"/>
          <w:color w:val="000000"/>
        </w:rPr>
      </w:pPr>
    </w:p>
    <w:p w14:paraId="7B5F6DB9" w14:textId="77777777" w:rsidR="00EC3DFE" w:rsidRPr="003C3597" w:rsidRDefault="00EC3DFE" w:rsidP="00BA6F83">
      <w:pPr>
        <w:ind w:firstLine="0"/>
        <w:rPr>
          <w:rFonts w:ascii="Times New Roman" w:hAnsi="Times New Roman" w:cs="Times New Roman"/>
          <w:color w:val="000000"/>
        </w:rPr>
      </w:pPr>
    </w:p>
    <w:p w14:paraId="17014513" w14:textId="77777777" w:rsidR="003C3597" w:rsidRDefault="00E1100F" w:rsidP="00E1100F">
      <w:pPr>
        <w:pStyle w:val="Caption"/>
        <w:ind w:firstLine="0"/>
        <w:rPr>
          <w:rFonts w:ascii="Times New Roman" w:hAnsi="Times New Roman" w:cs="Times New Roman"/>
          <w:i w:val="0"/>
          <w:iCs w:val="0"/>
          <w:color w:val="000000"/>
          <w:sz w:val="24"/>
          <w:szCs w:val="24"/>
        </w:rPr>
      </w:pPr>
      <w:bookmarkStart w:id="46" w:name="_Toc528649790"/>
      <w:r w:rsidRPr="00E1100F">
        <w:rPr>
          <w:rFonts w:ascii="Times New Roman" w:hAnsi="Times New Roman" w:cs="Times New Roman"/>
          <w:i w:val="0"/>
          <w:iCs w:val="0"/>
          <w:color w:val="000000"/>
          <w:sz w:val="24"/>
          <w:szCs w:val="24"/>
        </w:rPr>
        <w:lastRenderedPageBreak/>
        <w:t>Table 2.</w:t>
      </w:r>
      <w:r w:rsidRPr="00E1100F">
        <w:rPr>
          <w:rFonts w:ascii="Times New Roman" w:hAnsi="Times New Roman" w:cs="Times New Roman"/>
          <w:i w:val="0"/>
          <w:iCs w:val="0"/>
          <w:color w:val="000000"/>
          <w:sz w:val="24"/>
          <w:szCs w:val="24"/>
        </w:rPr>
        <w:fldChar w:fldCharType="begin"/>
      </w:r>
      <w:r w:rsidRPr="00E1100F">
        <w:rPr>
          <w:rFonts w:ascii="Times New Roman" w:hAnsi="Times New Roman" w:cs="Times New Roman"/>
          <w:i w:val="0"/>
          <w:iCs w:val="0"/>
          <w:color w:val="000000"/>
          <w:sz w:val="24"/>
          <w:szCs w:val="24"/>
        </w:rPr>
        <w:instrText xml:space="preserve"> SEQ Table \* ARABIC </w:instrText>
      </w:r>
      <w:r w:rsidRPr="00E1100F">
        <w:rPr>
          <w:rFonts w:ascii="Times New Roman" w:hAnsi="Times New Roman" w:cs="Times New Roman"/>
          <w:i w:val="0"/>
          <w:iCs w:val="0"/>
          <w:color w:val="000000"/>
          <w:sz w:val="24"/>
          <w:szCs w:val="24"/>
        </w:rPr>
        <w:fldChar w:fldCharType="separate"/>
      </w:r>
      <w:r w:rsidR="00BC70AE">
        <w:rPr>
          <w:rFonts w:ascii="Times New Roman" w:hAnsi="Times New Roman" w:cs="Times New Roman"/>
          <w:i w:val="0"/>
          <w:iCs w:val="0"/>
          <w:noProof/>
          <w:color w:val="000000"/>
          <w:sz w:val="24"/>
          <w:szCs w:val="24"/>
        </w:rPr>
        <w:t>5</w:t>
      </w:r>
      <w:r w:rsidRPr="00E1100F">
        <w:rPr>
          <w:rFonts w:ascii="Times New Roman" w:hAnsi="Times New Roman" w:cs="Times New Roman"/>
          <w:i w:val="0"/>
          <w:iCs w:val="0"/>
          <w:color w:val="000000"/>
          <w:sz w:val="24"/>
          <w:szCs w:val="24"/>
        </w:rPr>
        <w:fldChar w:fldCharType="end"/>
      </w:r>
      <w:r>
        <w:rPr>
          <w:rFonts w:ascii="Times New Roman" w:hAnsi="Times New Roman" w:cs="Times New Roman"/>
          <w:i w:val="0"/>
          <w:iCs w:val="0"/>
          <w:color w:val="000000"/>
          <w:sz w:val="24"/>
          <w:szCs w:val="24"/>
        </w:rPr>
        <w:t xml:space="preserve"> </w:t>
      </w:r>
      <w:r w:rsidR="003C3597" w:rsidRPr="00E1100F">
        <w:rPr>
          <w:rFonts w:ascii="Times New Roman" w:hAnsi="Times New Roman" w:cs="Times New Roman"/>
          <w:i w:val="0"/>
          <w:iCs w:val="0"/>
          <w:color w:val="000000"/>
          <w:sz w:val="24"/>
          <w:szCs w:val="24"/>
        </w:rPr>
        <w:t>Relative attribute levels used in SP scenarios</w:t>
      </w:r>
      <w:bookmarkEnd w:id="46"/>
    </w:p>
    <w:tbl>
      <w:tblPr>
        <w:tblStyle w:val="TableGridLight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9"/>
        <w:gridCol w:w="1708"/>
        <w:gridCol w:w="1710"/>
        <w:gridCol w:w="1851"/>
        <w:gridCol w:w="1856"/>
      </w:tblGrid>
      <w:tr w:rsidR="00EC3DFE" w:rsidRPr="007701DC" w14:paraId="4D578573" w14:textId="77777777" w:rsidTr="00E349C8">
        <w:tc>
          <w:tcPr>
            <w:tcW w:w="1212" w:type="pct"/>
            <w:tcBorders>
              <w:top w:val="single" w:sz="4" w:space="0" w:color="auto"/>
            </w:tcBorders>
          </w:tcPr>
          <w:p w14:paraId="26C3AEEA" w14:textId="77777777" w:rsidR="00EC3DFE" w:rsidRPr="007701DC" w:rsidRDefault="00EC3DFE" w:rsidP="00E349C8">
            <w:pPr>
              <w:spacing w:before="60" w:after="60"/>
              <w:textAlignment w:val="baseline"/>
              <w:rPr>
                <w:rFonts w:ascii="Times New Roman" w:hAnsi="Times New Roman" w:cs="Times New Roman"/>
                <w:color w:val="000000" w:themeColor="text1"/>
                <w:sz w:val="18"/>
                <w:szCs w:val="18"/>
              </w:rPr>
            </w:pPr>
          </w:p>
        </w:tc>
        <w:tc>
          <w:tcPr>
            <w:tcW w:w="3788" w:type="pct"/>
            <w:gridSpan w:val="4"/>
            <w:tcBorders>
              <w:top w:val="single" w:sz="4" w:space="0" w:color="auto"/>
            </w:tcBorders>
            <w:vAlign w:val="center"/>
          </w:tcPr>
          <w:p w14:paraId="3C1A05A6" w14:textId="77777777" w:rsidR="00EC3DFE" w:rsidRPr="007701DC" w:rsidRDefault="00EC3DFE" w:rsidP="00E349C8">
            <w:pPr>
              <w:spacing w:before="60" w:after="60"/>
              <w:jc w:val="cente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Alternatives</w:t>
            </w:r>
          </w:p>
        </w:tc>
      </w:tr>
      <w:tr w:rsidR="00EC3DFE" w:rsidRPr="007701DC" w14:paraId="167DA346" w14:textId="77777777" w:rsidTr="00E349C8">
        <w:tc>
          <w:tcPr>
            <w:tcW w:w="1212" w:type="pct"/>
          </w:tcPr>
          <w:p w14:paraId="31A765F1" w14:textId="77777777" w:rsidR="00EC3DFE" w:rsidRPr="007701DC" w:rsidRDefault="00EC3DFE" w:rsidP="00E349C8">
            <w:pPr>
              <w:spacing w:before="60" w:after="60"/>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Attributes</w:t>
            </w:r>
          </w:p>
        </w:tc>
        <w:tc>
          <w:tcPr>
            <w:tcW w:w="908" w:type="pct"/>
            <w:tcBorders>
              <w:top w:val="single" w:sz="4" w:space="0" w:color="auto"/>
            </w:tcBorders>
          </w:tcPr>
          <w:p w14:paraId="7DFEAE3B" w14:textId="77777777" w:rsidR="00EC3DFE" w:rsidRPr="007701DC" w:rsidRDefault="00EC3DFE" w:rsidP="00E349C8">
            <w:pPr>
              <w:spacing w:before="60" w:after="60"/>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ICE</w:t>
            </w:r>
          </w:p>
        </w:tc>
        <w:tc>
          <w:tcPr>
            <w:tcW w:w="909" w:type="pct"/>
            <w:tcBorders>
              <w:top w:val="single" w:sz="4" w:space="0" w:color="auto"/>
            </w:tcBorders>
          </w:tcPr>
          <w:p w14:paraId="2E6F0BEA" w14:textId="77777777" w:rsidR="00EC3DFE" w:rsidRPr="007701DC" w:rsidRDefault="00EC3DFE" w:rsidP="00E349C8">
            <w:pPr>
              <w:spacing w:before="60" w:after="60"/>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HEV</w:t>
            </w:r>
          </w:p>
        </w:tc>
        <w:tc>
          <w:tcPr>
            <w:tcW w:w="984" w:type="pct"/>
            <w:tcBorders>
              <w:top w:val="single" w:sz="4" w:space="0" w:color="auto"/>
            </w:tcBorders>
          </w:tcPr>
          <w:p w14:paraId="7528DADC" w14:textId="77777777" w:rsidR="00EC3DFE" w:rsidRPr="007701DC" w:rsidRDefault="00EC3DFE" w:rsidP="00E349C8">
            <w:pPr>
              <w:spacing w:before="60" w:after="60"/>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PHEV</w:t>
            </w:r>
          </w:p>
        </w:tc>
        <w:tc>
          <w:tcPr>
            <w:tcW w:w="987" w:type="pct"/>
            <w:tcBorders>
              <w:top w:val="single" w:sz="4" w:space="0" w:color="auto"/>
            </w:tcBorders>
          </w:tcPr>
          <w:p w14:paraId="3B61155F" w14:textId="77777777" w:rsidR="00EC3DFE" w:rsidRPr="007701DC" w:rsidRDefault="00EC3DFE" w:rsidP="00E349C8">
            <w:pPr>
              <w:spacing w:before="60" w:after="60"/>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BEV</w:t>
            </w:r>
          </w:p>
        </w:tc>
      </w:tr>
      <w:tr w:rsidR="00EC3DFE" w:rsidRPr="007701DC" w14:paraId="14AEA0BD" w14:textId="77777777" w:rsidTr="00E349C8">
        <w:tc>
          <w:tcPr>
            <w:tcW w:w="1212" w:type="pct"/>
            <w:tcBorders>
              <w:top w:val="single" w:sz="4" w:space="0" w:color="auto"/>
            </w:tcBorders>
          </w:tcPr>
          <w:p w14:paraId="6CED6C06" w14:textId="77777777" w:rsidR="00EC3DFE" w:rsidRPr="007701DC" w:rsidRDefault="00EC3DFE" w:rsidP="00E349C8">
            <w:pPr>
              <w:spacing w:before="60"/>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Purchase price ($)</w:t>
            </w:r>
          </w:p>
        </w:tc>
        <w:tc>
          <w:tcPr>
            <w:tcW w:w="908" w:type="pct"/>
            <w:tcBorders>
              <w:top w:val="single" w:sz="4" w:space="0" w:color="auto"/>
            </w:tcBorders>
          </w:tcPr>
          <w:p w14:paraId="6B5619D6" w14:textId="77777777" w:rsidR="00EC3DFE" w:rsidRPr="007701DC" w:rsidRDefault="00EC3DFE" w:rsidP="00E349C8">
            <w:pPr>
              <w:spacing w:before="60"/>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-25%, Base</w:t>
            </w:r>
          </w:p>
        </w:tc>
        <w:tc>
          <w:tcPr>
            <w:tcW w:w="909" w:type="pct"/>
            <w:tcBorders>
              <w:top w:val="single" w:sz="4" w:space="0" w:color="auto"/>
            </w:tcBorders>
          </w:tcPr>
          <w:p w14:paraId="612A2A17" w14:textId="77777777" w:rsidR="00EC3DFE" w:rsidRPr="007701DC" w:rsidRDefault="00EC3DFE" w:rsidP="00E349C8">
            <w:pPr>
              <w:spacing w:before="60"/>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Base</w:t>
            </w:r>
            <w:r w:rsidRPr="007701DC" w:rsidDel="007A4B18">
              <w:rPr>
                <w:rFonts w:ascii="Times New Roman" w:hAnsi="Times New Roman" w:cs="Times New Roman"/>
                <w:color w:val="000000" w:themeColor="text1"/>
                <w:sz w:val="18"/>
                <w:szCs w:val="18"/>
              </w:rPr>
              <w:t xml:space="preserve"> </w:t>
            </w:r>
            <w:r w:rsidRPr="007701DC">
              <w:rPr>
                <w:rFonts w:ascii="Times New Roman" w:hAnsi="Times New Roman" w:cs="Times New Roman"/>
                <w:color w:val="000000" w:themeColor="text1"/>
                <w:sz w:val="18"/>
                <w:szCs w:val="18"/>
              </w:rPr>
              <w:t>, +50%</w:t>
            </w:r>
          </w:p>
        </w:tc>
        <w:tc>
          <w:tcPr>
            <w:tcW w:w="984" w:type="pct"/>
            <w:tcBorders>
              <w:top w:val="single" w:sz="4" w:space="0" w:color="auto"/>
            </w:tcBorders>
          </w:tcPr>
          <w:p w14:paraId="299D9E3B" w14:textId="77777777" w:rsidR="00EC3DFE" w:rsidRPr="007701DC" w:rsidRDefault="00EC3DFE" w:rsidP="00E349C8">
            <w:pPr>
              <w:spacing w:before="60"/>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Base</w:t>
            </w:r>
            <w:r w:rsidRPr="007701DC" w:rsidDel="007A4B18">
              <w:rPr>
                <w:rFonts w:ascii="Times New Roman" w:hAnsi="Times New Roman" w:cs="Times New Roman"/>
                <w:color w:val="000000" w:themeColor="text1"/>
                <w:sz w:val="18"/>
                <w:szCs w:val="18"/>
              </w:rPr>
              <w:t xml:space="preserve"> </w:t>
            </w:r>
            <w:r w:rsidRPr="007701DC">
              <w:rPr>
                <w:rFonts w:ascii="Times New Roman" w:hAnsi="Times New Roman" w:cs="Times New Roman"/>
                <w:color w:val="000000" w:themeColor="text1"/>
                <w:sz w:val="18"/>
                <w:szCs w:val="18"/>
              </w:rPr>
              <w:t>, +50%, +100%</w:t>
            </w:r>
          </w:p>
        </w:tc>
        <w:tc>
          <w:tcPr>
            <w:tcW w:w="987" w:type="pct"/>
            <w:tcBorders>
              <w:top w:val="single" w:sz="4" w:space="0" w:color="auto"/>
            </w:tcBorders>
          </w:tcPr>
          <w:p w14:paraId="1ECC0A2A" w14:textId="77777777" w:rsidR="00EC3DFE" w:rsidRPr="007701DC" w:rsidRDefault="00EC3DFE" w:rsidP="00E349C8">
            <w:pPr>
              <w:spacing w:before="60"/>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Base</w:t>
            </w:r>
            <w:r w:rsidRPr="007701DC" w:rsidDel="007A4B18">
              <w:rPr>
                <w:rFonts w:ascii="Times New Roman" w:hAnsi="Times New Roman" w:cs="Times New Roman"/>
                <w:color w:val="000000" w:themeColor="text1"/>
                <w:sz w:val="18"/>
                <w:szCs w:val="18"/>
              </w:rPr>
              <w:t xml:space="preserve"> </w:t>
            </w:r>
            <w:r w:rsidRPr="007701DC">
              <w:rPr>
                <w:rFonts w:ascii="Times New Roman" w:hAnsi="Times New Roman" w:cs="Times New Roman"/>
                <w:color w:val="000000" w:themeColor="text1"/>
                <w:sz w:val="18"/>
                <w:szCs w:val="18"/>
              </w:rPr>
              <w:t>, +50%, +100%</w:t>
            </w:r>
          </w:p>
        </w:tc>
      </w:tr>
      <w:tr w:rsidR="00EC3DFE" w:rsidRPr="007701DC" w14:paraId="65285A79" w14:textId="77777777" w:rsidTr="00E349C8">
        <w:tc>
          <w:tcPr>
            <w:tcW w:w="1212" w:type="pct"/>
          </w:tcPr>
          <w:p w14:paraId="0A591DF9"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Cash incentive ($)</w:t>
            </w:r>
          </w:p>
        </w:tc>
        <w:tc>
          <w:tcPr>
            <w:tcW w:w="908" w:type="pct"/>
          </w:tcPr>
          <w:p w14:paraId="17DF8C7C"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0</w:t>
            </w:r>
          </w:p>
        </w:tc>
        <w:tc>
          <w:tcPr>
            <w:tcW w:w="909" w:type="pct"/>
          </w:tcPr>
          <w:p w14:paraId="761D3F45"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0</w:t>
            </w:r>
          </w:p>
        </w:tc>
        <w:tc>
          <w:tcPr>
            <w:tcW w:w="984" w:type="pct"/>
          </w:tcPr>
          <w:p w14:paraId="5B112C2E"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0, 5000, 10,000</w:t>
            </w:r>
          </w:p>
        </w:tc>
        <w:tc>
          <w:tcPr>
            <w:tcW w:w="987" w:type="pct"/>
          </w:tcPr>
          <w:p w14:paraId="3CD8D321"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0, 5000, 10,000</w:t>
            </w:r>
          </w:p>
        </w:tc>
      </w:tr>
      <w:tr w:rsidR="00EC3DFE" w:rsidRPr="007701DC" w14:paraId="2F24F6A4" w14:textId="77777777" w:rsidTr="00E349C8">
        <w:tc>
          <w:tcPr>
            <w:tcW w:w="1212" w:type="pct"/>
          </w:tcPr>
          <w:p w14:paraId="5823CAB8"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Maintenance cost ($/km)</w:t>
            </w:r>
          </w:p>
        </w:tc>
        <w:tc>
          <w:tcPr>
            <w:tcW w:w="908" w:type="pct"/>
          </w:tcPr>
          <w:p w14:paraId="7024CADC"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Base</w:t>
            </w:r>
          </w:p>
        </w:tc>
        <w:tc>
          <w:tcPr>
            <w:tcW w:w="909" w:type="pct"/>
          </w:tcPr>
          <w:p w14:paraId="4E8747D7"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-25%, Base</w:t>
            </w:r>
          </w:p>
        </w:tc>
        <w:tc>
          <w:tcPr>
            <w:tcW w:w="984" w:type="pct"/>
          </w:tcPr>
          <w:p w14:paraId="36DBEEEE"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-50%, -25%, Base</w:t>
            </w:r>
          </w:p>
        </w:tc>
        <w:tc>
          <w:tcPr>
            <w:tcW w:w="987" w:type="pct"/>
          </w:tcPr>
          <w:p w14:paraId="2E69E28D"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-25%, -50%, -75%</w:t>
            </w:r>
          </w:p>
        </w:tc>
      </w:tr>
      <w:tr w:rsidR="00EC3DFE" w:rsidRPr="007701DC" w14:paraId="65F65819" w14:textId="77777777" w:rsidTr="00E349C8">
        <w:tc>
          <w:tcPr>
            <w:tcW w:w="1212" w:type="pct"/>
          </w:tcPr>
          <w:p w14:paraId="3816CCFE"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Acceleration (sec to reach 100 km/hr)</w:t>
            </w:r>
          </w:p>
        </w:tc>
        <w:tc>
          <w:tcPr>
            <w:tcW w:w="908" w:type="pct"/>
          </w:tcPr>
          <w:p w14:paraId="5DC2F6D3"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Base</w:t>
            </w:r>
          </w:p>
        </w:tc>
        <w:tc>
          <w:tcPr>
            <w:tcW w:w="909" w:type="pct"/>
          </w:tcPr>
          <w:p w14:paraId="1B83F298"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-50%, Base</w:t>
            </w:r>
            <w:r w:rsidRPr="007701DC" w:rsidDel="007A4B18">
              <w:rPr>
                <w:rFonts w:ascii="Times New Roman" w:hAnsi="Times New Roman" w:cs="Times New Roman"/>
                <w:color w:val="000000" w:themeColor="text1"/>
                <w:sz w:val="18"/>
                <w:szCs w:val="18"/>
              </w:rPr>
              <w:t xml:space="preserve"> </w:t>
            </w:r>
            <w:r w:rsidRPr="007701DC">
              <w:rPr>
                <w:rFonts w:ascii="Times New Roman" w:hAnsi="Times New Roman" w:cs="Times New Roman"/>
                <w:color w:val="000000" w:themeColor="text1"/>
                <w:sz w:val="18"/>
                <w:szCs w:val="18"/>
              </w:rPr>
              <w:t>, +50%</w:t>
            </w:r>
          </w:p>
        </w:tc>
        <w:tc>
          <w:tcPr>
            <w:tcW w:w="984" w:type="pct"/>
          </w:tcPr>
          <w:p w14:paraId="2FFE60F3"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-50%, Base</w:t>
            </w:r>
            <w:r w:rsidRPr="007701DC" w:rsidDel="007A4B18">
              <w:rPr>
                <w:rFonts w:ascii="Times New Roman" w:hAnsi="Times New Roman" w:cs="Times New Roman"/>
                <w:color w:val="000000" w:themeColor="text1"/>
                <w:sz w:val="18"/>
                <w:szCs w:val="18"/>
              </w:rPr>
              <w:t xml:space="preserve"> </w:t>
            </w:r>
            <w:r w:rsidRPr="007701DC">
              <w:rPr>
                <w:rFonts w:ascii="Times New Roman" w:hAnsi="Times New Roman" w:cs="Times New Roman"/>
                <w:color w:val="000000" w:themeColor="text1"/>
                <w:sz w:val="18"/>
                <w:szCs w:val="18"/>
              </w:rPr>
              <w:t>, +50%</w:t>
            </w:r>
          </w:p>
        </w:tc>
        <w:tc>
          <w:tcPr>
            <w:tcW w:w="987" w:type="pct"/>
          </w:tcPr>
          <w:p w14:paraId="4CDA18CD"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-50%, Base</w:t>
            </w:r>
            <w:r w:rsidRPr="007701DC" w:rsidDel="007A4B18">
              <w:rPr>
                <w:rFonts w:ascii="Times New Roman" w:hAnsi="Times New Roman" w:cs="Times New Roman"/>
                <w:color w:val="000000" w:themeColor="text1"/>
                <w:sz w:val="18"/>
                <w:szCs w:val="18"/>
              </w:rPr>
              <w:t xml:space="preserve"> </w:t>
            </w:r>
            <w:r w:rsidRPr="007701DC">
              <w:rPr>
                <w:rFonts w:ascii="Times New Roman" w:hAnsi="Times New Roman" w:cs="Times New Roman"/>
                <w:color w:val="000000" w:themeColor="text1"/>
                <w:sz w:val="18"/>
                <w:szCs w:val="18"/>
              </w:rPr>
              <w:t>, +50%</w:t>
            </w:r>
          </w:p>
        </w:tc>
      </w:tr>
      <w:tr w:rsidR="00EC3DFE" w:rsidRPr="007701DC" w14:paraId="0FBB667B" w14:textId="77777777" w:rsidTr="00E349C8">
        <w:tc>
          <w:tcPr>
            <w:tcW w:w="1212" w:type="pct"/>
          </w:tcPr>
          <w:p w14:paraId="369E98F0"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Battery range (km)</w:t>
            </w:r>
          </w:p>
        </w:tc>
        <w:tc>
          <w:tcPr>
            <w:tcW w:w="908" w:type="pct"/>
          </w:tcPr>
          <w:p w14:paraId="7D5E1191"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w:t>
            </w:r>
          </w:p>
        </w:tc>
        <w:tc>
          <w:tcPr>
            <w:tcW w:w="909" w:type="pct"/>
          </w:tcPr>
          <w:p w14:paraId="1CD4D479"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w:t>
            </w:r>
          </w:p>
        </w:tc>
        <w:tc>
          <w:tcPr>
            <w:tcW w:w="984" w:type="pct"/>
          </w:tcPr>
          <w:p w14:paraId="2BE7F5E8"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30, 60, 90</w:t>
            </w:r>
          </w:p>
        </w:tc>
        <w:tc>
          <w:tcPr>
            <w:tcW w:w="987" w:type="pct"/>
          </w:tcPr>
          <w:p w14:paraId="7CD197D9"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150, 250, 350</w:t>
            </w:r>
          </w:p>
        </w:tc>
      </w:tr>
      <w:tr w:rsidR="00EC3DFE" w:rsidRPr="007701DC" w14:paraId="25328964" w14:textId="77777777" w:rsidTr="00E349C8">
        <w:tc>
          <w:tcPr>
            <w:tcW w:w="1212" w:type="pct"/>
          </w:tcPr>
          <w:p w14:paraId="23573FE5"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Gasoline range (km)</w:t>
            </w:r>
          </w:p>
        </w:tc>
        <w:tc>
          <w:tcPr>
            <w:tcW w:w="908" w:type="pct"/>
          </w:tcPr>
          <w:p w14:paraId="653B0B68"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Base</w:t>
            </w:r>
          </w:p>
        </w:tc>
        <w:tc>
          <w:tcPr>
            <w:tcW w:w="909" w:type="pct"/>
          </w:tcPr>
          <w:p w14:paraId="25317F1B"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-25%, +25%</w:t>
            </w:r>
          </w:p>
        </w:tc>
        <w:tc>
          <w:tcPr>
            <w:tcW w:w="984" w:type="pct"/>
          </w:tcPr>
          <w:p w14:paraId="76E5FEFB"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-25%, +25%</w:t>
            </w:r>
          </w:p>
        </w:tc>
        <w:tc>
          <w:tcPr>
            <w:tcW w:w="987" w:type="pct"/>
          </w:tcPr>
          <w:p w14:paraId="7073CAA8"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w:t>
            </w:r>
          </w:p>
        </w:tc>
      </w:tr>
      <w:tr w:rsidR="00EC3DFE" w:rsidRPr="007701DC" w14:paraId="64637C09" w14:textId="77777777" w:rsidTr="00E349C8">
        <w:tc>
          <w:tcPr>
            <w:tcW w:w="1212" w:type="pct"/>
          </w:tcPr>
          <w:p w14:paraId="1ECD8CA2"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CO</w:t>
            </w:r>
            <w:r w:rsidRPr="007701DC">
              <w:rPr>
                <w:rFonts w:ascii="Times New Roman" w:hAnsi="Times New Roman" w:cs="Times New Roman"/>
                <w:color w:val="000000" w:themeColor="text1"/>
                <w:sz w:val="18"/>
                <w:szCs w:val="18"/>
                <w:vertAlign w:val="subscript"/>
              </w:rPr>
              <w:t>2</w:t>
            </w:r>
            <w:r w:rsidRPr="007701DC">
              <w:rPr>
                <w:rFonts w:ascii="Times New Roman" w:hAnsi="Times New Roman" w:cs="Times New Roman"/>
                <w:color w:val="000000" w:themeColor="text1"/>
                <w:sz w:val="18"/>
                <w:szCs w:val="18"/>
              </w:rPr>
              <w:t xml:space="preserve"> tailpipe emissions </w:t>
            </w:r>
            <w:r w:rsidRPr="007701DC">
              <w:rPr>
                <w:rFonts w:ascii="Times New Roman" w:eastAsia="Times New Roman" w:hAnsi="Times New Roman" w:cs="Times New Roman"/>
                <w:color w:val="000000" w:themeColor="text1"/>
                <w:sz w:val="18"/>
                <w:szCs w:val="18"/>
                <w:lang w:eastAsia="en-CA"/>
              </w:rPr>
              <w:t>(tonnes/km)</w:t>
            </w:r>
          </w:p>
        </w:tc>
        <w:tc>
          <w:tcPr>
            <w:tcW w:w="908" w:type="pct"/>
          </w:tcPr>
          <w:p w14:paraId="4E98EB62"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-25%, Base</w:t>
            </w:r>
          </w:p>
        </w:tc>
        <w:tc>
          <w:tcPr>
            <w:tcW w:w="909" w:type="pct"/>
          </w:tcPr>
          <w:p w14:paraId="5B8AE1D8"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-50%, -25%</w:t>
            </w:r>
          </w:p>
        </w:tc>
        <w:tc>
          <w:tcPr>
            <w:tcW w:w="984" w:type="pct"/>
          </w:tcPr>
          <w:p w14:paraId="7A07141A"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-75%, -50%</w:t>
            </w:r>
          </w:p>
        </w:tc>
        <w:tc>
          <w:tcPr>
            <w:tcW w:w="987" w:type="pct"/>
          </w:tcPr>
          <w:p w14:paraId="7C9B1437"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0</w:t>
            </w:r>
          </w:p>
        </w:tc>
      </w:tr>
      <w:tr w:rsidR="00EC3DFE" w:rsidRPr="007701DC" w14:paraId="457CA514" w14:textId="77777777" w:rsidTr="00E349C8">
        <w:tc>
          <w:tcPr>
            <w:tcW w:w="1212" w:type="pct"/>
          </w:tcPr>
          <w:p w14:paraId="579A616D"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Fueling/charging cost ($/km)</w:t>
            </w:r>
          </w:p>
        </w:tc>
        <w:tc>
          <w:tcPr>
            <w:tcW w:w="908" w:type="pct"/>
          </w:tcPr>
          <w:p w14:paraId="58986B9C"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Base</w:t>
            </w:r>
            <w:r w:rsidRPr="007701DC" w:rsidDel="00192CC3">
              <w:rPr>
                <w:rFonts w:ascii="Times New Roman" w:hAnsi="Times New Roman" w:cs="Times New Roman"/>
                <w:color w:val="000000" w:themeColor="text1"/>
                <w:sz w:val="18"/>
                <w:szCs w:val="18"/>
              </w:rPr>
              <w:t xml:space="preserve"> </w:t>
            </w:r>
            <w:r w:rsidRPr="007701DC">
              <w:rPr>
                <w:rFonts w:ascii="Times New Roman" w:hAnsi="Times New Roman" w:cs="Times New Roman"/>
                <w:color w:val="000000" w:themeColor="text1"/>
                <w:sz w:val="18"/>
                <w:szCs w:val="18"/>
              </w:rPr>
              <w:t>, +20%, +40%</w:t>
            </w:r>
          </w:p>
        </w:tc>
        <w:tc>
          <w:tcPr>
            <w:tcW w:w="909" w:type="pct"/>
          </w:tcPr>
          <w:p w14:paraId="6A6537C8"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-20%, Base</w:t>
            </w:r>
          </w:p>
        </w:tc>
        <w:tc>
          <w:tcPr>
            <w:tcW w:w="984" w:type="pct"/>
          </w:tcPr>
          <w:p w14:paraId="4819D404"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-60%, -40%, -20%</w:t>
            </w:r>
          </w:p>
        </w:tc>
        <w:tc>
          <w:tcPr>
            <w:tcW w:w="987" w:type="pct"/>
          </w:tcPr>
          <w:p w14:paraId="21E7678F"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-80%, -60%</w:t>
            </w:r>
          </w:p>
        </w:tc>
      </w:tr>
      <w:tr w:rsidR="00EC3DFE" w:rsidRPr="007701DC" w14:paraId="13A7AB9A" w14:textId="77777777" w:rsidTr="00E349C8">
        <w:tc>
          <w:tcPr>
            <w:tcW w:w="1212" w:type="pct"/>
          </w:tcPr>
          <w:p w14:paraId="59D5B8B8"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 xml:space="preserve">Public charging time (hr) </w:t>
            </w:r>
          </w:p>
        </w:tc>
        <w:tc>
          <w:tcPr>
            <w:tcW w:w="908" w:type="pct"/>
          </w:tcPr>
          <w:p w14:paraId="771C5D7B"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w:t>
            </w:r>
          </w:p>
        </w:tc>
        <w:tc>
          <w:tcPr>
            <w:tcW w:w="909" w:type="pct"/>
          </w:tcPr>
          <w:p w14:paraId="163B3471"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w:t>
            </w:r>
          </w:p>
        </w:tc>
        <w:tc>
          <w:tcPr>
            <w:tcW w:w="984" w:type="pct"/>
          </w:tcPr>
          <w:p w14:paraId="78579728" w14:textId="77777777" w:rsidR="00EC3DFE" w:rsidRPr="007701DC" w:rsidRDefault="00EC3DFE" w:rsidP="00E349C8">
            <w:pPr>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0.15, 1.5, 2.75</w:t>
            </w:r>
          </w:p>
        </w:tc>
        <w:tc>
          <w:tcPr>
            <w:tcW w:w="987" w:type="pct"/>
          </w:tcPr>
          <w:p w14:paraId="534EDE01"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0.25, 3, 5.65</w:t>
            </w:r>
          </w:p>
        </w:tc>
      </w:tr>
      <w:tr w:rsidR="00EC3DFE" w:rsidRPr="007701DC" w14:paraId="35168E72" w14:textId="77777777" w:rsidTr="00E349C8">
        <w:tc>
          <w:tcPr>
            <w:tcW w:w="1212" w:type="pct"/>
          </w:tcPr>
          <w:p w14:paraId="226EE141"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Home/work charging time (hr)</w:t>
            </w:r>
          </w:p>
        </w:tc>
        <w:tc>
          <w:tcPr>
            <w:tcW w:w="908" w:type="pct"/>
          </w:tcPr>
          <w:p w14:paraId="12C437D5"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w:t>
            </w:r>
          </w:p>
        </w:tc>
        <w:tc>
          <w:tcPr>
            <w:tcW w:w="909" w:type="pct"/>
          </w:tcPr>
          <w:p w14:paraId="0C9EA938"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w:t>
            </w:r>
          </w:p>
        </w:tc>
        <w:tc>
          <w:tcPr>
            <w:tcW w:w="984" w:type="pct"/>
          </w:tcPr>
          <w:p w14:paraId="3DCE7DB8" w14:textId="77777777" w:rsidR="00EC3DFE" w:rsidRPr="007701DC" w:rsidRDefault="00EC3DFE" w:rsidP="00E349C8">
            <w:pPr>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2, 3, 4</w:t>
            </w:r>
          </w:p>
        </w:tc>
        <w:tc>
          <w:tcPr>
            <w:tcW w:w="987" w:type="pct"/>
          </w:tcPr>
          <w:p w14:paraId="35B9D469" w14:textId="77777777" w:rsidR="00EC3DFE" w:rsidRPr="007701DC" w:rsidRDefault="00EC3DFE" w:rsidP="00E349C8">
            <w:pPr>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3.5, 5.25, 7</w:t>
            </w:r>
          </w:p>
        </w:tc>
      </w:tr>
      <w:tr w:rsidR="00EC3DFE" w:rsidRPr="007701DC" w14:paraId="7D953A11" w14:textId="77777777" w:rsidTr="00E349C8">
        <w:tc>
          <w:tcPr>
            <w:tcW w:w="1212" w:type="pct"/>
          </w:tcPr>
          <w:p w14:paraId="3D637E23"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Fueling/charging station availability</w:t>
            </w:r>
          </w:p>
        </w:tc>
        <w:tc>
          <w:tcPr>
            <w:tcW w:w="908" w:type="pct"/>
          </w:tcPr>
          <w:p w14:paraId="2CEACC93"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All gas stations</w:t>
            </w:r>
          </w:p>
        </w:tc>
        <w:tc>
          <w:tcPr>
            <w:tcW w:w="909" w:type="pct"/>
          </w:tcPr>
          <w:p w14:paraId="46B6DE4C"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 xml:space="preserve">All gas stations </w:t>
            </w:r>
          </w:p>
        </w:tc>
        <w:tc>
          <w:tcPr>
            <w:tcW w:w="984" w:type="pct"/>
          </w:tcPr>
          <w:p w14:paraId="707ADA9B"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10%, Same, Twice</w:t>
            </w:r>
          </w:p>
        </w:tc>
        <w:tc>
          <w:tcPr>
            <w:tcW w:w="987" w:type="pct"/>
          </w:tcPr>
          <w:p w14:paraId="342153B6"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10%, Same, Twice</w:t>
            </w:r>
          </w:p>
        </w:tc>
      </w:tr>
      <w:tr w:rsidR="00EC3DFE" w:rsidRPr="007701DC" w14:paraId="2DA79A58" w14:textId="77777777" w:rsidTr="00E349C8">
        <w:tc>
          <w:tcPr>
            <w:tcW w:w="1212" w:type="pct"/>
          </w:tcPr>
          <w:p w14:paraId="60E18CEB"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Battery warranty</w:t>
            </w:r>
          </w:p>
        </w:tc>
        <w:tc>
          <w:tcPr>
            <w:tcW w:w="908" w:type="pct"/>
          </w:tcPr>
          <w:p w14:paraId="47E7FF31"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w:t>
            </w:r>
          </w:p>
        </w:tc>
        <w:tc>
          <w:tcPr>
            <w:tcW w:w="909" w:type="pct"/>
          </w:tcPr>
          <w:p w14:paraId="2A35E341"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w:t>
            </w:r>
          </w:p>
        </w:tc>
        <w:tc>
          <w:tcPr>
            <w:tcW w:w="984" w:type="pct"/>
          </w:tcPr>
          <w:p w14:paraId="705BF007" w14:textId="77777777" w:rsidR="00EC3DFE" w:rsidRPr="007701DC" w:rsidRDefault="00EC3DFE" w:rsidP="006A69E2">
            <w:pPr>
              <w:spacing w:after="60"/>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3 yrs/58,000 km,</w:t>
            </w:r>
            <w:r w:rsidRPr="007701DC">
              <w:rPr>
                <w:rFonts w:ascii="Times New Roman" w:hAnsi="Times New Roman" w:cs="Times New Roman"/>
                <w:color w:val="000000" w:themeColor="text1"/>
                <w:sz w:val="18"/>
                <w:szCs w:val="18"/>
              </w:rPr>
              <w:br/>
              <w:t>5 yrs/96,000 km,</w:t>
            </w:r>
            <w:r w:rsidRPr="007701DC">
              <w:rPr>
                <w:rFonts w:ascii="Times New Roman" w:hAnsi="Times New Roman" w:cs="Times New Roman"/>
                <w:color w:val="000000" w:themeColor="text1"/>
                <w:sz w:val="18"/>
                <w:szCs w:val="18"/>
              </w:rPr>
              <w:br/>
              <w:t>8 yrs/160,000 km</w:t>
            </w:r>
          </w:p>
        </w:tc>
        <w:tc>
          <w:tcPr>
            <w:tcW w:w="987" w:type="pct"/>
          </w:tcPr>
          <w:p w14:paraId="12143E52" w14:textId="77777777" w:rsidR="00EC3DFE" w:rsidRPr="007701DC" w:rsidRDefault="00EC3DFE" w:rsidP="00E349C8">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3 yrs/58,000 km,</w:t>
            </w:r>
            <w:r w:rsidRPr="007701DC">
              <w:rPr>
                <w:rFonts w:ascii="Times New Roman" w:hAnsi="Times New Roman" w:cs="Times New Roman"/>
                <w:color w:val="000000" w:themeColor="text1"/>
                <w:sz w:val="18"/>
                <w:szCs w:val="18"/>
              </w:rPr>
              <w:br/>
              <w:t>5 yrs/96,000 km,</w:t>
            </w:r>
            <w:r w:rsidRPr="007701DC">
              <w:rPr>
                <w:rFonts w:ascii="Times New Roman" w:hAnsi="Times New Roman" w:cs="Times New Roman"/>
                <w:color w:val="000000" w:themeColor="text1"/>
                <w:sz w:val="18"/>
                <w:szCs w:val="18"/>
              </w:rPr>
              <w:br/>
              <w:t>8 yrs/160,000 km</w:t>
            </w:r>
          </w:p>
        </w:tc>
      </w:tr>
      <w:tr w:rsidR="00EC3DFE" w:rsidRPr="007701DC" w14:paraId="33242955" w14:textId="77777777" w:rsidTr="00E349C8">
        <w:tc>
          <w:tcPr>
            <w:tcW w:w="1212" w:type="pct"/>
            <w:tcBorders>
              <w:bottom w:val="single" w:sz="4" w:space="0" w:color="auto"/>
            </w:tcBorders>
          </w:tcPr>
          <w:p w14:paraId="11D8F18C" w14:textId="77777777" w:rsidR="00EC3DFE" w:rsidRPr="007701DC" w:rsidRDefault="00EC3DFE" w:rsidP="00E349C8">
            <w:pPr>
              <w:spacing w:after="60"/>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Non-cash incentives</w:t>
            </w:r>
          </w:p>
        </w:tc>
        <w:tc>
          <w:tcPr>
            <w:tcW w:w="908" w:type="pct"/>
            <w:tcBorders>
              <w:bottom w:val="single" w:sz="4" w:space="0" w:color="auto"/>
            </w:tcBorders>
          </w:tcPr>
          <w:p w14:paraId="4AB73797" w14:textId="77777777" w:rsidR="00EC3DFE" w:rsidRPr="007701DC" w:rsidRDefault="00EC3DFE" w:rsidP="00E349C8">
            <w:pPr>
              <w:spacing w:after="60"/>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w:t>
            </w:r>
          </w:p>
        </w:tc>
        <w:tc>
          <w:tcPr>
            <w:tcW w:w="909" w:type="pct"/>
            <w:tcBorders>
              <w:bottom w:val="single" w:sz="4" w:space="0" w:color="auto"/>
            </w:tcBorders>
          </w:tcPr>
          <w:p w14:paraId="71DC6A61" w14:textId="77777777" w:rsidR="00EC3DFE" w:rsidRPr="007701DC" w:rsidRDefault="00EC3DFE" w:rsidP="00E349C8">
            <w:pPr>
              <w:spacing w:after="60"/>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w:t>
            </w:r>
          </w:p>
        </w:tc>
        <w:tc>
          <w:tcPr>
            <w:tcW w:w="984" w:type="pct"/>
            <w:tcBorders>
              <w:bottom w:val="single" w:sz="4" w:space="0" w:color="auto"/>
            </w:tcBorders>
          </w:tcPr>
          <w:p w14:paraId="2FE9F2DE" w14:textId="77777777" w:rsidR="00EC3DFE" w:rsidRPr="007701DC" w:rsidRDefault="00EC3DFE" w:rsidP="00E349C8">
            <w:pPr>
              <w:spacing w:after="60"/>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HOV lane access,</w:t>
            </w:r>
            <w:r w:rsidRPr="007701DC">
              <w:rPr>
                <w:rFonts w:ascii="Times New Roman" w:hAnsi="Times New Roman" w:cs="Times New Roman"/>
                <w:color w:val="000000" w:themeColor="text1"/>
                <w:sz w:val="18"/>
                <w:szCs w:val="18"/>
              </w:rPr>
              <w:br/>
              <w:t>Free parking,</w:t>
            </w:r>
            <w:r w:rsidRPr="007701DC">
              <w:rPr>
                <w:rFonts w:ascii="Times New Roman" w:hAnsi="Times New Roman" w:cs="Times New Roman"/>
                <w:color w:val="000000" w:themeColor="text1"/>
                <w:sz w:val="18"/>
                <w:szCs w:val="18"/>
              </w:rPr>
              <w:br/>
              <w:t>Free toll roads</w:t>
            </w:r>
          </w:p>
        </w:tc>
        <w:tc>
          <w:tcPr>
            <w:tcW w:w="987" w:type="pct"/>
            <w:tcBorders>
              <w:bottom w:val="single" w:sz="4" w:space="0" w:color="auto"/>
            </w:tcBorders>
          </w:tcPr>
          <w:p w14:paraId="3D16EA38" w14:textId="77777777" w:rsidR="00EC3DFE" w:rsidRPr="007701DC" w:rsidRDefault="00EC3DFE" w:rsidP="00E349C8">
            <w:pPr>
              <w:spacing w:after="60"/>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HOV lane access,</w:t>
            </w:r>
            <w:r w:rsidRPr="007701DC">
              <w:rPr>
                <w:rFonts w:ascii="Times New Roman" w:hAnsi="Times New Roman" w:cs="Times New Roman"/>
                <w:color w:val="000000" w:themeColor="text1"/>
                <w:sz w:val="18"/>
                <w:szCs w:val="18"/>
              </w:rPr>
              <w:br/>
              <w:t>Free parking,</w:t>
            </w:r>
            <w:r w:rsidRPr="007701DC">
              <w:rPr>
                <w:rFonts w:ascii="Times New Roman" w:hAnsi="Times New Roman" w:cs="Times New Roman"/>
                <w:color w:val="000000" w:themeColor="text1"/>
                <w:sz w:val="18"/>
                <w:szCs w:val="18"/>
              </w:rPr>
              <w:br/>
              <w:t>Free toll roads</w:t>
            </w:r>
          </w:p>
        </w:tc>
      </w:tr>
      <w:tr w:rsidR="00EC3DFE" w:rsidRPr="007701DC" w14:paraId="2CDA7C20" w14:textId="77777777" w:rsidTr="00E349C8">
        <w:tc>
          <w:tcPr>
            <w:tcW w:w="5000" w:type="pct"/>
            <w:gridSpan w:val="5"/>
            <w:tcBorders>
              <w:top w:val="single" w:sz="4" w:space="0" w:color="auto"/>
            </w:tcBorders>
          </w:tcPr>
          <w:p w14:paraId="0D526432" w14:textId="77777777" w:rsidR="00EC3DFE" w:rsidRPr="007701DC" w:rsidRDefault="00EC3DFE" w:rsidP="00E349C8">
            <w:pPr>
              <w:spacing w:before="60"/>
              <w:textAlignment w:val="baseline"/>
              <w:rPr>
                <w:rFonts w:ascii="Times New Roman" w:hAnsi="Times New Roman" w:cs="Times New Roman"/>
                <w:color w:val="000000" w:themeColor="text1"/>
                <w:sz w:val="16"/>
                <w:szCs w:val="16"/>
              </w:rPr>
            </w:pPr>
            <w:r w:rsidRPr="007701DC">
              <w:rPr>
                <w:rFonts w:ascii="Times New Roman" w:hAnsi="Times New Roman" w:cs="Times New Roman"/>
                <w:color w:val="000000" w:themeColor="text1"/>
                <w:sz w:val="16"/>
                <w:szCs w:val="16"/>
              </w:rPr>
              <w:t>Same = same number of stations as number of current gas stations; Twice = twice as many stations as current number of gas stations; HOV lane access = high occupancy vehicle lane access.</w:t>
            </w:r>
          </w:p>
        </w:tc>
      </w:tr>
    </w:tbl>
    <w:p w14:paraId="54D8A6AC" w14:textId="77777777" w:rsidR="00EC3DFE" w:rsidRDefault="00EC3DFE" w:rsidP="00EC3DFE"/>
    <w:p w14:paraId="167F0687" w14:textId="77777777" w:rsidR="003C3597" w:rsidRPr="00B00A98" w:rsidRDefault="003C3597" w:rsidP="00E1100F">
      <w:pPr>
        <w:pStyle w:val="ListParagraph"/>
        <w:numPr>
          <w:ilvl w:val="2"/>
          <w:numId w:val="8"/>
        </w:numPr>
        <w:outlineLvl w:val="2"/>
        <w:rPr>
          <w:rFonts w:ascii="Times New Roman" w:hAnsi="Times New Roman" w:cs="Times New Roman"/>
          <w:b/>
          <w:color w:val="000000"/>
        </w:rPr>
      </w:pPr>
      <w:bookmarkStart w:id="47" w:name="_Toc528650863"/>
      <w:r w:rsidRPr="00B00A98">
        <w:rPr>
          <w:rFonts w:ascii="Times New Roman" w:hAnsi="Times New Roman" w:cs="Times New Roman"/>
          <w:b/>
          <w:color w:val="000000"/>
        </w:rPr>
        <w:t>Emphasis on Detailed Geography and Location</w:t>
      </w:r>
      <w:bookmarkEnd w:id="47"/>
    </w:p>
    <w:p w14:paraId="222A2E0E"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Geography played a significant role in the conceptualization of SPACE. Fundamental in this regard, was our collection of 6-digit postal codes that could fairly precisely locate our respondents, and identify the spatial context in which they would assess electric mobility. For example, whether potential EV buyers are more concentrated in the central cities or suburban areas, also, whether or not EVs are more preferred among single-family housings with access to a private garage as opposed to apartment occupants where charging circumstances may have been less </w:t>
      </w:r>
      <w:r w:rsidRPr="003C3597">
        <w:rPr>
          <w:rFonts w:ascii="Times New Roman" w:hAnsi="Times New Roman" w:cs="Times New Roman"/>
          <w:color w:val="000000"/>
        </w:rPr>
        <w:lastRenderedPageBreak/>
        <w:t xml:space="preserve">favourable. Such segmentation analysis can be conducted at the small census area level (dissemination area) using locational and other variables from SPACE. Such a fine level of spatial detail is not common within the EV literature.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{"citationItems":[{"id":"ITEM-1","itemData":{"DOI":"10.1016/j.tra.2012.05.004","ISSN":"09658564","author":[{"dropping-particle":"","family":"Campbell","given":"Amy R.","non-dropping-particle":"","parse-names":false,"suffix":""},{"dropping-particle":"","family":"Ryley","given":"Tim","non-dropping-particle":"","parse-names":false,"suffix":""},{"dropping-particle":"","family":"Thring","given":"Rob","non-dropping-particle":"","parse-names":false,"suffix":""}],"container-title":"Transportation Research Part A: Policy and Practice","id":"ITEM-1","issue":"8","issued":{"date-parts":[["2012","10"]]},"page":"1318-1327","publisher":"Elsevier Ltd","title":"Identifying the early adopters of alternative fuel vehicles: A case study of Birmingham, United Kingdom","type":"article-journal","volume":"46"},"uris":["http://www.mendeley.com/documents/?uuid=cf7f5c97-1670-44ca-af72-41082824da90"]}],"mendeley":{"formattedCitation":"(Campbell, Ryley, &amp; Thring, 2012)","manualFormatting":"Campbell et al. (2012)","plainTextFormattedCitation":"(Campbell, Ryley, &amp; Thring, 2012)","previouslyFormattedCitation":"(Campbell, Ryley, &amp; Thring, 2012)"},"properties":{"noteIndex":0},"schema":"https://github.com/citation-style-language/schema/raw/master/csl-citation.json"}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Campbell et al. (2012)</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is one of the few studies that derived a geographically-oriented segmentation system, though solely through the use of census data; by means of variables such as income, age, and home ownership that were considered important in characterizing the adoption of alternative fuel vehicles. </w:t>
      </w:r>
    </w:p>
    <w:p w14:paraId="47358DBA"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Capturing the locational context of households permits consideration of research aspects such as: optimum locations for public charging infrastructure, identification of places with high demand for home EV charging and resulting impact on the electricity distribution network. Information on workplace location (i.e. postal code or nearest major intersection) was also collected to derive a sense of the spatial scope of daily activities</w:t>
      </w:r>
      <w:r w:rsidR="00EC3DFE">
        <w:rPr>
          <w:rFonts w:ascii="Times New Roman" w:hAnsi="Times New Roman" w:cs="Times New Roman"/>
          <w:color w:val="000000"/>
        </w:rPr>
        <w:t xml:space="preserve"> and implications for EV range.</w:t>
      </w:r>
    </w:p>
    <w:p w14:paraId="6C8AECB6" w14:textId="77777777" w:rsidR="003C3597" w:rsidRPr="00B00A98" w:rsidRDefault="003C3597" w:rsidP="00E1100F">
      <w:pPr>
        <w:pStyle w:val="ListParagraph"/>
        <w:numPr>
          <w:ilvl w:val="2"/>
          <w:numId w:val="8"/>
        </w:numPr>
        <w:outlineLvl w:val="2"/>
        <w:rPr>
          <w:rFonts w:ascii="Times New Roman" w:hAnsi="Times New Roman" w:cs="Times New Roman"/>
          <w:b/>
          <w:color w:val="000000"/>
        </w:rPr>
      </w:pPr>
      <w:bookmarkStart w:id="48" w:name="_Toc528650864"/>
      <w:r w:rsidRPr="00B00A98">
        <w:rPr>
          <w:rFonts w:ascii="Times New Roman" w:hAnsi="Times New Roman" w:cs="Times New Roman"/>
          <w:b/>
          <w:color w:val="000000"/>
        </w:rPr>
        <w:t>Emphasis on Collection of Attitudes</w:t>
      </w:r>
      <w:bookmarkEnd w:id="48"/>
      <w:r w:rsidRPr="00B00A98">
        <w:rPr>
          <w:rFonts w:ascii="Times New Roman" w:hAnsi="Times New Roman" w:cs="Times New Roman"/>
          <w:b/>
          <w:color w:val="000000"/>
        </w:rPr>
        <w:t xml:space="preserve"> </w:t>
      </w:r>
    </w:p>
    <w:p w14:paraId="28A801A6"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An extensive suite of Likert-based attitudinal statements was included in SPACE to support survey analysis from multiple aspects. The focus of the statements was to extend the Theory of Planned Behaviour (TPB), developed in 1991 by Ajzen et al. Among other studies,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DOI":"10.1016/j.enpol.2012.06.009","ISSN":"03014215","author":[{"dropping-particle":"","family":"Egbue","given":"Ona","non-dropping-particle":"","parse-names":false,"suffix":""},{"dropping-particle":"","family":"Long","given":"Suzanna","non-dropping-particle":"","parse-names":false,"suffix":""}],"container-title":"Energy Policy","id":"ITEM-1","issue":"2012","issued":{"date-parts":[["2012","9"]]},"page":"717-729","publisher":"Elsevier","title":"Barriers to widespread adoption of electric vehicles: An analysis of consumer attitudes and perceptions","type":"article-journal","volume":"48"},"uris":["http://www.mendeley.com/documents/?uuid=e61d3395-ac14-4e0b-89a5-3c52b630cfda"]},{"id":"ITEM-2","itemData":{"DOI":"10.1080/0267257X.2012.659007","ISBN":"0267-257X","ISSN":"0267257X","abstract":"In a sample of 1202 Belgians, the determining factors of the usage intention of an electric car and the differences between early and late usage intention segments are investigated. The Theory of Planned Behaviour (TPB) framework is extended with emotional reactions towards the electric car and car driving in general. Emotions and the attitude towards the electric car are the strongest determinants of usage intention, followed by the subjective norm. Reflective emotions towards car driving and perceived behavioural control factors also play a significant role. Differences in the relative importance of the determinants of usage intention between subgroups based on environmental concern and behaviour and social values are also studied. In general, people in segments that are more inclined to use the electric car are less driven by emotions towards the electric car and more by reflective emotions towards car driving, and take more perceived behavioural concerns into account. [ABSTRACT FROM PUBLISHER]","author":[{"dropping-particle":"","family":"Moons","given":"Ingrid","non-dropping-particle":"","parse-names":false,"suffix":""},{"dropping-particle":"","family":"Pelsmacker","given":"Patrick","non-dropping-particle":"de","parse-names":false,"suffix":""}],"container-title":"Journal of Marketing Management","id":"ITEM-2","issue":"3-4","issued":{"date-parts":[["2012"]]},"page":"195-237","title":"Emotions as determinants of electric car usage intention","type":"article-journal","volume":"28"},"uris":["http://www.mendeley.com/documents/?uuid=5eff2ea9-bf9a-4483-a6f4-e2c71ab55b39"]},{"id":"ITEM-3","itemData":{"DOI":"10.1016/j.jclepro.2006.05.026","ISBN":"09596526","ISSN":"09596526","abstract":"This paper reports the initial findings of two research projects that identify attitudinal barriers inhibiting the adoption of cleaner vehicles in the UK. The first, conducted for the Low Carbon Vehicle Partnership by Ecolane Transport Consultancy, reviews the evidence of consumer attitudes to low carbon cars. The study shows that car buyers have a poor knowledge of cleaner car technologies, the environmental impacts of road transport and car ownership costs. The second study, initiated within the Open University's Design Innovation Group, identifies key 'hotspot' factors that influence consumers' adoption of low carbon products. The study, which is ongoing, has concluded that identifying where and when these hotspot points of leverage occur could help inform initiatives to facilitate consumer adoption and effective use. ?? 2006 Elsevier Ltd. All rights reserved.","author":[{"dropping-particle":"","family":"Lane","given":"Ben","non-dropping-particle":"","parse-names":false,"suffix":""},{"dropping-particle":"","family":"Potter","given":"Stephen","non-dropping-particle":"","parse-names":false,"suffix":""}],"container-title":"Journal of Cleaner Production","id":"ITEM-3","issue":"11-12","issued":{"date-parts":[["2007"]]},"page":"1085-1092","title":"The adoption of cleaner vehicles in the UK: exploring the consumer attitude-action gap","type":"article-journal","volume":"15"},"uris":["http://www.mendeley.com/documents/?uuid=a4b4a471-1f70-40ef-8509-3d8ace5164a8"]}],"mendeley":{"formattedCitation":"(Egbue &amp; Long, 2012; Lane &amp; Potter, 2007; Moons &amp; de Pelsmacker, 2012)","manualFormatting":"Egbue &amp; Long (2012), Lane &amp; Potter (2007), and Moons &amp; de Pelsmacker (2012)","plainTextFormattedCitation":"(Egbue &amp; Long, 2012; Lane &amp; Potter, 2007; Moons &amp; de Pelsmacker, 2012)","previouslyFormattedCitation":"(Egbue &amp; Long, 2012; Lane &amp; Potter, 2007; Moons &amp; de Pelsmacker, 2012)"},"properties":{"noteIndex":0},"schema":"https://github.com/citation-style-language/schema/raw/master/csl-citation.json"}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Egbue &amp; Long (2012), Lane &amp; Potter (2007), and Moons &amp; de Pelsmacker (2012)</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applied TPB in their EV analysis, though within different research contexts since the extended TPB can be customized based on the objectives of each study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{"citationItems":[{"id":"ITEM-1","itemData":{"DOI":"10.1016/j.tranpol.2016.07.006","ISSN":"1879310X","abstract":"This article presents a two-stage structural equation modelling and segmentation process to identify likely electric vehicle adopters in Canada. Using a sample of 3505 households who have expressed an interest in the future purchase of an economy car, the paper operationalizes an extended version of the Theory of Planned Behaviour in a structural equation model to quantify the impacts of personal beliefs on individual adoption intention towards electric vehicles. Model results show that attitude, perceived behavioural control, and norms (moral and subjective) have significant direct impacts on behavioural intention, while a household's concern for the environment has an indirect impact. Age, level of employment, and employment status are identified, among other variables, to significantly influence the adoption intention. Collectively, findings indicate that beliefs vary across socioeconomic and demographic characteristics. To best characterize the most likely group of early adopters, we then conduct a Two-Step cluster analysis on households with a high demonstrated intention to adopt EVs. This results in three distinct socio-economic and demographic segments: Typical Early Adopters, Emerging Early Adopters, and Interested Retirees. Each have their own unique socioeconomic and demographic profile. Insights derived from this work can help tailor marketing strategies that are important for accelerating the adoption of electric vehicles in the future.","author":[{"dropping-particle":"","family":"Mohamed","given":"Moataz","non-dropping-particle":"","parse-names":false,"suffix":""},{"dropping-particle":"","family":"Higgins","given":"Chris","non-dropping-particle":"","parse-names":false,"suffix":""},{"dropping-particle":"","family":"Ferguson","given":"Mark","non-dropping-particle":"","parse-names":false,"suffix":""},{"dropping-particle":"","family":"Kanaroglou","given":"Pavlos","non-dropping-particle":"","parse-names":false,"suffix":""}],"container-title":"Transport Policy","id":"ITEM-1","issued":{"date-parts":[["2016"]]},"page":"100-112","publisher":"Elsevier","title":"Identifying and characterizing potential electric vehicle adopters in Canada: A two-stage modelling approach","type":"article-journal","volume":"52"},"uris":["http://www.mendeley.com/documents/?uuid=d6e0e4bd-af38-40f8-9373-f73b76827c48"]}],"mendeley":{"formattedCitation":"(Mohamed et al., 2016)","manualFormatting":"(Mohamed et al., 2016)","plainTextFormattedCitation":"(Mohamed et al., 2016)","previouslyFormattedCitation":"(Mohamed et al., 2016)"},"properties":{"noteIndex":0},"schema":"https://github.com/citation-style-language/schema/raw/master/csl-citation.json"}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(Mohamed et al., 2016)</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w:t>
      </w:r>
    </w:p>
    <w:p w14:paraId="5053F6C6"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lastRenderedPageBreak/>
        <w:t>In SPACE, suites of</w:t>
      </w:r>
      <w:r w:rsidRPr="003C3597" w:rsidDel="00937C1F">
        <w:rPr>
          <w:rFonts w:ascii="Times New Roman" w:hAnsi="Times New Roman" w:cs="Times New Roman"/>
          <w:color w:val="000000"/>
        </w:rPr>
        <w:t xml:space="preserve"> </w:t>
      </w:r>
      <w:r w:rsidRPr="003C3597">
        <w:rPr>
          <w:rFonts w:ascii="Times New Roman" w:hAnsi="Times New Roman" w:cs="Times New Roman"/>
          <w:color w:val="000000"/>
        </w:rPr>
        <w:t xml:space="preserve">attitudinal statements were developed to capture several behavioural constructs and intentions as they relate to EV adoption behavior. The captured attitudes acted as a primary outcome factor in the structural equation analysis of Mohamed et al (2016) that offered independent behavioural analysis of EV purchase intentions, and were used to model choice outcomes in the SP analysis of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{"citationItems":[{"id":"ITEM-1","itemData":{"DOI":"10.1016/j.trd.2017.12.006","ISSN":"13619209","abstract":"This paper reports on results developed from a 2015 national survey of Canadian consumers that sought to assess attitudes and preferences towards consumer electric vehicles. A latent class discrete choice model was developed based on stated preferences choices. Four classes emerged with each being oriented to one of the primary vehicle technologies considered. The dominant characteristics of the Internal Combustion Engine (ICE)-oriented class are purchase price sensitivity, EV scepticism and an apparent resistance to change; for the Hybrid Electric Vehicle (HEV)-oriented class it is reluctance to plug-in and an unusual combination of high environmental concern and an acceptance to burn gasoline; for the suburban-oriented Plug-in Hybrid Electric Vehicle (PHEV)-oriented class it is measured optimism about plugging-in combined with an orientation to a replacement vehicle for the next purchase; and for the younger and most urban Battery Electric Vehicle (BEV)-oriented class it is the highest optimism about electric vehicles and a focus on positive aspects such as rapid acceleration and minimized maintenance costs. By orientation of household mindset, approximately 40% are ICE, 30% are PHEV, 20% are HEV and 10% are BEV. These results suggest considerable openness to electric vehicles. Willingness-to-pay for vehicle and charging attributes and incentives were calculated and are highly useful in interpreting the latent classes. The results feature interesting geographical variation which is captured at the level of Canadian metropolitan areas.","author":[{"dropping-particle":"","family":"Ferguson","given":"Mark","non-dropping-particle":"","parse-names":false,"suffix":""},{"dropping-particle":"","family":"Mohamed","given":"Moataz","non-dropping-particle":"","parse-names":false,"suffix":""},{"dropping-particle":"","family":"Higgins","given":"Christopher D.","non-dropping-particle":"","parse-names":false,"suffix":""},{"dropping-particle":"","family":"Abotalebi","given":"Elnaz","non-dropping-particle":"","parse-names":false,"suffix":""},{"dropping-particle":"","family":"Kanaroglou","given":"Pavlos","non-dropping-particle":"","parse-names":false,"suffix":""}],"container-title":"Transportation Research Part D: Transport and Environment","id":"ITEM-1","issued":{"date-parts":[["2018"]]},"page":"208-224","publisher":"Elsevier","title":"How open are Canadian households to electric vehicles? A national latent class choice analysis with willingness-to-pay and metropolitan characterization","type":"article-journal","volume":"58"},"uris":["http://www.mendeley.com/documents/?uuid=c615551d-f062-4882-8b38-a38c4b1fdf57"]}],"mendeley":{"formattedCitation":"(Ferguson et al., 2018)","manualFormatting":"Ferguson et al. (2018)","plainTextFormattedCitation":"(Ferguson et al., 2018)","previouslyFormattedCitation":"(Ferguson et al., 2018)"},"properties":{"noteIndex":0},"schema":"https://github.com/citation-style-language/schema/raw/master/csl-citation.json"}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Ferguson et al. (2018)</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The inclusion of attitudinal statements combined with an emphasis to support multiple analysis approaches is rare in the previous works. The attitudinal component offers the possibility to be used as an explanatory role in choice modelling related to the SP analysis and is also useful in carrying out detailed geographical and psychographic-based market segmentation analysis. These offer insights into how attitudes vary over space. Altogether, the SP section and attitudinal part worked as complementary in understanding consumer behaviours towards EVs. </w:t>
      </w:r>
    </w:p>
    <w:p w14:paraId="402EEFFB"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A list of attitudinal statements can be found at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{"citationItems":[{"id":"ITEM-1","itemData":{"DOI":"10.1016/j.tranpol.2016.07.006","ISSN":"1879310X","abstract":"This article presents a two-stage structural equation modelling and segmentation process to identify likely electric vehicle adopters in Canada. Using a sample of 3505 households who have expressed an interest in the future purchase of an economy car, the paper operationalizes an extended version of the Theory of Planned Behaviour in a structural equation model to quantify the impacts of personal beliefs on individual adoption intention towards electric vehicles. Model results show that attitude, perceived behavioural control, and norms (moral and subjective) have significant direct impacts on behavioural intention, while a household's concern for the environment has an indirect impact. Age, level of employment, and employment status are identified, among other variables, to significantly influence the adoption intention. Collectively, findings indicate that beliefs vary across socioeconomic and demographic characteristics. To best characterize the most likely group of early adopters, we then conduct a Two-Step cluster analysis on households with a high demonstrated intention to adopt EVs. This results in three distinct socio-economic and demographic segments: Typical Early Adopters, Emerging Early Adopters, and Interested Retirees. Each have their own unique socioeconomic and demographic profile. Insights derived from this work can help tailor marketing strategies that are important for accelerating the adoption of electric vehicles in the future.","author":[{"dropping-particle":"","family":"Mohamed","given":"Moataz","non-dropping-particle":"","parse-names":false,"suffix":""},{"dropping-particle":"","family":"Higgins","given":"Chris","non-dropping-particle":"","parse-names":false,"suffix":""},{"dropping-particle":"","family":"Ferguson","given":"Mark","non-dropping-particle":"","parse-names":false,"suffix":""},{"dropping-particle":"","family":"Kanaroglou","given":"Pavlos","non-dropping-particle":"","parse-names":false,"suffix":""}],"container-title":"Transport Policy","id":"ITEM-1","issued":{"date-parts":[["2016"]]},"page":"100-112","publisher":"Elsevier","title":"Identifying and characterizing potential electric vehicle adopters in Canada: A two-stage modelling approach","type":"article-journal","volume":"52"},"uris":["http://www.mendeley.com/documents/?uuid=d6e0e4bd-af38-40f8-9373-f73b76827c48"]}],"mendeley":{"formattedCitation":"(Mohamed et al., 2016)","manualFormatting":"Mohamed et al. (2016)","plainTextFormattedCitation":"(Mohamed et al., 2016)","previouslyFormattedCitation":"(Mohamed et al., 2016)"},"properties":{"noteIndex":0},"schema":"https://github.com/citation-style-language/schema/raw/master/csl-citation.json"}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Mohamed et al. (2016)</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along with details of analysis. The developed model includes six constructs: environmental concern, attitude towards adopting EVs, subjective norm, perceived behavioural control, personal moral norm, and EV adoption intention. One possible improvement is the inclusion of one more construct to measure the level of public awareness on EVs. This aspect emerged from our industrial partners later on but was not emphasized during survey development. </w:t>
      </w:r>
    </w:p>
    <w:p w14:paraId="63B95928" w14:textId="77777777" w:rsidR="003C3597" w:rsidRDefault="003C3597" w:rsidP="003C3597">
      <w:pPr>
        <w:rPr>
          <w:rFonts w:ascii="Times New Roman" w:hAnsi="Times New Roman" w:cs="Times New Roman"/>
          <w:color w:val="000000"/>
        </w:rPr>
      </w:pPr>
    </w:p>
    <w:p w14:paraId="589E3FBA" w14:textId="77777777" w:rsidR="00EC3DFE" w:rsidRPr="003C3597" w:rsidRDefault="00EC3DFE" w:rsidP="003C3597">
      <w:pPr>
        <w:rPr>
          <w:rFonts w:ascii="Times New Roman" w:hAnsi="Times New Roman" w:cs="Times New Roman"/>
          <w:color w:val="000000"/>
        </w:rPr>
      </w:pPr>
    </w:p>
    <w:p w14:paraId="49FFA780" w14:textId="77777777" w:rsidR="003C3597" w:rsidRPr="00B00A98" w:rsidRDefault="003C3597" w:rsidP="00E1100F">
      <w:pPr>
        <w:pStyle w:val="ListParagraph"/>
        <w:numPr>
          <w:ilvl w:val="2"/>
          <w:numId w:val="8"/>
        </w:numPr>
        <w:outlineLvl w:val="2"/>
        <w:rPr>
          <w:rFonts w:ascii="Times New Roman" w:hAnsi="Times New Roman" w:cs="Times New Roman"/>
          <w:b/>
          <w:color w:val="000000"/>
        </w:rPr>
      </w:pPr>
      <w:bookmarkStart w:id="49" w:name="_Toc528650865"/>
      <w:r w:rsidRPr="00B00A98">
        <w:rPr>
          <w:rFonts w:ascii="Times New Roman" w:hAnsi="Times New Roman" w:cs="Times New Roman"/>
          <w:b/>
          <w:color w:val="000000"/>
        </w:rPr>
        <w:lastRenderedPageBreak/>
        <w:t>Context Sensitivity</w:t>
      </w:r>
      <w:bookmarkEnd w:id="49"/>
    </w:p>
    <w:p w14:paraId="6FC9A6AC"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The implementation of the SP experiments in the survey instrument was rather novel in that it was sensitive to the respondents’ specific circumstances;</w:t>
      </w:r>
      <w:r w:rsidRPr="003C3597" w:rsidDel="005A37E7">
        <w:rPr>
          <w:rFonts w:ascii="Times New Roman" w:hAnsi="Times New Roman" w:cs="Times New Roman"/>
          <w:color w:val="000000"/>
        </w:rPr>
        <w:t xml:space="preserve"> </w:t>
      </w:r>
      <w:r w:rsidRPr="003C3597">
        <w:rPr>
          <w:rFonts w:ascii="Times New Roman" w:hAnsi="Times New Roman" w:cs="Times New Roman"/>
          <w:color w:val="000000"/>
        </w:rPr>
        <w:t xml:space="preserve">annual mileage, purchase plan (i.e. incremental or replacement vehicle), preferred vehicle body type and anticipated purchase price. In the EV literature, this is referred to as </w:t>
      </w:r>
      <w:r w:rsidRPr="003C3597">
        <w:rPr>
          <w:rFonts w:ascii="Times New Roman" w:hAnsi="Times New Roman" w:cs="Times New Roman"/>
          <w:i/>
          <w:iCs/>
          <w:color w:val="000000"/>
        </w:rPr>
        <w:t>customized</w:t>
      </w:r>
      <w:r w:rsidRPr="003C3597">
        <w:rPr>
          <w:rFonts w:ascii="Times New Roman" w:hAnsi="Times New Roman" w:cs="Times New Roman"/>
          <w:color w:val="000000"/>
        </w:rPr>
        <w:t xml:space="preserve"> design, and was applied in a number of studies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{"citationItems":[{"id":"ITEM-1","itemData":{"ISSN":"09658564","abstract":"A study was conducted to determine how demand for clean-fuel vehicles and their fuels is likely to vary as a function of attributes that distinguish these vehicles from conventional gasoline vehicles. For the purposes of the study, clean-fuel vehicles are defined to encompass both electric vehicles and unspecified (methanol, ethanol, compressed natural gas or propane) liquid and gaseous fuel vehicles, in both dedicated or multiple-fuel versions. The attributes include vehicle purchase price, fuel operating cost, vehicle range between refueling, availability of fuel, dedicated versus multiple-fuel capability and the level of reduction in emissions (compared to current vehicles). In a mail-back stated preference survey, approximately 700 respondents in the California South Coast Air Basin gave their choices among sets of hypothetical future vehicles, as well as their choices between alternative fuel versus gasoline for hypothetical multiple-fuel vehicles. Estimates of attribute importance and segment differences are made using discrete-choice nested multinomial logit models for vehicle choice and binomial logit models for fuel choice. These estimates can be used to modify present vehicle-type choice and utilization models to accommodate clean-fuel vehicles; they can also be used to evaluate scenarios for alternative clean-fuel vehicle and fuel supply configurations. Results indicate that range between refueling is an important attribute, particularly if range for an alternative fuel is substantially less than that for gasoline. For fuel choice, the most important attributes are range and fuel cost, but the predicted probability of choosing alternative fuel is also affected by emissions levels, which can compensate for differences in fuel prices.","author":[{"dropping-particle":"","family":"Bunch","given":"David S.","non-dropping-particle":"","parse-names":false,"suffix":""},{"dropping-particle":"","family":"Bradley","given":"Mark","non-dropping-particle":"","parse-names":false,"suffix":""},{"dropping-particle":"","family":"Golob","given":"Thomas F.","non-dropping-particle":"","parse-names":false,"suffix":""},{"dropping-particle":"","family":"Kitamura","given":"Ryuichi","non-dropping-particle":"","parse-names":false,"suffix":""},{"dropping-particle":"","family":"Occhiuzzo","given":"Gareth P.","non-dropping-particle":"","parse-names":false,"suffix":""}],"container-title":"Transportation Research Part A: Policy and Practice","id":"ITEM-1","issue":"3","issued":{"date-parts":[["1993"]]},"page":"237-253","title":"Demand for clean-fuel vehicles in California: A discrete-choice stated preference pilot project","type":"article","volume":"27"},"uris":["http://www.mendeley.com/documents/?uuid=c8872c6b-573a-487a-8cc4-21243fad05e9"]},{"id":"ITEM-2","itemData":{"DOI":"10.1016/j.trd.2007.03.001","ISSN":"13619209","author":[{"dropping-particle":"","family":"Potoglou","given":"Dimitris","non-dropping-particle":"","parse-names":false,"suffix":""},{"dropping-particle":"","family":"Kanaroglou","given":"Pavlos S.","non-dropping-particle":"","parse-names":false,"suffix":""}],"container-title":"Transportation Research Part D: Transport and Environment","id":"ITEM-2","issue":"4","issued":{"date-parts":[["2007","6"]]},"page":"264-274","title":"Household demand and willingness to pay for clean vehicles","type":"article-journal","volume":"12"},"uris":["http://www.mendeley.com/documents/?uuid=7af63e7b-a7d3-4621-bf04-f6ba6e21cd86"]},{"id":"ITEM-3","itemData":{"DOI":"10.1016/j.reseneeco.2011.02.002","ISSN":"09287655","author":[{"dropping-particle":"","family":"Hidrue","given":"Michael K.","non-dropping-particle":"","parse-names":false,"suffix":""},{"dropping-particle":"","family":"Parsons","given":"George R.","non-dropping-particle":"","parse-names":false,"suffix":""},{"dropping-particle":"","family":"Kempton","given":"Willett","non-dropping-particle":"","parse-names":false,"suffix":""},{"dropping-particle":"","family":"Gardner","given":"Meryl P.","non-dropping-particle":"","parse-names":false,"suffix":""}],"container-title":"Resource and Energy Economics","id":"ITEM-3","issue":"3","issued":{"date-parts":[["2011","9"]]},"page":"686-705","publisher":"Elsevier B.V.","title":"Willingness to pay for electric vehicles and their attributes","type":"article-journal","volume":"33"},"uris":["http://www.mendeley.com/documents/?uuid=63deed0b-ad6d-4e45-892f-7b53ac91ce81"]}],"mendeley":{"formattedCitation":"(Bunch et al., 1993; Hidrue et al., 2011; Potoglou &amp; Kanaroglou, 2007b)","manualFormatting":"(e.g. Bunch et al., 1993; Hidrue et al., 2011; Potoglou &amp; Kanaroglou, 2007)","plainTextFormattedCitation":"(Bunch et al., 1993; Hidrue et al., 2011; Potoglou &amp; Kanaroglou, 2007b)","previouslyFormattedCitation":"(Bunch et al., 1993; Hidrue et al., 2011; Potoglou &amp; Kanaroglou, 2007b)"},"properties":{"noteIndex":0},"schema":"https://github.com/citation-style-language/schema/raw/master/csl-citation.json"}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(e.g. Bunch et al., 1993; Hidrue et al., 2011; Potoglou &amp; Kanaroglou, 2007)</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In SPACE, the levels associated with tailpipe emissions, fueling/charging cost, and maintenance cost were adjusted based on respondent’s annual mileage and preferred vehicle body types reported earlier in the survey. Fueling/charging cost, for example, can vary a lot across vehicle body types. </w:t>
      </w:r>
    </w:p>
    <w:p w14:paraId="260C1823"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The choice box at the b</w:t>
      </w:r>
      <w:r w:rsidR="00B957FF">
        <w:rPr>
          <w:rFonts w:ascii="Times New Roman" w:hAnsi="Times New Roman" w:cs="Times New Roman"/>
          <w:color w:val="000000"/>
        </w:rPr>
        <w:t>ottom of the SP screen (see Figure</w:t>
      </w:r>
      <w:r w:rsidRPr="003C3597">
        <w:rPr>
          <w:rFonts w:ascii="Times New Roman" w:hAnsi="Times New Roman" w:cs="Times New Roman"/>
          <w:color w:val="000000"/>
        </w:rPr>
        <w:t xml:space="preserve"> </w:t>
      </w:r>
      <w:r w:rsidR="00B957FF">
        <w:rPr>
          <w:rFonts w:ascii="Times New Roman" w:hAnsi="Times New Roman" w:cs="Times New Roman"/>
          <w:color w:val="000000"/>
        </w:rPr>
        <w:t>2.</w:t>
      </w:r>
      <w:r w:rsidRPr="003C3597">
        <w:rPr>
          <w:rFonts w:ascii="Times New Roman" w:hAnsi="Times New Roman" w:cs="Times New Roman"/>
          <w:color w:val="000000"/>
        </w:rPr>
        <w:t>3) was also customized according to a respondent’s previously provided inf</w:t>
      </w:r>
      <w:r w:rsidR="00B957FF">
        <w:rPr>
          <w:rFonts w:ascii="Times New Roman" w:hAnsi="Times New Roman" w:cs="Times New Roman"/>
          <w:color w:val="000000"/>
        </w:rPr>
        <w:t>ormation. In the example of Figure</w:t>
      </w:r>
      <w:r w:rsidRPr="003C3597">
        <w:rPr>
          <w:rFonts w:ascii="Times New Roman" w:hAnsi="Times New Roman" w:cs="Times New Roman"/>
          <w:color w:val="000000"/>
        </w:rPr>
        <w:t xml:space="preserve"> </w:t>
      </w:r>
      <w:r w:rsidR="00B957FF">
        <w:rPr>
          <w:rFonts w:ascii="Times New Roman" w:hAnsi="Times New Roman" w:cs="Times New Roman"/>
          <w:color w:val="000000"/>
        </w:rPr>
        <w:t>2.</w:t>
      </w:r>
      <w:r w:rsidRPr="003C3597">
        <w:rPr>
          <w:rFonts w:ascii="Times New Roman" w:hAnsi="Times New Roman" w:cs="Times New Roman"/>
          <w:color w:val="000000"/>
        </w:rPr>
        <w:t>3, the respondent had earlier identified that the household sought a replacement vehicle as opposed to an incremental vehicle. For this reason, the first row of the choice box dealt with the powertrain that would be selected for the replacement vehicle. As a potential source of further useful data, we gave the respondent a second, more speculative, choice to make as to what powertrain they would choose in the event that they did, for whatever reason, decide to add an incremental vehicle. Note that this increme</w:t>
      </w:r>
      <w:r w:rsidR="00B957FF">
        <w:rPr>
          <w:rFonts w:ascii="Times New Roman" w:hAnsi="Times New Roman" w:cs="Times New Roman"/>
          <w:color w:val="000000"/>
        </w:rPr>
        <w:t>ntal vehicle is labelled in Figure</w:t>
      </w:r>
      <w:r w:rsidRPr="003C3597">
        <w:rPr>
          <w:rFonts w:ascii="Times New Roman" w:hAnsi="Times New Roman" w:cs="Times New Roman"/>
          <w:color w:val="000000"/>
        </w:rPr>
        <w:t xml:space="preserve"> </w:t>
      </w:r>
      <w:r w:rsidR="00B957FF">
        <w:rPr>
          <w:rFonts w:ascii="Times New Roman" w:hAnsi="Times New Roman" w:cs="Times New Roman"/>
          <w:color w:val="000000"/>
        </w:rPr>
        <w:t>2.</w:t>
      </w:r>
      <w:r w:rsidRPr="003C3597">
        <w:rPr>
          <w:rFonts w:ascii="Times New Roman" w:hAnsi="Times New Roman" w:cs="Times New Roman"/>
          <w:color w:val="000000"/>
        </w:rPr>
        <w:t>3 as the “2</w:t>
      </w:r>
      <w:r w:rsidRPr="003C3597">
        <w:rPr>
          <w:rFonts w:ascii="Times New Roman" w:hAnsi="Times New Roman" w:cs="Times New Roman"/>
          <w:color w:val="000000"/>
          <w:vertAlign w:val="superscript"/>
        </w:rPr>
        <w:t>nd</w:t>
      </w:r>
      <w:r w:rsidRPr="003C3597">
        <w:rPr>
          <w:rFonts w:ascii="Times New Roman" w:hAnsi="Times New Roman" w:cs="Times New Roman"/>
          <w:color w:val="000000"/>
        </w:rPr>
        <w:t xml:space="preserve"> household vehicle.”  This indicates that the respondent had earlier identified that the household currently operated one single vehicle.  Because this choice context was a secondary and low-probability one, the option to choose no vehicle for that choice context was provided. For each respondent, the presentation at the bottom of the SP </w:t>
      </w:r>
      <w:r w:rsidRPr="003C3597">
        <w:rPr>
          <w:rFonts w:ascii="Times New Roman" w:hAnsi="Times New Roman" w:cs="Times New Roman"/>
          <w:color w:val="000000"/>
        </w:rPr>
        <w:lastRenderedPageBreak/>
        <w:t xml:space="preserve">screen would adjust to their household circumstances. For the minority of households that preferred an incremental vehicle, the first choice would relate to that circumstance and the second choice with the opt-out option would relate to a replacement scenario.  </w:t>
      </w:r>
    </w:p>
    <w:p w14:paraId="3906AFBC"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To summarize, the first and primary choice context was implemented as a </w:t>
      </w:r>
      <w:r w:rsidRPr="003C3597">
        <w:rPr>
          <w:rFonts w:ascii="Times New Roman" w:hAnsi="Times New Roman" w:cs="Times New Roman"/>
          <w:i/>
          <w:iCs/>
          <w:color w:val="000000"/>
        </w:rPr>
        <w:t>forced choice</w:t>
      </w:r>
      <w:r w:rsidRPr="003C3597">
        <w:rPr>
          <w:rFonts w:ascii="Times New Roman" w:hAnsi="Times New Roman" w:cs="Times New Roman"/>
          <w:color w:val="000000"/>
        </w:rPr>
        <w:t>, meaning that respondents had no choice for declining all four vehicles presented per scenario. But the secondary choice context permitted an opt-out and offered five options from which to choose. In the case of a younger household, contemplating their first vehicle purchase, the secondary choice context would have been for a replacement vehicle. The opt-out option was clearly needed for this non-plausible scenario. While most secondary choice contexts were at least plausible, they were lower probability scenarios.</w:t>
      </w:r>
    </w:p>
    <w:p w14:paraId="5090A1E7"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For the primary choice context, the one that respondents had said they were more likely to consider, we saw the “opt out” option is in some ways being similar to a “prefer not to answer” option and thus decided against it. The thinking was that it was better to get some insight on preferred powertrains than none. It was important, for example, to know that a respondent gravitated to an ICE vehicle. To the extent that even the primary choice context was not </w:t>
      </w:r>
      <w:r w:rsidR="002D68C2">
        <w:rPr>
          <w:rFonts w:ascii="Times New Roman" w:hAnsi="Times New Roman" w:cs="Times New Roman"/>
          <w:color w:val="000000"/>
        </w:rPr>
        <w:t>desirable</w:t>
      </w:r>
      <w:r w:rsidRPr="003C3597">
        <w:rPr>
          <w:rFonts w:ascii="Times New Roman" w:hAnsi="Times New Roman" w:cs="Times New Roman"/>
          <w:color w:val="000000"/>
        </w:rPr>
        <w:t xml:space="preserve"> for some respondents (e.g. maybe they tended to buy cheaper, used vehicles in real life) there was the option to identify such respondents and remove from analyses as necessary</w:t>
      </w:r>
      <w:r w:rsidR="002D68C2">
        <w:rPr>
          <w:rFonts w:ascii="Times New Roman" w:hAnsi="Times New Roman" w:cs="Times New Roman"/>
          <w:color w:val="000000"/>
        </w:rPr>
        <w:t xml:space="preserve"> </w:t>
      </w:r>
      <w:r w:rsidR="002D68C2" w:rsidRPr="002D68C2">
        <w:rPr>
          <w:rFonts w:ascii="Times New Roman" w:hAnsi="Times New Roman" w:cs="Times New Roman"/>
          <w:color w:val="000000"/>
        </w:rPr>
        <w:t>(See Table 2. Section 2: Vehicle purchase/lease plan).</w:t>
      </w:r>
      <w:r w:rsidRPr="003C3597">
        <w:rPr>
          <w:rFonts w:ascii="Times New Roman" w:hAnsi="Times New Roman" w:cs="Times New Roman"/>
          <w:color w:val="000000"/>
        </w:rPr>
        <w:t xml:space="preserve"> Meanwhile, we had more insight about their vehicle preferences than we would have otherwise, had we included an opt-out in the primary choice context.</w:t>
      </w:r>
    </w:p>
    <w:p w14:paraId="579FF641" w14:textId="77777777" w:rsidR="003C3597" w:rsidRPr="00B00A98" w:rsidRDefault="003C3597" w:rsidP="00E1100F">
      <w:pPr>
        <w:pStyle w:val="ListParagraph"/>
        <w:numPr>
          <w:ilvl w:val="1"/>
          <w:numId w:val="8"/>
        </w:numPr>
        <w:outlineLvl w:val="1"/>
        <w:rPr>
          <w:rFonts w:ascii="Times New Roman" w:hAnsi="Times New Roman" w:cs="Times New Roman"/>
          <w:b/>
          <w:color w:val="000000"/>
        </w:rPr>
      </w:pPr>
      <w:bookmarkStart w:id="50" w:name="_Toc528650866"/>
      <w:r w:rsidRPr="00B00A98">
        <w:rPr>
          <w:rFonts w:ascii="Times New Roman" w:hAnsi="Times New Roman" w:cs="Times New Roman"/>
          <w:b/>
          <w:color w:val="000000"/>
        </w:rPr>
        <w:lastRenderedPageBreak/>
        <w:t>Conclusions</w:t>
      </w:r>
      <w:bookmarkEnd w:id="50"/>
    </w:p>
    <w:p w14:paraId="2EB70590"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This paper has reviewed the process that led to the development of a national survey instrument to assess consumer prospects for electric vehicles in Canada. The survey was deployed in the spring of 2015 to collect a consumer data set from over 20,000 households across Canada. The benefit of hindsight has offered us an opportunity to assess the process and what has been learned as it relates to the development of a survey instrument. Actual data collected, including information on respondent completion durations by survey section, has assisted in the overall assessment.</w:t>
      </w:r>
    </w:p>
    <w:p w14:paraId="3E5D3902"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Arguably, the most important survey decision was made in 2013, long before the survey instrument was constructed. At that time, the research team identified that a privately managed consumer survey panel offered an unparalleled opportunity to explore, in considerable detail, Canadian preferences and attitudes toward electric vehicles. It was anticipated that a well-constructed national sample, if large enough, would also provide meaningful sub-samples at the level of Canadian provinces, regions, metropolitan areas and even at the intra-urban level. Planning and budgeting well in advance were certainly important elements in the comprehensive nature of the sample that was facilitated. The decision to go with a survey panel removed traditional researcher anxiety about issues such as response rates and the ultimate number and nature of observations that the team would have at their disposal.</w:t>
      </w:r>
      <w:r w:rsidR="002D68C2">
        <w:rPr>
          <w:rFonts w:ascii="Times New Roman" w:hAnsi="Times New Roman" w:cs="Times New Roman"/>
          <w:color w:val="000000"/>
        </w:rPr>
        <w:t xml:space="preserve"> </w:t>
      </w:r>
      <w:r w:rsidR="002D68C2" w:rsidRPr="002D68C2">
        <w:rPr>
          <w:rFonts w:ascii="Times New Roman" w:hAnsi="Times New Roman" w:cs="Times New Roman"/>
          <w:color w:val="000000"/>
        </w:rPr>
        <w:t xml:space="preserve">However, survey panels are not without risk. Costs are higher and there can be issues with developing a representative sample since some types of respondents (e.g. single-person households, the less educated, etc.) are harder to capture </w:t>
      </w:r>
      <w:r w:rsidR="002D68C2" w:rsidRPr="002D68C2">
        <w:rPr>
          <w:rFonts w:ascii="Times New Roman" w:hAnsi="Times New Roman" w:cs="Times New Roman"/>
          <w:color w:val="000000"/>
        </w:rPr>
        <w:lastRenderedPageBreak/>
        <w:t>as survey panelists. Some of the collected data may be suspect, and hard to diagnose as such, when survey-hardened respondents answer inattentively.</w:t>
      </w:r>
    </w:p>
    <w:p w14:paraId="1960D772" w14:textId="77777777" w:rsidR="003C3597" w:rsidRPr="003C3597" w:rsidRDefault="002D68C2" w:rsidP="003C3597">
      <w:pPr>
        <w:rPr>
          <w:rFonts w:ascii="Times New Roman" w:hAnsi="Times New Roman" w:cs="Times New Roman"/>
          <w:color w:val="000000"/>
        </w:rPr>
      </w:pPr>
      <w:r w:rsidRPr="002D68C2">
        <w:rPr>
          <w:rFonts w:ascii="Times New Roman" w:hAnsi="Times New Roman" w:cs="Times New Roman"/>
          <w:color w:val="000000"/>
        </w:rPr>
        <w:t xml:space="preserve">To capture geographical locations, </w:t>
      </w:r>
      <w:r>
        <w:rPr>
          <w:rFonts w:ascii="Times New Roman" w:hAnsi="Times New Roman" w:cs="Times New Roman"/>
          <w:color w:val="000000"/>
        </w:rPr>
        <w:t>we</w:t>
      </w:r>
      <w:r w:rsidR="003C3597" w:rsidRPr="003C3597">
        <w:rPr>
          <w:rFonts w:ascii="Times New Roman" w:hAnsi="Times New Roman" w:cs="Times New Roman"/>
          <w:color w:val="000000"/>
        </w:rPr>
        <w:t xml:space="preserve"> collect</w:t>
      </w:r>
      <w:r>
        <w:rPr>
          <w:rFonts w:ascii="Times New Roman" w:hAnsi="Times New Roman" w:cs="Times New Roman"/>
          <w:color w:val="000000"/>
        </w:rPr>
        <w:t>ed</w:t>
      </w:r>
      <w:r w:rsidR="003C3597" w:rsidRPr="003C3597">
        <w:rPr>
          <w:rFonts w:ascii="Times New Roman" w:hAnsi="Times New Roman" w:cs="Times New Roman"/>
          <w:color w:val="000000"/>
        </w:rPr>
        <w:t xml:space="preserve"> detailed six-digit postal codes from survey respondents. As such, an important research theme to focus on detailed spatial variation in vehicle powertrain preferences was enabled and the extensive nature of the panel it</w:t>
      </w:r>
      <w:r>
        <w:rPr>
          <w:rFonts w:ascii="Times New Roman" w:hAnsi="Times New Roman" w:cs="Times New Roman"/>
          <w:color w:val="000000"/>
        </w:rPr>
        <w:t xml:space="preserve">self supported this emphasis. </w:t>
      </w:r>
      <w:r w:rsidR="003C3597" w:rsidRPr="003C3597">
        <w:rPr>
          <w:rFonts w:ascii="Times New Roman" w:hAnsi="Times New Roman" w:cs="Times New Roman"/>
          <w:color w:val="000000"/>
        </w:rPr>
        <w:t>That nature of the panel also dictated that we would deal with individual survey respondents. We would not be able to gather data from “</w:t>
      </w:r>
      <w:r w:rsidR="003C3597" w:rsidRPr="003C3597">
        <w:rPr>
          <w:rFonts w:ascii="Times New Roman" w:hAnsi="Times New Roman" w:cs="Times New Roman"/>
          <w:i/>
          <w:iCs/>
          <w:color w:val="000000"/>
        </w:rPr>
        <w:t>households</w:t>
      </w:r>
      <w:r w:rsidR="003C3597" w:rsidRPr="003C3597">
        <w:rPr>
          <w:rFonts w:ascii="Times New Roman" w:hAnsi="Times New Roman" w:cs="Times New Roman"/>
          <w:color w:val="000000"/>
        </w:rPr>
        <w:t>” per se but we did conceptualize that respondents could be asked, subject to screening criteria, to act as representatives of the household and would provide information about the household as a whole. This focus on household “</w:t>
      </w:r>
      <w:r w:rsidR="003C3597" w:rsidRPr="003C3597">
        <w:rPr>
          <w:rFonts w:ascii="Times New Roman" w:hAnsi="Times New Roman" w:cs="Times New Roman"/>
          <w:i/>
          <w:iCs/>
          <w:color w:val="000000"/>
        </w:rPr>
        <w:t>heads</w:t>
      </w:r>
      <w:r w:rsidR="003C3597" w:rsidRPr="003C3597">
        <w:rPr>
          <w:rFonts w:ascii="Times New Roman" w:hAnsi="Times New Roman" w:cs="Times New Roman"/>
          <w:color w:val="000000"/>
        </w:rPr>
        <w:t>” had the effect, for better or worse, to weed out young adults still living with their parents.</w:t>
      </w:r>
    </w:p>
    <w:p w14:paraId="33360276"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Several components of the survey were novel. First, our implementation of vehicle attributes in choice experiments was done in such a way as to be sensitive to the vehicle body types that households preferred for their next vehicle. As such, luxury car buyers were not seeing scenarios, for example, that might have seemed more appropriate for an economy car buyer.</w:t>
      </w:r>
      <w:r w:rsidRPr="003C3597" w:rsidDel="0024644F">
        <w:rPr>
          <w:rFonts w:ascii="Times New Roman" w:hAnsi="Times New Roman" w:cs="Times New Roman"/>
          <w:color w:val="000000"/>
        </w:rPr>
        <w:t xml:space="preserve"> </w:t>
      </w:r>
      <w:r w:rsidRPr="003C3597">
        <w:rPr>
          <w:rFonts w:ascii="Times New Roman" w:hAnsi="Times New Roman" w:cs="Times New Roman"/>
          <w:color w:val="000000"/>
        </w:rPr>
        <w:t xml:space="preserve">Past EV literature had tended to outline more generic approaches. The choice scenarios also benefitted from several aspects that were implemented to be context-sensitive to the earlier answers of respondents. Another novel aspect was that the survey simultaneously emphasized in-depth choice experiments and an extensive collection of Likert-based attitudinal indices. Among other benefits, </w:t>
      </w:r>
      <w:r w:rsidRPr="003C3597">
        <w:rPr>
          <w:rFonts w:ascii="Times New Roman" w:hAnsi="Times New Roman" w:cs="Times New Roman"/>
          <w:color w:val="000000"/>
        </w:rPr>
        <w:lastRenderedPageBreak/>
        <w:t>the two approaches offered redundancy in measuring behavioural intention toward acquiring electric vehicles.</w:t>
      </w:r>
    </w:p>
    <w:p w14:paraId="3A093EBC"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The research team paid considerable attention to cognitive burden in the development of the survey. An important focus was not overwhelming respondents as they made their way through the choice experiments.  Ordering of survey sections was an important consideration as was the core nature of the stated preference scenarios themselves. Interestingly, the research team only really realized in retrospect that “do loops” built into the survey based on the number of registered household vehicles and the number of household occupants created some significant differential burdens in completing the survey. The survey was much more onerous for some people depending on their circumstances. We would expect future survey implementations by the research team to be more sensitive to this aspect. </w:t>
      </w:r>
    </w:p>
    <w:p w14:paraId="0FB89249"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Lessons were learned from the experience of developing SPACE. One was that the development of a comprehensive survey instrument is quite labour intensive and numerous iterations are required especially when partners and stakeholders play a role. The process is not to be taken lightly. It is very important to consider carefully all the aspects that are to be covered and even so, it is likely in retrospect that overlooked questions will be identified. While SPACE was quite comprehensive, there were omissions and probably the most significant was in not thoroughly assessing respondent knowledge about electric vehicles. This was an aspect that partners were requesting after the fact, since it is useful information to benchmark over time, but the collective team including partners did not clearly identify this at the outset. Nevertheless, some attitudinal </w:t>
      </w:r>
      <w:r w:rsidRPr="003C3597">
        <w:rPr>
          <w:rFonts w:ascii="Times New Roman" w:hAnsi="Times New Roman" w:cs="Times New Roman"/>
          <w:color w:val="000000"/>
        </w:rPr>
        <w:lastRenderedPageBreak/>
        <w:t xml:space="preserve">statements included in the survey gave some sense about aspects such as knowledge of current charging infrastructure and places where EVs could be bought. </w:t>
      </w:r>
    </w:p>
    <w:p w14:paraId="36D0A1C8"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Another surprising oversight had to do with gathering written comments from respondents. While we asked respondents to contact the research team with any comments or questions, it would have been much better to include a comment box directly within the survey. Subsequent work with our other surveys has shown that some respondents are willing to write significant passages about the topics examined in surveys. Not directly including this functionality greatly reduced the amount of qualitative information that we gathered. With respect to other survey respondents, the type that typically would be less likely to leave detailed comments, it was learned that it is a good idea to time track respondents as this gives a good sense of whether questions are being considered carefully. This aspect is particularly important with the rise of the survey panel where people may respond to a large volu</w:t>
      </w:r>
      <w:r w:rsidR="00EC3DFE">
        <w:rPr>
          <w:rFonts w:ascii="Times New Roman" w:hAnsi="Times New Roman" w:cs="Times New Roman"/>
          <w:color w:val="000000"/>
        </w:rPr>
        <w:t>me of surveys.</w:t>
      </w:r>
    </w:p>
    <w:p w14:paraId="7CDB5663" w14:textId="77777777" w:rsidR="003C3597" w:rsidRPr="0094260A" w:rsidRDefault="003C3597" w:rsidP="00E1100F">
      <w:pPr>
        <w:pStyle w:val="ListParagraph"/>
        <w:numPr>
          <w:ilvl w:val="1"/>
          <w:numId w:val="8"/>
        </w:numPr>
        <w:outlineLvl w:val="1"/>
        <w:rPr>
          <w:rFonts w:ascii="Times New Roman" w:hAnsi="Times New Roman" w:cs="Times New Roman"/>
          <w:b/>
          <w:color w:val="000000"/>
          <w:lang w:val="en-US"/>
        </w:rPr>
      </w:pPr>
      <w:bookmarkStart w:id="51" w:name="_Toc528650867"/>
      <w:r w:rsidRPr="0094260A">
        <w:rPr>
          <w:rFonts w:ascii="Times New Roman" w:hAnsi="Times New Roman" w:cs="Times New Roman"/>
          <w:b/>
          <w:color w:val="000000"/>
          <w:lang w:val="en-US"/>
        </w:rPr>
        <w:t>Acknowledgment</w:t>
      </w:r>
      <w:bookmarkEnd w:id="51"/>
    </w:p>
    <w:p w14:paraId="605648A4" w14:textId="77777777" w:rsidR="006777C1" w:rsidRDefault="006777C1" w:rsidP="003C3597">
      <w:pPr>
        <w:rPr>
          <w:rFonts w:ascii="Times New Roman" w:hAnsi="Times New Roman" w:cs="Times New Roman"/>
          <w:color w:val="000000"/>
          <w:lang w:val="en-US"/>
        </w:rPr>
      </w:pPr>
      <w:r w:rsidRPr="006777C1">
        <w:rPr>
          <w:rFonts w:ascii="Times New Roman" w:hAnsi="Times New Roman" w:cs="Times New Roman"/>
          <w:color w:val="000000"/>
          <w:lang w:val="en-US"/>
        </w:rPr>
        <w:t>We would like to thank the editor (Dr. Patricia Mokhtarian) and three anonymous reviewers for providing insightful comments to improve our paper. This work was supported financially by the Social Sciences and Humanities Research Council of Canada (Grant No: 886-2013-0001).</w:t>
      </w:r>
    </w:p>
    <w:p w14:paraId="33C5C8AE" w14:textId="5F3B5AE7" w:rsidR="003C3597" w:rsidRPr="0014385C" w:rsidRDefault="003C3597" w:rsidP="00E1100F">
      <w:pPr>
        <w:pStyle w:val="Heading2"/>
        <w:numPr>
          <w:ilvl w:val="1"/>
          <w:numId w:val="8"/>
        </w:numPr>
        <w:rPr>
          <w:rFonts w:ascii="Times New Roman" w:hAnsi="Times New Roman"/>
          <w:color w:val="000000"/>
        </w:rPr>
      </w:pPr>
      <w:bookmarkStart w:id="52" w:name="_Toc528650868"/>
      <w:r w:rsidRPr="0014385C">
        <w:rPr>
          <w:rFonts w:ascii="Times New Roman" w:hAnsi="Times New Roman"/>
          <w:color w:val="000000"/>
        </w:rPr>
        <w:lastRenderedPageBreak/>
        <w:t>References</w:t>
      </w:r>
      <w:bookmarkEnd w:id="52"/>
    </w:p>
    <w:p w14:paraId="45B0937A" w14:textId="77777777" w:rsidR="00ED011A" w:rsidRDefault="00ED011A" w:rsidP="00ED011A">
      <w:pPr>
        <w:spacing w:line="360" w:lineRule="auto"/>
        <w:ind w:firstLine="0"/>
        <w:rPr>
          <w:rFonts w:ascii="Times New Roman" w:hAnsi="Times New Roman" w:cs="Times New Roman"/>
          <w:color w:val="000000"/>
          <w:lang w:val="en-US"/>
        </w:rPr>
      </w:pPr>
      <w:r w:rsidRPr="00ED011A">
        <w:rPr>
          <w:rFonts w:ascii="Times New Roman" w:hAnsi="Times New Roman" w:cs="Times New Roman"/>
          <w:color w:val="000000"/>
          <w:lang w:val="en-US"/>
        </w:rPr>
        <w:t>Abotalebi, E., Mahmoud, M., Ferguson, M.</w:t>
      </w:r>
      <w:r>
        <w:rPr>
          <w:rFonts w:ascii="Times New Roman" w:hAnsi="Times New Roman" w:cs="Times New Roman"/>
          <w:color w:val="000000"/>
          <w:lang w:val="en-US"/>
        </w:rPr>
        <w:t>R.</w:t>
      </w:r>
      <w:r w:rsidRPr="00ED011A">
        <w:rPr>
          <w:rFonts w:ascii="Times New Roman" w:hAnsi="Times New Roman" w:cs="Times New Roman"/>
          <w:color w:val="000000"/>
          <w:lang w:val="en-US"/>
        </w:rPr>
        <w:t xml:space="preserve">, </w:t>
      </w:r>
      <w:r>
        <w:rPr>
          <w:rFonts w:ascii="Times New Roman" w:hAnsi="Times New Roman" w:cs="Times New Roman"/>
          <w:color w:val="000000"/>
          <w:lang w:val="en-US"/>
        </w:rPr>
        <w:t>Kanaroglou, P. S. 2015</w:t>
      </w:r>
      <w:r w:rsidRPr="00ED011A">
        <w:rPr>
          <w:rFonts w:ascii="Times New Roman" w:hAnsi="Times New Roman" w:cs="Times New Roman"/>
          <w:color w:val="000000"/>
          <w:lang w:val="en-US"/>
        </w:rPr>
        <w:t xml:space="preserve">. Utilizing Stated Preference in Electric Vehicle Research ; Evidence </w:t>
      </w:r>
      <w:r>
        <w:rPr>
          <w:rFonts w:ascii="Times New Roman" w:hAnsi="Times New Roman" w:cs="Times New Roman"/>
          <w:color w:val="000000"/>
          <w:lang w:val="en-US"/>
        </w:rPr>
        <w:t xml:space="preserve">from the Literature. </w:t>
      </w:r>
      <w:r>
        <w:rPr>
          <w:rFonts w:ascii="Verdana" w:hAnsi="Verdana"/>
        </w:rPr>
        <w:t>I</w:t>
      </w:r>
      <w:r>
        <w:rPr>
          <w:rFonts w:ascii="Times New Roman" w:hAnsi="Times New Roman" w:cs="Times New Roman"/>
          <w:color w:val="000000"/>
          <w:lang w:val="en-US"/>
        </w:rPr>
        <w:t>n</w:t>
      </w:r>
      <w:r w:rsidRPr="00ED011A">
        <w:rPr>
          <w:rFonts w:ascii="Times New Roman" w:hAnsi="Times New Roman" w:cs="Times New Roman"/>
          <w:color w:val="000000"/>
          <w:lang w:val="en-US"/>
        </w:rPr>
        <w:t xml:space="preserve"> Proceedings of the 50th Annual Canadian Transport Research Forum Conference </w:t>
      </w:r>
      <w:r>
        <w:rPr>
          <w:rFonts w:ascii="Times New Roman" w:hAnsi="Times New Roman" w:cs="Times New Roman"/>
          <w:color w:val="000000"/>
          <w:lang w:val="en-US"/>
        </w:rPr>
        <w:t>1–19</w:t>
      </w:r>
      <w:r w:rsidRPr="00ED011A">
        <w:rPr>
          <w:rFonts w:ascii="Times New Roman" w:hAnsi="Times New Roman" w:cs="Times New Roman"/>
          <w:color w:val="000000"/>
          <w:lang w:val="en-US"/>
        </w:rPr>
        <w:t>. Montreal, Quebec, Canada</w:t>
      </w:r>
      <w:r>
        <w:rPr>
          <w:rFonts w:ascii="Times New Roman" w:hAnsi="Times New Roman" w:cs="Times New Roman"/>
          <w:color w:val="000000"/>
          <w:lang w:val="en-US"/>
        </w:rPr>
        <w:t>.</w:t>
      </w:r>
    </w:p>
    <w:p w14:paraId="2216881D" w14:textId="77777777" w:rsidR="00ED011A" w:rsidRPr="00ED011A" w:rsidRDefault="00ED011A" w:rsidP="00ED011A">
      <w:pPr>
        <w:spacing w:line="360" w:lineRule="auto"/>
        <w:ind w:firstLine="0"/>
        <w:rPr>
          <w:rFonts w:ascii="Times New Roman" w:hAnsi="Times New Roman" w:cs="Times New Roman"/>
          <w:color w:val="000000"/>
          <w:lang w:val="en-US"/>
        </w:rPr>
      </w:pPr>
      <w:r>
        <w:rPr>
          <w:rFonts w:ascii="Times New Roman" w:hAnsi="Times New Roman" w:cs="Times New Roman"/>
          <w:color w:val="000000"/>
          <w:lang w:val="en-US"/>
        </w:rPr>
        <w:t>Achtnicht, M. 2011</w:t>
      </w:r>
      <w:r w:rsidRPr="00ED011A">
        <w:rPr>
          <w:rFonts w:ascii="Times New Roman" w:hAnsi="Times New Roman" w:cs="Times New Roman"/>
          <w:color w:val="000000"/>
          <w:lang w:val="en-US"/>
        </w:rPr>
        <w:t>. German car buyers’ willingness to pay to reduce</w:t>
      </w:r>
      <w:r>
        <w:rPr>
          <w:rFonts w:ascii="Times New Roman" w:hAnsi="Times New Roman" w:cs="Times New Roman"/>
          <w:color w:val="000000"/>
          <w:lang w:val="en-US"/>
        </w:rPr>
        <w:t xml:space="preserve"> CO2 emissions. Climatic Change 113</w:t>
      </w:r>
      <w:r w:rsidRPr="00ED011A">
        <w:rPr>
          <w:rFonts w:ascii="Times New Roman" w:hAnsi="Times New Roman" w:cs="Times New Roman"/>
          <w:color w:val="000000"/>
          <w:lang w:val="en-US"/>
        </w:rPr>
        <w:t xml:space="preserve">, 679–697. </w:t>
      </w:r>
    </w:p>
    <w:p w14:paraId="55707D60" w14:textId="77777777" w:rsidR="00ED011A" w:rsidRPr="00ED011A" w:rsidRDefault="00ED011A" w:rsidP="00ED011A">
      <w:pPr>
        <w:spacing w:line="360" w:lineRule="auto"/>
        <w:ind w:firstLine="0"/>
        <w:rPr>
          <w:rFonts w:ascii="Times New Roman" w:hAnsi="Times New Roman" w:cs="Times New Roman"/>
          <w:color w:val="000000"/>
          <w:lang w:val="en-US"/>
        </w:rPr>
      </w:pPr>
      <w:r>
        <w:rPr>
          <w:rFonts w:ascii="Times New Roman" w:hAnsi="Times New Roman" w:cs="Times New Roman"/>
          <w:color w:val="000000"/>
          <w:lang w:val="en-US"/>
        </w:rPr>
        <w:t>Ajzen, I. 1991.</w:t>
      </w:r>
      <w:r w:rsidRPr="00ED011A">
        <w:rPr>
          <w:rFonts w:ascii="Times New Roman" w:hAnsi="Times New Roman" w:cs="Times New Roman"/>
          <w:color w:val="000000"/>
          <w:lang w:val="en-US"/>
        </w:rPr>
        <w:t xml:space="preserve"> The theory of planned behaviour. Organizational Behavior and Human Decision Pr</w:t>
      </w:r>
      <w:r>
        <w:rPr>
          <w:rFonts w:ascii="Times New Roman" w:hAnsi="Times New Roman" w:cs="Times New Roman"/>
          <w:color w:val="000000"/>
          <w:lang w:val="en-US"/>
        </w:rPr>
        <w:t>ocesses 50, 179–211.</w:t>
      </w:r>
    </w:p>
    <w:p w14:paraId="5786B898" w14:textId="77777777" w:rsidR="00ED011A" w:rsidRPr="00ED011A" w:rsidRDefault="00ED011A" w:rsidP="00ED011A">
      <w:pPr>
        <w:spacing w:line="360" w:lineRule="auto"/>
        <w:ind w:firstLine="0"/>
        <w:rPr>
          <w:rFonts w:ascii="Times New Roman" w:hAnsi="Times New Roman" w:cs="Times New Roman"/>
          <w:color w:val="000000"/>
          <w:lang w:val="en-US"/>
        </w:rPr>
      </w:pPr>
      <w:r w:rsidRPr="00ED011A">
        <w:rPr>
          <w:rFonts w:ascii="Times New Roman" w:hAnsi="Times New Roman" w:cs="Times New Roman"/>
          <w:color w:val="000000"/>
          <w:lang w:val="en-US"/>
        </w:rPr>
        <w:t xml:space="preserve">Axsen, J., Bailey, J., </w:t>
      </w:r>
      <w:r>
        <w:rPr>
          <w:rFonts w:ascii="Times New Roman" w:hAnsi="Times New Roman" w:cs="Times New Roman"/>
          <w:color w:val="000000"/>
          <w:lang w:val="en-US"/>
        </w:rPr>
        <w:t>Castro, M.A. 2015</w:t>
      </w:r>
      <w:r w:rsidRPr="00ED011A">
        <w:rPr>
          <w:rFonts w:ascii="Times New Roman" w:hAnsi="Times New Roman" w:cs="Times New Roman"/>
          <w:color w:val="000000"/>
          <w:lang w:val="en-US"/>
        </w:rPr>
        <w:t>. Preference and lifestyle heterogeneity among potential plug-in electric v</w:t>
      </w:r>
      <w:r>
        <w:rPr>
          <w:rFonts w:ascii="Times New Roman" w:hAnsi="Times New Roman" w:cs="Times New Roman"/>
          <w:color w:val="000000"/>
          <w:lang w:val="en-US"/>
        </w:rPr>
        <w:t>ehicle buyers. Energy Economics</w:t>
      </w:r>
      <w:r w:rsidRPr="00ED011A">
        <w:rPr>
          <w:rFonts w:ascii="Times New Roman" w:hAnsi="Times New Roman" w:cs="Times New Roman"/>
          <w:color w:val="000000"/>
          <w:lang w:val="en-US"/>
        </w:rPr>
        <w:t xml:space="preserve"> 50, 190–201. </w:t>
      </w:r>
    </w:p>
    <w:p w14:paraId="66648E8F" w14:textId="77777777" w:rsidR="00ED011A" w:rsidRDefault="00ED011A" w:rsidP="00ED011A">
      <w:pPr>
        <w:spacing w:line="360" w:lineRule="auto"/>
        <w:ind w:firstLine="0"/>
        <w:rPr>
          <w:rFonts w:ascii="Times New Roman" w:hAnsi="Times New Roman" w:cs="Times New Roman"/>
          <w:color w:val="000000"/>
          <w:lang w:val="en-US"/>
        </w:rPr>
      </w:pPr>
      <w:r>
        <w:rPr>
          <w:rFonts w:ascii="Times New Roman" w:hAnsi="Times New Roman" w:cs="Times New Roman"/>
          <w:color w:val="000000"/>
          <w:lang w:val="en-US"/>
        </w:rPr>
        <w:t>Beck, M.J., Rose, J.</w:t>
      </w:r>
      <w:r w:rsidRPr="00ED011A">
        <w:rPr>
          <w:rFonts w:ascii="Times New Roman" w:hAnsi="Times New Roman" w:cs="Times New Roman"/>
          <w:color w:val="000000"/>
          <w:lang w:val="en-US"/>
        </w:rPr>
        <w:t xml:space="preserve">M., </w:t>
      </w:r>
      <w:r>
        <w:rPr>
          <w:rFonts w:ascii="Times New Roman" w:hAnsi="Times New Roman" w:cs="Times New Roman"/>
          <w:color w:val="000000"/>
          <w:lang w:val="en-US"/>
        </w:rPr>
        <w:t>Hensher, D. 2013</w:t>
      </w:r>
      <w:r w:rsidRPr="00ED011A">
        <w:rPr>
          <w:rFonts w:ascii="Times New Roman" w:hAnsi="Times New Roman" w:cs="Times New Roman"/>
          <w:color w:val="000000"/>
          <w:lang w:val="en-US"/>
        </w:rPr>
        <w:t>. Environmental attitudes and emissions charging: An example of policy implications for vehicle choice. Transportation Resear</w:t>
      </w:r>
      <w:r w:rsidR="00C34E63">
        <w:rPr>
          <w:rFonts w:ascii="Times New Roman" w:hAnsi="Times New Roman" w:cs="Times New Roman"/>
          <w:color w:val="000000"/>
          <w:lang w:val="en-US"/>
        </w:rPr>
        <w:t>ch Part A: Policy and Practice</w:t>
      </w:r>
      <w:r w:rsidRPr="00ED011A">
        <w:rPr>
          <w:rFonts w:ascii="Times New Roman" w:hAnsi="Times New Roman" w:cs="Times New Roman"/>
          <w:color w:val="000000"/>
          <w:lang w:val="en-US"/>
        </w:rPr>
        <w:t xml:space="preserve"> 50, 171–182. </w:t>
      </w:r>
    </w:p>
    <w:p w14:paraId="3ABE0101" w14:textId="77777777" w:rsidR="002D68C2" w:rsidRPr="00ED011A" w:rsidRDefault="002D68C2" w:rsidP="00ED011A">
      <w:pPr>
        <w:spacing w:line="360" w:lineRule="auto"/>
        <w:ind w:firstLine="0"/>
        <w:rPr>
          <w:rFonts w:ascii="Times New Roman" w:hAnsi="Times New Roman" w:cs="Times New Roman"/>
          <w:color w:val="000000"/>
          <w:lang w:val="en-US"/>
        </w:rPr>
      </w:pPr>
      <w:r w:rsidRPr="002D68C2">
        <w:rPr>
          <w:rFonts w:ascii="Times New Roman" w:hAnsi="Times New Roman" w:cs="Times New Roman"/>
          <w:color w:val="000000"/>
          <w:lang w:val="en-US"/>
        </w:rPr>
        <w:t>Blasius</w:t>
      </w:r>
      <w:r>
        <w:rPr>
          <w:rFonts w:ascii="Times New Roman" w:hAnsi="Times New Roman" w:cs="Times New Roman"/>
          <w:color w:val="000000"/>
          <w:lang w:val="en-US"/>
        </w:rPr>
        <w:t>, J.,</w:t>
      </w:r>
      <w:r w:rsidRPr="002D68C2">
        <w:rPr>
          <w:rFonts w:ascii="Times New Roman" w:hAnsi="Times New Roman" w:cs="Times New Roman"/>
          <w:color w:val="000000"/>
          <w:lang w:val="en-US"/>
        </w:rPr>
        <w:t xml:space="preserve"> Brandt, M. 2010. Representativeness in online surveys through stratified samples. Bulletin de me´thodologie sociologique 107, 5-21.  </w:t>
      </w:r>
    </w:p>
    <w:p w14:paraId="26396346" w14:textId="77777777" w:rsidR="00ED011A" w:rsidRPr="00ED011A" w:rsidRDefault="00C34E63" w:rsidP="00ED011A">
      <w:pPr>
        <w:spacing w:line="360" w:lineRule="auto"/>
        <w:ind w:firstLine="0"/>
        <w:rPr>
          <w:rFonts w:ascii="Times New Roman" w:hAnsi="Times New Roman" w:cs="Times New Roman"/>
          <w:color w:val="000000"/>
          <w:lang w:val="en-US"/>
        </w:rPr>
      </w:pPr>
      <w:r>
        <w:rPr>
          <w:rFonts w:ascii="Times New Roman" w:hAnsi="Times New Roman" w:cs="Times New Roman"/>
          <w:color w:val="000000"/>
          <w:lang w:val="en-US"/>
        </w:rPr>
        <w:t>Bliemer, M.C.</w:t>
      </w:r>
      <w:r w:rsidR="00ED011A" w:rsidRPr="00ED011A">
        <w:rPr>
          <w:rFonts w:ascii="Times New Roman" w:hAnsi="Times New Roman" w:cs="Times New Roman"/>
          <w:color w:val="000000"/>
          <w:lang w:val="en-US"/>
        </w:rPr>
        <w:t xml:space="preserve">J., </w:t>
      </w:r>
      <w:r>
        <w:rPr>
          <w:rFonts w:ascii="Times New Roman" w:hAnsi="Times New Roman" w:cs="Times New Roman"/>
          <w:color w:val="000000"/>
          <w:lang w:val="en-US"/>
        </w:rPr>
        <w:t>Rose, J.M. 2011</w:t>
      </w:r>
      <w:r w:rsidR="00ED011A" w:rsidRPr="00ED011A">
        <w:rPr>
          <w:rFonts w:ascii="Times New Roman" w:hAnsi="Times New Roman" w:cs="Times New Roman"/>
          <w:color w:val="000000"/>
          <w:lang w:val="en-US"/>
        </w:rPr>
        <w:t>. Experimental design influences on stated choice outputs: An empirical study in air travel choice. Transportation Research Part A:</w:t>
      </w:r>
      <w:r>
        <w:rPr>
          <w:rFonts w:ascii="Times New Roman" w:hAnsi="Times New Roman" w:cs="Times New Roman"/>
          <w:color w:val="000000"/>
          <w:lang w:val="en-US"/>
        </w:rPr>
        <w:t xml:space="preserve"> Policy and Practice 45</w:t>
      </w:r>
      <w:r w:rsidR="00ED011A" w:rsidRPr="00ED011A">
        <w:rPr>
          <w:rFonts w:ascii="Times New Roman" w:hAnsi="Times New Roman" w:cs="Times New Roman"/>
          <w:color w:val="000000"/>
          <w:lang w:val="en-US"/>
        </w:rPr>
        <w:t xml:space="preserve">, 63–79. </w:t>
      </w:r>
    </w:p>
    <w:p w14:paraId="02A23B17" w14:textId="77777777" w:rsidR="00ED011A" w:rsidRPr="00ED011A" w:rsidRDefault="00C34E63" w:rsidP="00ED011A">
      <w:pPr>
        <w:spacing w:line="360" w:lineRule="auto"/>
        <w:ind w:firstLine="0"/>
        <w:rPr>
          <w:rFonts w:ascii="Times New Roman" w:hAnsi="Times New Roman" w:cs="Times New Roman"/>
          <w:color w:val="000000"/>
          <w:lang w:val="en-US"/>
        </w:rPr>
      </w:pPr>
      <w:r>
        <w:rPr>
          <w:rFonts w:ascii="Times New Roman" w:hAnsi="Times New Roman" w:cs="Times New Roman"/>
          <w:color w:val="000000"/>
          <w:lang w:val="en-US"/>
        </w:rPr>
        <w:t>Bunch, D.S., Bradley, M., Golob, T.</w:t>
      </w:r>
      <w:r w:rsidR="00ED011A" w:rsidRPr="00ED011A">
        <w:rPr>
          <w:rFonts w:ascii="Times New Roman" w:hAnsi="Times New Roman" w:cs="Times New Roman"/>
          <w:color w:val="000000"/>
          <w:lang w:val="en-US"/>
        </w:rPr>
        <w:t xml:space="preserve">F., Kitamura, R., </w:t>
      </w:r>
      <w:r>
        <w:rPr>
          <w:rFonts w:ascii="Times New Roman" w:hAnsi="Times New Roman" w:cs="Times New Roman"/>
          <w:color w:val="000000"/>
          <w:lang w:val="en-US"/>
        </w:rPr>
        <w:t>Occhiuzzo, G.P. 1993</w:t>
      </w:r>
      <w:r w:rsidR="00ED011A" w:rsidRPr="00ED011A">
        <w:rPr>
          <w:rFonts w:ascii="Times New Roman" w:hAnsi="Times New Roman" w:cs="Times New Roman"/>
          <w:color w:val="000000"/>
          <w:lang w:val="en-US"/>
        </w:rPr>
        <w:t>. Demand for clean-fuel vehicles in California: A discrete-choice stated preference pilot project. Transportation Research Part A: Policy and Practice</w:t>
      </w:r>
      <w:r w:rsidR="009D51AD">
        <w:rPr>
          <w:rFonts w:ascii="Times New Roman" w:hAnsi="Times New Roman" w:cs="Times New Roman"/>
          <w:color w:val="000000"/>
          <w:lang w:val="en-US"/>
        </w:rPr>
        <w:t xml:space="preserve"> 27, </w:t>
      </w:r>
      <w:r w:rsidR="009D51AD" w:rsidRPr="009D51AD">
        <w:rPr>
          <w:rFonts w:ascii="Times New Roman" w:hAnsi="Times New Roman" w:cs="Times New Roman"/>
          <w:color w:val="000000"/>
          <w:lang w:val="en-US"/>
        </w:rPr>
        <w:t>237-253</w:t>
      </w:r>
      <w:r w:rsidR="00ED011A" w:rsidRPr="00ED011A">
        <w:rPr>
          <w:rFonts w:ascii="Times New Roman" w:hAnsi="Times New Roman" w:cs="Times New Roman"/>
          <w:color w:val="000000"/>
          <w:lang w:val="en-US"/>
        </w:rPr>
        <w:t>.</w:t>
      </w:r>
    </w:p>
    <w:p w14:paraId="24C19FD9" w14:textId="77777777" w:rsidR="00ED011A" w:rsidRDefault="009D51AD" w:rsidP="00ED011A">
      <w:pPr>
        <w:spacing w:line="360" w:lineRule="auto"/>
        <w:ind w:firstLine="0"/>
        <w:rPr>
          <w:rFonts w:ascii="Times New Roman" w:hAnsi="Times New Roman" w:cs="Times New Roman"/>
          <w:color w:val="000000"/>
          <w:lang w:val="en-US"/>
        </w:rPr>
      </w:pPr>
      <w:r>
        <w:rPr>
          <w:rFonts w:ascii="Times New Roman" w:hAnsi="Times New Roman" w:cs="Times New Roman"/>
          <w:color w:val="000000"/>
          <w:lang w:val="en-US"/>
        </w:rPr>
        <w:lastRenderedPageBreak/>
        <w:t>Campbell, A.</w:t>
      </w:r>
      <w:r w:rsidR="00ED011A" w:rsidRPr="00ED011A">
        <w:rPr>
          <w:rFonts w:ascii="Times New Roman" w:hAnsi="Times New Roman" w:cs="Times New Roman"/>
          <w:color w:val="000000"/>
          <w:lang w:val="en-US"/>
        </w:rPr>
        <w:t xml:space="preserve">R., Ryley, T., </w:t>
      </w:r>
      <w:r>
        <w:rPr>
          <w:rFonts w:ascii="Times New Roman" w:hAnsi="Times New Roman" w:cs="Times New Roman"/>
          <w:color w:val="000000"/>
          <w:lang w:val="en-US"/>
        </w:rPr>
        <w:t>Thring, R. 2012</w:t>
      </w:r>
      <w:r w:rsidR="00ED011A" w:rsidRPr="00ED011A">
        <w:rPr>
          <w:rFonts w:ascii="Times New Roman" w:hAnsi="Times New Roman" w:cs="Times New Roman"/>
          <w:color w:val="000000"/>
          <w:lang w:val="en-US"/>
        </w:rPr>
        <w:t>. Identifying the early adopters of alternative fuel vehicles: A case study of Birmingham, United Kingdom. Transportation Research Part A: Policy and Practi</w:t>
      </w:r>
      <w:r>
        <w:rPr>
          <w:rFonts w:ascii="Times New Roman" w:hAnsi="Times New Roman" w:cs="Times New Roman"/>
          <w:color w:val="000000"/>
          <w:lang w:val="en-US"/>
        </w:rPr>
        <w:t>ce 46</w:t>
      </w:r>
      <w:r w:rsidR="00ED011A" w:rsidRPr="00ED011A">
        <w:rPr>
          <w:rFonts w:ascii="Times New Roman" w:hAnsi="Times New Roman" w:cs="Times New Roman"/>
          <w:color w:val="000000"/>
          <w:lang w:val="en-US"/>
        </w:rPr>
        <w:t xml:space="preserve">, 1318–1327. </w:t>
      </w:r>
    </w:p>
    <w:p w14:paraId="331E0E0B" w14:textId="77777777" w:rsidR="002D68C2" w:rsidRPr="00ED011A" w:rsidRDefault="002D68C2" w:rsidP="00ED011A">
      <w:pPr>
        <w:spacing w:line="360" w:lineRule="auto"/>
        <w:ind w:firstLine="0"/>
        <w:rPr>
          <w:rFonts w:ascii="Times New Roman" w:hAnsi="Times New Roman" w:cs="Times New Roman"/>
          <w:color w:val="000000"/>
          <w:lang w:val="en-US"/>
        </w:rPr>
      </w:pPr>
      <w:r w:rsidRPr="002D68C2">
        <w:rPr>
          <w:rFonts w:ascii="Times New Roman" w:hAnsi="Times New Roman" w:cs="Times New Roman"/>
          <w:color w:val="000000"/>
          <w:lang w:val="en-US"/>
        </w:rPr>
        <w:t>Carlsson, F. 2010. Design of stated preference surveys: is there more to learn from behavioral economics. Environmental and Resource Economics 46, 167–177.</w:t>
      </w:r>
    </w:p>
    <w:p w14:paraId="230D8E0B" w14:textId="77777777" w:rsidR="00ED011A" w:rsidRDefault="00ED011A" w:rsidP="00ED011A">
      <w:pPr>
        <w:spacing w:line="360" w:lineRule="auto"/>
        <w:ind w:firstLine="0"/>
        <w:rPr>
          <w:rFonts w:ascii="Times New Roman" w:hAnsi="Times New Roman" w:cs="Times New Roman"/>
          <w:color w:val="000000"/>
          <w:lang w:val="en-US"/>
        </w:rPr>
      </w:pPr>
      <w:r w:rsidRPr="00ED011A">
        <w:rPr>
          <w:rFonts w:ascii="Times New Roman" w:hAnsi="Times New Roman" w:cs="Times New Roman"/>
          <w:color w:val="000000"/>
          <w:lang w:val="en-US"/>
        </w:rPr>
        <w:t xml:space="preserve">Carlsson, F., </w:t>
      </w:r>
      <w:r w:rsidR="009D51AD">
        <w:rPr>
          <w:rFonts w:ascii="Times New Roman" w:hAnsi="Times New Roman" w:cs="Times New Roman"/>
          <w:color w:val="000000"/>
          <w:lang w:val="en-US"/>
        </w:rPr>
        <w:t>Martinsson, P. 2003</w:t>
      </w:r>
      <w:r w:rsidRPr="00ED011A">
        <w:rPr>
          <w:rFonts w:ascii="Times New Roman" w:hAnsi="Times New Roman" w:cs="Times New Roman"/>
          <w:color w:val="000000"/>
          <w:lang w:val="en-US"/>
        </w:rPr>
        <w:t>. Design techniques for stated preference methods in health ec</w:t>
      </w:r>
      <w:r w:rsidR="009D51AD">
        <w:rPr>
          <w:rFonts w:ascii="Times New Roman" w:hAnsi="Times New Roman" w:cs="Times New Roman"/>
          <w:color w:val="000000"/>
          <w:lang w:val="en-US"/>
        </w:rPr>
        <w:t>onomics. Health Economics 12</w:t>
      </w:r>
      <w:r w:rsidRPr="00ED011A">
        <w:rPr>
          <w:rFonts w:ascii="Times New Roman" w:hAnsi="Times New Roman" w:cs="Times New Roman"/>
          <w:color w:val="000000"/>
          <w:lang w:val="en-US"/>
        </w:rPr>
        <w:t xml:space="preserve">, 281–294. </w:t>
      </w:r>
    </w:p>
    <w:p w14:paraId="5A0F11DD" w14:textId="77777777" w:rsidR="004C6FC4" w:rsidRPr="00ED011A" w:rsidRDefault="004C6FC4" w:rsidP="00ED011A">
      <w:pPr>
        <w:spacing w:line="360" w:lineRule="auto"/>
        <w:ind w:firstLine="0"/>
        <w:rPr>
          <w:rFonts w:ascii="Times New Roman" w:hAnsi="Times New Roman" w:cs="Times New Roman"/>
          <w:color w:val="000000"/>
          <w:lang w:val="en-US"/>
        </w:rPr>
      </w:pPr>
      <w:r w:rsidRPr="004C6FC4">
        <w:rPr>
          <w:rFonts w:ascii="Times New Roman" w:hAnsi="Times New Roman" w:cs="Times New Roman"/>
          <w:color w:val="000000"/>
          <w:lang w:val="en-US"/>
        </w:rPr>
        <w:t>Dillman, D. 1978. Mail and telephone surveys: the total design method. New York, NY, United States.</w:t>
      </w:r>
    </w:p>
    <w:p w14:paraId="0F2D2B46" w14:textId="77777777" w:rsidR="00ED011A" w:rsidRPr="00ED011A" w:rsidRDefault="00ED011A" w:rsidP="00ED011A">
      <w:pPr>
        <w:spacing w:line="360" w:lineRule="auto"/>
        <w:ind w:firstLine="0"/>
        <w:rPr>
          <w:rFonts w:ascii="Times New Roman" w:hAnsi="Times New Roman" w:cs="Times New Roman"/>
          <w:color w:val="000000"/>
          <w:lang w:val="en-US"/>
        </w:rPr>
      </w:pPr>
      <w:r w:rsidRPr="00ED011A">
        <w:rPr>
          <w:rFonts w:ascii="Times New Roman" w:hAnsi="Times New Roman" w:cs="Times New Roman"/>
          <w:color w:val="000000"/>
          <w:lang w:val="en-US"/>
        </w:rPr>
        <w:t>Egbue, O., Long, S</w:t>
      </w:r>
      <w:r w:rsidR="009D51AD">
        <w:rPr>
          <w:rFonts w:ascii="Times New Roman" w:hAnsi="Times New Roman" w:cs="Times New Roman"/>
          <w:color w:val="000000"/>
          <w:lang w:val="en-US"/>
        </w:rPr>
        <w:t>. 2012</w:t>
      </w:r>
      <w:r w:rsidRPr="00ED011A">
        <w:rPr>
          <w:rFonts w:ascii="Times New Roman" w:hAnsi="Times New Roman" w:cs="Times New Roman"/>
          <w:color w:val="000000"/>
          <w:lang w:val="en-US"/>
        </w:rPr>
        <w:t>. Barriers to widespread adoption of electric vehicles: An analysis of consumer attitudes</w:t>
      </w:r>
      <w:r w:rsidR="009D51AD">
        <w:rPr>
          <w:rFonts w:ascii="Times New Roman" w:hAnsi="Times New Roman" w:cs="Times New Roman"/>
          <w:color w:val="000000"/>
          <w:lang w:val="en-US"/>
        </w:rPr>
        <w:t xml:space="preserve"> and perceptions. Energy Policy 48</w:t>
      </w:r>
      <w:r w:rsidRPr="00ED011A">
        <w:rPr>
          <w:rFonts w:ascii="Times New Roman" w:hAnsi="Times New Roman" w:cs="Times New Roman"/>
          <w:color w:val="000000"/>
          <w:lang w:val="en-US"/>
        </w:rPr>
        <w:t xml:space="preserve">, 717–729. </w:t>
      </w:r>
    </w:p>
    <w:p w14:paraId="52E1C3B1" w14:textId="77777777" w:rsidR="00ED011A" w:rsidRPr="00ED011A" w:rsidRDefault="009D51AD" w:rsidP="00ED011A">
      <w:pPr>
        <w:spacing w:line="360" w:lineRule="auto"/>
        <w:ind w:firstLine="0"/>
        <w:rPr>
          <w:rFonts w:ascii="Times New Roman" w:hAnsi="Times New Roman" w:cs="Times New Roman"/>
          <w:color w:val="000000"/>
          <w:lang w:val="en-US"/>
        </w:rPr>
      </w:pPr>
      <w:r>
        <w:rPr>
          <w:rFonts w:ascii="Times New Roman" w:hAnsi="Times New Roman" w:cs="Times New Roman"/>
          <w:color w:val="000000"/>
          <w:lang w:val="en-US"/>
        </w:rPr>
        <w:t>Ewing, G.</w:t>
      </w:r>
      <w:r w:rsidR="00ED011A" w:rsidRPr="00ED011A">
        <w:rPr>
          <w:rFonts w:ascii="Times New Roman" w:hAnsi="Times New Roman" w:cs="Times New Roman"/>
          <w:color w:val="000000"/>
          <w:lang w:val="en-US"/>
        </w:rPr>
        <w:t xml:space="preserve">O., </w:t>
      </w:r>
      <w:r>
        <w:rPr>
          <w:rFonts w:ascii="Times New Roman" w:hAnsi="Times New Roman" w:cs="Times New Roman"/>
          <w:color w:val="000000"/>
          <w:lang w:val="en-US"/>
        </w:rPr>
        <w:t>Sarigöllü, E. 1998</w:t>
      </w:r>
      <w:r w:rsidR="00ED011A" w:rsidRPr="00ED011A">
        <w:rPr>
          <w:rFonts w:ascii="Times New Roman" w:hAnsi="Times New Roman" w:cs="Times New Roman"/>
          <w:color w:val="000000"/>
          <w:lang w:val="en-US"/>
        </w:rPr>
        <w:t>. Car fuel-type choice under travel demand management and economic incentives. Transportation Research Part D:</w:t>
      </w:r>
      <w:r>
        <w:rPr>
          <w:rFonts w:ascii="Times New Roman" w:hAnsi="Times New Roman" w:cs="Times New Roman"/>
          <w:color w:val="000000"/>
          <w:lang w:val="en-US"/>
        </w:rPr>
        <w:t xml:space="preserve"> Transport and Environment 3</w:t>
      </w:r>
      <w:r w:rsidR="00ED011A" w:rsidRPr="00ED011A">
        <w:rPr>
          <w:rFonts w:ascii="Times New Roman" w:hAnsi="Times New Roman" w:cs="Times New Roman"/>
          <w:color w:val="000000"/>
          <w:lang w:val="en-US"/>
        </w:rPr>
        <w:t xml:space="preserve">, 429–444. </w:t>
      </w:r>
    </w:p>
    <w:p w14:paraId="3A1D3E09" w14:textId="77777777" w:rsidR="00ED011A" w:rsidRPr="00ED011A" w:rsidRDefault="00ED011A" w:rsidP="00ED011A">
      <w:pPr>
        <w:spacing w:line="360" w:lineRule="auto"/>
        <w:ind w:firstLine="0"/>
        <w:rPr>
          <w:rFonts w:ascii="Times New Roman" w:hAnsi="Times New Roman" w:cs="Times New Roman"/>
          <w:color w:val="000000"/>
          <w:lang w:val="en-US"/>
        </w:rPr>
      </w:pPr>
      <w:r w:rsidRPr="00ED011A">
        <w:rPr>
          <w:rFonts w:ascii="Times New Roman" w:hAnsi="Times New Roman" w:cs="Times New Roman"/>
          <w:color w:val="000000"/>
          <w:lang w:val="en-US"/>
        </w:rPr>
        <w:t>Ferguson, M., Mohamed, M., Higgins, C. D., A</w:t>
      </w:r>
      <w:r w:rsidR="009D51AD">
        <w:rPr>
          <w:rFonts w:ascii="Times New Roman" w:hAnsi="Times New Roman" w:cs="Times New Roman"/>
          <w:color w:val="000000"/>
          <w:lang w:val="en-US"/>
        </w:rPr>
        <w:t>botalebi, E., &amp; Kanaroglou, P. 2018</w:t>
      </w:r>
      <w:r w:rsidRPr="00ED011A">
        <w:rPr>
          <w:rFonts w:ascii="Times New Roman" w:hAnsi="Times New Roman" w:cs="Times New Roman"/>
          <w:color w:val="000000"/>
          <w:lang w:val="en-US"/>
        </w:rPr>
        <w:t>. How open are Canadian households to electric vehicles? A national latent class choice analysis with willingness-to-pay and metropolitan characterization. Transportation Research Pa</w:t>
      </w:r>
      <w:r w:rsidR="009D51AD">
        <w:rPr>
          <w:rFonts w:ascii="Times New Roman" w:hAnsi="Times New Roman" w:cs="Times New Roman"/>
          <w:color w:val="000000"/>
          <w:lang w:val="en-US"/>
        </w:rPr>
        <w:t>rt D: Transport and Environment</w:t>
      </w:r>
      <w:r w:rsidRPr="00ED011A">
        <w:rPr>
          <w:rFonts w:ascii="Times New Roman" w:hAnsi="Times New Roman" w:cs="Times New Roman"/>
          <w:color w:val="000000"/>
          <w:lang w:val="en-US"/>
        </w:rPr>
        <w:t xml:space="preserve"> 58, 208–224. </w:t>
      </w:r>
    </w:p>
    <w:p w14:paraId="0EE1A5DB" w14:textId="77777777" w:rsidR="00ED011A" w:rsidRPr="00ED011A" w:rsidRDefault="00ED011A" w:rsidP="00ED011A">
      <w:pPr>
        <w:spacing w:line="360" w:lineRule="auto"/>
        <w:ind w:firstLine="0"/>
        <w:rPr>
          <w:rFonts w:ascii="Times New Roman" w:hAnsi="Times New Roman" w:cs="Times New Roman"/>
          <w:color w:val="000000"/>
          <w:lang w:val="en-US"/>
        </w:rPr>
      </w:pPr>
      <w:r w:rsidRPr="00ED011A">
        <w:rPr>
          <w:rFonts w:ascii="Times New Roman" w:hAnsi="Times New Roman" w:cs="Times New Roman"/>
          <w:color w:val="000000"/>
          <w:lang w:val="en-US"/>
        </w:rPr>
        <w:t xml:space="preserve">Hackbarth, A., </w:t>
      </w:r>
      <w:r w:rsidR="00FD7AC1">
        <w:rPr>
          <w:rFonts w:ascii="Times New Roman" w:hAnsi="Times New Roman" w:cs="Times New Roman"/>
          <w:color w:val="000000"/>
          <w:lang w:val="en-US"/>
        </w:rPr>
        <w:t>Madlener, R. 2013</w:t>
      </w:r>
      <w:r w:rsidRPr="00ED011A">
        <w:rPr>
          <w:rFonts w:ascii="Times New Roman" w:hAnsi="Times New Roman" w:cs="Times New Roman"/>
          <w:color w:val="000000"/>
          <w:lang w:val="en-US"/>
        </w:rPr>
        <w:t>. Consumer preferences for alternative fuel vehicles: A discrete choice analysis. Transportation Research Pa</w:t>
      </w:r>
      <w:r w:rsidR="00FD7AC1">
        <w:rPr>
          <w:rFonts w:ascii="Times New Roman" w:hAnsi="Times New Roman" w:cs="Times New Roman"/>
          <w:color w:val="000000"/>
          <w:lang w:val="en-US"/>
        </w:rPr>
        <w:t>rt D: Transport and Environment</w:t>
      </w:r>
      <w:r w:rsidRPr="00ED011A">
        <w:rPr>
          <w:rFonts w:ascii="Times New Roman" w:hAnsi="Times New Roman" w:cs="Times New Roman"/>
          <w:color w:val="000000"/>
          <w:lang w:val="en-US"/>
        </w:rPr>
        <w:t xml:space="preserve"> 25, 5–17. </w:t>
      </w:r>
    </w:p>
    <w:p w14:paraId="01A47A16" w14:textId="77777777" w:rsidR="00ED011A" w:rsidRPr="00ED011A" w:rsidRDefault="00FD7AC1" w:rsidP="00ED011A">
      <w:pPr>
        <w:spacing w:line="360" w:lineRule="auto"/>
        <w:ind w:firstLine="0"/>
        <w:rPr>
          <w:rFonts w:ascii="Times New Roman" w:hAnsi="Times New Roman" w:cs="Times New Roman"/>
          <w:color w:val="000000"/>
          <w:lang w:val="en-US"/>
        </w:rPr>
      </w:pPr>
      <w:r>
        <w:rPr>
          <w:rFonts w:ascii="Times New Roman" w:hAnsi="Times New Roman" w:cs="Times New Roman"/>
          <w:color w:val="000000"/>
          <w:lang w:val="en-US"/>
        </w:rPr>
        <w:t>Helveston, J.</w:t>
      </w:r>
      <w:r w:rsidR="00ED011A" w:rsidRPr="00ED011A">
        <w:rPr>
          <w:rFonts w:ascii="Times New Roman" w:hAnsi="Times New Roman" w:cs="Times New Roman"/>
          <w:color w:val="000000"/>
          <w:lang w:val="en-US"/>
        </w:rPr>
        <w:t>P., Li</w:t>
      </w:r>
      <w:r>
        <w:rPr>
          <w:rFonts w:ascii="Times New Roman" w:hAnsi="Times New Roman" w:cs="Times New Roman"/>
          <w:color w:val="000000"/>
          <w:lang w:val="en-US"/>
        </w:rPr>
        <w:t>u, Y., Feit, E.</w:t>
      </w:r>
      <w:r w:rsidR="00ED011A" w:rsidRPr="00ED011A">
        <w:rPr>
          <w:rFonts w:ascii="Times New Roman" w:hAnsi="Times New Roman" w:cs="Times New Roman"/>
          <w:color w:val="000000"/>
          <w:lang w:val="en-US"/>
        </w:rPr>
        <w:t xml:space="preserve">M., Fuchs, E., Klampfl, E., </w:t>
      </w:r>
      <w:r>
        <w:rPr>
          <w:rFonts w:ascii="Times New Roman" w:hAnsi="Times New Roman" w:cs="Times New Roman"/>
          <w:color w:val="000000"/>
          <w:lang w:val="en-US"/>
        </w:rPr>
        <w:t>Michalek, J.J. 2015</w:t>
      </w:r>
      <w:r w:rsidR="00ED011A" w:rsidRPr="00ED011A">
        <w:rPr>
          <w:rFonts w:ascii="Times New Roman" w:hAnsi="Times New Roman" w:cs="Times New Roman"/>
          <w:color w:val="000000"/>
          <w:lang w:val="en-US"/>
        </w:rPr>
        <w:t>. Will subsidies drive electric vehicle adoption? Measuring consumer preferences in the US and China. Transportation Resea</w:t>
      </w:r>
      <w:r>
        <w:rPr>
          <w:rFonts w:ascii="Times New Roman" w:hAnsi="Times New Roman" w:cs="Times New Roman"/>
          <w:color w:val="000000"/>
          <w:lang w:val="en-US"/>
        </w:rPr>
        <w:t>rch Part A: Policy and Practice</w:t>
      </w:r>
      <w:r w:rsidR="00ED011A" w:rsidRPr="00ED011A">
        <w:rPr>
          <w:rFonts w:ascii="Times New Roman" w:hAnsi="Times New Roman" w:cs="Times New Roman"/>
          <w:color w:val="000000"/>
          <w:lang w:val="en-US"/>
        </w:rPr>
        <w:t xml:space="preserve"> 73, 96–112. </w:t>
      </w:r>
    </w:p>
    <w:p w14:paraId="1DEC41F6" w14:textId="77777777" w:rsidR="00FD7AC1" w:rsidRDefault="00FD7AC1" w:rsidP="00FD7AC1">
      <w:pPr>
        <w:spacing w:line="360" w:lineRule="auto"/>
        <w:ind w:firstLine="0"/>
        <w:rPr>
          <w:rFonts w:ascii="Times New Roman" w:hAnsi="Times New Roman" w:cs="Times New Roman"/>
          <w:color w:val="000000"/>
          <w:lang w:val="en-US"/>
        </w:rPr>
      </w:pPr>
      <w:r>
        <w:rPr>
          <w:rFonts w:ascii="Times New Roman" w:hAnsi="Times New Roman" w:cs="Times New Roman"/>
          <w:color w:val="000000"/>
          <w:lang w:val="en-US"/>
        </w:rPr>
        <w:lastRenderedPageBreak/>
        <w:t>Hensher, D.A., Beck, M.J., Rose, J.M. 2011</w:t>
      </w:r>
      <w:r w:rsidR="00ED011A" w:rsidRPr="00ED011A">
        <w:rPr>
          <w:rFonts w:ascii="Times New Roman" w:hAnsi="Times New Roman" w:cs="Times New Roman"/>
          <w:color w:val="000000"/>
          <w:lang w:val="en-US"/>
        </w:rPr>
        <w:t>. Accounting for Preference and Scale Heterogeneity in Establishing Whether it Matters Who is Interviewed to Reveal Household Automobile Purchase Preferences. Environmental and Resource E</w:t>
      </w:r>
      <w:r>
        <w:rPr>
          <w:rFonts w:ascii="Times New Roman" w:hAnsi="Times New Roman" w:cs="Times New Roman"/>
          <w:color w:val="000000"/>
          <w:lang w:val="en-US"/>
        </w:rPr>
        <w:t>conomics 49</w:t>
      </w:r>
      <w:r w:rsidR="00ED011A" w:rsidRPr="00ED011A">
        <w:rPr>
          <w:rFonts w:ascii="Times New Roman" w:hAnsi="Times New Roman" w:cs="Times New Roman"/>
          <w:color w:val="000000"/>
          <w:lang w:val="en-US"/>
        </w:rPr>
        <w:t xml:space="preserve">, 1–22. </w:t>
      </w:r>
    </w:p>
    <w:p w14:paraId="0BAB350A" w14:textId="77777777" w:rsidR="00FD7AC1" w:rsidRPr="00FD7AC1" w:rsidRDefault="00FD7AC1" w:rsidP="00FD7AC1">
      <w:pPr>
        <w:spacing w:line="360" w:lineRule="auto"/>
        <w:ind w:firstLine="0"/>
        <w:rPr>
          <w:rFonts w:ascii="Times New Roman" w:hAnsi="Times New Roman" w:cs="Times New Roman"/>
          <w:color w:val="000000"/>
          <w:lang w:val="en-US"/>
        </w:rPr>
      </w:pPr>
      <w:r w:rsidRPr="00FD7AC1">
        <w:rPr>
          <w:rFonts w:ascii="Times New Roman" w:hAnsi="Times New Roman" w:cs="Times New Roman"/>
          <w:color w:val="000000"/>
          <w:lang w:val="en-US"/>
        </w:rPr>
        <w:t>Hensher, D., Rose, J., William, W. 2005. Applied Choice Analysis: A Primer. Cambridge University Press, Cambridge, UK.</w:t>
      </w:r>
    </w:p>
    <w:p w14:paraId="421E883A" w14:textId="77777777" w:rsidR="00ED011A" w:rsidRPr="00ED011A" w:rsidRDefault="00FD7AC1" w:rsidP="00ED011A">
      <w:pPr>
        <w:spacing w:line="360" w:lineRule="auto"/>
        <w:ind w:firstLine="0"/>
        <w:rPr>
          <w:rFonts w:ascii="Times New Roman" w:hAnsi="Times New Roman" w:cs="Times New Roman"/>
          <w:color w:val="000000"/>
          <w:lang w:val="en-US"/>
        </w:rPr>
      </w:pPr>
      <w:r>
        <w:rPr>
          <w:rFonts w:ascii="Times New Roman" w:hAnsi="Times New Roman" w:cs="Times New Roman"/>
          <w:color w:val="000000"/>
          <w:lang w:val="en-US"/>
        </w:rPr>
        <w:t>Hidrue, M.K., Parsons, G.</w:t>
      </w:r>
      <w:r w:rsidR="00ED011A" w:rsidRPr="00ED011A">
        <w:rPr>
          <w:rFonts w:ascii="Times New Roman" w:hAnsi="Times New Roman" w:cs="Times New Roman"/>
          <w:color w:val="000000"/>
          <w:lang w:val="en-US"/>
        </w:rPr>
        <w:t xml:space="preserve">R., Kempton, W., </w:t>
      </w:r>
      <w:r>
        <w:rPr>
          <w:rFonts w:ascii="Times New Roman" w:hAnsi="Times New Roman" w:cs="Times New Roman"/>
          <w:color w:val="000000"/>
          <w:lang w:val="en-US"/>
        </w:rPr>
        <w:t>Gardner, M.P. 2011</w:t>
      </w:r>
      <w:r w:rsidR="00ED011A" w:rsidRPr="00ED011A">
        <w:rPr>
          <w:rFonts w:ascii="Times New Roman" w:hAnsi="Times New Roman" w:cs="Times New Roman"/>
          <w:color w:val="000000"/>
          <w:lang w:val="en-US"/>
        </w:rPr>
        <w:t>. Willingness to pay for electric vehicles and their attributes. Reso</w:t>
      </w:r>
      <w:r>
        <w:rPr>
          <w:rFonts w:ascii="Times New Roman" w:hAnsi="Times New Roman" w:cs="Times New Roman"/>
          <w:color w:val="000000"/>
          <w:lang w:val="en-US"/>
        </w:rPr>
        <w:t>urce and Energy Economics 33</w:t>
      </w:r>
      <w:r w:rsidR="00ED011A" w:rsidRPr="00ED011A">
        <w:rPr>
          <w:rFonts w:ascii="Times New Roman" w:hAnsi="Times New Roman" w:cs="Times New Roman"/>
          <w:color w:val="000000"/>
          <w:lang w:val="en-US"/>
        </w:rPr>
        <w:t xml:space="preserve">, 686–705. </w:t>
      </w:r>
    </w:p>
    <w:p w14:paraId="285CF51F" w14:textId="77777777" w:rsidR="00ED011A" w:rsidRPr="00ED011A" w:rsidRDefault="00FD7AC1" w:rsidP="00ED011A">
      <w:pPr>
        <w:spacing w:line="360" w:lineRule="auto"/>
        <w:ind w:firstLine="0"/>
        <w:rPr>
          <w:rFonts w:ascii="Times New Roman" w:hAnsi="Times New Roman" w:cs="Times New Roman"/>
          <w:color w:val="000000"/>
          <w:lang w:val="en-US"/>
        </w:rPr>
      </w:pPr>
      <w:r>
        <w:rPr>
          <w:rFonts w:ascii="Times New Roman" w:hAnsi="Times New Roman" w:cs="Times New Roman"/>
          <w:color w:val="000000"/>
          <w:lang w:val="en-US"/>
        </w:rPr>
        <w:t>Higgins, C.D., Mohamed, M., Ferguson, M.R. 2017</w:t>
      </w:r>
      <w:r w:rsidR="00ED011A" w:rsidRPr="00ED011A">
        <w:rPr>
          <w:rFonts w:ascii="Times New Roman" w:hAnsi="Times New Roman" w:cs="Times New Roman"/>
          <w:color w:val="000000"/>
          <w:lang w:val="en-US"/>
        </w:rPr>
        <w:t>. Size matters: How vehicle body type affects consumer preferences for electric vehicles. Transportation Resea</w:t>
      </w:r>
      <w:r>
        <w:rPr>
          <w:rFonts w:ascii="Times New Roman" w:hAnsi="Times New Roman" w:cs="Times New Roman"/>
          <w:color w:val="000000"/>
          <w:lang w:val="en-US"/>
        </w:rPr>
        <w:t>rch Part A: Policy and Practice</w:t>
      </w:r>
      <w:r w:rsidR="00ED011A" w:rsidRPr="00ED011A">
        <w:rPr>
          <w:rFonts w:ascii="Times New Roman" w:hAnsi="Times New Roman" w:cs="Times New Roman"/>
          <w:color w:val="000000"/>
          <w:lang w:val="en-US"/>
        </w:rPr>
        <w:t xml:space="preserve"> 100, 182–201. </w:t>
      </w:r>
    </w:p>
    <w:p w14:paraId="1134728B" w14:textId="77777777" w:rsidR="00ED011A" w:rsidRPr="00ED011A" w:rsidRDefault="00ED011A" w:rsidP="00ED011A">
      <w:pPr>
        <w:spacing w:line="360" w:lineRule="auto"/>
        <w:ind w:firstLine="0"/>
        <w:rPr>
          <w:rFonts w:ascii="Times New Roman" w:hAnsi="Times New Roman" w:cs="Times New Roman"/>
          <w:color w:val="000000"/>
          <w:lang w:val="en-US"/>
        </w:rPr>
      </w:pPr>
      <w:r w:rsidRPr="00ED011A">
        <w:rPr>
          <w:rFonts w:ascii="Times New Roman" w:hAnsi="Times New Roman" w:cs="Times New Roman"/>
          <w:color w:val="000000"/>
          <w:lang w:val="en-US"/>
        </w:rPr>
        <w:t xml:space="preserve">Hoen, A., </w:t>
      </w:r>
      <w:r w:rsidR="00FD7AC1">
        <w:rPr>
          <w:rFonts w:ascii="Times New Roman" w:hAnsi="Times New Roman" w:cs="Times New Roman"/>
          <w:color w:val="000000"/>
          <w:lang w:val="en-US"/>
        </w:rPr>
        <w:t>Koetse, M.J. 2014</w:t>
      </w:r>
      <w:r w:rsidRPr="00ED011A">
        <w:rPr>
          <w:rFonts w:ascii="Times New Roman" w:hAnsi="Times New Roman" w:cs="Times New Roman"/>
          <w:color w:val="000000"/>
          <w:lang w:val="en-US"/>
        </w:rPr>
        <w:t>. A choice experiment on alternative fuel vehicle preferences of private car owners in the Netherlands. Transportation Resea</w:t>
      </w:r>
      <w:r w:rsidR="00FD7AC1">
        <w:rPr>
          <w:rFonts w:ascii="Times New Roman" w:hAnsi="Times New Roman" w:cs="Times New Roman"/>
          <w:color w:val="000000"/>
          <w:lang w:val="en-US"/>
        </w:rPr>
        <w:t>rch Part A: Policy and Practice</w:t>
      </w:r>
      <w:r w:rsidRPr="00ED011A">
        <w:rPr>
          <w:rFonts w:ascii="Times New Roman" w:hAnsi="Times New Roman" w:cs="Times New Roman"/>
          <w:color w:val="000000"/>
          <w:lang w:val="en-US"/>
        </w:rPr>
        <w:t xml:space="preserve"> 61, 199–215. </w:t>
      </w:r>
    </w:p>
    <w:p w14:paraId="241AEE87" w14:textId="77777777" w:rsidR="00ED011A" w:rsidRPr="00ED011A" w:rsidRDefault="00ED011A" w:rsidP="00ED011A">
      <w:pPr>
        <w:spacing w:line="360" w:lineRule="auto"/>
        <w:ind w:firstLine="0"/>
        <w:rPr>
          <w:rFonts w:ascii="Times New Roman" w:hAnsi="Times New Roman" w:cs="Times New Roman"/>
          <w:color w:val="000000"/>
          <w:lang w:val="en-US"/>
        </w:rPr>
      </w:pPr>
      <w:r w:rsidRPr="00ED011A">
        <w:rPr>
          <w:rFonts w:ascii="Times New Roman" w:hAnsi="Times New Roman" w:cs="Times New Roman"/>
          <w:color w:val="000000"/>
          <w:lang w:val="en-US"/>
        </w:rPr>
        <w:t xml:space="preserve">Huber, J., </w:t>
      </w:r>
      <w:r w:rsidR="00FD7AC1">
        <w:rPr>
          <w:rFonts w:ascii="Times New Roman" w:hAnsi="Times New Roman" w:cs="Times New Roman"/>
          <w:color w:val="000000"/>
          <w:lang w:val="en-US"/>
        </w:rPr>
        <w:t>Zwerina, K. 1996</w:t>
      </w:r>
      <w:r w:rsidRPr="00ED011A">
        <w:rPr>
          <w:rFonts w:ascii="Times New Roman" w:hAnsi="Times New Roman" w:cs="Times New Roman"/>
          <w:color w:val="000000"/>
          <w:lang w:val="en-US"/>
        </w:rPr>
        <w:t>. The Importance of Utility Balance in Efficient Choice Designs</w:t>
      </w:r>
      <w:r w:rsidR="00FD7AC1">
        <w:rPr>
          <w:rFonts w:ascii="Times New Roman" w:hAnsi="Times New Roman" w:cs="Times New Roman"/>
          <w:color w:val="000000"/>
          <w:lang w:val="en-US"/>
        </w:rPr>
        <w:t>. Journal of Marketing Research</w:t>
      </w:r>
      <w:r w:rsidRPr="00ED011A">
        <w:rPr>
          <w:rFonts w:ascii="Times New Roman" w:hAnsi="Times New Roman" w:cs="Times New Roman"/>
          <w:color w:val="000000"/>
          <w:lang w:val="en-US"/>
        </w:rPr>
        <w:t xml:space="preserve"> XXXIII, 307–317.</w:t>
      </w:r>
    </w:p>
    <w:p w14:paraId="383D7514" w14:textId="77777777" w:rsidR="00ED011A" w:rsidRDefault="00FD7AC1" w:rsidP="00ED011A">
      <w:pPr>
        <w:spacing w:line="360" w:lineRule="auto"/>
        <w:ind w:firstLine="0"/>
        <w:rPr>
          <w:rFonts w:ascii="Times New Roman" w:hAnsi="Times New Roman" w:cs="Times New Roman"/>
          <w:color w:val="000000"/>
          <w:lang w:val="en-US"/>
        </w:rPr>
      </w:pPr>
      <w:r>
        <w:rPr>
          <w:rFonts w:ascii="Times New Roman" w:hAnsi="Times New Roman" w:cs="Times New Roman"/>
          <w:color w:val="000000"/>
          <w:lang w:val="en-US"/>
        </w:rPr>
        <w:t>Jensen, A.</w:t>
      </w:r>
      <w:r w:rsidR="00ED011A" w:rsidRPr="00ED011A">
        <w:rPr>
          <w:rFonts w:ascii="Times New Roman" w:hAnsi="Times New Roman" w:cs="Times New Roman"/>
          <w:color w:val="000000"/>
          <w:lang w:val="en-US"/>
        </w:rPr>
        <w:t xml:space="preserve">F., Cherchi, E., </w:t>
      </w:r>
      <w:r>
        <w:rPr>
          <w:rFonts w:ascii="Times New Roman" w:hAnsi="Times New Roman" w:cs="Times New Roman"/>
          <w:color w:val="000000"/>
          <w:lang w:val="en-US"/>
        </w:rPr>
        <w:t xml:space="preserve">Mabit, S.L. </w:t>
      </w:r>
      <w:r w:rsidR="00ED011A" w:rsidRPr="00ED011A">
        <w:rPr>
          <w:rFonts w:ascii="Times New Roman" w:hAnsi="Times New Roman" w:cs="Times New Roman"/>
          <w:color w:val="000000"/>
          <w:lang w:val="en-US"/>
        </w:rPr>
        <w:t>2013. On the stability of preferences and attitudes before and after experiencing an electric vehicle. Transportation Research Pa</w:t>
      </w:r>
      <w:r>
        <w:rPr>
          <w:rFonts w:ascii="Times New Roman" w:hAnsi="Times New Roman" w:cs="Times New Roman"/>
          <w:color w:val="000000"/>
          <w:lang w:val="en-US"/>
        </w:rPr>
        <w:t>rt D: Transport and Environment</w:t>
      </w:r>
      <w:r w:rsidR="00ED011A" w:rsidRPr="00ED011A">
        <w:rPr>
          <w:rFonts w:ascii="Times New Roman" w:hAnsi="Times New Roman" w:cs="Times New Roman"/>
          <w:color w:val="000000"/>
          <w:lang w:val="en-US"/>
        </w:rPr>
        <w:t xml:space="preserve"> 25, 24–32. </w:t>
      </w:r>
    </w:p>
    <w:p w14:paraId="28C15769" w14:textId="77777777" w:rsidR="004C6FC4" w:rsidRPr="00ED011A" w:rsidRDefault="004C6FC4" w:rsidP="00ED011A">
      <w:pPr>
        <w:spacing w:line="360" w:lineRule="auto"/>
        <w:ind w:firstLine="0"/>
        <w:rPr>
          <w:rFonts w:ascii="Times New Roman" w:hAnsi="Times New Roman" w:cs="Times New Roman"/>
          <w:color w:val="000000"/>
          <w:lang w:val="en-US"/>
        </w:rPr>
      </w:pPr>
      <w:r w:rsidRPr="004C6FC4">
        <w:rPr>
          <w:rFonts w:ascii="Times New Roman" w:hAnsi="Times New Roman" w:cs="Times New Roman"/>
          <w:color w:val="000000"/>
          <w:lang w:val="en-US"/>
        </w:rPr>
        <w:t>Krause, R.M., Sanya, R.C, Lane, B.W., Graham, J.D. 2013. Perception and reality: public knowledge of plug-in electric vehicles in 21 U.S. cities. Energy Policy 63, 433-440.</w:t>
      </w:r>
    </w:p>
    <w:p w14:paraId="1C431423" w14:textId="77777777" w:rsidR="00ED011A" w:rsidRPr="00ED011A" w:rsidRDefault="00ED011A" w:rsidP="00ED011A">
      <w:pPr>
        <w:spacing w:line="360" w:lineRule="auto"/>
        <w:ind w:firstLine="0"/>
        <w:rPr>
          <w:rFonts w:ascii="Times New Roman" w:hAnsi="Times New Roman" w:cs="Times New Roman"/>
          <w:color w:val="000000"/>
          <w:lang w:val="en-US"/>
        </w:rPr>
      </w:pPr>
      <w:r w:rsidRPr="00ED011A">
        <w:rPr>
          <w:rFonts w:ascii="Times New Roman" w:hAnsi="Times New Roman" w:cs="Times New Roman"/>
          <w:color w:val="000000"/>
          <w:lang w:val="en-US"/>
        </w:rPr>
        <w:t xml:space="preserve">Lane, B., </w:t>
      </w:r>
      <w:r w:rsidR="00FD7AC1">
        <w:rPr>
          <w:rFonts w:ascii="Times New Roman" w:hAnsi="Times New Roman" w:cs="Times New Roman"/>
          <w:color w:val="000000"/>
          <w:lang w:val="en-US"/>
        </w:rPr>
        <w:t>Potter, S. 2007</w:t>
      </w:r>
      <w:r w:rsidRPr="00ED011A">
        <w:rPr>
          <w:rFonts w:ascii="Times New Roman" w:hAnsi="Times New Roman" w:cs="Times New Roman"/>
          <w:color w:val="000000"/>
          <w:lang w:val="en-US"/>
        </w:rPr>
        <w:t>. The adoption of cleaner vehicles in the UK: exploring the consumer attitude-action gap</w:t>
      </w:r>
      <w:r w:rsidR="00FD7AC1">
        <w:rPr>
          <w:rFonts w:ascii="Times New Roman" w:hAnsi="Times New Roman" w:cs="Times New Roman"/>
          <w:color w:val="000000"/>
          <w:lang w:val="en-US"/>
        </w:rPr>
        <w:t>. Journal of Cleaner Production 15</w:t>
      </w:r>
      <w:r w:rsidRPr="00ED011A">
        <w:rPr>
          <w:rFonts w:ascii="Times New Roman" w:hAnsi="Times New Roman" w:cs="Times New Roman"/>
          <w:color w:val="000000"/>
          <w:lang w:val="en-US"/>
        </w:rPr>
        <w:t xml:space="preserve">, 1085–1092. </w:t>
      </w:r>
    </w:p>
    <w:p w14:paraId="54685702" w14:textId="77777777" w:rsidR="00ED011A" w:rsidRPr="00ED011A" w:rsidRDefault="00ED011A" w:rsidP="00ED011A">
      <w:pPr>
        <w:spacing w:line="360" w:lineRule="auto"/>
        <w:ind w:firstLine="0"/>
        <w:rPr>
          <w:rFonts w:ascii="Times New Roman" w:hAnsi="Times New Roman" w:cs="Times New Roman"/>
          <w:color w:val="000000"/>
          <w:lang w:val="en-US"/>
        </w:rPr>
      </w:pPr>
      <w:r w:rsidRPr="00ED011A">
        <w:rPr>
          <w:rFonts w:ascii="Times New Roman" w:hAnsi="Times New Roman" w:cs="Times New Roman"/>
          <w:color w:val="000000"/>
          <w:lang w:val="en-US"/>
        </w:rPr>
        <w:t>Liao, F., Molin, E., va</w:t>
      </w:r>
      <w:r w:rsidR="00FD7AC1">
        <w:rPr>
          <w:rFonts w:ascii="Times New Roman" w:hAnsi="Times New Roman" w:cs="Times New Roman"/>
          <w:color w:val="000000"/>
          <w:lang w:val="en-US"/>
        </w:rPr>
        <w:t>n Wee, B. 2017</w:t>
      </w:r>
      <w:r w:rsidRPr="00ED011A">
        <w:rPr>
          <w:rFonts w:ascii="Times New Roman" w:hAnsi="Times New Roman" w:cs="Times New Roman"/>
          <w:color w:val="000000"/>
          <w:lang w:val="en-US"/>
        </w:rPr>
        <w:t>. Consumer preferences for electric vehicles: a literature</w:t>
      </w:r>
      <w:r w:rsidR="00FD7AC1">
        <w:rPr>
          <w:rFonts w:ascii="Times New Roman" w:hAnsi="Times New Roman" w:cs="Times New Roman"/>
          <w:color w:val="000000"/>
          <w:lang w:val="en-US"/>
        </w:rPr>
        <w:t xml:space="preserve"> review. Transport Reviews 37</w:t>
      </w:r>
      <w:r w:rsidRPr="00ED011A">
        <w:rPr>
          <w:rFonts w:ascii="Times New Roman" w:hAnsi="Times New Roman" w:cs="Times New Roman"/>
          <w:color w:val="000000"/>
          <w:lang w:val="en-US"/>
        </w:rPr>
        <w:t xml:space="preserve">, 252–275. </w:t>
      </w:r>
    </w:p>
    <w:p w14:paraId="41DECED4" w14:textId="77777777" w:rsidR="00FD7AC1" w:rsidRPr="00FD7AC1" w:rsidRDefault="00FD7AC1" w:rsidP="00ED011A">
      <w:pPr>
        <w:spacing w:line="360" w:lineRule="auto"/>
        <w:ind w:firstLine="0"/>
        <w:rPr>
          <w:rFonts w:ascii="Times New Roman" w:hAnsi="Times New Roman" w:cs="Times New Roman"/>
          <w:color w:val="000000"/>
        </w:rPr>
      </w:pPr>
      <w:r w:rsidRPr="00FD7AC1">
        <w:rPr>
          <w:rFonts w:ascii="Times New Roman" w:hAnsi="Times New Roman" w:cs="Times New Roman"/>
          <w:color w:val="000000"/>
        </w:rPr>
        <w:lastRenderedPageBreak/>
        <w:t>Louviere, J., Hensher, D., Joffre Swait, J. 2000. Stated Choice Methods: Analysis and Applications. Cambridge University Press, Cambridge, UK.</w:t>
      </w:r>
    </w:p>
    <w:p w14:paraId="1BB17276" w14:textId="77777777" w:rsidR="00ED011A" w:rsidRDefault="00FD7AC1" w:rsidP="00ED011A">
      <w:pPr>
        <w:spacing w:line="360" w:lineRule="auto"/>
        <w:ind w:firstLine="0"/>
        <w:rPr>
          <w:rFonts w:ascii="Times New Roman" w:hAnsi="Times New Roman" w:cs="Times New Roman"/>
          <w:color w:val="000000"/>
          <w:lang w:val="en-US"/>
        </w:rPr>
      </w:pPr>
      <w:r>
        <w:rPr>
          <w:rFonts w:ascii="Times New Roman" w:hAnsi="Times New Roman" w:cs="Times New Roman"/>
          <w:color w:val="000000"/>
          <w:lang w:val="en-US"/>
        </w:rPr>
        <w:t>Mabit, S.</w:t>
      </w:r>
      <w:r w:rsidR="00ED011A" w:rsidRPr="00ED011A">
        <w:rPr>
          <w:rFonts w:ascii="Times New Roman" w:hAnsi="Times New Roman" w:cs="Times New Roman"/>
          <w:color w:val="000000"/>
          <w:lang w:val="en-US"/>
        </w:rPr>
        <w:t xml:space="preserve">L., </w:t>
      </w:r>
      <w:r>
        <w:rPr>
          <w:rFonts w:ascii="Times New Roman" w:hAnsi="Times New Roman" w:cs="Times New Roman"/>
          <w:color w:val="000000"/>
          <w:lang w:val="en-US"/>
        </w:rPr>
        <w:t>Fosgerau, M. 2011</w:t>
      </w:r>
      <w:r w:rsidR="00ED011A" w:rsidRPr="00ED011A">
        <w:rPr>
          <w:rFonts w:ascii="Times New Roman" w:hAnsi="Times New Roman" w:cs="Times New Roman"/>
          <w:color w:val="000000"/>
          <w:lang w:val="en-US"/>
        </w:rPr>
        <w:t>. Demand for alternative-fuel vehicles when registration taxes are high. Transportation Research Pa</w:t>
      </w:r>
      <w:r>
        <w:rPr>
          <w:rFonts w:ascii="Times New Roman" w:hAnsi="Times New Roman" w:cs="Times New Roman"/>
          <w:color w:val="000000"/>
          <w:lang w:val="en-US"/>
        </w:rPr>
        <w:t>rt D: Transport and Environment 16</w:t>
      </w:r>
      <w:r w:rsidR="00ED011A" w:rsidRPr="00ED011A">
        <w:rPr>
          <w:rFonts w:ascii="Times New Roman" w:hAnsi="Times New Roman" w:cs="Times New Roman"/>
          <w:color w:val="000000"/>
          <w:lang w:val="en-US"/>
        </w:rPr>
        <w:t xml:space="preserve">, 225–231. </w:t>
      </w:r>
    </w:p>
    <w:p w14:paraId="0180CB5F" w14:textId="77777777" w:rsidR="004C6FC4" w:rsidRPr="00ED011A" w:rsidRDefault="004C6FC4" w:rsidP="00ED011A">
      <w:pPr>
        <w:spacing w:line="360" w:lineRule="auto"/>
        <w:ind w:firstLine="0"/>
        <w:rPr>
          <w:rFonts w:ascii="Times New Roman" w:hAnsi="Times New Roman" w:cs="Times New Roman"/>
          <w:color w:val="000000"/>
          <w:lang w:val="en-US"/>
        </w:rPr>
      </w:pPr>
      <w:r w:rsidRPr="004C6FC4">
        <w:rPr>
          <w:rFonts w:ascii="Times New Roman" w:hAnsi="Times New Roman" w:cs="Times New Roman"/>
          <w:color w:val="000000"/>
          <w:lang w:val="en-US"/>
        </w:rPr>
        <w:t>Meade, A.W., Craig, S.B. 2011. Identifying careless responses in survey data. In Proceedings of the 26th Annual Meeting of the Society for Industrial and Organizational Psychology. Chicago, Illinois, United States.</w:t>
      </w:r>
    </w:p>
    <w:p w14:paraId="4506BF52" w14:textId="77777777" w:rsidR="00ED011A" w:rsidRPr="00ED011A" w:rsidRDefault="00FD7AC1" w:rsidP="00ED011A">
      <w:pPr>
        <w:spacing w:line="360" w:lineRule="auto"/>
        <w:ind w:firstLine="0"/>
        <w:rPr>
          <w:rFonts w:ascii="Times New Roman" w:hAnsi="Times New Roman" w:cs="Times New Roman"/>
          <w:color w:val="000000"/>
          <w:lang w:val="en-US"/>
        </w:rPr>
      </w:pPr>
      <w:r>
        <w:rPr>
          <w:rFonts w:ascii="Times New Roman" w:hAnsi="Times New Roman" w:cs="Times New Roman"/>
          <w:color w:val="000000"/>
          <w:lang w:val="en-US"/>
        </w:rPr>
        <w:t>Massiani, J. 2014</w:t>
      </w:r>
      <w:r w:rsidR="00ED011A" w:rsidRPr="00ED011A">
        <w:rPr>
          <w:rFonts w:ascii="Times New Roman" w:hAnsi="Times New Roman" w:cs="Times New Roman"/>
          <w:color w:val="000000"/>
          <w:lang w:val="en-US"/>
        </w:rPr>
        <w:t>. Stated preference surveys for electric and alternative fuel vehicles: are we doing the right thi</w:t>
      </w:r>
      <w:r>
        <w:rPr>
          <w:rFonts w:ascii="Times New Roman" w:hAnsi="Times New Roman" w:cs="Times New Roman"/>
          <w:color w:val="000000"/>
          <w:lang w:val="en-US"/>
        </w:rPr>
        <w:t>ng? Transportation Letters 6</w:t>
      </w:r>
      <w:r w:rsidR="00ED011A" w:rsidRPr="00ED011A">
        <w:rPr>
          <w:rFonts w:ascii="Times New Roman" w:hAnsi="Times New Roman" w:cs="Times New Roman"/>
          <w:color w:val="000000"/>
          <w:lang w:val="en-US"/>
        </w:rPr>
        <w:t xml:space="preserve">, 152–160. </w:t>
      </w:r>
    </w:p>
    <w:p w14:paraId="2EE69564" w14:textId="77777777" w:rsidR="00ED011A" w:rsidRPr="00ED011A" w:rsidRDefault="00FD7AC1" w:rsidP="00ED011A">
      <w:pPr>
        <w:spacing w:line="360" w:lineRule="auto"/>
        <w:ind w:firstLine="0"/>
        <w:rPr>
          <w:rFonts w:ascii="Times New Roman" w:hAnsi="Times New Roman" w:cs="Times New Roman"/>
          <w:color w:val="000000"/>
          <w:lang w:val="en-US"/>
        </w:rPr>
      </w:pPr>
      <w:r>
        <w:rPr>
          <w:rFonts w:ascii="Times New Roman" w:hAnsi="Times New Roman" w:cs="Times New Roman"/>
          <w:color w:val="000000"/>
          <w:lang w:val="en-US"/>
        </w:rPr>
        <w:t>Mohamed, M., Higgins, C.</w:t>
      </w:r>
      <w:r w:rsidR="00ED011A" w:rsidRPr="00ED011A">
        <w:rPr>
          <w:rFonts w:ascii="Times New Roman" w:hAnsi="Times New Roman" w:cs="Times New Roman"/>
          <w:color w:val="000000"/>
          <w:lang w:val="en-US"/>
        </w:rPr>
        <w:t>D., Ferguson, M., Réqui</w:t>
      </w:r>
      <w:r>
        <w:rPr>
          <w:rFonts w:ascii="Times New Roman" w:hAnsi="Times New Roman" w:cs="Times New Roman"/>
          <w:color w:val="000000"/>
          <w:lang w:val="en-US"/>
        </w:rPr>
        <w:t>a, W.J. 2018</w:t>
      </w:r>
      <w:r w:rsidR="00ED011A" w:rsidRPr="00ED011A">
        <w:rPr>
          <w:rFonts w:ascii="Times New Roman" w:hAnsi="Times New Roman" w:cs="Times New Roman"/>
          <w:color w:val="000000"/>
          <w:lang w:val="en-US"/>
        </w:rPr>
        <w:t>. The influence of vehicle body type in shaping behavioural intention to acquire electric vehicles: A multi-group structural equation approach.</w:t>
      </w:r>
      <w:r>
        <w:rPr>
          <w:rFonts w:ascii="Times New Roman" w:hAnsi="Times New Roman" w:cs="Times New Roman"/>
          <w:color w:val="000000"/>
          <w:lang w:val="en-US"/>
        </w:rPr>
        <w:t xml:space="preserve"> Transportation Research Part A 116</w:t>
      </w:r>
      <w:r w:rsidR="00ED011A" w:rsidRPr="00ED011A">
        <w:rPr>
          <w:rFonts w:ascii="Times New Roman" w:hAnsi="Times New Roman" w:cs="Times New Roman"/>
          <w:color w:val="000000"/>
          <w:lang w:val="en-US"/>
        </w:rPr>
        <w:t xml:space="preserve">, 54–72. </w:t>
      </w:r>
    </w:p>
    <w:p w14:paraId="5EFDF225" w14:textId="77777777" w:rsidR="00ED011A" w:rsidRPr="00ED011A" w:rsidRDefault="00ED011A" w:rsidP="00ED011A">
      <w:pPr>
        <w:spacing w:line="360" w:lineRule="auto"/>
        <w:ind w:firstLine="0"/>
        <w:rPr>
          <w:rFonts w:ascii="Times New Roman" w:hAnsi="Times New Roman" w:cs="Times New Roman"/>
          <w:color w:val="000000"/>
          <w:lang w:val="en-US"/>
        </w:rPr>
      </w:pPr>
      <w:r w:rsidRPr="00ED011A">
        <w:rPr>
          <w:rFonts w:ascii="Times New Roman" w:hAnsi="Times New Roman" w:cs="Times New Roman"/>
          <w:color w:val="000000"/>
          <w:lang w:val="en-US"/>
        </w:rPr>
        <w:t xml:space="preserve">Mohamed, M., Higgins, C., Ferguson, M., </w:t>
      </w:r>
      <w:r w:rsidR="00FD7AC1">
        <w:rPr>
          <w:rFonts w:ascii="Times New Roman" w:hAnsi="Times New Roman" w:cs="Times New Roman"/>
          <w:color w:val="000000"/>
          <w:lang w:val="en-US"/>
        </w:rPr>
        <w:t>Kanaroglou, P. 2016</w:t>
      </w:r>
      <w:r w:rsidRPr="00ED011A">
        <w:rPr>
          <w:rFonts w:ascii="Times New Roman" w:hAnsi="Times New Roman" w:cs="Times New Roman"/>
          <w:color w:val="000000"/>
          <w:lang w:val="en-US"/>
        </w:rPr>
        <w:t>. Identifying and characterizing potential electric vehicle adopters in Canada: A two-stage model</w:t>
      </w:r>
      <w:r w:rsidR="00FD7AC1">
        <w:rPr>
          <w:rFonts w:ascii="Times New Roman" w:hAnsi="Times New Roman" w:cs="Times New Roman"/>
          <w:color w:val="000000"/>
          <w:lang w:val="en-US"/>
        </w:rPr>
        <w:t>ling approach. Transport Policy</w:t>
      </w:r>
      <w:r w:rsidRPr="00ED011A">
        <w:rPr>
          <w:rFonts w:ascii="Times New Roman" w:hAnsi="Times New Roman" w:cs="Times New Roman"/>
          <w:color w:val="000000"/>
          <w:lang w:val="en-US"/>
        </w:rPr>
        <w:t xml:space="preserve"> 52, 100–112. </w:t>
      </w:r>
    </w:p>
    <w:p w14:paraId="4F3F66F5" w14:textId="77777777" w:rsidR="00ED011A" w:rsidRDefault="00ED011A" w:rsidP="00ED011A">
      <w:pPr>
        <w:spacing w:line="360" w:lineRule="auto"/>
        <w:ind w:firstLine="0"/>
        <w:rPr>
          <w:rFonts w:ascii="Times New Roman" w:hAnsi="Times New Roman" w:cs="Times New Roman"/>
          <w:color w:val="000000"/>
          <w:lang w:val="en-US"/>
        </w:rPr>
      </w:pPr>
      <w:r w:rsidRPr="00ED011A">
        <w:rPr>
          <w:rFonts w:ascii="Times New Roman" w:hAnsi="Times New Roman" w:cs="Times New Roman"/>
          <w:color w:val="000000"/>
          <w:lang w:val="en-US"/>
        </w:rPr>
        <w:t xml:space="preserve">Moons, I., </w:t>
      </w:r>
      <w:r w:rsidR="00FD7AC1">
        <w:rPr>
          <w:rFonts w:ascii="Times New Roman" w:hAnsi="Times New Roman" w:cs="Times New Roman"/>
          <w:color w:val="000000"/>
          <w:lang w:val="en-US"/>
        </w:rPr>
        <w:t>de Pelsmacker, P. 2012</w:t>
      </w:r>
      <w:r w:rsidRPr="00ED011A">
        <w:rPr>
          <w:rFonts w:ascii="Times New Roman" w:hAnsi="Times New Roman" w:cs="Times New Roman"/>
          <w:color w:val="000000"/>
          <w:lang w:val="en-US"/>
        </w:rPr>
        <w:t xml:space="preserve">. Emotions as determinants of electric car usage intention. Journal </w:t>
      </w:r>
      <w:r w:rsidR="00FD7AC1">
        <w:rPr>
          <w:rFonts w:ascii="Times New Roman" w:hAnsi="Times New Roman" w:cs="Times New Roman"/>
          <w:color w:val="000000"/>
          <w:lang w:val="en-US"/>
        </w:rPr>
        <w:t>of Marketing Management 28</w:t>
      </w:r>
      <w:r w:rsidRPr="00ED011A">
        <w:rPr>
          <w:rFonts w:ascii="Times New Roman" w:hAnsi="Times New Roman" w:cs="Times New Roman"/>
          <w:color w:val="000000"/>
          <w:lang w:val="en-US"/>
        </w:rPr>
        <w:t xml:space="preserve">, 195–237. </w:t>
      </w:r>
    </w:p>
    <w:p w14:paraId="4E5DA5F6" w14:textId="77777777" w:rsidR="004C6FC4" w:rsidRPr="00ED011A" w:rsidRDefault="004C6FC4" w:rsidP="00ED011A">
      <w:pPr>
        <w:spacing w:line="360" w:lineRule="auto"/>
        <w:ind w:firstLine="0"/>
        <w:rPr>
          <w:rFonts w:ascii="Times New Roman" w:hAnsi="Times New Roman" w:cs="Times New Roman"/>
          <w:color w:val="000000"/>
          <w:lang w:val="en-US"/>
        </w:rPr>
      </w:pPr>
      <w:r w:rsidRPr="004C6FC4">
        <w:rPr>
          <w:rFonts w:ascii="Times New Roman" w:hAnsi="Times New Roman" w:cs="Times New Roman"/>
          <w:color w:val="000000"/>
          <w:lang w:val="en-US"/>
        </w:rPr>
        <w:t>Petrik, O, De Abreu e Silva, J. Moura, F. 2016. Stated preference surveys in transport demand modeling: disengagement of respondents. Transportation Letters: The International Journal of Transportation Research 8, 13-25.</w:t>
      </w:r>
    </w:p>
    <w:p w14:paraId="79B4A9DA" w14:textId="77777777" w:rsidR="00ED011A" w:rsidRPr="00ED011A" w:rsidRDefault="00ED011A" w:rsidP="00ED011A">
      <w:pPr>
        <w:spacing w:line="360" w:lineRule="auto"/>
        <w:ind w:firstLine="0"/>
        <w:rPr>
          <w:rFonts w:ascii="Times New Roman" w:hAnsi="Times New Roman" w:cs="Times New Roman"/>
          <w:color w:val="000000"/>
          <w:lang w:val="en-US"/>
        </w:rPr>
      </w:pPr>
      <w:r w:rsidRPr="00ED011A">
        <w:rPr>
          <w:rFonts w:ascii="Times New Roman" w:hAnsi="Times New Roman" w:cs="Times New Roman"/>
          <w:color w:val="000000"/>
          <w:lang w:val="en-US"/>
        </w:rPr>
        <w:t xml:space="preserve">Potoglou, D., </w:t>
      </w:r>
      <w:r w:rsidR="00FD7AC1">
        <w:rPr>
          <w:rFonts w:ascii="Times New Roman" w:hAnsi="Times New Roman" w:cs="Times New Roman"/>
          <w:color w:val="000000"/>
          <w:lang w:val="en-US"/>
        </w:rPr>
        <w:t>Kanaroglou, P.S. 2007a</w:t>
      </w:r>
      <w:r w:rsidRPr="00ED011A">
        <w:rPr>
          <w:rFonts w:ascii="Times New Roman" w:hAnsi="Times New Roman" w:cs="Times New Roman"/>
          <w:color w:val="000000"/>
          <w:lang w:val="en-US"/>
        </w:rPr>
        <w:t>. An Internet-Based Stated Choices Household Survey for Alternative Fuelled Vehicles. Can</w:t>
      </w:r>
      <w:r w:rsidR="00FD7AC1">
        <w:rPr>
          <w:rFonts w:ascii="Times New Roman" w:hAnsi="Times New Roman" w:cs="Times New Roman"/>
          <w:color w:val="000000"/>
          <w:lang w:val="en-US"/>
        </w:rPr>
        <w:t>adian Journal of Transportation 1</w:t>
      </w:r>
      <w:r w:rsidRPr="00ED011A">
        <w:rPr>
          <w:rFonts w:ascii="Times New Roman" w:hAnsi="Times New Roman" w:cs="Times New Roman"/>
          <w:color w:val="000000"/>
          <w:lang w:val="en-US"/>
        </w:rPr>
        <w:t>, 36–55.</w:t>
      </w:r>
    </w:p>
    <w:p w14:paraId="22E50815" w14:textId="77777777" w:rsidR="00ED011A" w:rsidRDefault="00FD7AC1" w:rsidP="00ED011A">
      <w:pPr>
        <w:spacing w:line="360" w:lineRule="auto"/>
        <w:ind w:firstLine="0"/>
        <w:rPr>
          <w:rFonts w:ascii="Times New Roman" w:hAnsi="Times New Roman" w:cs="Times New Roman"/>
          <w:color w:val="000000"/>
          <w:lang w:val="en-US"/>
        </w:rPr>
      </w:pPr>
      <w:r>
        <w:rPr>
          <w:rFonts w:ascii="Times New Roman" w:hAnsi="Times New Roman" w:cs="Times New Roman"/>
          <w:color w:val="000000"/>
          <w:lang w:val="en-US"/>
        </w:rPr>
        <w:t>Potoglou, D., Kanaroglou, P.S. 2007b</w:t>
      </w:r>
      <w:r w:rsidR="00ED011A" w:rsidRPr="00ED011A">
        <w:rPr>
          <w:rFonts w:ascii="Times New Roman" w:hAnsi="Times New Roman" w:cs="Times New Roman"/>
          <w:color w:val="000000"/>
          <w:lang w:val="en-US"/>
        </w:rPr>
        <w:t>. Household demand and willingness to pay for clean vehicles. Transportation Research Pa</w:t>
      </w:r>
      <w:r>
        <w:rPr>
          <w:rFonts w:ascii="Times New Roman" w:hAnsi="Times New Roman" w:cs="Times New Roman"/>
          <w:color w:val="000000"/>
          <w:lang w:val="en-US"/>
        </w:rPr>
        <w:t>rt D: Transport and Environment 12</w:t>
      </w:r>
      <w:r w:rsidR="00ED011A" w:rsidRPr="00ED011A">
        <w:rPr>
          <w:rFonts w:ascii="Times New Roman" w:hAnsi="Times New Roman" w:cs="Times New Roman"/>
          <w:color w:val="000000"/>
          <w:lang w:val="en-US"/>
        </w:rPr>
        <w:t xml:space="preserve">, 264–274. </w:t>
      </w:r>
    </w:p>
    <w:p w14:paraId="4773D915" w14:textId="77777777" w:rsidR="00FD7AC1" w:rsidRPr="00ED011A" w:rsidRDefault="00FD7AC1" w:rsidP="00ED011A">
      <w:pPr>
        <w:spacing w:line="360" w:lineRule="auto"/>
        <w:ind w:firstLine="0"/>
        <w:rPr>
          <w:rFonts w:ascii="Times New Roman" w:hAnsi="Times New Roman" w:cs="Times New Roman"/>
          <w:color w:val="000000"/>
          <w:lang w:val="en-US"/>
        </w:rPr>
      </w:pPr>
      <w:r w:rsidRPr="00FD7AC1">
        <w:rPr>
          <w:rFonts w:ascii="Times New Roman" w:hAnsi="Times New Roman" w:cs="Times New Roman"/>
          <w:color w:val="000000"/>
          <w:lang w:val="en-US"/>
        </w:rPr>
        <w:lastRenderedPageBreak/>
        <w:t>Rose, J.M., Bliemer, M.C.J. 2008. Stated preference experimental design strategies.  In: Hensher, D.A., Button, K.J. (Eds.), Handbook of Transport Modelling, Second Edition. Emerald Group Publishing Ltd., Bingley, UK. pp. 151–180.</w:t>
      </w:r>
    </w:p>
    <w:p w14:paraId="425BD119" w14:textId="77777777" w:rsidR="004C6FC4" w:rsidRPr="00ED011A" w:rsidRDefault="004C6FC4" w:rsidP="004C6FC4">
      <w:pPr>
        <w:spacing w:line="360" w:lineRule="auto"/>
        <w:ind w:firstLine="0"/>
        <w:rPr>
          <w:rFonts w:ascii="Times New Roman" w:hAnsi="Times New Roman" w:cs="Times New Roman"/>
          <w:color w:val="000000"/>
          <w:lang w:val="en-US"/>
        </w:rPr>
      </w:pPr>
      <w:r w:rsidRPr="004C6FC4">
        <w:rPr>
          <w:rFonts w:ascii="Times New Roman" w:hAnsi="Times New Roman" w:cs="Times New Roman"/>
          <w:color w:val="000000"/>
          <w:lang w:val="en-US"/>
        </w:rPr>
        <w:t>Stopher, R.P. 1998. A review of separate and joint strategies for the use of data on revealed and stated choices. Transportation Journal 25, 187-205.</w:t>
      </w:r>
    </w:p>
    <w:p w14:paraId="57717716" w14:textId="77777777" w:rsidR="00ED011A" w:rsidRDefault="00E349C8" w:rsidP="00ED011A">
      <w:pPr>
        <w:spacing w:line="360" w:lineRule="auto"/>
        <w:ind w:firstLine="0"/>
        <w:rPr>
          <w:rFonts w:ascii="Times New Roman" w:hAnsi="Times New Roman" w:cs="Times New Roman"/>
          <w:color w:val="000000"/>
          <w:lang w:val="en-US"/>
        </w:rPr>
      </w:pPr>
      <w:r>
        <w:rPr>
          <w:rFonts w:ascii="Times New Roman" w:hAnsi="Times New Roman" w:cs="Times New Roman"/>
          <w:color w:val="000000"/>
          <w:lang w:val="en-US"/>
        </w:rPr>
        <w:t>Street, D.</w:t>
      </w:r>
      <w:r w:rsidR="00ED011A" w:rsidRPr="00ED011A">
        <w:rPr>
          <w:rFonts w:ascii="Times New Roman" w:hAnsi="Times New Roman" w:cs="Times New Roman"/>
          <w:color w:val="000000"/>
          <w:lang w:val="en-US"/>
        </w:rPr>
        <w:t xml:space="preserve">J., Burgess, L., </w:t>
      </w:r>
      <w:r>
        <w:rPr>
          <w:rFonts w:ascii="Times New Roman" w:hAnsi="Times New Roman" w:cs="Times New Roman"/>
          <w:color w:val="000000"/>
          <w:lang w:val="en-US"/>
        </w:rPr>
        <w:t>Louviere, J.J. 2005</w:t>
      </w:r>
      <w:r w:rsidR="00ED011A" w:rsidRPr="00ED011A">
        <w:rPr>
          <w:rFonts w:ascii="Times New Roman" w:hAnsi="Times New Roman" w:cs="Times New Roman"/>
          <w:color w:val="000000"/>
          <w:lang w:val="en-US"/>
        </w:rPr>
        <w:t>. Quick and easy choice sets: Constructing optimal and nearly optimal stated choice experiments. International J</w:t>
      </w:r>
      <w:r>
        <w:rPr>
          <w:rFonts w:ascii="Times New Roman" w:hAnsi="Times New Roman" w:cs="Times New Roman"/>
          <w:color w:val="000000"/>
          <w:lang w:val="en-US"/>
        </w:rPr>
        <w:t>ournal of Research in Marketing 22</w:t>
      </w:r>
      <w:r w:rsidR="00ED011A" w:rsidRPr="00ED011A">
        <w:rPr>
          <w:rFonts w:ascii="Times New Roman" w:hAnsi="Times New Roman" w:cs="Times New Roman"/>
          <w:color w:val="000000"/>
          <w:lang w:val="en-US"/>
        </w:rPr>
        <w:t xml:space="preserve">, 459–470. </w:t>
      </w:r>
    </w:p>
    <w:p w14:paraId="36F25A03" w14:textId="77777777" w:rsidR="004C6FC4" w:rsidRDefault="004C6FC4" w:rsidP="00ED011A">
      <w:pPr>
        <w:spacing w:line="360" w:lineRule="auto"/>
        <w:ind w:firstLine="0"/>
        <w:rPr>
          <w:rFonts w:ascii="Times New Roman" w:hAnsi="Times New Roman" w:cs="Times New Roman"/>
          <w:color w:val="000000"/>
          <w:lang w:val="en-US"/>
        </w:rPr>
      </w:pPr>
      <w:r w:rsidRPr="004C6FC4">
        <w:rPr>
          <w:rFonts w:ascii="Times New Roman" w:hAnsi="Times New Roman" w:cs="Times New Roman"/>
          <w:color w:val="000000"/>
          <w:lang w:val="en-US"/>
        </w:rPr>
        <w:t>Szolnoki, G., Hoffmann, D. 2013. Online, face-to-face and telephone surveys—Comparing different sampling methods in wine consumer research. Wine Economics and Policy 2, 57–66.</w:t>
      </w:r>
    </w:p>
    <w:p w14:paraId="0A7408D3" w14:textId="77777777" w:rsidR="00ED011A" w:rsidRPr="00ED011A" w:rsidRDefault="00ED011A" w:rsidP="00ED011A">
      <w:pPr>
        <w:spacing w:line="360" w:lineRule="auto"/>
        <w:ind w:firstLine="0"/>
        <w:rPr>
          <w:rFonts w:ascii="Times New Roman" w:hAnsi="Times New Roman" w:cs="Times New Roman"/>
          <w:color w:val="000000"/>
          <w:lang w:val="en-US"/>
        </w:rPr>
      </w:pPr>
      <w:r w:rsidRPr="00ED011A">
        <w:rPr>
          <w:rFonts w:ascii="Times New Roman" w:hAnsi="Times New Roman" w:cs="Times New Roman"/>
          <w:color w:val="000000"/>
          <w:lang w:val="en-US"/>
        </w:rPr>
        <w:t xml:space="preserve">Tanaka, M., Ida, T., Murakami, K., </w:t>
      </w:r>
      <w:r w:rsidR="00E349C8">
        <w:rPr>
          <w:rFonts w:ascii="Times New Roman" w:hAnsi="Times New Roman" w:cs="Times New Roman"/>
          <w:color w:val="000000"/>
          <w:lang w:val="en-US"/>
        </w:rPr>
        <w:t xml:space="preserve">Friedman, L. </w:t>
      </w:r>
      <w:r w:rsidRPr="00ED011A">
        <w:rPr>
          <w:rFonts w:ascii="Times New Roman" w:hAnsi="Times New Roman" w:cs="Times New Roman"/>
          <w:color w:val="000000"/>
          <w:lang w:val="en-US"/>
        </w:rPr>
        <w:t>2014. Consumers’ willingness to pay for alternative fuel vehicles: A comparative discrete choice analysis between the US and Japan. Transportation Resea</w:t>
      </w:r>
      <w:r w:rsidR="00E349C8">
        <w:rPr>
          <w:rFonts w:ascii="Times New Roman" w:hAnsi="Times New Roman" w:cs="Times New Roman"/>
          <w:color w:val="000000"/>
          <w:lang w:val="en-US"/>
        </w:rPr>
        <w:t>rch Part A: Policy and Practice</w:t>
      </w:r>
      <w:r w:rsidRPr="00ED011A">
        <w:rPr>
          <w:rFonts w:ascii="Times New Roman" w:hAnsi="Times New Roman" w:cs="Times New Roman"/>
          <w:color w:val="000000"/>
          <w:lang w:val="en-US"/>
        </w:rPr>
        <w:t xml:space="preserve"> 70, 194–209. </w:t>
      </w:r>
    </w:p>
    <w:p w14:paraId="20833110" w14:textId="77777777" w:rsidR="00ED011A" w:rsidRPr="00ED011A" w:rsidRDefault="00E349C8" w:rsidP="00ED011A">
      <w:pPr>
        <w:spacing w:line="360" w:lineRule="auto"/>
        <w:ind w:firstLine="0"/>
        <w:rPr>
          <w:rFonts w:ascii="Times New Roman" w:hAnsi="Times New Roman" w:cs="Times New Roman"/>
          <w:color w:val="000000"/>
          <w:lang w:val="en-US"/>
        </w:rPr>
      </w:pPr>
      <w:r>
        <w:rPr>
          <w:rFonts w:ascii="Times New Roman" w:hAnsi="Times New Roman" w:cs="Times New Roman"/>
          <w:color w:val="000000"/>
          <w:lang w:val="en-US"/>
        </w:rPr>
        <w:t>Ziegler, A. 2012</w:t>
      </w:r>
      <w:r w:rsidR="00ED011A" w:rsidRPr="00ED011A">
        <w:rPr>
          <w:rFonts w:ascii="Times New Roman" w:hAnsi="Times New Roman" w:cs="Times New Roman"/>
          <w:color w:val="000000"/>
          <w:lang w:val="en-US"/>
        </w:rPr>
        <w:t>. Individual characteristics and stated preferences for alternative energy sources and propulsion technologies in vehicles: A discrete choice analysis for Germany. Transportation Research Part A: Poli</w:t>
      </w:r>
      <w:r>
        <w:rPr>
          <w:rFonts w:ascii="Times New Roman" w:hAnsi="Times New Roman" w:cs="Times New Roman"/>
          <w:color w:val="000000"/>
          <w:lang w:val="en-US"/>
        </w:rPr>
        <w:t>cy and Practice 46</w:t>
      </w:r>
      <w:r w:rsidR="00ED011A" w:rsidRPr="00ED011A">
        <w:rPr>
          <w:rFonts w:ascii="Times New Roman" w:hAnsi="Times New Roman" w:cs="Times New Roman"/>
          <w:color w:val="000000"/>
          <w:lang w:val="en-US"/>
        </w:rPr>
        <w:t xml:space="preserve">, 1372–1385. </w:t>
      </w:r>
    </w:p>
    <w:p w14:paraId="63FE054F" w14:textId="77777777" w:rsidR="003C3597" w:rsidRPr="003C3597" w:rsidRDefault="003C3597" w:rsidP="003C3597">
      <w:pPr>
        <w:rPr>
          <w:rFonts w:ascii="Times New Roman" w:hAnsi="Times New Roman" w:cs="Times New Roman"/>
          <w:color w:val="000000"/>
          <w:lang w:val="en-US"/>
        </w:rPr>
      </w:pPr>
    </w:p>
    <w:p w14:paraId="231E8104" w14:textId="77777777" w:rsidR="003C3597" w:rsidRDefault="003C3597" w:rsidP="00076EDC">
      <w:pPr>
        <w:rPr>
          <w:rFonts w:ascii="Times New Roman" w:hAnsi="Times New Roman" w:cs="Times New Roman"/>
          <w:color w:val="000000"/>
        </w:rPr>
      </w:pPr>
    </w:p>
    <w:p w14:paraId="64483DB5" w14:textId="77777777" w:rsidR="0094260A" w:rsidRDefault="0094260A" w:rsidP="00076EDC">
      <w:pPr>
        <w:rPr>
          <w:rFonts w:ascii="Times New Roman" w:hAnsi="Times New Roman" w:cs="Times New Roman"/>
          <w:color w:val="000000"/>
        </w:rPr>
      </w:pPr>
    </w:p>
    <w:p w14:paraId="42743EFE" w14:textId="77777777" w:rsidR="0094260A" w:rsidRDefault="0094260A" w:rsidP="00076EDC">
      <w:pPr>
        <w:rPr>
          <w:rFonts w:ascii="Times New Roman" w:hAnsi="Times New Roman" w:cs="Times New Roman"/>
          <w:color w:val="000000"/>
        </w:rPr>
      </w:pPr>
    </w:p>
    <w:p w14:paraId="00A161E1" w14:textId="77777777" w:rsidR="00E349C8" w:rsidRDefault="00E349C8" w:rsidP="00076EDC">
      <w:pPr>
        <w:rPr>
          <w:rFonts w:ascii="Times New Roman" w:hAnsi="Times New Roman" w:cs="Times New Roman"/>
          <w:color w:val="000000"/>
        </w:rPr>
      </w:pPr>
    </w:p>
    <w:p w14:paraId="4A34B2C7" w14:textId="77777777" w:rsidR="0094260A" w:rsidRPr="0014385C" w:rsidRDefault="0094260A" w:rsidP="00550848">
      <w:pPr>
        <w:pStyle w:val="Heading1"/>
        <w:jc w:val="center"/>
      </w:pPr>
      <w:bookmarkStart w:id="53" w:name="_Toc528650869"/>
      <w:bookmarkEnd w:id="53"/>
    </w:p>
    <w:p w14:paraId="62BB656B" w14:textId="79E953F6" w:rsidR="003C3597" w:rsidRPr="00E349C8" w:rsidRDefault="006777C1" w:rsidP="002B7195">
      <w:pPr>
        <w:spacing w:before="240" w:after="240"/>
        <w:ind w:firstLine="0"/>
        <w:jc w:val="center"/>
        <w:rPr>
          <w:rFonts w:ascii="Times New Roman" w:hAnsi="Times New Roman" w:cs="Times New Roman"/>
          <w:b/>
          <w:bCs/>
          <w:color w:val="000000"/>
          <w:sz w:val="28"/>
          <w:lang w:val="en-US"/>
        </w:rPr>
      </w:pPr>
      <w:r>
        <w:rPr>
          <w:rFonts w:ascii="Times New Roman" w:hAnsi="Times New Roman" w:cs="Times New Roman"/>
          <w:b/>
          <w:bCs/>
          <w:color w:val="000000"/>
          <w:sz w:val="28"/>
        </w:rPr>
        <w:t>Why is Electric Vehicle Uptake Low in Atlantic Canada? A comparison to Leading A</w:t>
      </w:r>
      <w:r w:rsidRPr="00E349C8">
        <w:rPr>
          <w:rFonts w:ascii="Times New Roman" w:hAnsi="Times New Roman" w:cs="Times New Roman"/>
          <w:b/>
          <w:bCs/>
          <w:color w:val="000000"/>
          <w:sz w:val="28"/>
        </w:rPr>
        <w:t xml:space="preserve">doption </w:t>
      </w:r>
      <w:r>
        <w:rPr>
          <w:rFonts w:ascii="Times New Roman" w:hAnsi="Times New Roman" w:cs="Times New Roman"/>
          <w:b/>
          <w:bCs/>
          <w:color w:val="000000"/>
          <w:sz w:val="28"/>
        </w:rPr>
        <w:t>P</w:t>
      </w:r>
      <w:r w:rsidRPr="00E349C8">
        <w:rPr>
          <w:rFonts w:ascii="Times New Roman" w:hAnsi="Times New Roman" w:cs="Times New Roman"/>
          <w:b/>
          <w:bCs/>
          <w:color w:val="000000"/>
          <w:sz w:val="28"/>
        </w:rPr>
        <w:t>rovinces</w:t>
      </w:r>
    </w:p>
    <w:p w14:paraId="4A2E991B" w14:textId="77777777" w:rsidR="003C3597" w:rsidRPr="00BA6F83" w:rsidRDefault="003C3597" w:rsidP="00E1100F">
      <w:pPr>
        <w:pStyle w:val="ListParagraph"/>
        <w:numPr>
          <w:ilvl w:val="1"/>
          <w:numId w:val="11"/>
        </w:numPr>
        <w:outlineLvl w:val="1"/>
        <w:rPr>
          <w:rFonts w:ascii="Times New Roman" w:hAnsi="Times New Roman" w:cs="Times New Roman"/>
          <w:b/>
          <w:bCs/>
          <w:color w:val="000000"/>
        </w:rPr>
      </w:pPr>
      <w:bookmarkStart w:id="54" w:name="_Toc528650870"/>
      <w:r w:rsidRPr="00BA6F83">
        <w:rPr>
          <w:rFonts w:ascii="Times New Roman" w:hAnsi="Times New Roman" w:cs="Times New Roman"/>
          <w:b/>
          <w:bCs/>
          <w:color w:val="000000"/>
        </w:rPr>
        <w:t>Introduction</w:t>
      </w:r>
      <w:bookmarkEnd w:id="54"/>
    </w:p>
    <w:p w14:paraId="78B47579"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Between 2010 and mid-2018, cumulative electric vehicle (EV) sales in Canada increased from 1,500 to 70,000 vehicles with an even split between plug-in hybrid electric vehicles (PHEV) and battery electric vehicles (BEV)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URL":"http://www.fleetcarma.com/electric-vehicle-sales-canada-q1-2017/","accessed":{"date-parts":[["2017","7","14"]]},"author":[{"dropping-particle":"","family":"Schmidt","given":"Eric","non-dropping-particle":"","parse-names":false,"suffix":""}],"id":"ITEM-1","issued":{"date-parts":[["2017"]]},"title":"Electric Vehicle Sales in Canada: Q1 2017","type":"webpage"},"uris":["http://www.mendeley.com/documents/?uuid=443b8b96-e518-4dd2-b7f7-adf5e082abf0"]}],"mendeley":{"formattedCitation":"(Schmidt 2017)","manualFormatting":"(Schmidt, 2018)","plainTextFormattedCitation":"(Schmidt 2017)","previouslyFormattedCitation":"(Schmidt 2017)"},"properties":{"noteIndex":0},"schema":"https://github.com/citation-style-language/schema/raw/master/csl-citation.json"}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(Schmidt, 2018)</w:t>
      </w:r>
      <w:r w:rsidRPr="003C3597">
        <w:rPr>
          <w:rFonts w:ascii="Times New Roman" w:hAnsi="Times New Roman" w:cs="Times New Roman"/>
          <w:color w:val="000000"/>
        </w:rPr>
        <w:fldChar w:fldCharType="end"/>
      </w:r>
      <w:r w:rsidRPr="003C3597">
        <w:rPr>
          <w:rFonts w:ascii="Times New Roman" w:hAnsi="Times New Roman" w:cs="Times New Roman"/>
          <w:color w:val="000000"/>
        </w:rPr>
        <w:t>. At the provincial level, however, approximately 97% of these sales have taken place in the provinces of British Columbia (12,587 vehicles), Ontario (26,143 vehicles), and Quebec (27,906 vehicles), which equates to 6 EVs per 1,000 households in these provinces. Other provinces, especially the four comprising a region known as Atlantic Canada, are well behind with respect to sales. As of mid-2018, a cumulative total of only 385 electric vehicles (or 0.4 EVs per 1,000 households) have been sold in Atlantic Canada (Nova Scotia – 169; New Brunswick – 156; Prince Edward Island – 25; Newfoundland and Labrador – 35).</w:t>
      </w:r>
    </w:p>
    <w:p w14:paraId="3E0BACE7" w14:textId="50B0291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The present study focuses on the four provinces comprising Atlantic Canada to obtain insights into the consumer EV adoption gap observed between this region and a grouping of the leading English-speaking adoption provinces in Canada, namely British Columbia and Ontario. The objective of this paper </w:t>
      </w:r>
      <w:r w:rsidR="00345BEC">
        <w:rPr>
          <w:rFonts w:ascii="Times New Roman" w:hAnsi="Times New Roman" w:cs="Times New Roman"/>
          <w:color w:val="000000"/>
        </w:rPr>
        <w:t>is</w:t>
      </w:r>
      <w:r w:rsidR="00345BEC" w:rsidRPr="003C3597">
        <w:rPr>
          <w:rFonts w:ascii="Times New Roman" w:hAnsi="Times New Roman" w:cs="Times New Roman"/>
          <w:color w:val="000000"/>
        </w:rPr>
        <w:t xml:space="preserve"> </w:t>
      </w:r>
      <w:r w:rsidRPr="003C3597">
        <w:rPr>
          <w:rFonts w:ascii="Times New Roman" w:hAnsi="Times New Roman" w:cs="Times New Roman"/>
          <w:color w:val="000000"/>
        </w:rPr>
        <w:t>to understand why Atlantic Canada lags behind</w:t>
      </w:r>
      <w:r w:rsidR="00345BEC">
        <w:rPr>
          <w:rFonts w:ascii="Times New Roman" w:hAnsi="Times New Roman" w:cs="Times New Roman"/>
          <w:color w:val="000000"/>
        </w:rPr>
        <w:t xml:space="preserve"> these</w:t>
      </w:r>
      <w:r w:rsidRPr="003C3597">
        <w:rPr>
          <w:rFonts w:ascii="Times New Roman" w:hAnsi="Times New Roman" w:cs="Times New Roman"/>
          <w:color w:val="000000"/>
        </w:rPr>
        <w:t xml:space="preserve"> leading provinces. The study assesses attitudes and preferences of households towards EV adoption to </w:t>
      </w:r>
      <w:r w:rsidRPr="003C3597">
        <w:rPr>
          <w:rFonts w:ascii="Times New Roman" w:hAnsi="Times New Roman" w:cs="Times New Roman"/>
          <w:color w:val="000000"/>
        </w:rPr>
        <w:lastRenderedPageBreak/>
        <w:t>further our understanding of attributes and policies that play critical roles in households’ decisions toward</w:t>
      </w:r>
      <w:r w:rsidR="00345BEC">
        <w:rPr>
          <w:rFonts w:ascii="Times New Roman" w:hAnsi="Times New Roman" w:cs="Times New Roman"/>
          <w:color w:val="000000"/>
        </w:rPr>
        <w:t>s</w:t>
      </w:r>
      <w:r w:rsidRPr="003C3597">
        <w:rPr>
          <w:rFonts w:ascii="Times New Roman" w:hAnsi="Times New Roman" w:cs="Times New Roman"/>
          <w:color w:val="000000"/>
        </w:rPr>
        <w:t xml:space="preserve"> EV purchases. Differences in willingness-to-pay for each vehicle attribute along with distinctions in the mindset of households towards available powertrains in both lagging and leading areas are investigated in the current analysis.</w:t>
      </w:r>
    </w:p>
    <w:p w14:paraId="60F4DCD4" w14:textId="389470BE"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This paper is one of the first EV studies to examine a lagging adoption region and provides comparisons with a model obtained from leading EV adoption provinces, which</w:t>
      </w:r>
      <w:r w:rsidRPr="003C3597" w:rsidDel="004B4B6B">
        <w:rPr>
          <w:rFonts w:ascii="Times New Roman" w:hAnsi="Times New Roman" w:cs="Times New Roman"/>
          <w:color w:val="000000"/>
        </w:rPr>
        <w:t xml:space="preserve"> </w:t>
      </w:r>
      <w:r w:rsidRPr="003C3597">
        <w:rPr>
          <w:rFonts w:ascii="Times New Roman" w:hAnsi="Times New Roman" w:cs="Times New Roman"/>
          <w:color w:val="000000"/>
        </w:rPr>
        <w:t xml:space="preserve">provides valuable context to judge consumer acceptance of electric vehicles in Atlantic Canada. We focus on the differences </w:t>
      </w:r>
      <w:r w:rsidR="00345BEC">
        <w:rPr>
          <w:rFonts w:ascii="Times New Roman" w:hAnsi="Times New Roman" w:cs="Times New Roman"/>
          <w:color w:val="000000"/>
        </w:rPr>
        <w:t>in</w:t>
      </w:r>
      <w:r w:rsidR="00345BEC" w:rsidRPr="003C3597">
        <w:rPr>
          <w:rFonts w:ascii="Times New Roman" w:hAnsi="Times New Roman" w:cs="Times New Roman"/>
          <w:color w:val="000000"/>
        </w:rPr>
        <w:t xml:space="preserve"> </w:t>
      </w:r>
      <w:r w:rsidRPr="003C3597">
        <w:rPr>
          <w:rFonts w:ascii="Times New Roman" w:hAnsi="Times New Roman" w:cs="Times New Roman"/>
          <w:color w:val="000000"/>
        </w:rPr>
        <w:t xml:space="preserve">preferences and attitudes among potential consumers of the two samples to find out why Atlantic Canada is lagging behind in terms of EV adoption. Also, our study is one of the few works </w:t>
      </w:r>
      <w:r w:rsidR="00345BEC">
        <w:rPr>
          <w:rFonts w:ascii="Times New Roman" w:hAnsi="Times New Roman" w:cs="Times New Roman"/>
          <w:color w:val="000000"/>
        </w:rPr>
        <w:t>to</w:t>
      </w:r>
      <w:r w:rsidR="00345BEC" w:rsidRPr="003C3597">
        <w:rPr>
          <w:rFonts w:ascii="Times New Roman" w:hAnsi="Times New Roman" w:cs="Times New Roman"/>
          <w:color w:val="000000"/>
        </w:rPr>
        <w:t xml:space="preserve"> </w:t>
      </w:r>
      <w:r w:rsidRPr="003C3597">
        <w:rPr>
          <w:rFonts w:ascii="Times New Roman" w:hAnsi="Times New Roman" w:cs="Times New Roman"/>
          <w:color w:val="000000"/>
        </w:rPr>
        <w:t>include all available EV technologies as alternatives in the stated preference (SP) survey. We have also included a new vehicular feature (i.e., battery warranty) and a combination of vehicle attributes that has rarely been used throughout the literature. Since few EVs have been purchased in Canada, especially in the Atlantic provinces, a stated preference (SP) survey technique is applied in the current analysis to quantify the determinants underlying purchasing EVs relative to other vehicle types.</w:t>
      </w:r>
    </w:p>
    <w:p w14:paraId="2CC892B9"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The remainder of this paper is organized as follows. Section </w:t>
      </w:r>
      <w:r w:rsidR="00840C3D">
        <w:rPr>
          <w:rFonts w:ascii="Times New Roman" w:hAnsi="Times New Roman" w:cs="Times New Roman"/>
          <w:color w:val="000000"/>
        </w:rPr>
        <w:t>3.</w:t>
      </w:r>
      <w:r w:rsidRPr="003C3597">
        <w:rPr>
          <w:rFonts w:ascii="Times New Roman" w:hAnsi="Times New Roman" w:cs="Times New Roman"/>
          <w:color w:val="000000"/>
        </w:rPr>
        <w:t xml:space="preserve">2 reviews briefly past studies that have investigated EV preferences, concluding that none have investigated a region lagging in terms of EV adoption. The study area is presented in Section </w:t>
      </w:r>
      <w:r w:rsidR="00840C3D">
        <w:rPr>
          <w:rFonts w:ascii="Times New Roman" w:hAnsi="Times New Roman" w:cs="Times New Roman"/>
          <w:color w:val="000000"/>
        </w:rPr>
        <w:t>3.</w:t>
      </w:r>
      <w:r w:rsidRPr="003C3597">
        <w:rPr>
          <w:rFonts w:ascii="Times New Roman" w:hAnsi="Times New Roman" w:cs="Times New Roman"/>
          <w:color w:val="000000"/>
        </w:rPr>
        <w:t xml:space="preserve">3, followed by an overview of the stated preference (SP) survey and data set used in the investigation in Section </w:t>
      </w:r>
      <w:r w:rsidR="00840C3D">
        <w:rPr>
          <w:rFonts w:ascii="Times New Roman" w:hAnsi="Times New Roman" w:cs="Times New Roman"/>
          <w:color w:val="000000"/>
        </w:rPr>
        <w:t>3.</w:t>
      </w:r>
      <w:r w:rsidRPr="003C3597">
        <w:rPr>
          <w:rFonts w:ascii="Times New Roman" w:hAnsi="Times New Roman" w:cs="Times New Roman"/>
          <w:color w:val="000000"/>
        </w:rPr>
        <w:t xml:space="preserve">4. The latent class modelling approach and the determination of number of classes are described in Section </w:t>
      </w:r>
      <w:r w:rsidR="00840C3D">
        <w:rPr>
          <w:rFonts w:ascii="Times New Roman" w:hAnsi="Times New Roman" w:cs="Times New Roman"/>
          <w:color w:val="000000"/>
        </w:rPr>
        <w:t>3.</w:t>
      </w:r>
      <w:r w:rsidRPr="003C3597">
        <w:rPr>
          <w:rFonts w:ascii="Times New Roman" w:hAnsi="Times New Roman" w:cs="Times New Roman"/>
          <w:color w:val="000000"/>
        </w:rPr>
        <w:t xml:space="preserve">5. The </w:t>
      </w:r>
      <w:r w:rsidRPr="003C3597">
        <w:rPr>
          <w:rFonts w:ascii="Times New Roman" w:hAnsi="Times New Roman" w:cs="Times New Roman"/>
          <w:color w:val="000000"/>
        </w:rPr>
        <w:lastRenderedPageBreak/>
        <w:t xml:space="preserve">modeling results are discussed in Section </w:t>
      </w:r>
      <w:r w:rsidR="00840C3D">
        <w:rPr>
          <w:rFonts w:ascii="Times New Roman" w:hAnsi="Times New Roman" w:cs="Times New Roman"/>
          <w:color w:val="000000"/>
        </w:rPr>
        <w:t>3.</w:t>
      </w:r>
      <w:r w:rsidRPr="003C3597">
        <w:rPr>
          <w:rFonts w:ascii="Times New Roman" w:hAnsi="Times New Roman" w:cs="Times New Roman"/>
          <w:color w:val="000000"/>
        </w:rPr>
        <w:t>6. Concluding remarks are presented in the final section.</w:t>
      </w:r>
    </w:p>
    <w:p w14:paraId="25B197A7" w14:textId="77777777" w:rsidR="003C3597" w:rsidRPr="00BA6F83" w:rsidRDefault="003C3597" w:rsidP="00E1100F">
      <w:pPr>
        <w:pStyle w:val="ListParagraph"/>
        <w:numPr>
          <w:ilvl w:val="1"/>
          <w:numId w:val="11"/>
        </w:numPr>
        <w:outlineLvl w:val="1"/>
        <w:rPr>
          <w:rFonts w:ascii="Times New Roman" w:hAnsi="Times New Roman" w:cs="Times New Roman"/>
          <w:b/>
          <w:bCs/>
          <w:color w:val="000000"/>
        </w:rPr>
      </w:pPr>
      <w:bookmarkStart w:id="55" w:name="_Toc528650871"/>
      <w:r w:rsidRPr="00BA6F83">
        <w:rPr>
          <w:rFonts w:ascii="Times New Roman" w:hAnsi="Times New Roman" w:cs="Times New Roman"/>
          <w:b/>
          <w:bCs/>
          <w:color w:val="000000"/>
        </w:rPr>
        <w:t>Studies Exploring EV Preferences</w:t>
      </w:r>
      <w:bookmarkEnd w:id="55"/>
    </w:p>
    <w:p w14:paraId="2913B058"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Previous EV studies have examined vehicle choice as a function of different vehicle attributes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DOI":"10.1016/j.trd.2007.03.001","ISSN":"13619209","author":[{"dropping-particle":"","family":"Potoglou","given":"Dimitris","non-dropping-particle":"","parse-names":false,"suffix":""},{"dropping-particle":"","family":"Kanaroglou","given":"Pavlos S.","non-dropping-particle":"","parse-names":false,"suffix":""}],"container-title":"Transportation Research Part D: Transport and Environment","id":"ITEM-1","issue":"4","issued":{"date-parts":[["2007","6"]]},"page":"264-274","title":"Household demand and willingness to pay for clean vehicles","type":"article-journal","volume":"12"},"uris":["http://www.mendeley.com/documents/?uuid=7af63e7b-a7d3-4621-bf04-f6ba6e21cd86"]},{"id":"ITEM-2","itemData":{"abstract":"We compare multinomial logit and mixed logit models for data on California households' revealed and stated preferences for automobiles. The stated preference (SP) data elicited households' preferences among gasoline, electric, methanol, and compressed natural gas vehicles with various attributes. The mixed logit models provide improved fits over logit that are highly significant, and show large heterogeneity in respondents' preferences for alternative-fuel vehicles. The effects of including this heterogeneity are demonstrated in forecasting exercises. The alternative-fuel vehicle models presented here also highlight the advantages of merging SP and revealed preference (RP) data. RP data appear to be critical for obtaining realistic body-type choice and scaling information, but they are plagued by multicollinearity and difficulties with measuring vehicle attributes. SP data are critical for obtaining information about attributes not available in the marketplace, but pure SP models with these data give implausible forecasts. (C) 2000 Elsevier Science Ltd. All rights reserved.","author":[{"dropping-particle":"","family":"Brownstone","given":"David","non-dropping-particle":"","parse-names":false,"suffix":""},{"dropping-particle":"","family":"Bunch","given":"David S.","non-dropping-particle":"","parse-names":false,"suffix":""},{"dropping-particle":"","family":"Train","given":"Kenneth","non-dropping-particle":"","parse-names":false,"suffix":""}],"container-title":"Transportation Research Part B: Methodological","id":"ITEM-2","issue":"5","issued":{"date-parts":[["2000"]]},"page":"315-338","publisher":"Elsevier Science Ltd","title":"Joint mixed logit models of stated and revealed preferences for alternative-fuel vehicles","type":"article-journal","volume":"34"},"uris":["http://www.mendeley.com/documents/?uuid=f091ae98-77d6-4f22-b45d-aa8f803ef566"]}],"mendeley":{"formattedCitation":"(Potoglou and Kanaroglou 2007; Brownstone, Bunch, and Train 2000)","manualFormatting":"(e.g. Brownstone et al., 2000; Potoglou &amp; Kanaroglou, 2007)","plainTextFormattedCitation":"(Potoglou and Kanaroglou 2007; Brownstone, Bunch, and Train 2000)","previouslyFormattedCitation":"(Potoglou and Kanaroglou 2007; Brownstone, Bunch, and Train 2000)"},"properties":{"noteIndex":0},"schema":"https://github.com/citation-style-language/schema/raw/master/csl-citation.json"}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(e.g., Brownstone et al., 2000; Potoglou and Kanaroglou, 2007)</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incentives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{"citationItems":[{"id":"ITEM-1","itemData":{"DOI":"10.1016/j.trd.2015.12.002","ISSN":"13619209","abstract":"Norway has become a global forerunner in the field of electromobility and the BEV market share is far higher than in any other country. One likely reason for this is strong incentives for promoting purchase and ownership of BEVs. The purpose of this study is to describe the role of incentives for promoting BEVs, and to determine what incentives are critical for deciding to buy a BEV and what groups of buyers respond to different types of incentives. The questions are answered with data from a survey among nearly 3400 BEV owners in Norway.Exemptions from purchase tax and VAT are critical incentives for more than 80% of the respondents. This is very much in line with previous research, which suggests that up-front price reduction is the most powerful incentive in promoting EV adoption. To a substantial number of BEV owners, however, exemption from road tolling or bus lane access is the only decisive factor.Analyses show that there are clear delineations between incentive groups, both in terms of age, gender, and education. Income is a less prominent predictor, which probably results from the competitive price of BEVs in the Norwegian market. Perhaps most interesting is the assumed relation between incentives and character of transport systems the respondents engage in.","author":[{"dropping-particle":"","family":"Bjerkan","given":"Kristin Ystmark","non-dropping-particle":"","parse-names":false,"suffix":""},{"dropping-particle":"","family":"Nørbech","given":"Tom E.","non-dropping-particle":"","parse-names":false,"suffix":""},{"dropping-particle":"","family":"Nordtømme","given":"Marianne Elvsaas","non-dropping-particle":"","parse-names":false,"suffix":""}],"container-title":"Transportation Research Part D: Transport and Environment","id":"ITEM-1","issued":{"date-parts":[["2016"]]},"page":"169-180","publisher":"Elsevier Ltd","title":"Incentives for promoting Battery Electric Vehicle (BEV) adoption in Norway","type":"article-journal","volume":"43"},"uris":["http://www.mendeley.com/documents/?uuid=860d7c46-4137-46d7-9847-b25226fc7efd"]},{"id":"ITEM-2","itemData":{"DOI":"10.1016/j.tra.2015.01.002","ISSN":"0965-8564","abstract":"We model consumer preferences for conventional, hybrid electric, plug-in hybrid electric (PHEV), and battery electric (BEV) vehicle technologies in China and the U.S. using data from choice-based conjoint surveys fielded in 2012–2013 in both countries. We find that with the combined bundle of attributes offered by vehicles available today, gasoline vehicles continue in both countries to be most attractive to consumers, and American respondents have significantly lower relative willingness-to-pay for BEV technology than Chinese respondents. While U.S. and Chinese subsidies are similar, favoring vehicles with larger battery packs, differences in consumer preferences lead to different outcomes. Our results suggest that with or without each country’s 2012–2013 subsidies, Chinese consumers are willing to adopt today’s BEVs and mid-range PHEVs at similar rates relative to their respective gasoline counterparts, whereas American consumers prefer low-range PHEVs despite subsidies. This implies potential for earlier BEV adoption in China, given adequate supply. While there are clear national security benefits for adoption of BEVs in China, the local and global social impact is unclear: With higher electricity generation emissions in China, a transition to BEVs may reduce oil consumption at the expense of increased air pollution and/or greenhouse gas emissions. On the other hand, demand from China could increase global incentives for electric vehicle technology development with the potential to reduce emissions in countries where electricity generation is associated with lower emissions.","author":[{"dropping-particle":"","family":"Helveston","given":"John Paul","non-dropping-particle":"","parse-names":false,"suffix":""},{"dropping-particle":"","family":"Liu","given":"Yimin","non-dropping-particle":"","parse-names":false,"suffix":""},{"dropping-particle":"","family":"Feit","given":"Elea McDonnell","non-dropping-particle":"","parse-names":false,"suffix":""},{"dropping-particle":"","family":"Fuchs","given":"Erica","non-dropping-particle":"","parse-names":false,"suffix":""},{"dropping-particle":"","family":"Klampfl","given":"Erica","non-dropping-particle":"","parse-names":false,"suffix":""},{"dropping-particle":"","family":"Michalek","given":"Jeremy J.","non-dropping-particle":"","parse-names":false,"suffix":""}],"container-title":"Transportation Research Part A: Policy and Practice","id":"ITEM-2","issued":{"date-parts":[["2015"]]},"page":"96-112","publisher":"Elsevier Ltd","title":"Will subsidies drive electric vehicle adoption? Measuring consumer preferences in the U.S. and China","type":"article-journal","volume":"73"},"uris":["http://www.mendeley.com/documents/?uuid=5ba1d597-867c-4ac9-9f0e-dfd53163fa41"]},{"id":"ITEM-3","itemData":{"DOI":"10.1016/j.trc.2016.06.014","ISSN":"0968090X","abstract":"Electric vehicles (EVs), specifically Battery EVs (BEVs), can offer significant energy and emission savings over internal combustion engine vehicles. Norway has a long history of research and government incentives for BEVs. The BEV market in Norway allows us to fully examine consumers’ BEV choices influenced by car specifications, prices and government incentives (public bus lanes access, toll waiver and charging stations). The Random-Coefficient Discrete Choice Model (referred to as the BLP model) is applied to understand the choices of heterogeneous personal consumers and business buyers. Our study is instantiated on the entire EV sales data in Norway from 2011 to 2013, as well as a set of demographics at the municipality level. The results suggest significant positive effects of BEV technology improvement, space, toll waiver and charging station density on EV demand for both personal consumers and business buyers. However, the effects on business buyers may be generally less pronounced than on personal consumers. Interestingly, bus lanes access demonstrates a negative impact for personal consumers, possibly due to consumers’ concern regarding bus lane congestion. In addition, preferences on the BEV price can vary statistically among consumers with different income levels. Compared to the BEV technology development, demographical features and municipal incentives may have generally less impacts on market shares within the BEV market.","author":[{"dropping-particle":"","family":"Zhang","given":"Yingjie","non-dropping-particle":"","parse-names":false,"suffix":""},{"dropping-particle":"","family":"Qian","given":"Zhen (Sean)","non-dropping-particle":"","parse-names":false,"suffix":""},{"dropping-particle":"","family":"Sprei","given":"Frances","non-dropping-particle":"","parse-names":false,"suffix":""},{"dropping-particle":"","family":"Li","given":"Beibei","non-dropping-particle":"","parse-names":false,"suffix":""}],"container-title":"Transportation Research Part C: Emerging Technologies","id":"ITEM-3","issued":{"date-parts":[["2016"]]},"page":"386-401","publisher":"Elsevier Ltd","title":"The impact of car specifications, prices and incentives for battery electric vehicles in Norway: Choices of heterogeneous consumers","type":"article-journal","volume":"69"},"uris":["http://www.mendeley.com/documents/?uuid=2ef5cd18-2844-4b63-89cc-e8c5e111752a"]},{"id":"ITEM-4","itemData":{"DOI":"10.1016/j.tranpol.2017.03.001","ISSN":"1879310X","abstract":"Battery electric vehicles (BEVs) are an effective way to reduce fossil fuel consumptions and greenhouse gas emissions. This study employs the structural equation model and chi-square test to explore public perception barriers to widespread adoption of BEVs in Tianjin. Based on a sample of 476 urban respondents collected by questionnaire, it finds that consumer interest in BEVs is relatively low and a large proportion of the respondents have a “wait and see” attitude. Consumers are unsure about BEVs performance, with safety, reliability, and range per charge being the top three concerns. Respondents who focus on vehicle performance express significantly lower BEV acceptance. High battery cost is the main technological barrier to widespread BEV adoption. In terms of public service support, poor public charging infrastructure ranks as the largest impeditive. In terms of respondent personal characteristics, older respondents have a more optimistic attitude to BEVs than younger generations, more respondents express interest to adopt BEVs as the second family car, experienced drivers are more concerned with the cost of battery and maintenance, and consumers who are more concerned about the environment are more likely to adopt BEVs.","author":[{"dropping-particle":"","family":"She","given":"Zhen Yu","non-dropping-particle":"","parse-names":false,"suffix":""},{"dropping-particle":"","family":"Qing Sun","given":"","non-dropping-particle":"","parse-names":false,"suffix":""},{"dropping-particle":"","family":"Ma","given":"Jia Jun","non-dropping-particle":"","parse-names":false,"suffix":""},{"dropping-particle":"","family":"Xie","given":"Bai Chen","non-dropping-particle":"","parse-names":false,"suffix":""}],"container-title":"Transport Policy","id":"ITEM-4","issue":"March","issued":{"date-parts":[["2017"]]},"page":"29-40","publisher":"Elsevier Ltd","title":"What are the barriers to widespread adoption of battery electric vehicles? A survey of public perception in Tianjin, China","type":"article-journal","volume":"56"},"uris":["http://www.mendeley.com/documents/?uuid=531b65a2-8b96-4364-a886-23fe87c158c1"]}],"mendeley":{"formattedCitation":"(Bjerkan, Nørbech, and Nordtømme 2016; Helveston et al. 2015; Zhang et al. 2016; She et al. 2017)","manualFormatting":"(Bjerkan et al., 2016; Helveston et al., 2015; She et al., 2017; Zhang et al., 2016)","plainTextFormattedCitation":"(Bjerkan, Nørbech, and Nordtømme 2016; Helveston et al. 2015; Zhang et al. 2016; She et al. 2017)","previouslyFormattedCitation":"(Bjerkan, Nørbech, and Nordtømme 2016; Helveston et al. 2015; Zhang et al. 2016; She et al. 2017)"},"properties":{"noteIndex":0},"schema":"https://github.com/citation-style-language/schema/raw/master/csl-citation.json"}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(Bjerkan et al., 2016; Helveston et al., 2015; She et al., 2017; Zhang et al., 2016)</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regulations and policies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{"citationItems":[{"id":"ITEM-1","itemData":{"DOI":"10.1016/j.enpol.2012.02.038","ISBN":"0301-4215","ISSN":"03014215","abstract":"This paper addresses the policy challenges of adjusting established regulations to accommodate evolving and new technologies. We examine energy and emissions regulations for older petroleum powered vehicles and newer plug-in electric vehicles. Until now, vehicle regulations across the world have ignored energy consumption and emissions upstream of the vehicle (at refineries, pipelines, etc), largely because of the convenient fact that upstream emissions and energy use are nearly uniform across petroleum-fueled vehicles and play a relatively minor role in total lifecycle emissions. Including upstream impacts would greatly complicate the regulations. But because the vast majority of emissions and energy consumption for electric vehicles (and hydrogen and, to a lesser extent, biofuels) are upstream, the old regulatory design is no longer valid. The pressing regulatory question is whether to assign upstream GHG emissions to electric vehicles, or not, and if so, how. We find that assigning zero upstream emissions-as a way of incentivizing the production and sale of PEVs-would eventually lead to an erosion of 20% of the GHG emission benefits from new vehicles, assuming fixed vehicle standards. We suggest alternative policy mechanisms and strategies to account for upstream emissions and energy use. ?? 2012 Elsevier Ltd.","author":[{"dropping-particle":"","family":"Lutsey","given":"Nicholas","non-dropping-particle":"","parse-names":false,"suffix":""},{"dropping-particle":"","family":"Sperling","given":"Daniel","non-dropping-particle":"","parse-names":false,"suffix":""}],"container-title":"Energy Policy","id":"ITEM-1","issued":{"date-parts":[["2012"]]},"page":"308-316","publisher":"Elsevier","title":"Regulatory adaptation: Accommodating electric vehicles in a petroleum world","type":"article-journal","volume":"45"},"uris":["http://www.mendeley.com/documents/?uuid=ddc3d022-d13b-4efa-bc92-4d1adaec1ddb"]},{"id":"ITEM-2","itemData":{"DOI":"10.1016/j.tranpol.2014.10.005","ISSN":"0967070X","abstract":"Policies toward the diffusion of electric vehicles received a lot of attention in the latest years in many developed countries. Yet the real costs and benefits for society as a whole of this technology have received limited attention from economists. In this context, the present paper proposes a thorough cost benefit analysis of policies for the development of electric vehicles in Germany. It also reviews the main existing models of EV diffusion to shed light on the modeling issues underlying the evaluation of EV policies. Elaborating on a comprehensive simulation model, it shows that the potential for EV is fairly limited while there is more room for intermediate technologies like Plug-in Hybrid Vehicles and Range Extenders. The paper concludes that most of the investigated policies have a negative benefit-cost balance. These results are strongly driven by the regulatory framework in which EV diffusion could take place and especially the Car Average Fleet Emission regulation EU 443.","author":[{"dropping-particle":"","family":"Massiani","given":"JérÔme","non-dropping-particle":"","parse-names":false,"suffix":""}],"container-title":"Transport Policy","id":"ITEM-2","issued":{"date-parts":[["2015"]]},"page":"19-26","title":"Cost-Benefit Analysis of policies for the development of electric vehicles in Germany: Methods and results","type":"article-journal","volume":"38"},"uris":["http://www.mendeley.com/documents/?uuid=84a99bc5-31ba-4126-ba66-7ebc1cebf552"]}],"mendeley":{"formattedCitation":"(Lutsey and Sperling 2012; Massiani 2015)","manualFormatting":"(Lutsey and Sperling, 2012; Massiani, 2015)","plainTextFormattedCitation":"(Lutsey and Sperling 2012; Massiani 2015)","previouslyFormattedCitation":"(Lutsey and Sperling 2012; Massiani 2015)"},"properties":{"noteIndex":0},"schema":"https://github.com/citation-style-language/schema/raw/master/csl-citation.json"}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(Lutsey and Sperling, 2012; Massiani, 2015)</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infrastructure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{"citationItems":[{"id":"ITEM-1","itemData":{"DOI":"10.1016/j.trd.2015.02.001","ISBN":"1361-9209","ISSN":"13619209","abstract":"Policymakers often seek to increase the visibility of plug-in electric vehicle (PEV) chargers in public locations in effort to build familiarity and interest in PEVs. However, it is not clear if the visibility of public charging stations actually has an impact on PEV demand. The purposes of the present study are to (1) assess the current levels of visibility for public PEV charging infrastructure within Canada and (2) identify whether or not a statistically significant relationship exists between consumer awareness of public charging infrastructure and interest in purchasing a PEV. We use data collected from a sample of 1739 Canadian new-vehicle buyers in 2013. About 18% of Canadian respondents have seen at least one public charger, while the proportion is highest in British Columbia (31%). We find a significant bivariate relationship between public charger awareness and PEV interest. However, when controlling for multiple explanatory variables in regression analyses, the relationship is weak or non-existent. While perceived existence of at least one charger exhibits no significant relationship with PEV interest, perceived existence of multiple chargers can have a weak but significant relationship. Thus, public charger awareness is not a strong predictor of PEV interest; other variables are more important, such as the availability of level 1 (110/120-volt) charging at home.","author":[{"dropping-particle":"","family":"Bailey","given":"Joseph","non-dropping-particle":"","parse-names":false,"suffix":""},{"dropping-particle":"","family":"Miele","given":"Amy","non-dropping-particle":"","parse-names":false,"suffix":""},{"dropping-particle":"","family":"Axsen","given":"Jonn","non-dropping-particle":"","parse-names":false,"suffix":""}],"container-title":"Transportation Research Part D: Transport and Environment","id":"ITEM-1","issued":{"date-parts":[["2015"]]},"page":"1-9","publisher":"Elsevier Ltd","title":"Is awareness of public charging associated with consumer interest in plug-in electric vehicles?","type":"article-journal","volume":"36"},"uris":["http://www.mendeley.com/documents/?uuid=b7474f9d-c089-4f56-ac87-3f5c34a4e029"]}],"mendeley":{"formattedCitation":"(Bailey, Miele, and Axsen 2015)","manualFormatting":"(Bailey et al., 2015)","plainTextFormattedCitation":"(Bailey, Miele, and Axsen 2015)","previouslyFormattedCitation":"(Bailey, Miele, and Axsen 2015)"},"properties":{"noteIndex":0},"schema":"https://github.com/citation-style-language/schema/raw/master/csl-citation.json"}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(Bailey et al., 2015)</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socioeconomics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{"citationItems":[{"id":"ITEM-1","itemData":{"DOI":"10.1016/j.tra.2012.05.004","ISSN":"09658564","author":[{"dropping-particle":"","family":"Campbell","given":"Amy R.","non-dropping-particle":"","parse-names":false,"suffix":""},{"dropping-particle":"","family":"Ryley","given":"Tim","non-dropping-particle":"","parse-names":false,"suffix":""},{"dropping-particle":"","family":"Thring","given":"Rob","non-dropping-particle":"","parse-names":false,"suffix":""}],"container-title":"Transportation Research Part A: Policy and Practice","id":"ITEM-1","issue":"8","issued":{"date-parts":[["2012","10"]]},"page":"1318-1327","publisher":"Elsevier Ltd","title":"Identifying the early adopters of alternative fuel vehicles: A case study of Birmingham, United Kingdom","type":"article-journal","volume":"46"},"uris":["http://www.mendeley.com/documents/?uuid=cf7f5c97-1670-44ca-af72-41082824da90"]},{"id":"ITEM-2","itemData":{"DOI":"10.1016/j.trd.2012.09.007","ISSN":"13619209","author":[{"dropping-particle":"","family":"Carley","given":"Sanya","non-dropping-particle":"","parse-names":false,"suffix":""},{"dropping-particle":"","family":"Krause","given":"Rachel M.","non-dropping-particle":"","parse-names":false,"suffix":""},{"dropping-particle":"","family":"Lane","given":"Bradley W.","non-dropping-particle":"","parse-names":false,"suffix":""},{"dropping-particle":"","family":"Graham","given":"John D.","non-dropping-particle":"","parse-names":false,"suffix":""}],"container-title":"Transportation Research Part D: Transport and Environment","id":"ITEM-2","issue":"2013","issued":{"date-parts":[["2013","1"]]},"page":"39-45","publisher":"Elsevier Ltd","title":"Intent to purchase a plug-in electric vehicle: A survey of early impressions in large US cites","type":"article-journal","volume":"18"},"uris":["http://www.mendeley.com/documents/?uuid=ab1509c5-68c7-49a0-9e9f-340565b50b94"]}],"mendeley":{"formattedCitation":"(Campbell, Ryley, and Thring 2012; Carley et al. 2013)","manualFormatting":"(Campbell et al., 2012; Carley et al., 2013)","plainTextFormattedCitation":"(Campbell, Ryley, and Thring 2012; Carley et al. 2013)","previouslyFormattedCitation":"(Campbell, Ryley, and Thring 2012; Carley et al. 2013)"},"properties":{"noteIndex":0},"schema":"https://github.com/citation-style-language/schema/raw/master/csl-citation.json"}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(Campbell et al., 2012; Carley et al., 2013)</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social network and attitudes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{"citationItems":[{"id":"ITEM-1","itemData":{"DOI":"10.1016/j.tra.2013.01.015","ISSN":"09658564","author":[{"dropping-particle":"","family":"Beck","given":"Matthew J.","non-dropping-particle":"","parse-names":false,"suffix":""},{"dropping-particle":"","family":"Rose","given":"John M.","non-dropping-particle":"","parse-names":false,"suffix":""},{"dropping-particle":"","family":"Hensher","given":"David a.","non-dropping-particle":"","parse-names":false,"suffix":""}],"container-title":"Transportation Research Part A: Policy and Practice","id":"ITEM-1","issued":{"date-parts":[["2013","4"]]},"page":"171-182","title":"Environmental attitudes and emissions charging: An example of policy implications for vehicle choice","type":"article-journal","volume":"50"},"uris":["http://www.mendeley.com/documents/?uuid=67a5eb8a-00a6-4ad6-ac4b-ad6c7d8f0a5f"]},{"id":"ITEM-2","itemData":{"DOI":"10.1016/j.enpol.2013.05.122","ISSN":"03014215","abstract":"We use a survey to compare consumers' stated interest in conventional gasoline (CV), hybrid (HEV), plug-in hybrid (PHEV) and pure electric vehicles (EV) of varying designs and prices. Data are from 508 households representing new vehicle buyers in San Diego County, California in 2011. The mixed-mode survey collected information about access to residential recharge infrastructure, three days of driving patterns, and desired vehicle designs and motivations via design games. Across the higher and lower price scenarios, a majority of consumers designed and selected some form of PHEV for their next new vehicle, smaller numbers designed an HEV or a conventional vehicle, and only a few percent designed an EV. Of those who did not design an EV, the most frequent concerns with EVs were limited range, charger availability, and higher vehicle purchase prices. Positive interest in HEVs, PHEVs and EVs was associated with vehicle images of intelligence, responsibility, and support of the environment and nation (United States). The distribution of vehicle designs suggests that cheaper, smaller battery PHEVs may achieve more short-term market success than larger battery PHEVs or EV. New car buyers' present interests align with less expensive first steps in a transition to electric-drive vehicles. ?? 2013 Elsevier Ltd.","author":[{"dropping-particle":"","family":"Axsen","given":"Jonn","non-dropping-particle":"","parse-names":false,"suffix":""},{"dropping-particle":"","family":"Kurani","given":"Kenneth S.","non-dropping-particle":"","parse-names":false,"suffix":""}],"container-title":"Energy Policy","id":"ITEM-2","issued":{"date-parts":[["2013"]]},"page":"532-543","publisher":"Elsevier","title":"Hybrid, plug-in hybrid, or electric-What do car buyers want?","type":"article-journal","volume":"61"},"uris":["http://www.mendeley.com/documents/?uuid=1c4ab66f-e7e2-4bda-b89f-58e14f22af6f"]},{"id":"ITEM-3","itemData":{"DOI":"10.1016/j.trd.2017.12.006","ISSN":"13619209","abstract":"This paper reports on results developed from a 2015 national survey of Canadian consumers that sought to assess attitudes and preferences towards consumer electric vehicles. A latent class discrete choice model was developed based on stated preferences choices. Four classes emerged with each being oriented to one of the primary vehicle technologies considered. The dominant characteristics of the Internal Combustion Engine (ICE)-oriented class are purchase price sensitivity, EV scepticism and an apparent resistance to change; for the Hybrid Electric Vehicle (HEV)-oriented class it is reluctance to plug-in and an unusual combination of high environmental concern and an acceptance to burn gasoline; for the suburban-oriented Plug-in Hybrid Electric Vehicle (PHEV)-oriented class it is measured optimism about plugging-in combined with an orientation to a replacement vehicle for the next purchase; and for the younger and most urban Battery Electric Vehicle (BEV)-oriented class it is the highest optimism about electric vehicles and a focus on positive aspects such as rapid acceleration and minimized maintenance costs. By orientation of household mindset, approximately 40% are ICE, 30% are PHEV, 20% are HEV and 10% are BEV. These results suggest considerable openness to electric vehicles. Willingness-to-pay for vehicle and charging attributes and incentives were calculated and are highly useful in interpreting the latent classes. The results feature interesting geographical variation which is captured at the level of Canadian metropolitan areas.","author":[{"dropping-particle":"","family":"Ferguson","given":"Mark","non-dropping-particle":"","parse-names":false,"suffix":""},{"dropping-particle":"","family":"Mohamed","given":"Moataz","non-dropping-particle":"","parse-names":false,"suffix":""},{"dropping-particle":"","family":"Higgins","given":"Christopher D.","non-dropping-particle":"","parse-names":false,"suffix":""},{"dropping-particle":"","family":"Abotalebi","given":"Elnaz","non-dropping-particle":"","parse-names":false,"suffix":""},{"dropping-particle":"","family":"Kanaroglou","given":"Pavlos","non-dropping-particle":"","parse-names":false,"suffix":""}],"container-title":"Transportation Research Part D: Transport and Environment","id":"ITEM-3","issued":{"date-parts":[["2018"]]},"page":"208-224","publisher":"Elsevier","title":"How open are Canadian households to electric vehicles? A national latent class choice analysis with willingness-to-pay and metropolitan characterization","type":"article-journal","volume":"58"},"uris":["http://www.mendeley.com/documents/?uuid=c615551d-f062-4882-8b38-a38c4b1fdf57"]},{"id":"ITEM-4","itemData":{"DOI":"10.1016/j.trd.2014.10.010","ISSN":"13619209","abstract":"In spite of the purported positive environmental consequences of electrifying the light duty vehicle fleet, the number of electric vehicles (EVs) in use is still insignificant. One reason for the modest adoption figures is that the mass acceptance of EVs to a large extent is reliant on consumers' perception of EVs. This paper presents a comprehensive overview of the drivers for and barriers against consumer adoption of plug-in EVs, as well as an overview of the theoretical perspectives that have been utilized for understanding consumer intentions and adoption behavior towards EVs. In addition, we identify gaps and limitations in existing research and suggest areas in which future research would be able to contribute.","author":[{"dropping-particle":"","family":"Rezvani","given":"Zeinab","non-dropping-particle":"","parse-names":false,"suffix":""},{"dropping-particle":"","family":"Jansson","given":"Johan","non-dropping-particle":"","parse-names":false,"suffix":""},{"dropping-particle":"","family":"Bodin","given":"Jan","non-dropping-particle":"","parse-names":false,"suffix":""}],"container-title":"Transportation Research Part D: Transport and Environment","id":"ITEM-4","issued":{"date-parts":[["2015"]]},"page":"122-136","title":"Advances in consumer electric vehicle adoption research: A review and research agenda","type":"article-journal","volume":"34"},"uris":["http://www.mendeley.com/documents/?uuid=98117286-b978-4c41-8a15-2a66750612e0"]}],"mendeley":{"formattedCitation":"(Beck, Rose, and Hensher 2013; Axsen and Kurani 2013; Ferguson et al. 2018; Rezvani, Jansson, and Bodin 2015)","manualFormatting":"(Axsen &amp; Kurani, 2013; Beck et al., 2013; Ferguson et al., 2018; Rezvani et al., 2015)","plainTextFormattedCitation":"(Beck, Rose, and Hensher 2013; Axsen and Kurani 2013; Ferguson et al. 2018; Rezvani, Jansson, and Bodin 2015)","previouslyFormattedCitation":"(Beck, Rose, and Hensher 2013; Axsen and Kurani 2013; Ferguson et al. 2018; Rezvani, Jansson, and Bodin 2015)"},"properties":{"noteIndex":0},"schema":"https://github.com/citation-style-language/schema/raw/master/csl-citation.json"}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(Axsen and Kurani, 2013; Beck et al., 2013; Ferguson et al., 2018; Rezvani et al., 2015)</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driving patterns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{"citationItems":[{"id":"ITEM-1","itemData":{"DOI":"10.1016/j.tranpol.2013.07.005","ISBN":"0967-070X","ISSN":"0967070X","abstract":"While research has shown that limited-range electric vehicles (EVs) satisfy the range needs of a sizeable share of the driving population, car buyers seem to prefer vehicles with high available range. The objective of the present research was to advance understanding of the factors that influence the range preferences of potential EV customers who had the opportunity to test an EV. Data from 79 participants who had driven an EV for 3 months was assessed in a field study setting. Range preferences of those users were found to be substantially higher than their average range needs. Regression analyses indicated that higher average range needs, higher range of the driver's familiar combustion vehicle (CV), and greater experienced range anxiety were related to higher range preferences. Furthermore, we found that range preferences decreased over the first 3 months of EV use. Finally, indicators of average range needs were more strongly associated with range preferences as EV experience increased. Thus, only customers with EV experience seem to rely on accurate estimates of their range needs when constructing their range preferences. Implications for strategies aimed at enhancing customer appraisal of limited range mobility and determining optimal EV range are discussed. ?? 2013 Elsevier Ltd.","author":[{"dropping-particle":"","family":"Franke","given":"Thomas","non-dropping-particle":"","parse-names":false,"suffix":""},{"dropping-particle":"","family":"Krems","given":"Josef F.","non-dropping-particle":"","parse-names":false,"suffix":""}],"container-title":"Transport Policy","id":"ITEM-1","issued":{"date-parts":[["2013"]]},"page":"56-62","publisher":"Elsevier","title":"What drives range preferences in electric vehicle users?","type":"article-journal","volume":"30"},"uris":["http://www.mendeley.com/documents/?uuid=9b9d48cd-859f-4e84-a5ed-860db425281d"]},{"id":"ITEM-2","itemData":{"DOI":"10.1016/j.trc.2010.12.010","ISBN":"0968090X","ISSN":"0968090X","abstract":"One full year of high-resolution driving data from 484 instrumented gasoline vehicles in the US is used to analyze daily driving patterns, and from those infer the range requirements of electric vehicles (EVs). We conservatively assume that EV drivers would not change their current gasoline-fueled driving patterns and that they would charge only once daily, typically at home overnight. Next, the market is segmented into those drivers for whom a limited-range vehicle would meet every day's range need, and those who could meet their daily range need only if they make adaptations on some days. Adaptations, for example, could mean they have to either recharge during the day, borrow a liquid-fueled vehicle, or save some errands for the subsequent day. From this analysis, with the stated assumptions, we infer the potential market share for limited-range vehicles. For example, we find that 9% of the vehicles in the sample never exceeded 100. miles in one day, and 21% never exceeded 150. miles in one day. These drivers presumably could substitute a limited-range vehicle, like electric vehicles now on the market, for their current gasoline vehicle without any adaptation in their driving at all. For drivers who are willing to make adaptations on 2. days a year, the same 100. mile range EV would meet the needs of 17% of drivers, and if they are willing to adapt every other month (six times a year), it would work for 32% of drivers. Thus, it appears that even modest electric vehicles with today's limited battery range, if marketed correctly to segments with appropriate driving behavior, comprise a large enough market for substantial vehicle sales. An additional analysis examines driving versus parking by time of day. On the average weekday at 5. pm, only 15% of the vehicles in the sample are on the road; at no time during the year are fewer than 75% of vehicles parked. Also, because the return trip home is widely spread in time, even if all cars plug in and begin charging immediately when they arrive home and park, the increased demand on the electric system is less problematic than prior analyses have suggested. ?? 2011 Elsevier Ltd.","author":[{"dropping-particle":"","family":"Pearre","given":"Nathaniel S.","non-dropping-particle":"","parse-names":false,"suffix":""},{"dropping-particle":"","family":"Kempton","given":"Willett","non-dropping-particle":"","parse-names":false,"suffix":""},{"dropping-particle":"","family":"Guensler","given":"Randall L.","non-dropping-particle":"","parse-names":false,"suffix":""},{"dropping-particle":"V.","family":"Elango","given":"Vetri","non-dropping-particle":"","parse-names":false,"suffix":""}],"container-title":"Transportation Research Part C: Emerging Technologies","id":"ITEM-2","issue":"6","issued":{"date-parts":[["2011"]]},"page":"1171-1184","publisher":"Elsevier Ltd","title":"Electric vehicles: How much range is required for a day's driving?","type":"article-journal","volume":"19"},"uris":["http://www.mendeley.com/documents/?uuid=23eb5348-d758-40fa-b26a-1863006614e7"]},{"id":"ITEM-3","itemData":{"DOI":"10.1016/j.enpol.2012.03.055","ISBN":"0301-4215","ISSN":"03014215","abstract":"GPS data for a year's worth of travel by 255 Seattle households illuminate how plug-in electric vehicles can match household needs. The results suggest that a battery-electric vehicle (BEV) with 100. mi of range should meet the needs of 50% of one-vehicle households and 80% of multiple-vehicle households, when charging once a day and relying on another vehicle or mode just 4 days a year. Moreover, the average one-vehicle Seattle household uses each vehicle 23. mi per day and should be able to electrify close to 80% of its miles, while meeting all its travel needs, using a plug-in hybrid electric vehicle (PHEV) with 40-mile all-electric range. Households owning two or more vehicles can electrify 50 to 70% of their total household miles using a PHEV40, depending on how they assign the vehicle across drivers each day. Cost comparisons between the average single-vehicle household owning a Chevrolet Cruze versus a Volt PHEV suggest that, when gas prices are $3.50 per gallon and electricity rates are at 11.2. ct/kWh, the Volt will save the household $535 per year in operating costs. Similarly, the Toyota Prius PHEV will provide an annual savings of $538 per year over the Corolla. © 2012 Elsevier Ltd.","author":[{"dropping-particle":"","family":"Khan","given":"Mobashwir","non-dropping-particle":"","parse-names":false,"suffix":""},{"dropping-particle":"","family":"Kockelman","given":"Kara M.","non-dropping-particle":"","parse-names":false,"suffix":""}],"container-title":"Energy Policy","id":"ITEM-3","issued":{"date-parts":[["2012"]]},"page":"225-233","publisher":"Elsevier","title":"Predicting the market potential of plug-in electric vehicles using multiday GPS data","type":"article-journal","volume":"46"},"uris":["http://www.mendeley.com/documents/?uuid=d8936761-f12b-442b-b31a-01558e4eb605"]}],"mendeley":{"formattedCitation":"(Franke and Krems 2013; Pearre et al. 2011; Khan and Kockelman 2012)","manualFormatting":"(Franke &amp; Krems, 2013; Khan &amp; Kockelman, 2012; Pearre et al., 2011)","plainTextFormattedCitation":"(Franke and Krems 2013; Pearre et al. 2011; Khan and Kockelman 2012)","previouslyFormattedCitation":"(Franke and Krems 2013; Pearre et al. 2011; Khan and Kockelman 2012)"},"properties":{"noteIndex":0},"schema":"https://github.com/citation-style-language/schema/raw/master/csl-citation.json"}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(Franke and Krems, 2013; Khan and Kockelman, 2012; Pearre et al., 2011)</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and locational variables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{"citationItems":[{"id":"ITEM-1","itemData":{"DOI":"10.1016/j.trd.2017.12.006","ISSN":"13619209","abstract":"This paper reports on results developed from a 2015 national survey of Canadian consumers that sought to assess attitudes and preferences towards consumer electric vehicles. A latent class discrete choice model was developed based on stated preferences choices. Four classes emerged with each being oriented to one of the primary vehicle technologies considered. The dominant characteristics of the Internal Combustion Engine (ICE)-oriented class are purchase price sensitivity, EV scepticism and an apparent resistance to change; for the Hybrid Electric Vehicle (HEV)-oriented class it is reluctance to plug-in and an unusual combination of high environmental concern and an acceptance to burn gasoline; for the suburban-oriented Plug-in Hybrid Electric Vehicle (PHEV)-oriented class it is measured optimism about plugging-in combined with an orientation to a replacement vehicle for the next purchase; and for the younger and most urban Battery Electric Vehicle (BEV)-oriented class it is the highest optimism about electric vehicles and a focus on positive aspects such as rapid acceleration and minimized maintenance costs. By orientation of household mindset, approximately 40% are ICE, 30% are PHEV, 20% are HEV and 10% are BEV. These results suggest considerable openness to electric vehicles. Willingness-to-pay for vehicle and charging attributes and incentives were calculated and are highly useful in interpreting the latent classes. The results feature interesting geographical variation which is captured at the level of Canadian metropolitan areas.","author":[{"dropping-particle":"","family":"Ferguson","given":"Mark","non-dropping-particle":"","parse-names":false,"suffix":""},{"dropping-particle":"","family":"Mohamed","given":"Moataz","non-dropping-particle":"","parse-names":false,"suffix":""},{"dropping-particle":"","family":"Higgins","given":"Christopher D.","non-dropping-particle":"","parse-names":false,"suffix":""},{"dropping-particle":"","family":"Abotalebi","given":"Elnaz","non-dropping-particle":"","parse-names":false,"suffix":""},{"dropping-particle":"","family":"Kanaroglou","given":"Pavlos","non-dropping-particle":"","parse-names":false,"suffix":""}],"container-title":"Transportation Research Part D: Transport and Environment","id":"ITEM-1","issued":{"date-parts":[["2018"]]},"page":"208-224","publisher":"Elsevier","title":"How open are Canadian households to electric vehicles? A national latent class choice analysis with willingness-to-pay and metropolitan characterization","type":"article-journal","volume":"58"},"uris":["http://www.mendeley.com/documents/?uuid=c615551d-f062-4882-8b38-a38c4b1fdf57"]}],"mendeley":{"formattedCitation":"(Ferguson et al. 2018)","manualFormatting":"(Ferguson et al., 2018)","plainTextFormattedCitation":"(Ferguson et al. 2018)","previouslyFormattedCitation":"(Ferguson et al. 2018)"},"properties":{"noteIndex":0},"schema":"https://github.com/citation-style-language/schema/raw/master/csl-citation.json"}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(Ferguson et al., 2018)</w:t>
      </w:r>
      <w:r w:rsidRPr="003C3597">
        <w:rPr>
          <w:rFonts w:ascii="Times New Roman" w:hAnsi="Times New Roman" w:cs="Times New Roman"/>
          <w:color w:val="000000"/>
        </w:rPr>
        <w:fldChar w:fldCharType="end"/>
      </w:r>
      <w:r w:rsidRPr="003C3597">
        <w:rPr>
          <w:rFonts w:ascii="Times New Roman" w:hAnsi="Times New Roman" w:cs="Times New Roman"/>
          <w:color w:val="000000"/>
        </w:rPr>
        <w:t>.</w:t>
      </w:r>
    </w:p>
    <w:p w14:paraId="7360EF2A" w14:textId="4DF7D85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From a modeling perspective, most previous EV studies have used discrete choice methods to estimate consumer preferences for electric vehicles or their specific features (Table </w:t>
      </w:r>
      <w:r w:rsidR="00B957FF">
        <w:rPr>
          <w:rFonts w:ascii="Times New Roman" w:hAnsi="Times New Roman" w:cs="Times New Roman"/>
          <w:color w:val="000000"/>
        </w:rPr>
        <w:t>3.</w:t>
      </w:r>
      <w:r w:rsidRPr="003C3597">
        <w:rPr>
          <w:rFonts w:ascii="Times New Roman" w:hAnsi="Times New Roman" w:cs="Times New Roman"/>
          <w:color w:val="000000"/>
        </w:rPr>
        <w:t xml:space="preserve">1). Of these methods, the EV literature is dominated mostly by multinomial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{"citationItems":[{"id":"ITEM-1","itemData":{"DOI":"10.1016/S1361-9209(98)00019-4","ISSN":"13619209","author":[{"dropping-particle":"","family":"Ewing","given":"Gordon O.","non-dropping-particle":"","parse-names":false,"suffix":""},{"dropping-particle":"","family":"Sarigöllü","given":"Emine","non-dropping-particle":"","parse-names":false,"suffix":""}],"container-title":"Transportation Research Part D: Transport and Environment","id":"ITEM-1","issue":"6","issued":{"date-parts":[["1998","11"]]},"page":"429-444","title":"Car fuel-type choice under travel demand management and economic incentives","type":"article-journal","volume":"3"},"uris":["http://www.mendeley.com/documents/?uuid=bd47e521-daf4-4dc6-804d-b8e807c5c70b"]}],"mendeley":{"formattedCitation":"(Ewing and Sarigöllü 1998)","manualFormatting":"(Ewing and Sarigöllü, 1998)","plainTextFormattedCitation":"(Ewing and Sarigöllü 1998)","previouslyFormattedCitation":"(Ewing and Sarigöllü 1998)"},"properties":{"noteIndex":0},"schema":"https://github.com/citation-style-language/schema/raw/master/csl-citation.json"}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(Ewing and Sarigöllü, 1998)</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nested logit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DOI":"10.1016/j.trd.2007.03.001","ISSN":"13619209","author":[{"dropping-particle":"","family":"Potoglou","given":"Dimitris","non-dropping-particle":"","parse-names":false,"suffix":""},{"dropping-particle":"","family":"Kanaroglou","given":"Pavlos S.","non-dropping-particle":"","parse-names":false,"suffix":""}],"container-title":"Transportation Research Part D: Transport and Environment","id":"ITEM-1","issue":"4","issued":{"date-parts":[["2007","6"]]},"page":"264-274","title":"Household demand and willingness to pay for clean vehicles","type":"article-journal","volume":"12"},"uris":["http://www.mendeley.com/documents/?uuid=7af63e7b-a7d3-4621-bf04-f6ba6e21cd86"]}],"mendeley":{"formattedCitation":"(Potoglou and Kanaroglou 2007)","manualFormatting":"(Potoglou and Kanaroglou, 2007)","plainTextFormattedCitation":"(Potoglou and Kanaroglou 2007)","previouslyFormattedCitation":"(Potoglou and Kanaroglou 2007)"},"properties":{"noteIndex":0},"schema":"https://github.com/citation-style-language/schema/raw/master/csl-citation.json"}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(Potoglou and Kanaroglou, 2007)</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and mixed logit models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{"citationItems":[{"id":"ITEM-1","itemData":{"DOI":"10.1016/j.trd.2013.07.006","ISSN":"13619209","author":[{"dropping-particle":"","family":"Jensen, A. F., Cherchi, E., &amp; Mabit","given":"S. L.","non-dropping-particle":"","parse-names":false,"suffix":""}],"container-title":"Transportation Research Part D: Transport and Environment","id":"ITEM-1","issued":{"date-parts":[["2013","12"]]},"page":"24-32","publisher":"Elsevier Ltd","title":"On the stability of preferences and attitudes before and after experiencing an electric vehicle","type":"article-journal","volume":"25"},"uris":["http://www.mendeley.com/documents/?uuid=fdda6b2d-162a-4b29-aa41-89bca320cebf"]},{"id":"ITEM-2","itemData":{"DOI":"10.1016/j.tra.2014.01.008","ISSN":"09658564","author":[{"dropping-particle":"","family":"Hoen","given":"Anco","non-dropping-particle":"","parse-names":false,"suffix":""},{"dropping-particle":"","family":"Koetse","given":"Mark J.","non-dropping-particle":"","parse-names":false,"suffix":""}],"container-title":"Transportation Research Part A: Policy and Practice","id":"ITEM-2","issued":{"date-parts":[["2014","3"]]},"page":"199-215","publisher":"Elsevier Ltd","title":"A choice experiment on alternative fuel vehicle preferences of private car owners in the Netherlands","type":"article-journal","volume":"61"},"uris":["http://www.mendeley.com/documents/?uuid=c832ad12-8e58-47a7-a310-2f4b40d6df33"]},{"id":"ITEM-3","itemData":{"DOI":"10.1016/j.trd.2013.07.002","ISSN":"13619209","author":[{"dropping-particle":"","family":"Hackbarth","given":"André","non-dropping-particle":"","parse-names":false,"suffix":""},{"dropping-particle":"","family":"Madlener","given":"Reinhard","non-dropping-particle":"","parse-names":false,"suffix":""}],"container-title":"Transportation Research Part D: Transport and Environment","id":"ITEM-3","issued":{"date-parts":[["2013","12"]]},"page":"5-17","title":"Consumer preferences for alternative fuel vehicles: A discrete choice analysis","type":"article-journal","volume":"25"},"uris":["http://www.mendeley.com/documents/?uuid=e0eda076-c114-46a0-b9ef-d6a1f2f091d6"]}],"mendeley":{"formattedCitation":"(Jensen, A. F., Cherchi, E., &amp; Mabit 2013; Hoen and Koetse 2014; Hackbarth and Madlener 2013)","manualFormatting":"(Hackbarth &amp; Madlener, 2013; Hoen &amp; Koetse, 2014; Jensen et al., 2013)","plainTextFormattedCitation":"(Jensen, A. F., Cherchi, E., &amp; Mabit 2013; Hoen and Koetse 2014; Hackbarth and Madlener 2013)","previouslyFormattedCitation":"(Jensen, A. F., Cherchi, E., &amp; Mabit 2013; Hoen and Koetse 2014; Hackbarth and Madlener 2013)"},"properties":{"noteIndex":0},"schema":"https://github.com/citation-style-language/schema/raw/master/csl-citation.json"}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(Hackbarth and Madlener, 2013; Hoen and Koetse, 2014; Jensen et al., 2013)</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Hidrue et al. (2011), Axsen et al. (2015), and Ferguson et al. (2018) are examples of the few studies that have estimated EV preferences among consumers using latent class (LC) models. An important advantage of LC models over other discrete choice methods is that respondents can be grouped into different preference classes based on their attitudes and socioeconomic characteristics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{"citationItems":[{"id":"ITEM-1","itemData":{"DOI":"10.1016/j.reseneeco.2011.02.002","ISSN":"09287655","author":[{"dropping-particle":"","family":"Hidrue","given":"Michael K.","non-dropping-particle":"","parse-names":false,"suffix":""},{"dropping-particle":"","family":"Parsons","given":"George R.","non-dropping-particle":"","parse-names":false,"suffix":""},{"dropping-particle":"","family":"Kempton","given":"Willett","non-dropping-particle":"","parse-names":false,"suffix":""},{"dropping-particle":"","family":"Gardner","given":"Meryl P.","non-dropping-particle":"","parse-names":false,"suffix":""}],"container-title":"Resource and Energy Economics","id":"ITEM-1","issue":"3","issued":{"date-parts":[["2011","9"]]},"page":"686-705","publisher":"Elsevier B.V.","title":"Willingness to pay for electric vehicles and their attributes","type":"article-journal","volume":"33"},"uris":["http://www.mendeley.com/documents/?uuid=63deed0b-ad6d-4e45-892f-7b53ac91ce81"]},{"id":"ITEM-2","itemData":{"DOI":"10.1016/j.tra.2013.01.015","ISSN":"09658564","author":[{"dropping-particle":"","family":"Beck","given":"Matthew J.","non-dropping-particle":"","parse-names":false,"suffix":""},{"dropping-particle":"","family":"Rose","given":"John M.","non-dropping-particle":"","parse-names":false,"suffix":""},{"dropping-particle":"","family":"Hensher","given":"David a.","non-dropping-particle":"","parse-names":false,"suffix":""}],"container-title":"Transportation Research Part A: Policy and Practice","id":"ITEM-2","issued":{"date-parts":[["2013","4"]]},"page":"171-182","title":"Environmental attitudes and emissions charging: An example of policy implications for vehicle choice","type":"article-journal","volume":"50"},"uris":["http://www.mendeley.com/documents/?uuid=67a5eb8a-00a6-4ad6-ac4b-ad6c7d8f0a5f"]}],"mendeley":{"formattedCitation":"(Hidrue et al. 2011; Beck, Rose, and Hensher 2013)","manualFormatting":"(Beck et al., 2013; Hidrue et al., 2011)","plainTextFormattedCitation":"(Hidrue et al. 2011; Beck, Rose, and Hensher 2013)","previouslyFormattedCitation":"(Hidrue et al. 2011; Beck, Rose, and Hensher 2013)"},"properties":{"noteIndex":0},"schema":"https://github.com/citation-style-language/schema/raw/master/csl-citation.json"}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(Beck et al., 2013; Hidrue et al., 2011)</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For instance, Asxen et </w:t>
      </w:r>
      <w:r w:rsidRPr="003C3597">
        <w:rPr>
          <w:rFonts w:ascii="Times New Roman" w:hAnsi="Times New Roman" w:cs="Times New Roman"/>
          <w:color w:val="000000"/>
        </w:rPr>
        <w:lastRenderedPageBreak/>
        <w:t>al. (2015) specify five distinct latent classes where 23% of their sample is oriented towards conventional vehicles, 28% and 16% are hybrid electric vehicle (HEV)-leaning and HEV-oriented respectively, 25% are PHEV-oriented, and 8% are plug-in elective vehicle (PEV)-enthusiast. In a similar analytical approach, Ferguson et al. (2018) found 40% of a national Canadian sample as being oriented toward</w:t>
      </w:r>
      <w:r w:rsidR="00345BEC">
        <w:rPr>
          <w:rFonts w:ascii="Times New Roman" w:hAnsi="Times New Roman" w:cs="Times New Roman"/>
          <w:color w:val="000000"/>
        </w:rPr>
        <w:t>s</w:t>
      </w:r>
      <w:r w:rsidRPr="003C3597">
        <w:rPr>
          <w:rFonts w:ascii="Times New Roman" w:hAnsi="Times New Roman" w:cs="Times New Roman"/>
          <w:color w:val="000000"/>
        </w:rPr>
        <w:t xml:space="preserve"> internal combustion engine vehicles (ICE), while 20%, 30% and 10% of the sample were HEV-, PHEV- and BEV-oriented respectively.</w:t>
      </w:r>
    </w:p>
    <w:p w14:paraId="68C41E3C"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Regarding vehicle attributes and their impacts on EV preferences,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DOI":"10.1016/j.eneco.2015.05.003","ISSN":"01409883","author":[{"dropping-particle":"","family":"Axsen","given":"Jonn","non-dropping-particle":"","parse-names":false,"suffix":""},{"dropping-particle":"","family":"Bailey","given":"Joseph","non-dropping-particle":"","parse-names":false,"suffix":""},{"dropping-particle":"","family":"Castro","given":"Marisol Andrea","non-dropping-particle":"","parse-names":false,"suffix":""}],"container-title":"Energy Economics","id":"ITEM-1","issued":{"date-parts":[["2015"]]},"page":"190-201","publisher":"Elsevier B.V.","title":"Preference and lifestyle heterogeneity among potential plug-in electric vehicle buyers","type":"article-journal","volume":"50"},"uris":["http://www.mendeley.com/documents/?uuid=c29d93aa-c3d4-4b2b-8202-fb17cf0079f6"]}],"mendeley":{"formattedCitation":"(Axsen, Bailey, and Castro 2015)","manualFormatting":"Axsen et al. (2015)","plainTextFormattedCitation":"(Axsen, Bailey, and Castro 2015)","previouslyFormattedCitation":"(Axsen, Bailey, and Castro 2015)"},"properties":{"noteIndex":0},"schema":"https://github.com/citation-style-language/schema/raw/master/csl-citation.json"}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Axsen et al. (2015)</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found high prices and range limitations as the main barriers to adopting EVs in their Canadian sample, and that PHEVs are the most popular among other powertrains followed by hybrid and internal combustion vehicles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author":[{"dropping-particle":"","family":"Axsen","given":"Jonn","non-dropping-particle":"","parse-names":false,"suffix":""},{"dropping-particle":"","family":"Goldberg","given":"Suzanne","non-dropping-particle":"","parse-names":false,"suffix":""},{"dropping-particle":"","family":"Bailey","given":"Joseph","non-dropping-particle":"","parse-names":false,"suffix":""}],"id":"ITEM-1","issue":"July","issued":{"date-parts":[["2015"]]},"title":"Electrif ying Vehicles; insights from the Canadian plug-in electric vehicle study","type":"report"},"uris":["http://www.mendeley.com/documents/?uuid=3bfe47d5-06f2-45f8-a5b6-f89a090fd9ae"]}],"mendeley":{"formattedCitation":"(Axsen, Goldberg, and Bailey 2015)","manualFormatting":"(Axsen et al., 2015)","plainTextFormattedCitation":"(Axsen, Goldberg, and Bailey 2015)","previouslyFormattedCitation":"(Axsen, Goldberg, and Bailey 2015)"},"properties":{"noteIndex":0},"schema":"https://github.com/citation-style-language/schema/raw/master/csl-citation.json"}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(Axsen et al., 2015)</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EV infrastructure is another crucial feature hindering the diffusion of electric mobility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{"citationItems":[{"id":"ITEM-1","itemData":{"DOI":"10.1007/s11116-014-9517-6","ISSN":"0049-4488","author":[{"dropping-particle":"","family":"Jensen, A. F., Cherchi, E., &amp; de Dios Ortúzar","given":"J","non-dropping-particle":"","parse-names":false,"suffix":""}],"container-title":"Transportation","id":"ITEM-1","issue":"5","issued":{"date-parts":[["2014","4","6"]]},"page":"973-993","title":"A long panel survey to elicit variation in preferences and attitudes in the choice of electric vehicles","type":"article-journal","volume":"41"},"uris":["http://www.mendeley.com/documents/?uuid=cdc1e905-9d9f-483b-96ca-fd70390a70da"]}],"mendeley":{"formattedCitation":"(Jensen, A. F., Cherchi, E., &amp; de Dios Ortúzar 2014)","manualFormatting":"(Jensen et al., 2014)","plainTextFormattedCitation":"(Jensen, A. F., Cherchi, E., &amp; de Dios Ortúzar 2014)","previouslyFormattedCitation":"(Jensen, A. F., Cherchi, E., &amp; de Dios Ortúzar 2014)"},"properties":{"noteIndex":0},"schema":"https://github.com/citation-style-language/schema/raw/master/csl-citation.json"}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(Jensen et al., 2014)</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Long charging time and limited availability of fast charging facilities have been repeatedly considered as important limitations of EVs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{"citationItems":[{"id":"ITEM-1","itemData":{"DOI":"10.1016/j.enpol.2013.05.122","ISSN":"03014215","abstract":"We use a survey to compare consumers' stated interest in conventional gasoline (CV), hybrid (HEV), plug-in hybrid (PHEV) and pure electric vehicles (EV) of varying designs and prices. Data are from 508 households representing new vehicle buyers in San Diego County, California in 2011. The mixed-mode survey collected information about access to residential recharge infrastructure, three days of driving patterns, and desired vehicle designs and motivations via design games. Across the higher and lower price scenarios, a majority of consumers designed and selected some form of PHEV for their next new vehicle, smaller numbers designed an HEV or a conventional vehicle, and only a few percent designed an EV. Of those who did not design an EV, the most frequent concerns with EVs were limited range, charger availability, and higher vehicle purchase prices. Positive interest in HEVs, PHEVs and EVs was associated with vehicle images of intelligence, responsibility, and support of the environment and nation (United States). The distribution of vehicle designs suggests that cheaper, smaller battery PHEVs may achieve more short-term market success than larger battery PHEVs or EV. New car buyers' present interests align with less expensive first steps in a transition to electric-drive vehicles. ?? 2013 Elsevier Ltd.","author":[{"dropping-particle":"","family":"Axsen","given":"Jonn","non-dropping-particle":"","parse-names":false,"suffix":""},{"dropping-particle":"","family":"Kurani","given":"Kenneth S.","non-dropping-particle":"","parse-names":false,"suffix":""}],"container-title":"Energy Policy","id":"ITEM-1","issued":{"date-parts":[["2013"]]},"page":"532-543","publisher":"Elsevier","title":"Hybrid, plug-in hybrid, or electric-What do car buyers want?","type":"article-journal","volume":"61"},"uris":["http://www.mendeley.com/documents/?uuid=1c4ab66f-e7e2-4bda-b89f-58e14f22af6f"]},{"id":"ITEM-2","itemData":{"DOI":"10.1016/j.trd.2013.07.002","ISSN":"13619209","author":[{"dropping-particle":"","family":"Hackbarth","given":"André","non-dropping-particle":"","parse-names":false,"suffix":""},{"dropping-particle":"","family":"Madlener","given":"Reinhard","non-dropping-particle":"","parse-names":false,"suffix":""}],"container-title":"Transportation Research Part D: Transport and Environment","id":"ITEM-2","issued":{"date-parts":[["2013","12"]]},"page":"5-17","title":"Consumer preferences for alternative fuel vehicles: A discrete choice analysis","type":"article-journal","volume":"25"},"uris":["http://www.mendeley.com/documents/?uuid=e0eda076-c114-46a0-b9ef-d6a1f2f091d6"]},{"id":"ITEM-3","itemData":{"DOI":"10.1016/j.tra.2012.05.016","ISSN":"09658564","abstract":"With respect to the German goal of a transition to a lead market for electromobility within a short time period, this paper empirically examines the preferences for alternative energy sources or propulsion technologies in vehicles and particularly for electric vehicles. The data stem from a stated preference discrete choice experiment with 598 potential German car buyers. In order to simulate a realistic future purchase situation, seven vehicle types were incorporated in each of the six choice sets, i.e. hybrid, gas, biofuel, hydrogen, and electric vehicles besides common gasoline and diesel vehicles. The econometric analysis with flexible multinomial probit models reveals that potential car buyers in Germany currently have a low stated preference for electric, hydrogen, and hybrid vehicles. While our paper also discusses the impact of common vehicle attributes such as purchase price or service station availability, it particularly considers the effect of socio-demographic and environmental awareness variables. The estimation results reveal that younger potential car buyers have a higher stated preference for hydrogen and electric vehicles, males have a higher stated choice of hydrogen vehicles, and environmentally aware potential car buyers have a higher stated preference for hydrogen and electric vehicles. These results suggest that common policy instruments such as the promotion of research and development, taxation, or subsidization in the field of electromobility could be supplemented by strategies to increase the social acceptance of alternative vehicle types that are directly oriented to these population groups. Methodologically, our study highlights the importance of the inclusion of taste persistence across the choice sets and a high number of random draws in the Geweke-Hajivassiliou-Keane simulator in the simulated maximum likelihood estimation of the multinomial probit models. ?? 2012 Elsevier Ltd.","author":[{"dropping-particle":"","family":"Ziegler","given":"Andreas","non-dropping-particle":"","parse-names":false,"suffix":""}],"container-title":"Transportation Research Part A: Policy and Practice","id":"ITEM-3","issue":"8","issued":{"date-parts":[["2012","10"]]},"page":"1372-1385","publisher":"Elsevier Ltd","title":"Individual characteristics and stated preferences for alternative energy sources and propulsion technologies in vehicles: A discrete choice analysis for Germany","type":"article-journal","volume":"46"},"uris":["http://www.mendeley.com/documents/?uuid=c5e67293-8ff1-44d1-af86-36966a8ddd89"]}],"mendeley":{"formattedCitation":"(Axsen and Kurani 2013; Hackbarth and Madlener 2013; Ziegler 2012)","plainTextFormattedCitation":"(Axsen and Kurani 2013; Hackbarth and Madlener 2013; Ziegler 2012)","previouslyFormattedCitation":"(Axsen and Kurani 2013; Hackbarth and Madlener 2013; Ziegler 2012)"},"properties":{"noteIndex":0},"schema":"https://github.com/citation-style-language/schema/raw/master/csl-citation.json"}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(Axsen and Kurani 2013; Hackbarth and Madlener 2013; Ziegler 2012)</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Financial incentives have also been shown to motivate people towards EVs as a new technology.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DOI":"10.1016/j.trd.2007.03.001","ISSN":"13619209","author":[{"dropping-particle":"","family":"Potoglou","given":"Dimitris","non-dropping-particle":"","parse-names":false,"suffix":""},{"dropping-particle":"","family":"Kanaroglou","given":"Pavlos S.","non-dropping-particle":"","parse-names":false,"suffix":""}],"container-title":"Transportation Research Part D: Transport and Environment","id":"ITEM-1","issue":"4","issued":{"date-parts":[["2007","6"]]},"page":"264-274","title":"Household demand and willingness to pay for clean vehicles","type":"article-journal","volume":"12"},"uris":["http://www.mendeley.com/documents/?uuid=7af63e7b-a7d3-4621-bf04-f6ba6e21cd86"]}],"mendeley":{"formattedCitation":"(Potoglou and Kanaroglou 2007)","manualFormatting":"Potoglou &amp; Kanaroglou (2007)","plainTextFormattedCitation":"(Potoglou and Kanaroglou 2007)","previouslyFormattedCitation":"(Potoglou and Kanaroglou 2007)"},"properties":{"noteIndex":0},"schema":"https://github.com/citation-style-language/schema/raw/master/csl-citation.json"}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Potoglou and Kanaroglou (2007)</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found that monetary costs and purchase tax relief would encourage households to adopt an alternative fueled vehicle.</w:t>
      </w:r>
    </w:p>
    <w:p w14:paraId="46C8C6ED"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Acceptance of EVs is also affected by several socioeconomic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DOI":"10.1016/j.trd.2007.03.001","ISSN":"13619209","author":[{"dropping-particle":"","family":"Potoglou","given":"Dimitris","non-dropping-particle":"","parse-names":false,"suffix":""},{"dropping-particle":"","family":"Kanaroglou","given":"Pavlos S.","non-dropping-particle":"","parse-names":false,"suffix":""}],"container-title":"Transportation Research Part D: Transport and Environment","id":"ITEM-1","issue":"4","issued":{"date-parts":[["2007","6"]]},"page":"264-274","title":"Household demand and willingness to pay for clean vehicles","type":"article-journal","volume":"12"},"uris":["http://www.mendeley.com/documents/?uuid=7af63e7b-a7d3-4621-bf04-f6ba6e21cd86"]}],"mendeley":{"formattedCitation":"(Potoglou and Kanaroglou 2007)","manualFormatting":"(Potoglou and Kanaroglou, 2007)","plainTextFormattedCitation":"(Potoglou and Kanaroglou 2007)","previouslyFormattedCitation":"(Potoglou and Kanaroglou 2007)"},"properties":{"noteIndex":0},"schema":"https://github.com/citation-style-language/schema/raw/master/csl-citation.json"}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(Potoglou and Kanaroglou, 2007)</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and attitudinal factors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{"citationItems":[{"id":"ITEM-1","itemData":{"DOI":"10.1016/S1361-9209(98)00019-4","ISSN":"13619209","author":[{"dropping-particle":"","family":"Ewing","given":"Gordon O.","non-dropping-particle":"","parse-names":false,"suffix":""},{"dropping-particle":"","family":"Sarigöllü","given":"Emine","non-dropping-particle":"","parse-names":false,"suffix":""}],"container-title":"Transportation Research Part D: Transport and Environment","id":"ITEM-1","issue":"6","issued":{"date-parts":[["1998","11"]]},"page":"429-444","title":"Car fuel-type choice under travel demand management and economic incentives","type":"article-journal","volume":"3"},"uris":["http://www.mendeley.com/documents/?uuid=bd47e521-daf4-4dc6-804d-b8e807c5c70b"]},{"id":"ITEM-2","itemData":{"DOI":"10.1016/j.trd.2013.07.002","ISSN":"13619209","author":[{"dropping-particle":"","family":"Hackbarth","given":"André","non-dropping-particle":"","parse-names":false,"suffix":""},{"dropping-particle":"","family":"Madlener","given":"Reinhard","non-dropping-particle":"","parse-names":false,"suffix":""}],"container-title":"Transportation Research Part D: Transport and Environment","id":"ITEM-2","issued":{"date-parts":[["2013","12"]]},"page":"5-17","title":"Consumer preferences for alternative fuel vehicles: A discrete choice analysis","type":"article-journal","volume":"25"},"uris":["http://www.mendeley.com/documents/?uuid=e0eda076-c114-46a0-b9ef-d6a1f2f091d6"]},{"id":"ITEM-3","itemData":{"DOI":"10.1016/j.reseneeco.2011.02.002","ISSN":"09287655","author":[{"dropping-particle":"","family":"Hidrue","given":"Michael K.","non-dropping-particle":"","parse-names":false,"suffix":""},{"dropping-particle":"","family":"Parsons","given":"George R.","non-dropping-particle":"","parse-names":false,"suffix":""},{"dropping-particle":"","family":"Kempton","given":"Willett","non-dropping-particle":"","parse-names":false,"suffix":""},{"dropping-particle":"","family":"Gardner","given":"Meryl P.","non-dropping-particle":"","parse-names":false,"suffix":""}],"container-title":"Resource and Energy Economics","id":"ITEM-3","issue":"3","issued":{"date-parts":[["2011","9"]]},"page":"686-705","publisher":"Elsevier B.V.","title":"Willingness to pay for electric vehicles and their attributes","type":"article-journal","volume":"33"},"uris":["http://www.mendeley.com/documents/?uuid=63deed0b-ad6d-4e45-892f-7b53ac91ce81"]}],"mendeley":{"formattedCitation":"(Ewing and Sarigöllü 1998; Hackbarth and Madlener 2013; Hidrue et al. 2011)","manualFormatting":"(Ewing and Sarigöllü, 1998; Hackbarth and Madlener, 2013; Hidrue et al., 2011)","plainTextFormattedCitation":"(Ewing and Sarigöllü 1998; Hackbarth and Madlener 2013; Hidrue et al. 2011)","previouslyFormattedCitation":"(Ewing and Sarigöllü 1998; Hackbarth and Madlener 2013; Hidrue et al. 2011)"},"properties":{"noteIndex":0},"schema":"https://github.com/citation-style-language/schema/raw/master/csl-citation.json"}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(Ewing and Sarigöllü, 1998; Hackbarth and Madlener, 2013; Hidrue et al., 2011)</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For instance,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DOI":"10.1016/j.trd.2007.03.001","ISSN":"13619209","author":[{"dropping-particle":"","family":"Potoglou","given":"Dimitris","non-dropping-particle":"","parse-names":false,"suffix":""},{"dropping-particle":"","family":"Kanaroglou","given":"Pavlos S.","non-dropping-particle":"","parse-names":false,"suffix":""}],"container-title":"Transportation Research Part D: Transport and Environment","id":"ITEM-1","issue":"4","issued":{"date-parts":[["2007","6"]]},"page":"264-274","title":"Household demand and willingness to pay for clean vehicles","type":"article-journal","volume":"12"},"uris":["http://www.mendeley.com/documents/?uuid=7af63e7b-a7d3-4621-bf04-f6ba6e21cd86"]}],"mendeley":{"formattedCitation":"(Potoglou and Kanaroglou 2007)","manualFormatting":"Potoglou &amp; Kanaroglou (2007)","plainTextFormattedCitation":"(Potoglou and Kanaroglou 2007)","previouslyFormattedCitation":"(Potoglou and Kanaroglou 2007)"},"properties":{"noteIndex":0},"schema":"https://github.com/citation-style-language/schema/raw/master/csl-citation.json"}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Potoglou and Kanaroglou (2007)</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found that younger people and those with a university degree are more likely to adopt an alternative fueled vehicle, and that the demand </w:t>
      </w:r>
      <w:r w:rsidRPr="003C3597">
        <w:rPr>
          <w:rFonts w:ascii="Times New Roman" w:hAnsi="Times New Roman" w:cs="Times New Roman"/>
          <w:color w:val="000000"/>
        </w:rPr>
        <w:lastRenderedPageBreak/>
        <w:t xml:space="preserve">for high energy consuming vehicles, such as vans or sport utility vehicles (SUVs), diminished if respondents lived in dense and diversified urban areas.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{"citationItems":[{"id":"ITEM-1","itemData":{"DOI":"10.1016/j.reseneeco.2011.02.002","ISSN":"09287655","author":[{"dropping-particle":"","family":"Hidrue","given":"Michael K.","non-dropping-particle":"","parse-names":false,"suffix":""},{"dropping-particle":"","family":"Parsons","given":"George R.","non-dropping-particle":"","parse-names":false,"suffix":""},{"dropping-particle":"","family":"Kempton","given":"Willett","non-dropping-particle":"","parse-names":false,"suffix":""},{"dropping-particle":"","family":"Gardner","given":"Meryl P.","non-dropping-particle":"","parse-names":false,"suffix":""}],"container-title":"Resource and Energy Economics","id":"ITEM-1","issue":"3","issued":{"date-parts":[["2011","9"]]},"page":"686-705","publisher":"Elsevier B.V.","title":"Willingness to pay for electric vehicles and their attributes","type":"article-journal","volume":"33"},"uris":["http://www.mendeley.com/documents/?uuid=63deed0b-ad6d-4e45-892f-7b53ac91ce81"]}],"mendeley":{"formattedCitation":"(Hidrue et al. 2011)","manualFormatting":"Hidrue et al. (2011)","plainTextFormattedCitation":"(Hidrue et al. 2011)","previouslyFormattedCitation":"(Hidrue et al. 2011)"},"properties":{"noteIndex":0},"schema":"https://github.com/citation-style-language/schema/raw/master/csl-citation.json"}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Hidrue et al. (2011)</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found that being younger, having a higher education (bachelor degree or above), and having a green lifestyle increased people’s orientation towards EVs, while income and being a multi-car household did not have a significant impact on being in the EV class.</w:t>
      </w:r>
    </w:p>
    <w:p w14:paraId="1F8457DA" w14:textId="19BAB109" w:rsid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While the EV literature features several studies exploring EV preferences around the globe, no study was found with a focus on a lagging adoption region and the reasons behind that. One exception is a report by Pollution Probe – a prominent non-profit organization – that studied Canadian lagging regions, including Atlantic Canada, in terms of EV deployment. The </w:t>
      </w:r>
      <w:r w:rsidR="00345BEC" w:rsidRPr="005B0597">
        <w:rPr>
          <w:rFonts w:ascii="Times New Roman" w:hAnsi="Times New Roman" w:cs="Times New Roman"/>
          <w:color w:val="000000"/>
        </w:rPr>
        <w:t>report is particularly focused on regional and inter-regional challenges and opportunities, which were obtained through stakeholder discussions in each region</w:t>
      </w:r>
      <w:r w:rsidR="00345BEC" w:rsidRPr="003C3597">
        <w:rPr>
          <w:rFonts w:ascii="Times New Roman" w:hAnsi="Times New Roman" w:cs="Times New Roman"/>
          <w:color w:val="000000"/>
        </w:rPr>
        <w:t xml:space="preserve">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{"citationItems":[{"id":"ITEM-1","itemData":{"author":[{"dropping-particle":"","family":"Pollution Probe","given":"","non-dropping-particle":"","parse-names":false,"suffix":""}],"id":"ITEM-1","issued":{"date-parts":[["2018"]]},"title":"Accelerating the Deployment of Zero Emission Vehicles : Atlantic Canada and the Prairies","type":"report"},"uris":["http://www.mendeley.com/documents/?uuid=2a466b5c-4de4-4297-9ae3-d59c3150d922"]}],"mendeley":{"formattedCitation":"(Pollution Probe 2018)","manualFormatting":"(Pollution Probe, 2018)","plainTextFormattedCitation":"(Pollution Probe 2018)","previouslyFormattedCitation":"(Pollution Probe 2018)"},"properties":{"noteIndex":0},"schema":"https://github.com/citation-style-language/schema/raw/master/csl-citation.json"}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(Pollution Probe, 2018)</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The present study </w:t>
      </w:r>
      <w:r w:rsidR="00345BEC" w:rsidRPr="007E772E">
        <w:rPr>
          <w:rFonts w:ascii="Times New Roman" w:hAnsi="Times New Roman" w:cs="Times New Roman"/>
          <w:color w:val="000000"/>
        </w:rPr>
        <w:t>builds on the insights obtained from the Pollution Probe report by providing statistical inferences obtained from consumers' attitudes and preferences</w:t>
      </w:r>
      <w:r w:rsidRPr="003C3597">
        <w:rPr>
          <w:rFonts w:ascii="Times New Roman" w:hAnsi="Times New Roman" w:cs="Times New Roman"/>
          <w:color w:val="000000"/>
        </w:rPr>
        <w:t xml:space="preserve"> and contributes to the collective understanding of the issue and strategies that can help to address the problem of low EV uptake in this lagging adoption region.</w:t>
      </w:r>
    </w:p>
    <w:p w14:paraId="332B134C" w14:textId="77777777" w:rsidR="00E349C8" w:rsidRDefault="00E349C8" w:rsidP="003C3597">
      <w:pPr>
        <w:rPr>
          <w:rFonts w:ascii="Times New Roman" w:hAnsi="Times New Roman" w:cs="Times New Roman"/>
          <w:color w:val="000000"/>
        </w:rPr>
      </w:pPr>
    </w:p>
    <w:p w14:paraId="169020EE" w14:textId="77777777" w:rsidR="00E349C8" w:rsidRDefault="00E349C8" w:rsidP="003C3597">
      <w:pPr>
        <w:rPr>
          <w:rFonts w:ascii="Times New Roman" w:hAnsi="Times New Roman" w:cs="Times New Roman"/>
          <w:color w:val="000000"/>
        </w:rPr>
      </w:pPr>
    </w:p>
    <w:p w14:paraId="324C0787" w14:textId="77777777" w:rsidR="00E349C8" w:rsidRDefault="00E349C8" w:rsidP="003C3597">
      <w:pPr>
        <w:rPr>
          <w:rFonts w:ascii="Times New Roman" w:hAnsi="Times New Roman" w:cs="Times New Roman"/>
          <w:color w:val="000000"/>
        </w:rPr>
      </w:pPr>
    </w:p>
    <w:p w14:paraId="29C9A14F" w14:textId="77777777" w:rsidR="00E349C8" w:rsidRDefault="00E349C8" w:rsidP="003C3597">
      <w:pPr>
        <w:rPr>
          <w:rFonts w:ascii="Times New Roman" w:hAnsi="Times New Roman" w:cs="Times New Roman"/>
          <w:color w:val="000000"/>
        </w:rPr>
      </w:pPr>
    </w:p>
    <w:p w14:paraId="373E1051" w14:textId="07AF4A4B" w:rsidR="0094260A" w:rsidRPr="00555F82" w:rsidRDefault="00555F82" w:rsidP="00555F82">
      <w:pPr>
        <w:pStyle w:val="Caption"/>
        <w:ind w:firstLine="0"/>
        <w:rPr>
          <w:rFonts w:ascii="Times New Roman" w:hAnsi="Times New Roman" w:cs="Times New Roman"/>
          <w:i w:val="0"/>
          <w:iCs w:val="0"/>
          <w:color w:val="000000"/>
          <w:sz w:val="24"/>
          <w:szCs w:val="24"/>
        </w:rPr>
      </w:pPr>
      <w:bookmarkStart w:id="56" w:name="_Toc528649794"/>
      <w:r w:rsidRPr="00555F82">
        <w:rPr>
          <w:rFonts w:ascii="Times New Roman" w:hAnsi="Times New Roman" w:cs="Times New Roman"/>
          <w:i w:val="0"/>
          <w:iCs w:val="0"/>
          <w:color w:val="000000"/>
          <w:sz w:val="24"/>
          <w:szCs w:val="24"/>
        </w:rPr>
        <w:lastRenderedPageBreak/>
        <w:t>Table 3.</w:t>
      </w:r>
      <w:r w:rsidRPr="00555F82">
        <w:rPr>
          <w:rFonts w:ascii="Times New Roman" w:hAnsi="Times New Roman" w:cs="Times New Roman"/>
          <w:i w:val="0"/>
          <w:iCs w:val="0"/>
          <w:color w:val="000000"/>
          <w:sz w:val="24"/>
          <w:szCs w:val="24"/>
        </w:rPr>
        <w:fldChar w:fldCharType="begin"/>
      </w:r>
      <w:r w:rsidRPr="00555F82">
        <w:rPr>
          <w:rFonts w:ascii="Times New Roman" w:hAnsi="Times New Roman" w:cs="Times New Roman"/>
          <w:i w:val="0"/>
          <w:iCs w:val="0"/>
          <w:color w:val="000000"/>
          <w:sz w:val="24"/>
          <w:szCs w:val="24"/>
        </w:rPr>
        <w:instrText xml:space="preserve"> SEQ Table_3. \* ARABIC </w:instrText>
      </w:r>
      <w:r w:rsidRPr="00555F82">
        <w:rPr>
          <w:rFonts w:ascii="Times New Roman" w:hAnsi="Times New Roman" w:cs="Times New Roman"/>
          <w:i w:val="0"/>
          <w:iCs w:val="0"/>
          <w:color w:val="000000"/>
          <w:sz w:val="24"/>
          <w:szCs w:val="24"/>
        </w:rPr>
        <w:fldChar w:fldCharType="separate"/>
      </w:r>
      <w:r w:rsidR="00BC70AE">
        <w:rPr>
          <w:rFonts w:ascii="Times New Roman" w:hAnsi="Times New Roman" w:cs="Times New Roman"/>
          <w:i w:val="0"/>
          <w:iCs w:val="0"/>
          <w:noProof/>
          <w:color w:val="000000"/>
          <w:sz w:val="24"/>
          <w:szCs w:val="24"/>
        </w:rPr>
        <w:t>1</w:t>
      </w:r>
      <w:r w:rsidRPr="00555F82">
        <w:rPr>
          <w:rFonts w:ascii="Times New Roman" w:hAnsi="Times New Roman" w:cs="Times New Roman"/>
          <w:i w:val="0"/>
          <w:iCs w:val="0"/>
          <w:color w:val="000000"/>
          <w:sz w:val="24"/>
          <w:szCs w:val="24"/>
        </w:rPr>
        <w:fldChar w:fldCharType="end"/>
      </w:r>
      <w:r>
        <w:rPr>
          <w:rFonts w:ascii="Times New Roman" w:hAnsi="Times New Roman" w:cs="Times New Roman"/>
          <w:i w:val="0"/>
          <w:iCs w:val="0"/>
          <w:color w:val="000000"/>
          <w:sz w:val="24"/>
          <w:szCs w:val="24"/>
        </w:rPr>
        <w:t xml:space="preserve"> </w:t>
      </w:r>
      <w:r w:rsidR="0094260A" w:rsidRPr="00555F82">
        <w:rPr>
          <w:rFonts w:ascii="Times New Roman" w:hAnsi="Times New Roman" w:cs="Times New Roman"/>
          <w:i w:val="0"/>
          <w:iCs w:val="0"/>
          <w:color w:val="000000"/>
          <w:sz w:val="24"/>
          <w:szCs w:val="24"/>
        </w:rPr>
        <w:t>Selected EV studies by region</w:t>
      </w:r>
      <w:bookmarkEnd w:id="56"/>
      <w:r w:rsidR="00122632">
        <w:rPr>
          <w:rFonts w:ascii="Times New Roman" w:hAnsi="Times New Roman" w:cs="Times New Roman"/>
          <w:i w:val="0"/>
          <w:iCs w:val="0"/>
          <w:color w:val="000000"/>
          <w:sz w:val="24"/>
          <w:szCs w:val="24"/>
        </w:rPr>
        <w:t>.</w:t>
      </w:r>
    </w:p>
    <w:tbl>
      <w:tblPr>
        <w:tblStyle w:val="PlainTable21"/>
        <w:tblW w:w="10170" w:type="dxa"/>
        <w:tblLayout w:type="fixed"/>
        <w:tblLook w:val="04A0" w:firstRow="1" w:lastRow="0" w:firstColumn="1" w:lastColumn="0" w:noHBand="0" w:noVBand="1"/>
      </w:tblPr>
      <w:tblGrid>
        <w:gridCol w:w="2610"/>
        <w:gridCol w:w="1170"/>
        <w:gridCol w:w="1350"/>
        <w:gridCol w:w="5040"/>
      </w:tblGrid>
      <w:tr w:rsidR="0094260A" w:rsidRPr="00BA6F83" w14:paraId="5D5F8853" w14:textId="77777777" w:rsidTr="007701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vAlign w:val="center"/>
          </w:tcPr>
          <w:p w14:paraId="6304CB3D" w14:textId="77777777" w:rsidR="0094260A" w:rsidRPr="00BA6F83" w:rsidRDefault="0094260A" w:rsidP="0094260A">
            <w:pPr>
              <w:widowControl w:val="0"/>
              <w:autoSpaceDE w:val="0"/>
              <w:autoSpaceDN w:val="0"/>
              <w:adjustRightInd w:val="0"/>
              <w:spacing w:before="60" w:after="60"/>
              <w:rPr>
                <w:rFonts w:ascii="Times New Roman" w:hAnsi="Times New Roman" w:cs="Times New Roman"/>
                <w:b w:val="0"/>
                <w:color w:val="000000" w:themeColor="text1"/>
                <w:sz w:val="18"/>
                <w:szCs w:val="18"/>
              </w:rPr>
            </w:pPr>
            <w:r w:rsidRPr="00BA6F83">
              <w:rPr>
                <w:rFonts w:ascii="Times New Roman" w:hAnsi="Times New Roman" w:cs="Times New Roman"/>
                <w:b w:val="0"/>
                <w:color w:val="000000" w:themeColor="text1"/>
                <w:sz w:val="18"/>
                <w:szCs w:val="18"/>
              </w:rPr>
              <w:t>Study and Region</w:t>
            </w:r>
          </w:p>
        </w:tc>
        <w:tc>
          <w:tcPr>
            <w:tcW w:w="1170" w:type="dxa"/>
            <w:tcBorders>
              <w:top w:val="single" w:sz="4" w:space="0" w:color="auto"/>
              <w:bottom w:val="single" w:sz="4" w:space="0" w:color="auto"/>
            </w:tcBorders>
          </w:tcPr>
          <w:p w14:paraId="49F5DEDE" w14:textId="77777777" w:rsidR="0094260A" w:rsidRPr="00BA6F83" w:rsidRDefault="0094260A" w:rsidP="0094260A">
            <w:pPr>
              <w:widowControl w:val="0"/>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BA6F83">
              <w:rPr>
                <w:rFonts w:ascii="Times New Roman" w:hAnsi="Times New Roman" w:cs="Times New Roman"/>
                <w:b w:val="0"/>
                <w:color w:val="000000" w:themeColor="text1"/>
                <w:sz w:val="18"/>
                <w:szCs w:val="18"/>
              </w:rPr>
              <w:t>EV Alternatives</w:t>
            </w:r>
          </w:p>
        </w:tc>
        <w:tc>
          <w:tcPr>
            <w:tcW w:w="1350" w:type="dxa"/>
            <w:tcBorders>
              <w:top w:val="single" w:sz="4" w:space="0" w:color="auto"/>
              <w:bottom w:val="single" w:sz="4" w:space="0" w:color="auto"/>
            </w:tcBorders>
            <w:vAlign w:val="center"/>
          </w:tcPr>
          <w:p w14:paraId="7873C037" w14:textId="77777777" w:rsidR="0094260A" w:rsidRPr="00BA6F83" w:rsidRDefault="0094260A" w:rsidP="0094260A">
            <w:pPr>
              <w:widowControl w:val="0"/>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BA6F83">
              <w:rPr>
                <w:rFonts w:ascii="Times New Roman" w:hAnsi="Times New Roman" w:cs="Times New Roman"/>
                <w:b w:val="0"/>
                <w:color w:val="000000" w:themeColor="text1"/>
                <w:sz w:val="18"/>
                <w:szCs w:val="18"/>
              </w:rPr>
              <w:t>Modeling Approach</w:t>
            </w:r>
          </w:p>
        </w:tc>
        <w:tc>
          <w:tcPr>
            <w:tcW w:w="5040" w:type="dxa"/>
            <w:tcBorders>
              <w:top w:val="single" w:sz="4" w:space="0" w:color="auto"/>
              <w:bottom w:val="single" w:sz="4" w:space="0" w:color="auto"/>
            </w:tcBorders>
            <w:vAlign w:val="center"/>
          </w:tcPr>
          <w:p w14:paraId="0BA1E875" w14:textId="77777777" w:rsidR="0094260A" w:rsidRPr="00BA6F83" w:rsidRDefault="0094260A" w:rsidP="0094260A">
            <w:pPr>
              <w:widowControl w:val="0"/>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BA6F83">
              <w:rPr>
                <w:rFonts w:ascii="Times New Roman" w:hAnsi="Times New Roman" w:cs="Times New Roman"/>
                <w:b w:val="0"/>
                <w:color w:val="000000" w:themeColor="text1"/>
                <w:sz w:val="18"/>
                <w:szCs w:val="18"/>
              </w:rPr>
              <w:t>Key Aspects</w:t>
            </w:r>
          </w:p>
        </w:tc>
      </w:tr>
      <w:tr w:rsidR="0094260A" w:rsidRPr="00BA6F83" w14:paraId="4A7AA0F3" w14:textId="77777777" w:rsidTr="007701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nil"/>
            </w:tcBorders>
          </w:tcPr>
          <w:p w14:paraId="34FDBE5B" w14:textId="77777777" w:rsidR="0094260A" w:rsidRPr="00BA6F83" w:rsidRDefault="0094260A" w:rsidP="0094260A">
            <w:pPr>
              <w:widowControl w:val="0"/>
              <w:autoSpaceDE w:val="0"/>
              <w:autoSpaceDN w:val="0"/>
              <w:adjustRightInd w:val="0"/>
              <w:spacing w:before="60" w:after="60"/>
              <w:rPr>
                <w:rFonts w:ascii="Times New Roman" w:hAnsi="Times New Roman" w:cs="Times New Roman"/>
                <w:b w:val="0"/>
                <w:i/>
                <w:color w:val="000000" w:themeColor="text1"/>
                <w:sz w:val="18"/>
                <w:szCs w:val="18"/>
                <w:u w:val="single"/>
              </w:rPr>
            </w:pPr>
            <w:r w:rsidRPr="00BA6F83">
              <w:rPr>
                <w:rFonts w:ascii="Times New Roman" w:hAnsi="Times New Roman" w:cs="Times New Roman"/>
                <w:b w:val="0"/>
                <w:i/>
                <w:color w:val="000000" w:themeColor="text1"/>
                <w:sz w:val="18"/>
                <w:szCs w:val="18"/>
                <w:u w:val="single"/>
              </w:rPr>
              <w:t>Europe</w:t>
            </w:r>
          </w:p>
        </w:tc>
        <w:tc>
          <w:tcPr>
            <w:tcW w:w="1170" w:type="dxa"/>
            <w:tcBorders>
              <w:top w:val="single" w:sz="4" w:space="0" w:color="auto"/>
              <w:bottom w:val="nil"/>
            </w:tcBorders>
          </w:tcPr>
          <w:p w14:paraId="057C799C" w14:textId="77777777" w:rsidR="0094260A" w:rsidRPr="00BA6F83" w:rsidRDefault="0094260A" w:rsidP="0094260A">
            <w:pPr>
              <w:widowControl w:val="0"/>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p>
        </w:tc>
        <w:tc>
          <w:tcPr>
            <w:tcW w:w="1350" w:type="dxa"/>
            <w:tcBorders>
              <w:top w:val="single" w:sz="4" w:space="0" w:color="auto"/>
              <w:bottom w:val="nil"/>
            </w:tcBorders>
          </w:tcPr>
          <w:p w14:paraId="13521344" w14:textId="77777777" w:rsidR="0094260A" w:rsidRPr="00BA6F83" w:rsidRDefault="0094260A" w:rsidP="0094260A">
            <w:pPr>
              <w:widowControl w:val="0"/>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p>
        </w:tc>
        <w:tc>
          <w:tcPr>
            <w:tcW w:w="5040" w:type="dxa"/>
            <w:tcBorders>
              <w:top w:val="single" w:sz="4" w:space="0" w:color="auto"/>
              <w:bottom w:val="nil"/>
            </w:tcBorders>
          </w:tcPr>
          <w:p w14:paraId="4EB9D704" w14:textId="77777777" w:rsidR="0094260A" w:rsidRPr="00BA6F83" w:rsidRDefault="0094260A" w:rsidP="0094260A">
            <w:pPr>
              <w:widowControl w:val="0"/>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p>
        </w:tc>
      </w:tr>
      <w:tr w:rsidR="0094260A" w:rsidRPr="00BA6F83" w14:paraId="7EC1D823" w14:textId="77777777" w:rsidTr="007701DC">
        <w:tc>
          <w:tcPr>
            <w:cnfStyle w:val="001000000000" w:firstRow="0" w:lastRow="0" w:firstColumn="1" w:lastColumn="0" w:oddVBand="0" w:evenVBand="0" w:oddHBand="0" w:evenHBand="0" w:firstRowFirstColumn="0" w:firstRowLastColumn="0" w:lastRowFirstColumn="0" w:lastRowLastColumn="0"/>
            <w:tcW w:w="2610" w:type="dxa"/>
            <w:tcBorders>
              <w:top w:val="nil"/>
              <w:bottom w:val="nil"/>
            </w:tcBorders>
          </w:tcPr>
          <w:p w14:paraId="5D7D64B7" w14:textId="77777777" w:rsidR="0094260A" w:rsidRPr="00BA6F83" w:rsidRDefault="0094260A" w:rsidP="0094260A">
            <w:pPr>
              <w:widowControl w:val="0"/>
              <w:autoSpaceDE w:val="0"/>
              <w:autoSpaceDN w:val="0"/>
              <w:adjustRightInd w:val="0"/>
              <w:spacing w:after="60"/>
              <w:contextualSpacing/>
              <w:rPr>
                <w:rFonts w:ascii="Times New Roman" w:hAnsi="Times New Roman" w:cs="Times New Roman"/>
                <w:b w:val="0"/>
                <w:color w:val="000000" w:themeColor="text1"/>
                <w:sz w:val="18"/>
                <w:szCs w:val="18"/>
              </w:rPr>
            </w:pPr>
            <w:r w:rsidRPr="00BA6F83">
              <w:rPr>
                <w:rFonts w:ascii="Times New Roman" w:hAnsi="Times New Roman" w:cs="Times New Roman"/>
                <w:b w:val="0"/>
                <w:color w:val="000000" w:themeColor="text1"/>
                <w:sz w:val="18"/>
                <w:szCs w:val="18"/>
              </w:rPr>
              <w:t>Dagsvik et al. (2002)</w:t>
            </w:r>
            <w:r w:rsidRPr="00BA6F83">
              <w:rPr>
                <w:rFonts w:ascii="Times New Roman" w:hAnsi="Times New Roman" w:cs="Times New Roman"/>
                <w:b w:val="0"/>
                <w:color w:val="000000" w:themeColor="text1"/>
                <w:sz w:val="18"/>
                <w:szCs w:val="18"/>
              </w:rPr>
              <w:br/>
              <w:t>Norway</w:t>
            </w:r>
          </w:p>
        </w:tc>
        <w:tc>
          <w:tcPr>
            <w:tcW w:w="1170" w:type="dxa"/>
            <w:tcBorders>
              <w:top w:val="nil"/>
              <w:bottom w:val="nil"/>
            </w:tcBorders>
          </w:tcPr>
          <w:p w14:paraId="2E8DA389" w14:textId="77777777" w:rsidR="0094260A" w:rsidRPr="00BA6F83" w:rsidRDefault="0094260A" w:rsidP="0094260A">
            <w:pPr>
              <w:widowControl w:val="0"/>
              <w:autoSpaceDE w:val="0"/>
              <w:autoSpaceDN w:val="0"/>
              <w:adjustRightInd w:val="0"/>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BEV</w:t>
            </w:r>
          </w:p>
        </w:tc>
        <w:tc>
          <w:tcPr>
            <w:tcW w:w="1350" w:type="dxa"/>
            <w:tcBorders>
              <w:top w:val="nil"/>
              <w:bottom w:val="nil"/>
            </w:tcBorders>
          </w:tcPr>
          <w:p w14:paraId="0AC79D8F" w14:textId="77777777" w:rsidR="0094260A" w:rsidRPr="00BA6F83" w:rsidRDefault="0094260A" w:rsidP="0094260A">
            <w:pPr>
              <w:widowControl w:val="0"/>
              <w:autoSpaceDE w:val="0"/>
              <w:autoSpaceDN w:val="0"/>
              <w:adjustRightInd w:val="0"/>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Random utility models for ranking data</w:t>
            </w:r>
          </w:p>
        </w:tc>
        <w:tc>
          <w:tcPr>
            <w:tcW w:w="5040" w:type="dxa"/>
            <w:tcBorders>
              <w:top w:val="nil"/>
              <w:bottom w:val="nil"/>
            </w:tcBorders>
          </w:tcPr>
          <w:p w14:paraId="26F421CF" w14:textId="77777777" w:rsidR="0094260A" w:rsidRPr="00BA6F83" w:rsidRDefault="0094260A" w:rsidP="0094260A">
            <w:pPr>
              <w:widowControl w:val="0"/>
              <w:autoSpaceDE w:val="0"/>
              <w:autoSpaceDN w:val="0"/>
              <w:adjustRightInd w:val="0"/>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Estimated several alternative structural demand models based on probabilistic theories of individual choice behavior.</w:t>
            </w:r>
          </w:p>
        </w:tc>
      </w:tr>
      <w:tr w:rsidR="0094260A" w:rsidRPr="00BA6F83" w14:paraId="6D54555E" w14:textId="77777777" w:rsidTr="007701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nil"/>
              <w:bottom w:val="nil"/>
            </w:tcBorders>
          </w:tcPr>
          <w:p w14:paraId="6D8DC407" w14:textId="77777777" w:rsidR="0094260A" w:rsidRPr="00BA6F83" w:rsidRDefault="0094260A" w:rsidP="0094260A">
            <w:pPr>
              <w:widowControl w:val="0"/>
              <w:autoSpaceDE w:val="0"/>
              <w:autoSpaceDN w:val="0"/>
              <w:adjustRightInd w:val="0"/>
              <w:spacing w:after="60"/>
              <w:rPr>
                <w:rFonts w:ascii="Times New Roman" w:hAnsi="Times New Roman" w:cs="Times New Roman"/>
                <w:b w:val="0"/>
                <w:color w:val="000000" w:themeColor="text1"/>
                <w:sz w:val="18"/>
                <w:szCs w:val="18"/>
              </w:rPr>
            </w:pPr>
            <w:r w:rsidRPr="00BA6F83">
              <w:rPr>
                <w:rFonts w:ascii="Times New Roman" w:hAnsi="Times New Roman" w:cs="Times New Roman"/>
                <w:color w:val="000000" w:themeColor="text1"/>
                <w:sz w:val="18"/>
                <w:szCs w:val="18"/>
              </w:rPr>
              <w:fldChar w:fldCharType="begin" w:fldLock="1"/>
            </w:r>
            <w:r w:rsidRPr="00BA6F83">
              <w:rPr>
                <w:rFonts w:ascii="Times New Roman" w:hAnsi="Times New Roman" w:cs="Times New Roman"/>
                <w:b w:val="0"/>
                <w:color w:val="000000" w:themeColor="text1"/>
                <w:sz w:val="18"/>
                <w:szCs w:val="18"/>
              </w:rPr>
              <w:instrText>ADDIN CSL_CITATION {"citationItems":[{"id":"ITEM-1","itemData":{"DOI":"10.1016/j.trd.2012.07.004","ISSN":"13619209","author":[{"dropping-particle":"","family":"Lebeau","given":"Kenneth","non-dropping-particle":"","parse-names":false,"suffix":""},{"dropping-particle":"","family":"Mierlo","given":"Joeri","non-dropping-particle":"Van","parse-names":false,"suffix":""},{"dropping-particle":"","family":"Lebeau","given":"Philippe","non-dropping-particle":"","parse-names":false,"suffix":""},{"dropping-particle":"","family":"Mairesse","given":"Olivier","non-dropping-particle":"","parse-names":false,"suffix":""},{"dropping-particle":"","family":"Macharis","given":"Cathy","non-dropping-particle":"","parse-names":false,"suffix":""}],"container-title":"Transportation Research Part D: Transport and Environment","id":"ITEM-1","issue":"8","issued":{"date-parts":[["2012","12"]]},"page":"592-597","publisher":"Elsevier Ltd","title":"The market potential for plug-in hybrid and battery electric vehicles in Flanders: A choice-based conjoint analysis","type":"article-journal","volume":"17"},"uris":["http://www.mendeley.com/documents/?uuid=4ca8acfd-e649-4571-9cca-8523652d5e72"]}],"mendeley":{"formattedCitation":"(Lebeau et al. 2012)","manualFormatting":"Lebeau et al. (2012)","plainTextFormattedCitation":"(Lebeau et al. 2012)","previouslyFormattedCitation":"(Lebeau et al. 2012)"},"properties":{"noteIndex":0},"schema":"https://github.com/citation-style-language/schema/raw/master/csl-citation.json"}</w:instrText>
            </w:r>
            <w:r w:rsidRPr="00BA6F83">
              <w:rPr>
                <w:rFonts w:ascii="Times New Roman" w:hAnsi="Times New Roman" w:cs="Times New Roman"/>
                <w:color w:val="000000" w:themeColor="text1"/>
                <w:sz w:val="18"/>
                <w:szCs w:val="18"/>
              </w:rPr>
              <w:fldChar w:fldCharType="separate"/>
            </w:r>
            <w:r w:rsidRPr="00BA6F83">
              <w:rPr>
                <w:rFonts w:ascii="Times New Roman" w:hAnsi="Times New Roman" w:cs="Times New Roman"/>
                <w:b w:val="0"/>
                <w:noProof/>
                <w:color w:val="000000" w:themeColor="text1"/>
                <w:sz w:val="18"/>
                <w:szCs w:val="18"/>
              </w:rPr>
              <w:t>Lebeau et al. (2012)</w:t>
            </w:r>
            <w:r w:rsidRPr="00BA6F83">
              <w:rPr>
                <w:rFonts w:ascii="Times New Roman" w:hAnsi="Times New Roman" w:cs="Times New Roman"/>
                <w:color w:val="000000" w:themeColor="text1"/>
                <w:sz w:val="18"/>
                <w:szCs w:val="18"/>
              </w:rPr>
              <w:fldChar w:fldCharType="end"/>
            </w:r>
            <w:r w:rsidRPr="00BA6F83">
              <w:rPr>
                <w:rFonts w:ascii="Times New Roman" w:hAnsi="Times New Roman" w:cs="Times New Roman"/>
                <w:b w:val="0"/>
                <w:color w:val="000000" w:themeColor="text1"/>
                <w:sz w:val="18"/>
                <w:szCs w:val="18"/>
              </w:rPr>
              <w:br/>
              <w:t>Belgium</w:t>
            </w:r>
          </w:p>
        </w:tc>
        <w:tc>
          <w:tcPr>
            <w:tcW w:w="1170" w:type="dxa"/>
            <w:tcBorders>
              <w:top w:val="nil"/>
              <w:bottom w:val="nil"/>
            </w:tcBorders>
          </w:tcPr>
          <w:p w14:paraId="72A6308F" w14:textId="77777777" w:rsidR="0094260A" w:rsidRPr="00BA6F83" w:rsidRDefault="0094260A" w:rsidP="0094260A">
            <w:pPr>
              <w:widowControl w:val="0"/>
              <w:autoSpaceDE w:val="0"/>
              <w:autoSpaceDN w:val="0"/>
              <w:adjustRightInd w:val="0"/>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BEV, PHEV</w:t>
            </w:r>
          </w:p>
        </w:tc>
        <w:tc>
          <w:tcPr>
            <w:tcW w:w="1350" w:type="dxa"/>
            <w:tcBorders>
              <w:top w:val="nil"/>
              <w:bottom w:val="nil"/>
            </w:tcBorders>
          </w:tcPr>
          <w:p w14:paraId="6CA1CD11" w14:textId="77777777" w:rsidR="0094260A" w:rsidRPr="00BA6F83" w:rsidRDefault="0094260A" w:rsidP="0094260A">
            <w:pPr>
              <w:widowControl w:val="0"/>
              <w:autoSpaceDE w:val="0"/>
              <w:autoSpaceDN w:val="0"/>
              <w:adjustRightInd w:val="0"/>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Choice-based conjoint</w:t>
            </w:r>
          </w:p>
        </w:tc>
        <w:tc>
          <w:tcPr>
            <w:tcW w:w="5040" w:type="dxa"/>
            <w:tcBorders>
              <w:top w:val="nil"/>
              <w:bottom w:val="nil"/>
            </w:tcBorders>
          </w:tcPr>
          <w:p w14:paraId="1644ED67" w14:textId="77777777" w:rsidR="0094260A" w:rsidRPr="00BA6F83" w:rsidRDefault="0094260A" w:rsidP="0094260A">
            <w:pPr>
              <w:widowControl w:val="0"/>
              <w:autoSpaceDE w:val="0"/>
              <w:autoSpaceDN w:val="0"/>
              <w:adjustRightInd w:val="0"/>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Examined the market share for EVs in 2012, 2020, and 2030.</w:t>
            </w:r>
          </w:p>
        </w:tc>
      </w:tr>
      <w:tr w:rsidR="0094260A" w:rsidRPr="00BA6F83" w14:paraId="7968D058" w14:textId="77777777" w:rsidTr="007701DC">
        <w:tc>
          <w:tcPr>
            <w:cnfStyle w:val="001000000000" w:firstRow="0" w:lastRow="0" w:firstColumn="1" w:lastColumn="0" w:oddVBand="0" w:evenVBand="0" w:oddHBand="0" w:evenHBand="0" w:firstRowFirstColumn="0" w:firstRowLastColumn="0" w:lastRowFirstColumn="0" w:lastRowLastColumn="0"/>
            <w:tcW w:w="2610" w:type="dxa"/>
            <w:tcBorders>
              <w:top w:val="nil"/>
              <w:bottom w:val="nil"/>
            </w:tcBorders>
          </w:tcPr>
          <w:p w14:paraId="575BE5E4" w14:textId="77777777" w:rsidR="0094260A" w:rsidRPr="00BA6F83" w:rsidRDefault="0094260A" w:rsidP="0094260A">
            <w:pPr>
              <w:widowControl w:val="0"/>
              <w:autoSpaceDE w:val="0"/>
              <w:autoSpaceDN w:val="0"/>
              <w:adjustRightInd w:val="0"/>
              <w:spacing w:after="60"/>
              <w:rPr>
                <w:rFonts w:ascii="Times New Roman" w:hAnsi="Times New Roman" w:cs="Times New Roman"/>
                <w:b w:val="0"/>
                <w:color w:val="000000" w:themeColor="text1"/>
                <w:sz w:val="18"/>
                <w:szCs w:val="18"/>
              </w:rPr>
            </w:pPr>
            <w:r w:rsidRPr="00BA6F83">
              <w:rPr>
                <w:rFonts w:ascii="Times New Roman" w:hAnsi="Times New Roman" w:cs="Times New Roman"/>
                <w:color w:val="000000" w:themeColor="text1"/>
                <w:sz w:val="18"/>
                <w:szCs w:val="18"/>
              </w:rPr>
              <w:fldChar w:fldCharType="begin" w:fldLock="1"/>
            </w:r>
            <w:r w:rsidRPr="00BA6F83">
              <w:rPr>
                <w:rFonts w:ascii="Times New Roman" w:hAnsi="Times New Roman" w:cs="Times New Roman"/>
                <w:b w:val="0"/>
                <w:color w:val="000000" w:themeColor="text1"/>
                <w:sz w:val="18"/>
                <w:szCs w:val="18"/>
              </w:rPr>
              <w:instrText>ADDIN CSL_CITATION {"citationItems":[{"id":"ITEM-1","itemData":{"DOI":"10.1016/j.tra.2012.05.016","ISSN":"09658564","abstract":"With respect to the German goal of a transition to a lead market for electromobility within a short time period, this paper empirically examines the preferences for alternative energy sources or propulsion technologies in vehicles and particularly for electric vehicles. The data stem from a stated preference discrete choice experiment with 598 potential German car buyers. In order to simulate a realistic future purchase situation, seven vehicle types were incorporated in each of the six choice sets, i.e. hybrid, gas, biofuel, hydrogen, and electric vehicles besides common gasoline and diesel vehicles. The econometric analysis with flexible multinomial probit models reveals that potential car buyers in Germany currently have a low stated preference for electric, hydrogen, and hybrid vehicles. While our paper also discusses the impact of common vehicle attributes such as purchase price or service station availability, it particularly considers the effect of socio-demographic and environmental awareness variables. The estimation results reveal that younger potential car buyers have a higher stated preference for hydrogen and electric vehicles, males have a higher stated choice of hydrogen vehicles, and environmentally aware potential car buyers have a higher stated preference for hydrogen and electric vehicles. These results suggest that common policy instruments such as the promotion of research and development, taxation, or subsidization in the field of electromobility could be supplemented by strategies to increase the social acceptance of alternative vehicle types that are directly oriented to these population groups. Methodologically, our study highlights the importance of the inclusion of taste persistence across the choice sets and a high number of random draws in the Geweke-Hajivassiliou-Keane simulator in the simulated maximum likelihood estimation of the multinomial probit models. ?? 2012 Elsevier Ltd.","author":[{"dropping-particle":"","family":"Ziegler","given":"Andreas","non-dropping-particle":"","parse-names":false,"suffix":""}],"container-title":"Transportation Research Part A: Policy and Practice","id":"ITEM-1","issue":"8","issued":{"date-parts":[["2012","10"]]},"page":"1372-1385","publisher":"Elsevier Ltd","title":"Individual characteristics and stated preferences for alternative energy sources and propulsion technologies in vehicles: A discrete choice analysis for Germany","type":"article-journal","volume":"46"},"uris":["http://www.mendeley.com/documents/?uuid=c5e67293-8ff1-44d1-af86-36966a8ddd89"]}],"mendeley":{"formattedCitation":"(Ziegler 2012)","manualFormatting":"Ziegler (2012)","plainTextFormattedCitation":"(Ziegler 2012)","previouslyFormattedCitation":"(Ziegler 2012)"},"properties":{"noteIndex":0},"schema":"https://github.com/citation-style-language/schema/raw/master/csl-citation.json"}</w:instrText>
            </w:r>
            <w:r w:rsidRPr="00BA6F83">
              <w:rPr>
                <w:rFonts w:ascii="Times New Roman" w:hAnsi="Times New Roman" w:cs="Times New Roman"/>
                <w:color w:val="000000" w:themeColor="text1"/>
                <w:sz w:val="18"/>
                <w:szCs w:val="18"/>
              </w:rPr>
              <w:fldChar w:fldCharType="separate"/>
            </w:r>
            <w:r w:rsidRPr="00BA6F83">
              <w:rPr>
                <w:rFonts w:ascii="Times New Roman" w:hAnsi="Times New Roman" w:cs="Times New Roman"/>
                <w:b w:val="0"/>
                <w:noProof/>
                <w:color w:val="000000" w:themeColor="text1"/>
                <w:sz w:val="18"/>
                <w:szCs w:val="18"/>
              </w:rPr>
              <w:t>Ziegler (2012)</w:t>
            </w:r>
            <w:r w:rsidRPr="00BA6F83">
              <w:rPr>
                <w:rFonts w:ascii="Times New Roman" w:hAnsi="Times New Roman" w:cs="Times New Roman"/>
                <w:color w:val="000000" w:themeColor="text1"/>
                <w:sz w:val="18"/>
                <w:szCs w:val="18"/>
              </w:rPr>
              <w:fldChar w:fldCharType="end"/>
            </w:r>
            <w:r w:rsidRPr="00BA6F83">
              <w:rPr>
                <w:rFonts w:ascii="Times New Roman" w:hAnsi="Times New Roman" w:cs="Times New Roman"/>
                <w:b w:val="0"/>
                <w:color w:val="000000" w:themeColor="text1"/>
                <w:sz w:val="18"/>
                <w:szCs w:val="18"/>
              </w:rPr>
              <w:br/>
              <w:t>Germany</w:t>
            </w:r>
          </w:p>
        </w:tc>
        <w:tc>
          <w:tcPr>
            <w:tcW w:w="1170" w:type="dxa"/>
            <w:tcBorders>
              <w:top w:val="nil"/>
              <w:bottom w:val="nil"/>
            </w:tcBorders>
          </w:tcPr>
          <w:p w14:paraId="7B8F47A6" w14:textId="77777777" w:rsidR="0094260A" w:rsidRPr="00BA6F83" w:rsidRDefault="0094260A" w:rsidP="0094260A">
            <w:pPr>
              <w:widowControl w:val="0"/>
              <w:autoSpaceDE w:val="0"/>
              <w:autoSpaceDN w:val="0"/>
              <w:adjustRightInd w:val="0"/>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BEV, HEV</w:t>
            </w:r>
          </w:p>
        </w:tc>
        <w:tc>
          <w:tcPr>
            <w:tcW w:w="1350" w:type="dxa"/>
            <w:tcBorders>
              <w:top w:val="nil"/>
              <w:bottom w:val="nil"/>
            </w:tcBorders>
          </w:tcPr>
          <w:p w14:paraId="42BC93C1" w14:textId="77777777" w:rsidR="0094260A" w:rsidRPr="00BA6F83" w:rsidRDefault="0094260A" w:rsidP="0094260A">
            <w:pPr>
              <w:widowControl w:val="0"/>
              <w:autoSpaceDE w:val="0"/>
              <w:autoSpaceDN w:val="0"/>
              <w:adjustRightInd w:val="0"/>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Multinomial probit</w:t>
            </w:r>
          </w:p>
        </w:tc>
        <w:tc>
          <w:tcPr>
            <w:tcW w:w="5040" w:type="dxa"/>
            <w:tcBorders>
              <w:top w:val="nil"/>
              <w:bottom w:val="nil"/>
            </w:tcBorders>
          </w:tcPr>
          <w:p w14:paraId="577D350B" w14:textId="77777777" w:rsidR="0094260A" w:rsidRPr="00BA6F83" w:rsidRDefault="0094260A" w:rsidP="0094260A">
            <w:pPr>
              <w:autoSpaceDE w:val="0"/>
              <w:autoSpaceDN w:val="0"/>
              <w:adjustRightInd w:val="0"/>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Due to the high numbers of alternatives, this study used the multinomial probit model for estimation, and also considered the effect of environmental awareness variables.</w:t>
            </w:r>
          </w:p>
        </w:tc>
      </w:tr>
      <w:tr w:rsidR="0094260A" w:rsidRPr="00BA6F83" w14:paraId="26640CF6" w14:textId="77777777" w:rsidTr="007701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nil"/>
              <w:bottom w:val="nil"/>
            </w:tcBorders>
          </w:tcPr>
          <w:p w14:paraId="450DA8A5" w14:textId="77777777" w:rsidR="0094260A" w:rsidRPr="00BA6F83" w:rsidRDefault="0094260A" w:rsidP="0094260A">
            <w:pPr>
              <w:widowControl w:val="0"/>
              <w:autoSpaceDE w:val="0"/>
              <w:autoSpaceDN w:val="0"/>
              <w:adjustRightInd w:val="0"/>
              <w:spacing w:after="60"/>
              <w:rPr>
                <w:rFonts w:ascii="Times New Roman" w:hAnsi="Times New Roman" w:cs="Times New Roman"/>
                <w:b w:val="0"/>
                <w:color w:val="000000" w:themeColor="text1"/>
                <w:sz w:val="18"/>
                <w:szCs w:val="18"/>
              </w:rPr>
            </w:pPr>
            <w:r w:rsidRPr="00BA6F83">
              <w:rPr>
                <w:rFonts w:ascii="Times New Roman" w:hAnsi="Times New Roman" w:cs="Times New Roman"/>
                <w:b w:val="0"/>
                <w:color w:val="000000" w:themeColor="text1"/>
                <w:sz w:val="18"/>
                <w:szCs w:val="18"/>
              </w:rPr>
              <w:t>Hackbarth and Madlener (2013)</w:t>
            </w:r>
            <w:r w:rsidRPr="00BA6F83">
              <w:rPr>
                <w:rFonts w:ascii="Times New Roman" w:hAnsi="Times New Roman" w:cs="Times New Roman"/>
                <w:b w:val="0"/>
                <w:color w:val="000000" w:themeColor="text1"/>
                <w:sz w:val="18"/>
                <w:szCs w:val="18"/>
              </w:rPr>
              <w:br/>
              <w:t>Germany</w:t>
            </w:r>
          </w:p>
        </w:tc>
        <w:tc>
          <w:tcPr>
            <w:tcW w:w="1170" w:type="dxa"/>
            <w:tcBorders>
              <w:top w:val="nil"/>
              <w:bottom w:val="nil"/>
            </w:tcBorders>
          </w:tcPr>
          <w:p w14:paraId="380B9257" w14:textId="77777777" w:rsidR="0094260A" w:rsidRPr="00BA6F83" w:rsidRDefault="0094260A" w:rsidP="0094260A">
            <w:pPr>
              <w:widowControl w:val="0"/>
              <w:autoSpaceDE w:val="0"/>
              <w:autoSpaceDN w:val="0"/>
              <w:adjustRightInd w:val="0"/>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BEV, HEV</w:t>
            </w:r>
          </w:p>
        </w:tc>
        <w:tc>
          <w:tcPr>
            <w:tcW w:w="1350" w:type="dxa"/>
            <w:tcBorders>
              <w:top w:val="nil"/>
              <w:bottom w:val="nil"/>
            </w:tcBorders>
          </w:tcPr>
          <w:p w14:paraId="2EF9E9A0" w14:textId="77777777" w:rsidR="0094260A" w:rsidRPr="00BA6F83" w:rsidRDefault="0094260A" w:rsidP="0094260A">
            <w:pPr>
              <w:widowControl w:val="0"/>
              <w:autoSpaceDE w:val="0"/>
              <w:autoSpaceDN w:val="0"/>
              <w:adjustRightInd w:val="0"/>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Mixed logit</w:t>
            </w:r>
          </w:p>
        </w:tc>
        <w:tc>
          <w:tcPr>
            <w:tcW w:w="5040" w:type="dxa"/>
            <w:tcBorders>
              <w:top w:val="nil"/>
              <w:bottom w:val="nil"/>
            </w:tcBorders>
          </w:tcPr>
          <w:p w14:paraId="448466AE" w14:textId="77777777" w:rsidR="0094260A" w:rsidRPr="00BA6F83" w:rsidRDefault="0094260A" w:rsidP="0094260A">
            <w:pPr>
              <w:widowControl w:val="0"/>
              <w:autoSpaceDE w:val="0"/>
              <w:autoSpaceDN w:val="0"/>
              <w:adjustRightInd w:val="0"/>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Added PHEV as a choice alternative, and driving range, recharging time, and incentives as vehicle attributes.</w:t>
            </w:r>
          </w:p>
        </w:tc>
      </w:tr>
      <w:tr w:rsidR="0094260A" w:rsidRPr="00BA6F83" w14:paraId="5B9762AE" w14:textId="77777777" w:rsidTr="007701DC">
        <w:tc>
          <w:tcPr>
            <w:cnfStyle w:val="001000000000" w:firstRow="0" w:lastRow="0" w:firstColumn="1" w:lastColumn="0" w:oddVBand="0" w:evenVBand="0" w:oddHBand="0" w:evenHBand="0" w:firstRowFirstColumn="0" w:firstRowLastColumn="0" w:lastRowFirstColumn="0" w:lastRowLastColumn="0"/>
            <w:tcW w:w="2610" w:type="dxa"/>
            <w:tcBorders>
              <w:top w:val="nil"/>
              <w:bottom w:val="nil"/>
            </w:tcBorders>
          </w:tcPr>
          <w:p w14:paraId="6751F47C" w14:textId="77777777" w:rsidR="0094260A" w:rsidRPr="00BA6F83" w:rsidRDefault="0094260A" w:rsidP="0094260A">
            <w:pPr>
              <w:widowControl w:val="0"/>
              <w:autoSpaceDE w:val="0"/>
              <w:autoSpaceDN w:val="0"/>
              <w:adjustRightInd w:val="0"/>
              <w:spacing w:after="60"/>
              <w:rPr>
                <w:rFonts w:ascii="Times New Roman" w:hAnsi="Times New Roman" w:cs="Times New Roman"/>
                <w:b w:val="0"/>
                <w:color w:val="000000" w:themeColor="text1"/>
                <w:sz w:val="18"/>
                <w:szCs w:val="18"/>
              </w:rPr>
            </w:pPr>
            <w:r w:rsidRPr="00BA6F83">
              <w:rPr>
                <w:rFonts w:ascii="Times New Roman" w:hAnsi="Times New Roman" w:cs="Times New Roman"/>
                <w:color w:val="000000" w:themeColor="text1"/>
                <w:sz w:val="18"/>
                <w:szCs w:val="18"/>
              </w:rPr>
              <w:fldChar w:fldCharType="begin" w:fldLock="1"/>
            </w:r>
            <w:r w:rsidRPr="00BA6F83">
              <w:rPr>
                <w:rFonts w:ascii="Times New Roman" w:hAnsi="Times New Roman" w:cs="Times New Roman"/>
                <w:b w:val="0"/>
                <w:color w:val="000000" w:themeColor="text1"/>
                <w:sz w:val="18"/>
                <w:szCs w:val="18"/>
              </w:rPr>
              <w:instrText>ADDIN CSL_CITATION {"citationItems":[{"id":"ITEM-1","itemData":{"DOI":"10.1016/j.trd.2013.07.006","ISSN":"13619209","author":[{"dropping-particle":"","family":"Jensen, A. F., Cherchi, E., &amp; Mabit","given":"S. L.","non-dropping-particle":"","parse-names":false,"suffix":""}],"container-title":"Transportation Research Part D: Transport and Environment","id":"ITEM-1","issued":{"date-parts":[["2013","12"]]},"page":"24-32","publisher":"Elsevier Ltd","title":"On the stability of preferences and attitudes before and after experiencing an electric vehicle","type":"article-journal","volume":"25"},"uris":["http://www.mendeley.com/documents/?uuid=fdda6b2d-162a-4b29-aa41-89bca320cebf"]}],"mendeley":{"formattedCitation":"(Jensen, A. F., Cherchi, E., &amp; Mabit 2013)","manualFormatting":"Jensen, et al. (2013)","plainTextFormattedCitation":"(Jensen, A. F., Cherchi, E., &amp; Mabit 2013)","previouslyFormattedCitation":"(Jensen, A. F., Cherchi, E., &amp; Mabit 2013)"},"properties":{"noteIndex":0},"schema":"https://github.com/citation-style-language/schema/raw/master/csl-citation.json"}</w:instrText>
            </w:r>
            <w:r w:rsidRPr="00BA6F83">
              <w:rPr>
                <w:rFonts w:ascii="Times New Roman" w:hAnsi="Times New Roman" w:cs="Times New Roman"/>
                <w:color w:val="000000" w:themeColor="text1"/>
                <w:sz w:val="18"/>
                <w:szCs w:val="18"/>
              </w:rPr>
              <w:fldChar w:fldCharType="separate"/>
            </w:r>
            <w:r w:rsidRPr="00BA6F83">
              <w:rPr>
                <w:rFonts w:ascii="Times New Roman" w:hAnsi="Times New Roman" w:cs="Times New Roman"/>
                <w:b w:val="0"/>
                <w:noProof/>
                <w:color w:val="000000" w:themeColor="text1"/>
                <w:sz w:val="18"/>
                <w:szCs w:val="18"/>
              </w:rPr>
              <w:t>Jensen, et al. (2013)</w:t>
            </w:r>
            <w:r w:rsidRPr="00BA6F83">
              <w:rPr>
                <w:rFonts w:ascii="Times New Roman" w:hAnsi="Times New Roman" w:cs="Times New Roman"/>
                <w:color w:val="000000" w:themeColor="text1"/>
                <w:sz w:val="18"/>
                <w:szCs w:val="18"/>
              </w:rPr>
              <w:fldChar w:fldCharType="end"/>
            </w:r>
            <w:r w:rsidRPr="00BA6F83">
              <w:rPr>
                <w:rFonts w:ascii="Times New Roman" w:hAnsi="Times New Roman" w:cs="Times New Roman"/>
                <w:b w:val="0"/>
                <w:color w:val="000000" w:themeColor="text1"/>
                <w:sz w:val="18"/>
                <w:szCs w:val="18"/>
              </w:rPr>
              <w:br/>
              <w:t>Denmark</w:t>
            </w:r>
          </w:p>
        </w:tc>
        <w:tc>
          <w:tcPr>
            <w:tcW w:w="1170" w:type="dxa"/>
            <w:tcBorders>
              <w:top w:val="nil"/>
              <w:bottom w:val="nil"/>
            </w:tcBorders>
          </w:tcPr>
          <w:p w14:paraId="4E1D1EF3" w14:textId="77777777" w:rsidR="0094260A" w:rsidRPr="00BA6F83" w:rsidRDefault="0094260A" w:rsidP="0094260A">
            <w:pPr>
              <w:widowControl w:val="0"/>
              <w:autoSpaceDE w:val="0"/>
              <w:autoSpaceDN w:val="0"/>
              <w:adjustRightInd w:val="0"/>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BEV</w:t>
            </w:r>
          </w:p>
        </w:tc>
        <w:tc>
          <w:tcPr>
            <w:tcW w:w="1350" w:type="dxa"/>
            <w:tcBorders>
              <w:top w:val="nil"/>
              <w:bottom w:val="nil"/>
            </w:tcBorders>
          </w:tcPr>
          <w:p w14:paraId="4E392B51" w14:textId="77777777" w:rsidR="0094260A" w:rsidRPr="00BA6F83" w:rsidRDefault="0094260A" w:rsidP="0094260A">
            <w:pPr>
              <w:widowControl w:val="0"/>
              <w:autoSpaceDE w:val="0"/>
              <w:autoSpaceDN w:val="0"/>
              <w:adjustRightInd w:val="0"/>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Mixed logit</w:t>
            </w:r>
          </w:p>
        </w:tc>
        <w:tc>
          <w:tcPr>
            <w:tcW w:w="5040" w:type="dxa"/>
            <w:tcBorders>
              <w:top w:val="nil"/>
              <w:bottom w:val="nil"/>
            </w:tcBorders>
          </w:tcPr>
          <w:p w14:paraId="023F9081" w14:textId="77777777" w:rsidR="0094260A" w:rsidRPr="00BA6F83" w:rsidRDefault="0094260A" w:rsidP="0094260A">
            <w:pPr>
              <w:widowControl w:val="0"/>
              <w:autoSpaceDE w:val="0"/>
              <w:autoSpaceDN w:val="0"/>
              <w:adjustRightInd w:val="0"/>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Examined before/after experience.</w:t>
            </w:r>
          </w:p>
        </w:tc>
      </w:tr>
      <w:tr w:rsidR="0094260A" w:rsidRPr="00BA6F83" w14:paraId="6B1EE0E2" w14:textId="77777777" w:rsidTr="007701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nil"/>
              <w:bottom w:val="nil"/>
            </w:tcBorders>
          </w:tcPr>
          <w:p w14:paraId="59B1816E" w14:textId="77777777" w:rsidR="0094260A" w:rsidRPr="00BA6F83" w:rsidRDefault="0094260A" w:rsidP="0094260A">
            <w:pPr>
              <w:widowControl w:val="0"/>
              <w:autoSpaceDE w:val="0"/>
              <w:autoSpaceDN w:val="0"/>
              <w:adjustRightInd w:val="0"/>
              <w:rPr>
                <w:rFonts w:ascii="Times New Roman" w:hAnsi="Times New Roman" w:cs="Times New Roman"/>
                <w:b w:val="0"/>
                <w:color w:val="000000" w:themeColor="text1"/>
                <w:sz w:val="18"/>
                <w:szCs w:val="18"/>
              </w:rPr>
            </w:pPr>
            <w:r w:rsidRPr="00BA6F83">
              <w:rPr>
                <w:rFonts w:ascii="Times New Roman" w:hAnsi="Times New Roman" w:cs="Times New Roman"/>
                <w:b w:val="0"/>
                <w:color w:val="000000" w:themeColor="text1"/>
                <w:sz w:val="18"/>
                <w:szCs w:val="18"/>
              </w:rPr>
              <w:t>Hoen &amp; Koetse (2014)</w:t>
            </w:r>
            <w:r w:rsidRPr="00BA6F83">
              <w:rPr>
                <w:rFonts w:ascii="Times New Roman" w:hAnsi="Times New Roman" w:cs="Times New Roman"/>
                <w:b w:val="0"/>
                <w:color w:val="000000" w:themeColor="text1"/>
                <w:sz w:val="18"/>
                <w:szCs w:val="18"/>
              </w:rPr>
              <w:br/>
              <w:t>Netherlands</w:t>
            </w:r>
          </w:p>
        </w:tc>
        <w:tc>
          <w:tcPr>
            <w:tcW w:w="1170" w:type="dxa"/>
            <w:tcBorders>
              <w:top w:val="nil"/>
              <w:bottom w:val="nil"/>
            </w:tcBorders>
          </w:tcPr>
          <w:p w14:paraId="09BF501A" w14:textId="77777777" w:rsidR="0094260A" w:rsidRPr="00BA6F83" w:rsidRDefault="0094260A" w:rsidP="0094260A">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BEV, HEV, PHEV</w:t>
            </w:r>
          </w:p>
        </w:tc>
        <w:tc>
          <w:tcPr>
            <w:tcW w:w="1350" w:type="dxa"/>
            <w:tcBorders>
              <w:top w:val="nil"/>
              <w:bottom w:val="nil"/>
            </w:tcBorders>
          </w:tcPr>
          <w:p w14:paraId="0B70A195" w14:textId="77777777" w:rsidR="0094260A" w:rsidRPr="00BA6F83" w:rsidRDefault="0094260A" w:rsidP="0094260A">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Mixed logit</w:t>
            </w:r>
          </w:p>
        </w:tc>
        <w:tc>
          <w:tcPr>
            <w:tcW w:w="5040" w:type="dxa"/>
            <w:tcBorders>
              <w:top w:val="nil"/>
              <w:bottom w:val="nil"/>
            </w:tcBorders>
          </w:tcPr>
          <w:p w14:paraId="7AF38414" w14:textId="77777777" w:rsidR="0094260A" w:rsidRPr="00BA6F83" w:rsidRDefault="0094260A" w:rsidP="0094260A">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Included a wider range of car attributes and alternatives.</w:t>
            </w:r>
          </w:p>
        </w:tc>
      </w:tr>
      <w:tr w:rsidR="0094260A" w:rsidRPr="00BA6F83" w14:paraId="1E41919E" w14:textId="77777777" w:rsidTr="007701DC">
        <w:tc>
          <w:tcPr>
            <w:cnfStyle w:val="001000000000" w:firstRow="0" w:lastRow="0" w:firstColumn="1" w:lastColumn="0" w:oddVBand="0" w:evenVBand="0" w:oddHBand="0" w:evenHBand="0" w:firstRowFirstColumn="0" w:firstRowLastColumn="0" w:lastRowFirstColumn="0" w:lastRowLastColumn="0"/>
            <w:tcW w:w="2610" w:type="dxa"/>
            <w:tcBorders>
              <w:top w:val="nil"/>
              <w:bottom w:val="nil"/>
            </w:tcBorders>
          </w:tcPr>
          <w:p w14:paraId="1AA6346A" w14:textId="77777777" w:rsidR="0094260A" w:rsidRPr="00BA6F83" w:rsidRDefault="0094260A" w:rsidP="0094260A">
            <w:pPr>
              <w:widowControl w:val="0"/>
              <w:autoSpaceDE w:val="0"/>
              <w:autoSpaceDN w:val="0"/>
              <w:adjustRightInd w:val="0"/>
              <w:spacing w:before="120" w:after="60"/>
              <w:rPr>
                <w:rFonts w:ascii="Times New Roman" w:hAnsi="Times New Roman" w:cs="Times New Roman"/>
                <w:b w:val="0"/>
                <w:i/>
                <w:color w:val="000000" w:themeColor="text1"/>
                <w:sz w:val="18"/>
                <w:szCs w:val="18"/>
                <w:u w:val="single"/>
              </w:rPr>
            </w:pPr>
            <w:r w:rsidRPr="00BA6F83">
              <w:rPr>
                <w:rFonts w:ascii="Times New Roman" w:hAnsi="Times New Roman" w:cs="Times New Roman"/>
                <w:b w:val="0"/>
                <w:i/>
                <w:color w:val="000000" w:themeColor="text1"/>
                <w:sz w:val="18"/>
                <w:szCs w:val="18"/>
                <w:u w:val="single"/>
              </w:rPr>
              <w:t>United States</w:t>
            </w:r>
          </w:p>
        </w:tc>
        <w:tc>
          <w:tcPr>
            <w:tcW w:w="1170" w:type="dxa"/>
            <w:tcBorders>
              <w:top w:val="nil"/>
              <w:bottom w:val="nil"/>
            </w:tcBorders>
          </w:tcPr>
          <w:p w14:paraId="75359927" w14:textId="77777777" w:rsidR="0094260A" w:rsidRPr="00BA6F83" w:rsidRDefault="0094260A" w:rsidP="0094260A">
            <w:pPr>
              <w:widowControl w:val="0"/>
              <w:autoSpaceDE w:val="0"/>
              <w:autoSpaceDN w:val="0"/>
              <w:adjustRightInd w:val="0"/>
              <w:spacing w:before="12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tc>
        <w:tc>
          <w:tcPr>
            <w:tcW w:w="1350" w:type="dxa"/>
            <w:tcBorders>
              <w:top w:val="nil"/>
              <w:bottom w:val="nil"/>
            </w:tcBorders>
          </w:tcPr>
          <w:p w14:paraId="2441546C" w14:textId="77777777" w:rsidR="0094260A" w:rsidRPr="00BA6F83" w:rsidRDefault="0094260A" w:rsidP="0094260A">
            <w:pPr>
              <w:widowControl w:val="0"/>
              <w:autoSpaceDE w:val="0"/>
              <w:autoSpaceDN w:val="0"/>
              <w:adjustRightInd w:val="0"/>
              <w:spacing w:before="12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tc>
        <w:tc>
          <w:tcPr>
            <w:tcW w:w="5040" w:type="dxa"/>
            <w:tcBorders>
              <w:top w:val="nil"/>
              <w:bottom w:val="nil"/>
            </w:tcBorders>
          </w:tcPr>
          <w:p w14:paraId="79507265" w14:textId="77777777" w:rsidR="0094260A" w:rsidRPr="00BA6F83" w:rsidRDefault="0094260A" w:rsidP="0094260A">
            <w:pPr>
              <w:widowControl w:val="0"/>
              <w:autoSpaceDE w:val="0"/>
              <w:autoSpaceDN w:val="0"/>
              <w:adjustRightInd w:val="0"/>
              <w:spacing w:before="12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tc>
      </w:tr>
      <w:tr w:rsidR="0094260A" w:rsidRPr="00BA6F83" w14:paraId="4A95B6DA" w14:textId="77777777" w:rsidTr="007701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nil"/>
              <w:bottom w:val="nil"/>
            </w:tcBorders>
          </w:tcPr>
          <w:p w14:paraId="547C16DD" w14:textId="77777777" w:rsidR="0094260A" w:rsidRPr="00BA6F83" w:rsidRDefault="0094260A" w:rsidP="0094260A">
            <w:pPr>
              <w:widowControl w:val="0"/>
              <w:autoSpaceDE w:val="0"/>
              <w:autoSpaceDN w:val="0"/>
              <w:adjustRightInd w:val="0"/>
              <w:spacing w:after="60"/>
              <w:rPr>
                <w:rFonts w:ascii="Times New Roman" w:hAnsi="Times New Roman" w:cs="Times New Roman"/>
                <w:b w:val="0"/>
                <w:color w:val="000000" w:themeColor="text1"/>
                <w:sz w:val="18"/>
                <w:szCs w:val="18"/>
              </w:rPr>
            </w:pPr>
            <w:r w:rsidRPr="00BA6F83">
              <w:rPr>
                <w:rFonts w:ascii="Times New Roman" w:hAnsi="Times New Roman" w:cs="Times New Roman"/>
                <w:b w:val="0"/>
                <w:color w:val="000000" w:themeColor="text1"/>
                <w:sz w:val="18"/>
                <w:szCs w:val="18"/>
              </w:rPr>
              <w:t>Brownstone et al. (2000)</w:t>
            </w:r>
          </w:p>
        </w:tc>
        <w:tc>
          <w:tcPr>
            <w:tcW w:w="1170" w:type="dxa"/>
            <w:tcBorders>
              <w:top w:val="nil"/>
              <w:bottom w:val="nil"/>
            </w:tcBorders>
          </w:tcPr>
          <w:p w14:paraId="37860C87" w14:textId="77777777" w:rsidR="0094260A" w:rsidRPr="00BA6F83" w:rsidRDefault="0094260A" w:rsidP="0094260A">
            <w:pPr>
              <w:widowControl w:val="0"/>
              <w:autoSpaceDE w:val="0"/>
              <w:autoSpaceDN w:val="0"/>
              <w:adjustRightInd w:val="0"/>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BEV</w:t>
            </w:r>
          </w:p>
        </w:tc>
        <w:tc>
          <w:tcPr>
            <w:tcW w:w="1350" w:type="dxa"/>
            <w:tcBorders>
              <w:top w:val="nil"/>
              <w:bottom w:val="nil"/>
            </w:tcBorders>
          </w:tcPr>
          <w:p w14:paraId="2C9B74A1" w14:textId="77777777" w:rsidR="0094260A" w:rsidRPr="00BA6F83" w:rsidRDefault="0094260A" w:rsidP="0094260A">
            <w:pPr>
              <w:widowControl w:val="0"/>
              <w:autoSpaceDE w:val="0"/>
              <w:autoSpaceDN w:val="0"/>
              <w:adjustRightInd w:val="0"/>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Mixed logit</w:t>
            </w:r>
          </w:p>
        </w:tc>
        <w:tc>
          <w:tcPr>
            <w:tcW w:w="5040" w:type="dxa"/>
            <w:tcBorders>
              <w:top w:val="nil"/>
              <w:bottom w:val="nil"/>
            </w:tcBorders>
          </w:tcPr>
          <w:p w14:paraId="62D6194E" w14:textId="77777777" w:rsidR="0094260A" w:rsidRPr="00BA6F83" w:rsidRDefault="0094260A" w:rsidP="0094260A">
            <w:pPr>
              <w:widowControl w:val="0"/>
              <w:autoSpaceDE w:val="0"/>
              <w:autoSpaceDN w:val="0"/>
              <w:adjustRightInd w:val="0"/>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Jointly modeled SP and RP vehicle choices.</w:t>
            </w:r>
          </w:p>
        </w:tc>
      </w:tr>
      <w:tr w:rsidR="0094260A" w:rsidRPr="00BA6F83" w14:paraId="34DC5DFE" w14:textId="77777777" w:rsidTr="007701DC">
        <w:tc>
          <w:tcPr>
            <w:cnfStyle w:val="001000000000" w:firstRow="0" w:lastRow="0" w:firstColumn="1" w:lastColumn="0" w:oddVBand="0" w:evenVBand="0" w:oddHBand="0" w:evenHBand="0" w:firstRowFirstColumn="0" w:firstRowLastColumn="0" w:lastRowFirstColumn="0" w:lastRowLastColumn="0"/>
            <w:tcW w:w="2610" w:type="dxa"/>
            <w:tcBorders>
              <w:top w:val="nil"/>
              <w:bottom w:val="nil"/>
            </w:tcBorders>
          </w:tcPr>
          <w:p w14:paraId="6C94AA26" w14:textId="77777777" w:rsidR="0094260A" w:rsidRPr="00BA6F83" w:rsidRDefault="0094260A" w:rsidP="0094260A">
            <w:pPr>
              <w:widowControl w:val="0"/>
              <w:autoSpaceDE w:val="0"/>
              <w:autoSpaceDN w:val="0"/>
              <w:adjustRightInd w:val="0"/>
              <w:spacing w:after="60"/>
              <w:rPr>
                <w:rFonts w:ascii="Times New Roman" w:hAnsi="Times New Roman" w:cs="Times New Roman"/>
                <w:b w:val="0"/>
                <w:color w:val="000000" w:themeColor="text1"/>
                <w:sz w:val="18"/>
                <w:szCs w:val="18"/>
              </w:rPr>
            </w:pPr>
            <w:r w:rsidRPr="00BA6F83">
              <w:rPr>
                <w:rFonts w:ascii="Times New Roman" w:hAnsi="Times New Roman" w:cs="Times New Roman"/>
                <w:b w:val="0"/>
                <w:color w:val="000000" w:themeColor="text1"/>
                <w:sz w:val="18"/>
                <w:szCs w:val="18"/>
              </w:rPr>
              <w:t>Hidrue et al. (2011)</w:t>
            </w:r>
          </w:p>
        </w:tc>
        <w:tc>
          <w:tcPr>
            <w:tcW w:w="1170" w:type="dxa"/>
            <w:tcBorders>
              <w:top w:val="nil"/>
              <w:bottom w:val="nil"/>
            </w:tcBorders>
          </w:tcPr>
          <w:p w14:paraId="1E5075A8" w14:textId="77777777" w:rsidR="0094260A" w:rsidRPr="00BA6F83" w:rsidRDefault="0094260A" w:rsidP="0094260A">
            <w:pPr>
              <w:widowControl w:val="0"/>
              <w:autoSpaceDE w:val="0"/>
              <w:autoSpaceDN w:val="0"/>
              <w:adjustRightInd w:val="0"/>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BEV</w:t>
            </w:r>
          </w:p>
        </w:tc>
        <w:tc>
          <w:tcPr>
            <w:tcW w:w="1350" w:type="dxa"/>
            <w:tcBorders>
              <w:top w:val="nil"/>
              <w:bottom w:val="nil"/>
            </w:tcBorders>
          </w:tcPr>
          <w:p w14:paraId="0FBE7FA2" w14:textId="77777777" w:rsidR="0094260A" w:rsidRPr="00BA6F83" w:rsidRDefault="0094260A" w:rsidP="0094260A">
            <w:pPr>
              <w:widowControl w:val="0"/>
              <w:autoSpaceDE w:val="0"/>
              <w:autoSpaceDN w:val="0"/>
              <w:adjustRightInd w:val="0"/>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Latent class</w:t>
            </w:r>
          </w:p>
        </w:tc>
        <w:tc>
          <w:tcPr>
            <w:tcW w:w="5040" w:type="dxa"/>
            <w:tcBorders>
              <w:top w:val="nil"/>
              <w:bottom w:val="nil"/>
            </w:tcBorders>
          </w:tcPr>
          <w:p w14:paraId="1A3315E9" w14:textId="77777777" w:rsidR="0094260A" w:rsidRPr="00BA6F83" w:rsidRDefault="0094260A" w:rsidP="0094260A">
            <w:pPr>
              <w:widowControl w:val="0"/>
              <w:autoSpaceDE w:val="0"/>
              <w:autoSpaceDN w:val="0"/>
              <w:adjustRightInd w:val="0"/>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Offered respondents an EV-equivalent of their preferred conventional vehicle to control for extraneous features.</w:t>
            </w:r>
          </w:p>
        </w:tc>
      </w:tr>
      <w:tr w:rsidR="0094260A" w:rsidRPr="00BA6F83" w14:paraId="5642D628" w14:textId="77777777" w:rsidTr="007701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nil"/>
              <w:bottom w:val="nil"/>
            </w:tcBorders>
          </w:tcPr>
          <w:p w14:paraId="050EA4A8" w14:textId="77777777" w:rsidR="0094260A" w:rsidRPr="00BA6F83" w:rsidRDefault="0094260A" w:rsidP="0094260A">
            <w:pPr>
              <w:widowControl w:val="0"/>
              <w:autoSpaceDE w:val="0"/>
              <w:autoSpaceDN w:val="0"/>
              <w:adjustRightInd w:val="0"/>
              <w:spacing w:after="60"/>
              <w:rPr>
                <w:rFonts w:ascii="Times New Roman" w:hAnsi="Times New Roman" w:cs="Times New Roman"/>
                <w:b w:val="0"/>
                <w:color w:val="000000" w:themeColor="text1"/>
                <w:sz w:val="18"/>
                <w:szCs w:val="18"/>
              </w:rPr>
            </w:pPr>
            <w:r w:rsidRPr="00BA6F83">
              <w:rPr>
                <w:rFonts w:ascii="Times New Roman" w:hAnsi="Times New Roman" w:cs="Times New Roman"/>
                <w:b w:val="0"/>
                <w:color w:val="000000" w:themeColor="text1"/>
                <w:sz w:val="18"/>
                <w:szCs w:val="18"/>
              </w:rPr>
              <w:t>Axsen &amp; Kurani (2013)</w:t>
            </w:r>
          </w:p>
        </w:tc>
        <w:tc>
          <w:tcPr>
            <w:tcW w:w="1170" w:type="dxa"/>
            <w:tcBorders>
              <w:top w:val="nil"/>
              <w:bottom w:val="nil"/>
            </w:tcBorders>
          </w:tcPr>
          <w:p w14:paraId="1DCF6A2B" w14:textId="77777777" w:rsidR="0094260A" w:rsidRPr="00BA6F83" w:rsidRDefault="0094260A" w:rsidP="0094260A">
            <w:pPr>
              <w:widowControl w:val="0"/>
              <w:autoSpaceDE w:val="0"/>
              <w:autoSpaceDN w:val="0"/>
              <w:adjustRightInd w:val="0"/>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BEV, HEV, PHEV</w:t>
            </w:r>
          </w:p>
        </w:tc>
        <w:tc>
          <w:tcPr>
            <w:tcW w:w="1350" w:type="dxa"/>
            <w:tcBorders>
              <w:top w:val="nil"/>
              <w:bottom w:val="nil"/>
            </w:tcBorders>
          </w:tcPr>
          <w:p w14:paraId="3928C2BF" w14:textId="77777777" w:rsidR="0094260A" w:rsidRPr="00BA6F83" w:rsidRDefault="0094260A" w:rsidP="0094260A">
            <w:pPr>
              <w:widowControl w:val="0"/>
              <w:autoSpaceDE w:val="0"/>
              <w:autoSpaceDN w:val="0"/>
              <w:adjustRightInd w:val="0"/>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w:t>
            </w:r>
          </w:p>
        </w:tc>
        <w:tc>
          <w:tcPr>
            <w:tcW w:w="5040" w:type="dxa"/>
            <w:tcBorders>
              <w:top w:val="nil"/>
              <w:bottom w:val="nil"/>
            </w:tcBorders>
          </w:tcPr>
          <w:p w14:paraId="6BC3EC08" w14:textId="77777777" w:rsidR="0094260A" w:rsidRPr="00BA6F83" w:rsidRDefault="0094260A" w:rsidP="0094260A">
            <w:pPr>
              <w:widowControl w:val="0"/>
              <w:autoSpaceDE w:val="0"/>
              <w:autoSpaceDN w:val="0"/>
              <w:adjustRightInd w:val="0"/>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Extended in-depth survey methods by applying a “vehicle design game.”</w:t>
            </w:r>
          </w:p>
        </w:tc>
      </w:tr>
      <w:tr w:rsidR="0094260A" w:rsidRPr="00BA6F83" w14:paraId="623368B0" w14:textId="77777777" w:rsidTr="007701DC">
        <w:tc>
          <w:tcPr>
            <w:cnfStyle w:val="001000000000" w:firstRow="0" w:lastRow="0" w:firstColumn="1" w:lastColumn="0" w:oddVBand="0" w:evenVBand="0" w:oddHBand="0" w:evenHBand="0" w:firstRowFirstColumn="0" w:firstRowLastColumn="0" w:lastRowFirstColumn="0" w:lastRowLastColumn="0"/>
            <w:tcW w:w="2610" w:type="dxa"/>
            <w:tcBorders>
              <w:top w:val="nil"/>
              <w:bottom w:val="nil"/>
            </w:tcBorders>
          </w:tcPr>
          <w:p w14:paraId="5D1EA20F" w14:textId="77777777" w:rsidR="0094260A" w:rsidRPr="00BA6F83" w:rsidRDefault="0094260A" w:rsidP="0094260A">
            <w:pPr>
              <w:widowControl w:val="0"/>
              <w:autoSpaceDE w:val="0"/>
              <w:autoSpaceDN w:val="0"/>
              <w:adjustRightInd w:val="0"/>
              <w:rPr>
                <w:rFonts w:ascii="Times New Roman" w:hAnsi="Times New Roman" w:cs="Times New Roman"/>
                <w:b w:val="0"/>
                <w:color w:val="000000" w:themeColor="text1"/>
                <w:sz w:val="18"/>
                <w:szCs w:val="18"/>
              </w:rPr>
            </w:pPr>
            <w:r w:rsidRPr="00BA6F83">
              <w:rPr>
                <w:rFonts w:ascii="Times New Roman" w:hAnsi="Times New Roman" w:cs="Times New Roman"/>
                <w:b w:val="0"/>
                <w:color w:val="000000" w:themeColor="text1"/>
                <w:sz w:val="18"/>
                <w:szCs w:val="18"/>
              </w:rPr>
              <w:t>Krupa et al. (2014)</w:t>
            </w:r>
          </w:p>
        </w:tc>
        <w:tc>
          <w:tcPr>
            <w:tcW w:w="1170" w:type="dxa"/>
            <w:tcBorders>
              <w:top w:val="nil"/>
              <w:bottom w:val="nil"/>
            </w:tcBorders>
          </w:tcPr>
          <w:p w14:paraId="7B3BF801" w14:textId="77777777" w:rsidR="0094260A" w:rsidRPr="00BA6F83" w:rsidRDefault="0094260A" w:rsidP="0094260A">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PHEV</w:t>
            </w:r>
          </w:p>
        </w:tc>
        <w:tc>
          <w:tcPr>
            <w:tcW w:w="1350" w:type="dxa"/>
            <w:tcBorders>
              <w:top w:val="nil"/>
              <w:bottom w:val="nil"/>
            </w:tcBorders>
          </w:tcPr>
          <w:p w14:paraId="46A64768" w14:textId="77777777" w:rsidR="0094260A" w:rsidRPr="00BA6F83" w:rsidRDefault="0094260A" w:rsidP="0094260A">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Ordinal logistic regression</w:t>
            </w:r>
          </w:p>
        </w:tc>
        <w:tc>
          <w:tcPr>
            <w:tcW w:w="5040" w:type="dxa"/>
            <w:tcBorders>
              <w:top w:val="nil"/>
              <w:bottom w:val="nil"/>
            </w:tcBorders>
          </w:tcPr>
          <w:p w14:paraId="740E4329" w14:textId="77777777" w:rsidR="0094260A" w:rsidRPr="00BA6F83" w:rsidRDefault="0094260A" w:rsidP="0094260A">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Provided policy-makers and auto manufacturer with useful information to better promote PHEVs.</w:t>
            </w:r>
          </w:p>
        </w:tc>
      </w:tr>
      <w:tr w:rsidR="0094260A" w:rsidRPr="00BA6F83" w14:paraId="08B36341" w14:textId="77777777" w:rsidTr="007701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nil"/>
              <w:bottom w:val="nil"/>
            </w:tcBorders>
          </w:tcPr>
          <w:p w14:paraId="69441E3F" w14:textId="77777777" w:rsidR="0094260A" w:rsidRPr="00BA6F83" w:rsidRDefault="0094260A" w:rsidP="0094260A">
            <w:pPr>
              <w:widowControl w:val="0"/>
              <w:autoSpaceDE w:val="0"/>
              <w:autoSpaceDN w:val="0"/>
              <w:adjustRightInd w:val="0"/>
              <w:spacing w:before="120" w:after="60"/>
              <w:rPr>
                <w:rFonts w:ascii="Times New Roman" w:hAnsi="Times New Roman" w:cs="Times New Roman"/>
                <w:b w:val="0"/>
                <w:i/>
                <w:color w:val="000000" w:themeColor="text1"/>
                <w:sz w:val="18"/>
                <w:szCs w:val="18"/>
                <w:u w:val="single"/>
              </w:rPr>
            </w:pPr>
            <w:r w:rsidRPr="00BA6F83">
              <w:rPr>
                <w:rFonts w:ascii="Times New Roman" w:hAnsi="Times New Roman" w:cs="Times New Roman"/>
                <w:b w:val="0"/>
                <w:i/>
                <w:color w:val="000000" w:themeColor="text1"/>
                <w:sz w:val="18"/>
                <w:szCs w:val="18"/>
                <w:u w:val="single"/>
              </w:rPr>
              <w:t xml:space="preserve">Canada </w:t>
            </w:r>
          </w:p>
        </w:tc>
        <w:tc>
          <w:tcPr>
            <w:tcW w:w="1170" w:type="dxa"/>
            <w:tcBorders>
              <w:top w:val="nil"/>
              <w:bottom w:val="nil"/>
            </w:tcBorders>
          </w:tcPr>
          <w:p w14:paraId="75494FD1" w14:textId="77777777" w:rsidR="0094260A" w:rsidRPr="00BA6F83" w:rsidRDefault="0094260A" w:rsidP="0094260A">
            <w:pPr>
              <w:widowControl w:val="0"/>
              <w:autoSpaceDE w:val="0"/>
              <w:autoSpaceDN w:val="0"/>
              <w:adjustRightInd w:val="0"/>
              <w:spacing w:before="12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p>
        </w:tc>
        <w:tc>
          <w:tcPr>
            <w:tcW w:w="1350" w:type="dxa"/>
            <w:tcBorders>
              <w:top w:val="nil"/>
              <w:bottom w:val="nil"/>
            </w:tcBorders>
          </w:tcPr>
          <w:p w14:paraId="18880B93" w14:textId="77777777" w:rsidR="0094260A" w:rsidRPr="00BA6F83" w:rsidRDefault="0094260A" w:rsidP="0094260A">
            <w:pPr>
              <w:widowControl w:val="0"/>
              <w:autoSpaceDE w:val="0"/>
              <w:autoSpaceDN w:val="0"/>
              <w:adjustRightInd w:val="0"/>
              <w:spacing w:before="12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p>
        </w:tc>
        <w:tc>
          <w:tcPr>
            <w:tcW w:w="5040" w:type="dxa"/>
            <w:tcBorders>
              <w:top w:val="nil"/>
              <w:bottom w:val="nil"/>
            </w:tcBorders>
          </w:tcPr>
          <w:p w14:paraId="3630C99D" w14:textId="77777777" w:rsidR="0094260A" w:rsidRPr="00BA6F83" w:rsidRDefault="0094260A" w:rsidP="0094260A">
            <w:pPr>
              <w:widowControl w:val="0"/>
              <w:autoSpaceDE w:val="0"/>
              <w:autoSpaceDN w:val="0"/>
              <w:adjustRightInd w:val="0"/>
              <w:spacing w:before="12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p>
        </w:tc>
      </w:tr>
      <w:tr w:rsidR="0094260A" w:rsidRPr="00BA6F83" w14:paraId="62897F86" w14:textId="77777777" w:rsidTr="007701DC">
        <w:tc>
          <w:tcPr>
            <w:cnfStyle w:val="001000000000" w:firstRow="0" w:lastRow="0" w:firstColumn="1" w:lastColumn="0" w:oddVBand="0" w:evenVBand="0" w:oddHBand="0" w:evenHBand="0" w:firstRowFirstColumn="0" w:firstRowLastColumn="0" w:lastRowFirstColumn="0" w:lastRowLastColumn="0"/>
            <w:tcW w:w="2610" w:type="dxa"/>
            <w:tcBorders>
              <w:top w:val="nil"/>
              <w:bottom w:val="nil"/>
            </w:tcBorders>
          </w:tcPr>
          <w:p w14:paraId="64F37892" w14:textId="77777777" w:rsidR="0094260A" w:rsidRPr="00BA6F83" w:rsidRDefault="0094260A" w:rsidP="0094260A">
            <w:pPr>
              <w:widowControl w:val="0"/>
              <w:autoSpaceDE w:val="0"/>
              <w:autoSpaceDN w:val="0"/>
              <w:adjustRightInd w:val="0"/>
              <w:spacing w:after="60"/>
              <w:rPr>
                <w:rFonts w:ascii="Times New Roman" w:hAnsi="Times New Roman" w:cs="Times New Roman"/>
                <w:b w:val="0"/>
                <w:color w:val="000000" w:themeColor="text1"/>
                <w:sz w:val="18"/>
                <w:szCs w:val="18"/>
              </w:rPr>
            </w:pPr>
            <w:r w:rsidRPr="00BA6F83">
              <w:rPr>
                <w:rFonts w:ascii="Times New Roman" w:hAnsi="Times New Roman" w:cs="Times New Roman"/>
                <w:b w:val="0"/>
                <w:color w:val="000000" w:themeColor="text1"/>
                <w:sz w:val="18"/>
                <w:szCs w:val="18"/>
              </w:rPr>
              <w:t>Ewing and Sarigöllü (1998)</w:t>
            </w:r>
            <w:r w:rsidRPr="00BA6F83">
              <w:rPr>
                <w:rFonts w:ascii="Times New Roman" w:hAnsi="Times New Roman" w:cs="Times New Roman"/>
                <w:b w:val="0"/>
                <w:color w:val="000000" w:themeColor="text1"/>
                <w:sz w:val="18"/>
                <w:szCs w:val="18"/>
              </w:rPr>
              <w:br/>
              <w:t>Montreal, QC</w:t>
            </w:r>
          </w:p>
        </w:tc>
        <w:tc>
          <w:tcPr>
            <w:tcW w:w="1170" w:type="dxa"/>
            <w:tcBorders>
              <w:top w:val="nil"/>
              <w:bottom w:val="nil"/>
            </w:tcBorders>
          </w:tcPr>
          <w:p w14:paraId="6B656F93" w14:textId="77777777" w:rsidR="0094260A" w:rsidRPr="00BA6F83" w:rsidRDefault="0094260A" w:rsidP="0094260A">
            <w:pPr>
              <w:widowControl w:val="0"/>
              <w:autoSpaceDE w:val="0"/>
              <w:autoSpaceDN w:val="0"/>
              <w:adjustRightInd w:val="0"/>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BEV</w:t>
            </w:r>
          </w:p>
        </w:tc>
        <w:tc>
          <w:tcPr>
            <w:tcW w:w="1350" w:type="dxa"/>
            <w:tcBorders>
              <w:top w:val="nil"/>
              <w:bottom w:val="nil"/>
            </w:tcBorders>
          </w:tcPr>
          <w:p w14:paraId="2D7641E1" w14:textId="77777777" w:rsidR="0094260A" w:rsidRPr="00BA6F83" w:rsidRDefault="0094260A" w:rsidP="0094260A">
            <w:pPr>
              <w:widowControl w:val="0"/>
              <w:autoSpaceDE w:val="0"/>
              <w:autoSpaceDN w:val="0"/>
              <w:adjustRightInd w:val="0"/>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Multinomial logit</w:t>
            </w:r>
          </w:p>
        </w:tc>
        <w:tc>
          <w:tcPr>
            <w:tcW w:w="5040" w:type="dxa"/>
            <w:tcBorders>
              <w:top w:val="nil"/>
              <w:bottom w:val="nil"/>
            </w:tcBorders>
          </w:tcPr>
          <w:p w14:paraId="2CCA28BC" w14:textId="77777777" w:rsidR="0094260A" w:rsidRPr="00BA6F83" w:rsidRDefault="0094260A" w:rsidP="0094260A">
            <w:pPr>
              <w:widowControl w:val="0"/>
              <w:autoSpaceDE w:val="0"/>
              <w:autoSpaceDN w:val="0"/>
              <w:adjustRightInd w:val="0"/>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Analyzed the issue of how economic instruments could increase demand for low-emission vehicles.</w:t>
            </w:r>
          </w:p>
        </w:tc>
      </w:tr>
      <w:tr w:rsidR="0094260A" w:rsidRPr="00BA6F83" w14:paraId="73FE2885" w14:textId="77777777" w:rsidTr="007701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nil"/>
              <w:bottom w:val="nil"/>
            </w:tcBorders>
          </w:tcPr>
          <w:p w14:paraId="4FEE1F9B" w14:textId="77777777" w:rsidR="0094260A" w:rsidRPr="00BA6F83" w:rsidRDefault="0094260A" w:rsidP="0094260A">
            <w:pPr>
              <w:widowControl w:val="0"/>
              <w:autoSpaceDE w:val="0"/>
              <w:autoSpaceDN w:val="0"/>
              <w:adjustRightInd w:val="0"/>
              <w:spacing w:after="60"/>
              <w:rPr>
                <w:rFonts w:ascii="Times New Roman" w:hAnsi="Times New Roman" w:cs="Times New Roman"/>
                <w:b w:val="0"/>
                <w:color w:val="000000" w:themeColor="text1"/>
                <w:sz w:val="18"/>
                <w:szCs w:val="18"/>
              </w:rPr>
            </w:pPr>
            <w:r w:rsidRPr="00BA6F83">
              <w:rPr>
                <w:rFonts w:ascii="Times New Roman" w:hAnsi="Times New Roman" w:cs="Times New Roman"/>
                <w:b w:val="0"/>
                <w:color w:val="000000" w:themeColor="text1"/>
                <w:sz w:val="18"/>
                <w:szCs w:val="18"/>
              </w:rPr>
              <w:t>Potoglou and Kanaroglou (2007)</w:t>
            </w:r>
            <w:r w:rsidRPr="00BA6F83">
              <w:rPr>
                <w:rFonts w:ascii="Times New Roman" w:hAnsi="Times New Roman" w:cs="Times New Roman"/>
                <w:b w:val="0"/>
                <w:color w:val="000000" w:themeColor="text1"/>
                <w:sz w:val="18"/>
                <w:szCs w:val="18"/>
              </w:rPr>
              <w:br/>
              <w:t>Hamilton, ON</w:t>
            </w:r>
          </w:p>
        </w:tc>
        <w:tc>
          <w:tcPr>
            <w:tcW w:w="1170" w:type="dxa"/>
            <w:tcBorders>
              <w:top w:val="nil"/>
              <w:bottom w:val="nil"/>
            </w:tcBorders>
          </w:tcPr>
          <w:p w14:paraId="7D3F54AC" w14:textId="77777777" w:rsidR="0094260A" w:rsidRPr="00BA6F83" w:rsidRDefault="0094260A" w:rsidP="0094260A">
            <w:pPr>
              <w:widowControl w:val="0"/>
              <w:autoSpaceDE w:val="0"/>
              <w:autoSpaceDN w:val="0"/>
              <w:adjustRightInd w:val="0"/>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HEV</w:t>
            </w:r>
          </w:p>
        </w:tc>
        <w:tc>
          <w:tcPr>
            <w:tcW w:w="1350" w:type="dxa"/>
            <w:tcBorders>
              <w:top w:val="nil"/>
              <w:bottom w:val="nil"/>
            </w:tcBorders>
          </w:tcPr>
          <w:p w14:paraId="01A042C0" w14:textId="77777777" w:rsidR="0094260A" w:rsidRPr="00BA6F83" w:rsidRDefault="0094260A" w:rsidP="0094260A">
            <w:pPr>
              <w:widowControl w:val="0"/>
              <w:autoSpaceDE w:val="0"/>
              <w:autoSpaceDN w:val="0"/>
              <w:adjustRightInd w:val="0"/>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Nested logit</w:t>
            </w:r>
          </w:p>
        </w:tc>
        <w:tc>
          <w:tcPr>
            <w:tcW w:w="5040" w:type="dxa"/>
            <w:tcBorders>
              <w:top w:val="nil"/>
              <w:bottom w:val="nil"/>
            </w:tcBorders>
          </w:tcPr>
          <w:p w14:paraId="7C2D6164" w14:textId="77777777" w:rsidR="0094260A" w:rsidRPr="00BA6F83" w:rsidRDefault="0094260A" w:rsidP="0094260A">
            <w:pPr>
              <w:widowControl w:val="0"/>
              <w:autoSpaceDE w:val="0"/>
              <w:autoSpaceDN w:val="0"/>
              <w:adjustRightInd w:val="0"/>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Provided neighborhood characteristics as covariates of households’ vehicle choices in an urban environment.</w:t>
            </w:r>
          </w:p>
        </w:tc>
      </w:tr>
      <w:tr w:rsidR="0094260A" w:rsidRPr="00BA6F83" w14:paraId="500E0D11" w14:textId="77777777" w:rsidTr="007701DC">
        <w:tc>
          <w:tcPr>
            <w:cnfStyle w:val="001000000000" w:firstRow="0" w:lastRow="0" w:firstColumn="1" w:lastColumn="0" w:oddVBand="0" w:evenVBand="0" w:oddHBand="0" w:evenHBand="0" w:firstRowFirstColumn="0" w:firstRowLastColumn="0" w:lastRowFirstColumn="0" w:lastRowLastColumn="0"/>
            <w:tcW w:w="2610" w:type="dxa"/>
            <w:tcBorders>
              <w:top w:val="nil"/>
              <w:bottom w:val="single" w:sz="4" w:space="0" w:color="auto"/>
            </w:tcBorders>
          </w:tcPr>
          <w:p w14:paraId="786570F9" w14:textId="77777777" w:rsidR="0094260A" w:rsidRPr="00BA6F83" w:rsidRDefault="0094260A" w:rsidP="0094260A">
            <w:pPr>
              <w:widowControl w:val="0"/>
              <w:autoSpaceDE w:val="0"/>
              <w:autoSpaceDN w:val="0"/>
              <w:adjustRightInd w:val="0"/>
              <w:spacing w:after="60"/>
              <w:rPr>
                <w:rFonts w:ascii="Times New Roman" w:hAnsi="Times New Roman" w:cs="Times New Roman"/>
                <w:b w:val="0"/>
                <w:color w:val="000000" w:themeColor="text1"/>
                <w:sz w:val="18"/>
                <w:szCs w:val="18"/>
              </w:rPr>
            </w:pPr>
            <w:r w:rsidRPr="00BA6F83">
              <w:rPr>
                <w:rFonts w:ascii="Times New Roman" w:hAnsi="Times New Roman" w:cs="Times New Roman"/>
                <w:b w:val="0"/>
                <w:color w:val="000000" w:themeColor="text1"/>
                <w:sz w:val="18"/>
                <w:szCs w:val="18"/>
              </w:rPr>
              <w:t>Axsen et al. (2015)</w:t>
            </w:r>
            <w:r w:rsidRPr="00BA6F83">
              <w:rPr>
                <w:rFonts w:ascii="Times New Roman" w:hAnsi="Times New Roman" w:cs="Times New Roman"/>
                <w:b w:val="0"/>
                <w:color w:val="000000" w:themeColor="text1"/>
                <w:sz w:val="18"/>
                <w:szCs w:val="18"/>
              </w:rPr>
              <w:br/>
              <w:t>Western provinces</w:t>
            </w:r>
          </w:p>
        </w:tc>
        <w:tc>
          <w:tcPr>
            <w:tcW w:w="1170" w:type="dxa"/>
            <w:tcBorders>
              <w:top w:val="nil"/>
              <w:bottom w:val="single" w:sz="4" w:space="0" w:color="auto"/>
            </w:tcBorders>
          </w:tcPr>
          <w:p w14:paraId="66ABE7A2" w14:textId="77777777" w:rsidR="0094260A" w:rsidRPr="00BA6F83" w:rsidRDefault="0094260A" w:rsidP="0094260A">
            <w:pPr>
              <w:widowControl w:val="0"/>
              <w:autoSpaceDE w:val="0"/>
              <w:autoSpaceDN w:val="0"/>
              <w:adjustRightInd w:val="0"/>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BEV, HEV, PHEV</w:t>
            </w:r>
          </w:p>
        </w:tc>
        <w:tc>
          <w:tcPr>
            <w:tcW w:w="1350" w:type="dxa"/>
            <w:tcBorders>
              <w:top w:val="nil"/>
              <w:bottom w:val="single" w:sz="4" w:space="0" w:color="auto"/>
            </w:tcBorders>
          </w:tcPr>
          <w:p w14:paraId="6BE21055" w14:textId="77777777" w:rsidR="0094260A" w:rsidRPr="00BA6F83" w:rsidRDefault="0094260A" w:rsidP="0094260A">
            <w:pPr>
              <w:widowControl w:val="0"/>
              <w:autoSpaceDE w:val="0"/>
              <w:autoSpaceDN w:val="0"/>
              <w:adjustRightInd w:val="0"/>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 xml:space="preserve">Latent class </w:t>
            </w:r>
          </w:p>
        </w:tc>
        <w:tc>
          <w:tcPr>
            <w:tcW w:w="5040" w:type="dxa"/>
            <w:tcBorders>
              <w:top w:val="nil"/>
              <w:bottom w:val="single" w:sz="4" w:space="0" w:color="auto"/>
            </w:tcBorders>
          </w:tcPr>
          <w:p w14:paraId="5A998EF4" w14:textId="77777777" w:rsidR="0094260A" w:rsidRPr="00BA6F83" w:rsidRDefault="0094260A" w:rsidP="0094260A">
            <w:pPr>
              <w:widowControl w:val="0"/>
              <w:autoSpaceDE w:val="0"/>
              <w:autoSpaceDN w:val="0"/>
              <w:adjustRightInd w:val="0"/>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Constructed consumer segments based on “lifestyle theory.”</w:t>
            </w:r>
          </w:p>
        </w:tc>
      </w:tr>
      <w:tr w:rsidR="0094260A" w:rsidRPr="00BA6F83" w14:paraId="28283A15" w14:textId="77777777" w:rsidTr="007701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0" w:type="dxa"/>
            <w:gridSpan w:val="4"/>
            <w:tcBorders>
              <w:top w:val="single" w:sz="4" w:space="0" w:color="auto"/>
              <w:bottom w:val="nil"/>
            </w:tcBorders>
          </w:tcPr>
          <w:p w14:paraId="46182AA1" w14:textId="77777777" w:rsidR="0094260A" w:rsidRPr="00BA6F83" w:rsidRDefault="0094260A" w:rsidP="0094260A">
            <w:pPr>
              <w:widowControl w:val="0"/>
              <w:autoSpaceDE w:val="0"/>
              <w:autoSpaceDN w:val="0"/>
              <w:adjustRightInd w:val="0"/>
              <w:spacing w:before="60"/>
              <w:rPr>
                <w:rFonts w:ascii="Times New Roman" w:hAnsi="Times New Roman" w:cs="Times New Roman"/>
                <w:b w:val="0"/>
                <w:i/>
                <w:color w:val="000000" w:themeColor="text1"/>
                <w:sz w:val="18"/>
                <w:szCs w:val="18"/>
              </w:rPr>
            </w:pPr>
            <w:r w:rsidRPr="00BA6F83">
              <w:rPr>
                <w:rFonts w:ascii="Times New Roman" w:hAnsi="Times New Roman" w:cs="Times New Roman"/>
                <w:b w:val="0"/>
                <w:color w:val="000000" w:themeColor="text1"/>
                <w:sz w:val="16"/>
                <w:szCs w:val="16"/>
              </w:rPr>
              <w:t>BEV = battery electric vehicle; EV = electric vehicle; HEV = hybrid electric vehicle; PHEV = plug-in hybrid electric vehicle; RP = revealed preference; SP = stated preference.</w:t>
            </w:r>
          </w:p>
        </w:tc>
      </w:tr>
    </w:tbl>
    <w:p w14:paraId="2A48F812" w14:textId="77777777" w:rsidR="0094260A" w:rsidRDefault="0094260A" w:rsidP="003C3597">
      <w:pPr>
        <w:rPr>
          <w:rFonts w:ascii="Times New Roman" w:hAnsi="Times New Roman" w:cs="Times New Roman"/>
          <w:bCs/>
          <w:color w:val="000000"/>
        </w:rPr>
      </w:pPr>
    </w:p>
    <w:p w14:paraId="4C61861B" w14:textId="77777777" w:rsidR="00E349C8" w:rsidRDefault="00E349C8" w:rsidP="003C3597">
      <w:pPr>
        <w:rPr>
          <w:rFonts w:ascii="Times New Roman" w:hAnsi="Times New Roman" w:cs="Times New Roman"/>
          <w:bCs/>
          <w:color w:val="000000"/>
        </w:rPr>
      </w:pPr>
    </w:p>
    <w:p w14:paraId="5462A328" w14:textId="77777777" w:rsidR="00E349C8" w:rsidRPr="003C3597" w:rsidRDefault="00E349C8" w:rsidP="003C3597">
      <w:pPr>
        <w:rPr>
          <w:rFonts w:ascii="Times New Roman" w:hAnsi="Times New Roman" w:cs="Times New Roman"/>
          <w:bCs/>
          <w:color w:val="000000"/>
        </w:rPr>
      </w:pPr>
    </w:p>
    <w:p w14:paraId="671A1E34" w14:textId="77777777" w:rsidR="003C3597" w:rsidRPr="0094260A" w:rsidRDefault="003C3597" w:rsidP="00E1100F">
      <w:pPr>
        <w:pStyle w:val="ListParagraph"/>
        <w:numPr>
          <w:ilvl w:val="1"/>
          <w:numId w:val="11"/>
        </w:numPr>
        <w:outlineLvl w:val="1"/>
        <w:rPr>
          <w:rFonts w:ascii="Times New Roman" w:hAnsi="Times New Roman" w:cs="Times New Roman"/>
          <w:b/>
          <w:bCs/>
          <w:color w:val="000000"/>
        </w:rPr>
      </w:pPr>
      <w:bookmarkStart w:id="57" w:name="_Toc528650872"/>
      <w:r w:rsidRPr="0094260A">
        <w:rPr>
          <w:rFonts w:ascii="Times New Roman" w:hAnsi="Times New Roman" w:cs="Times New Roman"/>
          <w:b/>
          <w:bCs/>
          <w:color w:val="000000"/>
        </w:rPr>
        <w:lastRenderedPageBreak/>
        <w:t>Study Area</w:t>
      </w:r>
      <w:bookmarkEnd w:id="57"/>
    </w:p>
    <w:p w14:paraId="7005A793" w14:textId="77777777" w:rsid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Atlantic Canada includes the provinces of Nova Scotia (NS), New Brunswick (NB), Prince Edward Island (PEI), and Newfoundland and Labrador (NL) (Figure </w:t>
      </w:r>
      <w:r w:rsidR="00B957FF">
        <w:rPr>
          <w:rFonts w:ascii="Times New Roman" w:hAnsi="Times New Roman" w:cs="Times New Roman"/>
          <w:color w:val="000000"/>
        </w:rPr>
        <w:t>3.</w:t>
      </w:r>
      <w:r w:rsidRPr="003C3597">
        <w:rPr>
          <w:rFonts w:ascii="Times New Roman" w:hAnsi="Times New Roman" w:cs="Times New Roman"/>
          <w:color w:val="000000"/>
        </w:rPr>
        <w:t xml:space="preserve">1). In 2016, 2.33 million people lived in these provinces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{"citationItems":[{"id":"ITEM-1","itemData":{"author":[{"dropping-particle":"","family":"Statistics Canada","given":"","non-dropping-particle":"","parse-names":false,"suffix":""}],"id":"ITEM-1","issued":{"date-parts":[["2016"]]},"page":"http://www12.statcan.gc.ca/census-recensement/2016","title":"Data products, 2016 Census","type":"webpage"},"uris":["http://www.mendeley.com/documents/?uuid=78960f9f-4145-4c3e-96ea-1258add30fcf"]}],"mendeley":{"formattedCitation":"(Statistics Canada 2016)","manualFormatting":"(Statistics Canada, 2016)","plainTextFormattedCitation":"(Statistics Canada 2016)","previouslyFormattedCitation":"(Statistics Canada 2016)"},"properties":{"noteIndex":0},"schema":"https://github.com/citation-style-language/schema/raw/master/csl-citation.json"}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(Statistics Canada, 2016)</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As shown in Table </w:t>
      </w:r>
      <w:r w:rsidR="00B957FF">
        <w:rPr>
          <w:rFonts w:ascii="Times New Roman" w:hAnsi="Times New Roman" w:cs="Times New Roman"/>
          <w:color w:val="000000"/>
        </w:rPr>
        <w:t>3.</w:t>
      </w:r>
      <w:r w:rsidRPr="003C3597">
        <w:rPr>
          <w:rFonts w:ascii="Times New Roman" w:hAnsi="Times New Roman" w:cs="Times New Roman"/>
          <w:color w:val="000000"/>
        </w:rPr>
        <w:t xml:space="preserve">2, the region’s population is aging (ratio of people age 65 and older is above the national average) and has annual incomes below the Canadian average. Also, significant discrepancies exist between rural and urban areas of the region, with rural communities having access to fewer economic opportunities, which has led to out-migration and very slow population growth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{"citationItems":[{"id":"ITEM-1","itemData":{"author":[{"dropping-particle":"","family":"Natural Resources Canada","given":"","non-dropping-particle":"","parse-names":false,"suffix":""}],"id":"ITEM-1","issued":{"date-parts":[["2009"]]},"title":"Canadian Vehicle Survey; Summary Report","type":"report"},"uris":["http://www.mendeley.com/documents/?uuid=ca7455e1-d8b2-410f-a29a-dce28d182aa0"]}],"mendeley":{"formattedCitation":"(Natural Resources Canada 2009)","manualFormatting":"(Natural Resources Canada, 2009)","plainTextFormattedCitation":"(Natural Resources Canada 2009)","previouslyFormattedCitation":"(Natural Resources Canada 2009)"},"properties":{"noteIndex":0},"schema":"https://github.com/citation-style-language/schema/raw/master/csl-citation.json"}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(Natural Resources Canada, 2009)</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Only a few large urban centers offer public transit (Halifax Regional Municipality, Cape Breton Regional Municipality, Moncton, Saint John, Fredericton, Charlottetown, and St. John’s) meaning that Atlantic Canadians depend more on private vehicles for mobility purposes than Canadians overall (Table </w:t>
      </w:r>
      <w:r w:rsidR="00B957FF">
        <w:rPr>
          <w:rFonts w:ascii="Times New Roman" w:hAnsi="Times New Roman" w:cs="Times New Roman"/>
          <w:color w:val="000000"/>
        </w:rPr>
        <w:t>3.</w:t>
      </w:r>
      <w:r w:rsidRPr="003C3597">
        <w:rPr>
          <w:rFonts w:ascii="Times New Roman" w:hAnsi="Times New Roman" w:cs="Times New Roman"/>
          <w:color w:val="000000"/>
        </w:rPr>
        <w:t>2).</w:t>
      </w:r>
    </w:p>
    <w:p w14:paraId="23FAA7D1" w14:textId="77777777" w:rsidR="0094260A" w:rsidRPr="00E349C8" w:rsidRDefault="0094260A" w:rsidP="00E349C8">
      <w:pPr>
        <w:jc w:val="center"/>
        <w:rPr>
          <w:rFonts w:ascii="Times New Roman" w:hAnsi="Times New Roman" w:cs="Times New Roman"/>
          <w:color w:val="000000"/>
        </w:rPr>
      </w:pPr>
      <w:r w:rsidRPr="00E349C8">
        <w:rPr>
          <w:rFonts w:ascii="Times New Roman" w:hAnsi="Times New Roman" w:cs="Times New Roman"/>
          <w:noProof/>
          <w:color w:val="000000"/>
          <w:lang w:eastAsia="en-CA"/>
        </w:rPr>
        <w:lastRenderedPageBreak/>
        <w:drawing>
          <wp:anchor distT="0" distB="0" distL="114300" distR="114300" simplePos="0" relativeHeight="251671552" behindDoc="1" locked="0" layoutInCell="1" allowOverlap="1" wp14:anchorId="17D68AE6" wp14:editId="1C9B526E">
            <wp:simplePos x="0" y="0"/>
            <wp:positionH relativeFrom="margin">
              <wp:align>right</wp:align>
            </wp:positionH>
            <wp:positionV relativeFrom="paragraph">
              <wp:posOffset>0</wp:posOffset>
            </wp:positionV>
            <wp:extent cx="5964555" cy="4686300"/>
            <wp:effectExtent l="0" t="0" r="0" b="0"/>
            <wp:wrapTight wrapText="bothSides">
              <wp:wrapPolygon edited="0">
                <wp:start x="0" y="0"/>
                <wp:lineTo x="0" y="21512"/>
                <wp:lineTo x="21524" y="21512"/>
                <wp:lineTo x="215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10-26 EV Adoption R1 (Figure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64555" cy="4686300"/>
                    </a:xfrm>
                    <a:prstGeom prst="rect">
                      <a:avLst/>
                    </a:prstGeom>
                  </pic:spPr>
                </pic:pic>
              </a:graphicData>
            </a:graphic>
            <wp14:sizeRelH relativeFrom="page">
              <wp14:pctWidth>0</wp14:pctWidth>
            </wp14:sizeRelH>
            <wp14:sizeRelV relativeFrom="page">
              <wp14:pctHeight>0</wp14:pctHeight>
            </wp14:sizeRelV>
          </wp:anchor>
        </w:drawing>
      </w:r>
      <w:bookmarkStart w:id="58" w:name="_Toc528649547"/>
      <w:bookmarkStart w:id="59" w:name="_Toc528649656"/>
      <w:r w:rsidR="00B02EB5" w:rsidRPr="00E349C8">
        <w:rPr>
          <w:rFonts w:ascii="Times New Roman" w:hAnsi="Times New Roman" w:cs="Times New Roman"/>
          <w:iCs/>
          <w:color w:val="000000"/>
        </w:rPr>
        <w:t>Figure 3.</w:t>
      </w:r>
      <w:r w:rsidR="00B02EB5" w:rsidRPr="00E349C8">
        <w:rPr>
          <w:rFonts w:ascii="Times New Roman" w:hAnsi="Times New Roman" w:cs="Times New Roman"/>
          <w:iCs/>
          <w:color w:val="000000"/>
        </w:rPr>
        <w:fldChar w:fldCharType="begin"/>
      </w:r>
      <w:r w:rsidR="00B02EB5" w:rsidRPr="00E349C8">
        <w:rPr>
          <w:rFonts w:ascii="Times New Roman" w:hAnsi="Times New Roman" w:cs="Times New Roman"/>
          <w:iCs/>
          <w:color w:val="000000"/>
        </w:rPr>
        <w:instrText xml:space="preserve"> SEQ Figure_3. \* ARABIC </w:instrText>
      </w:r>
      <w:r w:rsidR="00B02EB5" w:rsidRPr="00E349C8">
        <w:rPr>
          <w:rFonts w:ascii="Times New Roman" w:hAnsi="Times New Roman" w:cs="Times New Roman"/>
          <w:iCs/>
          <w:color w:val="000000"/>
        </w:rPr>
        <w:fldChar w:fldCharType="separate"/>
      </w:r>
      <w:r w:rsidR="00BC70AE">
        <w:rPr>
          <w:rFonts w:ascii="Times New Roman" w:hAnsi="Times New Roman" w:cs="Times New Roman"/>
          <w:iCs/>
          <w:noProof/>
          <w:color w:val="000000"/>
        </w:rPr>
        <w:t>1</w:t>
      </w:r>
      <w:r w:rsidR="00B02EB5" w:rsidRPr="00E349C8">
        <w:rPr>
          <w:rFonts w:ascii="Times New Roman" w:hAnsi="Times New Roman" w:cs="Times New Roman"/>
          <w:iCs/>
          <w:color w:val="000000"/>
        </w:rPr>
        <w:fldChar w:fldCharType="end"/>
      </w:r>
      <w:r w:rsidR="00B02EB5" w:rsidRPr="00E349C8">
        <w:rPr>
          <w:rFonts w:ascii="Times New Roman" w:hAnsi="Times New Roman" w:cs="Times New Roman"/>
          <w:iCs/>
          <w:color w:val="000000"/>
        </w:rPr>
        <w:t xml:space="preserve"> </w:t>
      </w:r>
      <w:r w:rsidRPr="00E349C8">
        <w:rPr>
          <w:rFonts w:ascii="Times New Roman" w:hAnsi="Times New Roman" w:cs="Times New Roman"/>
          <w:iCs/>
          <w:color w:val="000000"/>
        </w:rPr>
        <w:t>Study area (BC = British Columbia, ON = Ontario)</w:t>
      </w:r>
      <w:bookmarkEnd w:id="58"/>
      <w:bookmarkEnd w:id="59"/>
    </w:p>
    <w:p w14:paraId="6204C8AD" w14:textId="77777777" w:rsidR="0094260A" w:rsidRDefault="0094260A" w:rsidP="003C3597">
      <w:pPr>
        <w:rPr>
          <w:rFonts w:ascii="Times New Roman" w:hAnsi="Times New Roman" w:cs="Times New Roman"/>
          <w:b/>
          <w:bCs/>
          <w:color w:val="000000"/>
        </w:rPr>
      </w:pPr>
    </w:p>
    <w:p w14:paraId="6C938730" w14:textId="77777777" w:rsidR="00555F82" w:rsidRDefault="00555F82" w:rsidP="0094260A">
      <w:pPr>
        <w:spacing w:after="120" w:line="240" w:lineRule="auto"/>
        <w:rPr>
          <w:rFonts w:ascii="Times New Roman" w:hAnsi="Times New Roman" w:cs="Times New Roman"/>
          <w:color w:val="000000" w:themeColor="text1"/>
        </w:rPr>
      </w:pPr>
    </w:p>
    <w:p w14:paraId="72B61D51" w14:textId="77777777" w:rsidR="00555F82" w:rsidRDefault="00555F82" w:rsidP="0094260A">
      <w:pPr>
        <w:spacing w:after="120" w:line="240" w:lineRule="auto"/>
        <w:rPr>
          <w:rFonts w:ascii="Times New Roman" w:hAnsi="Times New Roman" w:cs="Times New Roman"/>
          <w:color w:val="000000" w:themeColor="text1"/>
        </w:rPr>
      </w:pPr>
    </w:p>
    <w:p w14:paraId="4F8FA762" w14:textId="77777777" w:rsidR="00555F82" w:rsidRDefault="00555F82" w:rsidP="0094260A">
      <w:pPr>
        <w:spacing w:after="120" w:line="240" w:lineRule="auto"/>
        <w:rPr>
          <w:rFonts w:ascii="Times New Roman" w:hAnsi="Times New Roman" w:cs="Times New Roman"/>
          <w:color w:val="000000" w:themeColor="text1"/>
        </w:rPr>
      </w:pPr>
    </w:p>
    <w:p w14:paraId="55153749" w14:textId="77777777" w:rsidR="00555F82" w:rsidRDefault="00555F82" w:rsidP="0094260A">
      <w:pPr>
        <w:spacing w:after="120" w:line="240" w:lineRule="auto"/>
        <w:rPr>
          <w:rFonts w:ascii="Times New Roman" w:hAnsi="Times New Roman" w:cs="Times New Roman"/>
          <w:color w:val="000000" w:themeColor="text1"/>
        </w:rPr>
      </w:pPr>
    </w:p>
    <w:p w14:paraId="29F6DFCF" w14:textId="77777777" w:rsidR="00555F82" w:rsidRDefault="00555F82" w:rsidP="0094260A">
      <w:pPr>
        <w:spacing w:after="120" w:line="240" w:lineRule="auto"/>
        <w:rPr>
          <w:rFonts w:ascii="Times New Roman" w:hAnsi="Times New Roman" w:cs="Times New Roman"/>
          <w:color w:val="000000" w:themeColor="text1"/>
        </w:rPr>
      </w:pPr>
    </w:p>
    <w:p w14:paraId="7EF4DE70" w14:textId="77777777" w:rsidR="00555F82" w:rsidRDefault="00555F82" w:rsidP="0094260A">
      <w:pPr>
        <w:spacing w:after="120" w:line="240" w:lineRule="auto"/>
        <w:rPr>
          <w:rFonts w:ascii="Times New Roman" w:hAnsi="Times New Roman" w:cs="Times New Roman"/>
          <w:color w:val="000000" w:themeColor="text1"/>
        </w:rPr>
      </w:pPr>
    </w:p>
    <w:p w14:paraId="13067184" w14:textId="63F34BC9" w:rsidR="0094260A" w:rsidRPr="00555F82" w:rsidRDefault="00555F82" w:rsidP="00555F82">
      <w:pPr>
        <w:pStyle w:val="Caption"/>
        <w:ind w:firstLine="0"/>
        <w:rPr>
          <w:rFonts w:ascii="Times New Roman" w:hAnsi="Times New Roman" w:cs="Times New Roman"/>
          <w:i w:val="0"/>
          <w:iCs w:val="0"/>
          <w:color w:val="000000"/>
          <w:sz w:val="24"/>
          <w:szCs w:val="24"/>
        </w:rPr>
      </w:pPr>
      <w:bookmarkStart w:id="60" w:name="_Toc528649795"/>
      <w:r w:rsidRPr="00555F82">
        <w:rPr>
          <w:rFonts w:ascii="Times New Roman" w:hAnsi="Times New Roman" w:cs="Times New Roman"/>
          <w:i w:val="0"/>
          <w:iCs w:val="0"/>
          <w:color w:val="000000"/>
          <w:sz w:val="24"/>
          <w:szCs w:val="24"/>
        </w:rPr>
        <w:lastRenderedPageBreak/>
        <w:t>Table 3.</w:t>
      </w:r>
      <w:r w:rsidRPr="00555F82">
        <w:rPr>
          <w:rFonts w:ascii="Times New Roman" w:hAnsi="Times New Roman" w:cs="Times New Roman"/>
          <w:i w:val="0"/>
          <w:iCs w:val="0"/>
          <w:color w:val="000000"/>
          <w:sz w:val="24"/>
          <w:szCs w:val="24"/>
        </w:rPr>
        <w:fldChar w:fldCharType="begin"/>
      </w:r>
      <w:r w:rsidRPr="00555F82">
        <w:rPr>
          <w:rFonts w:ascii="Times New Roman" w:hAnsi="Times New Roman" w:cs="Times New Roman"/>
          <w:i w:val="0"/>
          <w:iCs w:val="0"/>
          <w:color w:val="000000"/>
          <w:sz w:val="24"/>
          <w:szCs w:val="24"/>
        </w:rPr>
        <w:instrText xml:space="preserve"> SEQ Table_3. \* ARABIC </w:instrText>
      </w:r>
      <w:r w:rsidRPr="00555F82">
        <w:rPr>
          <w:rFonts w:ascii="Times New Roman" w:hAnsi="Times New Roman" w:cs="Times New Roman"/>
          <w:i w:val="0"/>
          <w:iCs w:val="0"/>
          <w:color w:val="000000"/>
          <w:sz w:val="24"/>
          <w:szCs w:val="24"/>
        </w:rPr>
        <w:fldChar w:fldCharType="separate"/>
      </w:r>
      <w:r w:rsidR="00BC70AE">
        <w:rPr>
          <w:rFonts w:ascii="Times New Roman" w:hAnsi="Times New Roman" w:cs="Times New Roman"/>
          <w:i w:val="0"/>
          <w:iCs w:val="0"/>
          <w:noProof/>
          <w:color w:val="000000"/>
          <w:sz w:val="24"/>
          <w:szCs w:val="24"/>
        </w:rPr>
        <w:t>2</w:t>
      </w:r>
      <w:r w:rsidRPr="00555F82">
        <w:rPr>
          <w:rFonts w:ascii="Times New Roman" w:hAnsi="Times New Roman" w:cs="Times New Roman"/>
          <w:i w:val="0"/>
          <w:iCs w:val="0"/>
          <w:color w:val="000000"/>
          <w:sz w:val="24"/>
          <w:szCs w:val="24"/>
        </w:rPr>
        <w:fldChar w:fldCharType="end"/>
      </w:r>
      <w:r w:rsidRPr="00555F82">
        <w:rPr>
          <w:rFonts w:ascii="Times New Roman" w:hAnsi="Times New Roman" w:cs="Times New Roman"/>
          <w:i w:val="0"/>
          <w:iCs w:val="0"/>
          <w:color w:val="000000"/>
          <w:sz w:val="24"/>
          <w:szCs w:val="24"/>
        </w:rPr>
        <w:t xml:space="preserve"> </w:t>
      </w:r>
      <w:r w:rsidR="0094260A" w:rsidRPr="00555F82">
        <w:rPr>
          <w:rFonts w:ascii="Times New Roman" w:hAnsi="Times New Roman" w:cs="Times New Roman"/>
          <w:i w:val="0"/>
          <w:iCs w:val="0"/>
          <w:color w:val="000000"/>
          <w:sz w:val="24"/>
          <w:szCs w:val="24"/>
        </w:rPr>
        <w:t>Demographic characteristics by province (Source: Statistics Canada, 2016)</w:t>
      </w:r>
      <w:bookmarkEnd w:id="60"/>
      <w:r w:rsidR="00122632">
        <w:rPr>
          <w:rFonts w:ascii="Times New Roman" w:hAnsi="Times New Roman" w:cs="Times New Roman"/>
          <w:i w:val="0"/>
          <w:iCs w:val="0"/>
          <w:color w:val="000000"/>
          <w:sz w:val="24"/>
          <w:szCs w:val="24"/>
        </w:rPr>
        <w:t>.</w:t>
      </w:r>
    </w:p>
    <w:tbl>
      <w:tblPr>
        <w:tblStyle w:val="PlainTable22"/>
        <w:tblpPr w:leftFromText="180" w:rightFromText="180" w:tblpY="495"/>
        <w:tblW w:w="9477" w:type="dxa"/>
        <w:tblLook w:val="04A0" w:firstRow="1" w:lastRow="0" w:firstColumn="1" w:lastColumn="0" w:noHBand="0" w:noVBand="1"/>
      </w:tblPr>
      <w:tblGrid>
        <w:gridCol w:w="1721"/>
        <w:gridCol w:w="1201"/>
        <w:gridCol w:w="811"/>
        <w:gridCol w:w="1268"/>
        <w:gridCol w:w="1364"/>
        <w:gridCol w:w="1039"/>
        <w:gridCol w:w="989"/>
        <w:gridCol w:w="1084"/>
      </w:tblGrid>
      <w:tr w:rsidR="007701DC" w:rsidRPr="007701DC" w14:paraId="0AD8FA6C" w14:textId="77777777" w:rsidTr="007701DC">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721" w:type="dxa"/>
            <w:tcBorders>
              <w:top w:val="single" w:sz="4" w:space="0" w:color="auto"/>
              <w:bottom w:val="single" w:sz="4" w:space="0" w:color="auto"/>
            </w:tcBorders>
          </w:tcPr>
          <w:p w14:paraId="793D8E1F" w14:textId="77777777" w:rsidR="007701DC" w:rsidRPr="00BA6F83" w:rsidRDefault="007701DC" w:rsidP="007701DC">
            <w:pPr>
              <w:spacing w:before="60" w:after="60"/>
              <w:rPr>
                <w:rFonts w:ascii="Times New Roman" w:eastAsiaTheme="minorEastAsia" w:hAnsi="Times New Roman" w:cs="Times New Roman"/>
                <w:b w:val="0"/>
                <w:color w:val="000000" w:themeColor="text1"/>
                <w:sz w:val="18"/>
                <w:szCs w:val="18"/>
                <w:lang w:eastAsia="en-CA"/>
              </w:rPr>
            </w:pPr>
          </w:p>
        </w:tc>
        <w:tc>
          <w:tcPr>
            <w:tcW w:w="1201" w:type="dxa"/>
            <w:tcBorders>
              <w:top w:val="single" w:sz="4" w:space="0" w:color="auto"/>
              <w:bottom w:val="single" w:sz="4" w:space="0" w:color="auto"/>
            </w:tcBorders>
          </w:tcPr>
          <w:p w14:paraId="49822BCE" w14:textId="77777777" w:rsidR="007701DC" w:rsidRPr="00BA6F83" w:rsidRDefault="007701DC" w:rsidP="007701D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color w:val="000000" w:themeColor="text1"/>
                <w:sz w:val="18"/>
                <w:szCs w:val="18"/>
                <w:lang w:eastAsia="en-CA"/>
              </w:rPr>
            </w:pPr>
            <w:r w:rsidRPr="00BA6F83">
              <w:rPr>
                <w:rFonts w:ascii="Times New Roman" w:eastAsiaTheme="minorEastAsia" w:hAnsi="Times New Roman" w:cs="Times New Roman"/>
                <w:b w:val="0"/>
                <w:color w:val="000000" w:themeColor="text1"/>
                <w:sz w:val="18"/>
                <w:szCs w:val="18"/>
                <w:lang w:eastAsia="en-CA"/>
              </w:rPr>
              <w:t>New Brunswick</w:t>
            </w:r>
          </w:p>
        </w:tc>
        <w:tc>
          <w:tcPr>
            <w:tcW w:w="811" w:type="dxa"/>
            <w:tcBorders>
              <w:top w:val="single" w:sz="4" w:space="0" w:color="auto"/>
              <w:bottom w:val="single" w:sz="4" w:space="0" w:color="auto"/>
            </w:tcBorders>
          </w:tcPr>
          <w:p w14:paraId="21D75115" w14:textId="77777777" w:rsidR="007701DC" w:rsidRPr="00BA6F83" w:rsidRDefault="007701DC" w:rsidP="007701D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color w:val="000000" w:themeColor="text1"/>
                <w:sz w:val="18"/>
                <w:szCs w:val="18"/>
                <w:lang w:eastAsia="en-CA"/>
              </w:rPr>
            </w:pPr>
            <w:r w:rsidRPr="00BA6F83">
              <w:rPr>
                <w:rFonts w:ascii="Times New Roman" w:eastAsiaTheme="minorEastAsia" w:hAnsi="Times New Roman" w:cs="Times New Roman"/>
                <w:b w:val="0"/>
                <w:color w:val="000000" w:themeColor="text1"/>
                <w:sz w:val="18"/>
                <w:szCs w:val="18"/>
                <w:lang w:eastAsia="en-CA"/>
              </w:rPr>
              <w:t>Nova Scotia</w:t>
            </w:r>
          </w:p>
        </w:tc>
        <w:tc>
          <w:tcPr>
            <w:tcW w:w="1268" w:type="dxa"/>
            <w:tcBorders>
              <w:top w:val="single" w:sz="4" w:space="0" w:color="auto"/>
              <w:bottom w:val="single" w:sz="4" w:space="0" w:color="auto"/>
            </w:tcBorders>
          </w:tcPr>
          <w:p w14:paraId="5C4E64E6" w14:textId="77777777" w:rsidR="007701DC" w:rsidRPr="00BA6F83" w:rsidRDefault="007701DC" w:rsidP="007701D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color w:val="000000" w:themeColor="text1"/>
                <w:sz w:val="18"/>
                <w:szCs w:val="18"/>
                <w:lang w:eastAsia="en-CA"/>
              </w:rPr>
            </w:pPr>
            <w:r w:rsidRPr="00BA6F83">
              <w:rPr>
                <w:rFonts w:ascii="Times New Roman" w:eastAsiaTheme="minorEastAsia" w:hAnsi="Times New Roman" w:cs="Times New Roman"/>
                <w:b w:val="0"/>
                <w:color w:val="000000" w:themeColor="text1"/>
                <w:sz w:val="18"/>
                <w:szCs w:val="18"/>
                <w:lang w:eastAsia="en-CA"/>
              </w:rPr>
              <w:t>Prince Edward Island</w:t>
            </w:r>
          </w:p>
        </w:tc>
        <w:tc>
          <w:tcPr>
            <w:tcW w:w="1364" w:type="dxa"/>
            <w:tcBorders>
              <w:top w:val="single" w:sz="4" w:space="0" w:color="auto"/>
              <w:bottom w:val="single" w:sz="4" w:space="0" w:color="auto"/>
            </w:tcBorders>
          </w:tcPr>
          <w:p w14:paraId="4681B654" w14:textId="77777777" w:rsidR="007701DC" w:rsidRPr="00BA6F83" w:rsidRDefault="007701DC" w:rsidP="007701D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color w:val="000000" w:themeColor="text1"/>
                <w:sz w:val="18"/>
                <w:szCs w:val="18"/>
                <w:lang w:eastAsia="en-CA"/>
              </w:rPr>
            </w:pPr>
            <w:r w:rsidRPr="00BA6F83">
              <w:rPr>
                <w:rFonts w:ascii="Times New Roman" w:eastAsiaTheme="minorEastAsia" w:hAnsi="Times New Roman" w:cs="Times New Roman"/>
                <w:b w:val="0"/>
                <w:color w:val="000000" w:themeColor="text1"/>
                <w:sz w:val="18"/>
                <w:szCs w:val="18"/>
                <w:lang w:eastAsia="en-CA"/>
              </w:rPr>
              <w:t>Newfoundland and Labrador</w:t>
            </w:r>
          </w:p>
        </w:tc>
        <w:tc>
          <w:tcPr>
            <w:tcW w:w="1039" w:type="dxa"/>
            <w:tcBorders>
              <w:top w:val="single" w:sz="4" w:space="0" w:color="auto"/>
              <w:bottom w:val="single" w:sz="4" w:space="0" w:color="auto"/>
            </w:tcBorders>
          </w:tcPr>
          <w:p w14:paraId="793C8822" w14:textId="77777777" w:rsidR="007701DC" w:rsidRPr="00BA6F83" w:rsidRDefault="007701DC" w:rsidP="007701D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color w:val="000000" w:themeColor="text1"/>
                <w:sz w:val="18"/>
                <w:szCs w:val="18"/>
                <w:lang w:eastAsia="en-CA"/>
              </w:rPr>
            </w:pPr>
            <w:r w:rsidRPr="00BA6F83">
              <w:rPr>
                <w:rFonts w:ascii="Times New Roman" w:eastAsiaTheme="minorEastAsia" w:hAnsi="Times New Roman" w:cs="Times New Roman"/>
                <w:b w:val="0"/>
                <w:color w:val="000000" w:themeColor="text1"/>
                <w:sz w:val="18"/>
                <w:szCs w:val="18"/>
                <w:lang w:eastAsia="en-CA"/>
              </w:rPr>
              <w:t xml:space="preserve">Ontario </w:t>
            </w:r>
          </w:p>
        </w:tc>
        <w:tc>
          <w:tcPr>
            <w:tcW w:w="989" w:type="dxa"/>
            <w:tcBorders>
              <w:top w:val="single" w:sz="4" w:space="0" w:color="auto"/>
              <w:bottom w:val="single" w:sz="4" w:space="0" w:color="auto"/>
            </w:tcBorders>
          </w:tcPr>
          <w:p w14:paraId="223F7577" w14:textId="77777777" w:rsidR="007701DC" w:rsidRPr="00BA6F83" w:rsidRDefault="007701DC" w:rsidP="007701D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color w:val="000000" w:themeColor="text1"/>
                <w:sz w:val="18"/>
                <w:szCs w:val="18"/>
                <w:lang w:eastAsia="en-CA"/>
              </w:rPr>
            </w:pPr>
            <w:r w:rsidRPr="00BA6F83">
              <w:rPr>
                <w:rFonts w:ascii="Times New Roman" w:eastAsiaTheme="minorEastAsia" w:hAnsi="Times New Roman" w:cs="Times New Roman"/>
                <w:b w:val="0"/>
                <w:color w:val="000000" w:themeColor="text1"/>
                <w:sz w:val="18"/>
                <w:szCs w:val="18"/>
                <w:lang w:eastAsia="en-CA"/>
              </w:rPr>
              <w:t>British Columbia</w:t>
            </w:r>
          </w:p>
        </w:tc>
        <w:tc>
          <w:tcPr>
            <w:tcW w:w="1084" w:type="dxa"/>
            <w:tcBorders>
              <w:top w:val="single" w:sz="4" w:space="0" w:color="auto"/>
              <w:bottom w:val="single" w:sz="4" w:space="0" w:color="auto"/>
            </w:tcBorders>
          </w:tcPr>
          <w:p w14:paraId="778A2C78" w14:textId="77777777" w:rsidR="007701DC" w:rsidRPr="00BA6F83" w:rsidRDefault="007701DC" w:rsidP="007701D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color w:val="000000" w:themeColor="text1"/>
                <w:sz w:val="18"/>
                <w:szCs w:val="18"/>
                <w:lang w:eastAsia="en-CA"/>
              </w:rPr>
            </w:pPr>
            <w:r w:rsidRPr="00BA6F83">
              <w:rPr>
                <w:rFonts w:ascii="Times New Roman" w:eastAsiaTheme="minorEastAsia" w:hAnsi="Times New Roman" w:cs="Times New Roman"/>
                <w:b w:val="0"/>
                <w:color w:val="000000" w:themeColor="text1"/>
                <w:sz w:val="18"/>
                <w:szCs w:val="18"/>
                <w:lang w:eastAsia="en-CA"/>
              </w:rPr>
              <w:t xml:space="preserve">Canada </w:t>
            </w:r>
          </w:p>
        </w:tc>
      </w:tr>
      <w:tr w:rsidR="007701DC" w:rsidRPr="007701DC" w14:paraId="1821766E" w14:textId="77777777" w:rsidTr="007701DC">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721" w:type="dxa"/>
            <w:tcBorders>
              <w:top w:val="single" w:sz="4" w:space="0" w:color="auto"/>
              <w:bottom w:val="nil"/>
            </w:tcBorders>
          </w:tcPr>
          <w:p w14:paraId="410BBA68" w14:textId="77777777" w:rsidR="007701DC" w:rsidRPr="00BA6F83" w:rsidRDefault="007701DC" w:rsidP="007701DC">
            <w:pPr>
              <w:spacing w:before="60" w:after="60"/>
              <w:rPr>
                <w:rFonts w:ascii="Times New Roman" w:eastAsiaTheme="minorEastAsia" w:hAnsi="Times New Roman" w:cs="Times New Roman"/>
                <w:b w:val="0"/>
                <w:color w:val="000000" w:themeColor="text1"/>
                <w:sz w:val="18"/>
                <w:szCs w:val="18"/>
                <w:lang w:eastAsia="en-CA"/>
              </w:rPr>
            </w:pPr>
            <w:r w:rsidRPr="00BA6F83">
              <w:rPr>
                <w:rFonts w:ascii="Times New Roman" w:eastAsiaTheme="minorEastAsia" w:hAnsi="Times New Roman" w:cs="Times New Roman"/>
                <w:b w:val="0"/>
                <w:color w:val="000000" w:themeColor="text1"/>
                <w:sz w:val="18"/>
                <w:szCs w:val="18"/>
                <w:lang w:eastAsia="en-CA"/>
              </w:rPr>
              <w:t>Population, 2016</w:t>
            </w:r>
          </w:p>
        </w:tc>
        <w:tc>
          <w:tcPr>
            <w:tcW w:w="1201" w:type="dxa"/>
            <w:tcBorders>
              <w:top w:val="single" w:sz="4" w:space="0" w:color="auto"/>
              <w:bottom w:val="nil"/>
            </w:tcBorders>
          </w:tcPr>
          <w:p w14:paraId="79FAF1F5" w14:textId="77777777" w:rsidR="007701DC" w:rsidRPr="00BA6F83" w:rsidRDefault="007701DC" w:rsidP="007701D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747,000</w:t>
            </w:r>
          </w:p>
        </w:tc>
        <w:tc>
          <w:tcPr>
            <w:tcW w:w="811" w:type="dxa"/>
            <w:tcBorders>
              <w:top w:val="single" w:sz="4" w:space="0" w:color="auto"/>
              <w:bottom w:val="nil"/>
            </w:tcBorders>
          </w:tcPr>
          <w:p w14:paraId="2B213D77" w14:textId="77777777" w:rsidR="007701DC" w:rsidRPr="00BA6F83" w:rsidRDefault="007701DC" w:rsidP="007701D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924,000</w:t>
            </w:r>
          </w:p>
        </w:tc>
        <w:tc>
          <w:tcPr>
            <w:tcW w:w="1268" w:type="dxa"/>
            <w:tcBorders>
              <w:top w:val="single" w:sz="4" w:space="0" w:color="auto"/>
              <w:bottom w:val="nil"/>
            </w:tcBorders>
          </w:tcPr>
          <w:p w14:paraId="353FC2A4" w14:textId="77777777" w:rsidR="007701DC" w:rsidRPr="00BA6F83" w:rsidRDefault="007701DC" w:rsidP="007701D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143,000</w:t>
            </w:r>
          </w:p>
        </w:tc>
        <w:tc>
          <w:tcPr>
            <w:tcW w:w="1364" w:type="dxa"/>
            <w:tcBorders>
              <w:top w:val="single" w:sz="4" w:space="0" w:color="auto"/>
              <w:bottom w:val="nil"/>
            </w:tcBorders>
          </w:tcPr>
          <w:p w14:paraId="6A1AE132" w14:textId="77777777" w:rsidR="007701DC" w:rsidRPr="00BA6F83" w:rsidRDefault="007701DC" w:rsidP="007701D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520,000</w:t>
            </w:r>
          </w:p>
        </w:tc>
        <w:tc>
          <w:tcPr>
            <w:tcW w:w="1039" w:type="dxa"/>
            <w:tcBorders>
              <w:top w:val="single" w:sz="4" w:space="0" w:color="auto"/>
              <w:bottom w:val="nil"/>
            </w:tcBorders>
          </w:tcPr>
          <w:p w14:paraId="243E3047" w14:textId="77777777" w:rsidR="007701DC" w:rsidRPr="00BA6F83" w:rsidRDefault="007701DC" w:rsidP="007701D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12,852,000</w:t>
            </w:r>
          </w:p>
        </w:tc>
        <w:tc>
          <w:tcPr>
            <w:tcW w:w="989" w:type="dxa"/>
            <w:tcBorders>
              <w:top w:val="single" w:sz="4" w:space="0" w:color="auto"/>
              <w:bottom w:val="nil"/>
            </w:tcBorders>
          </w:tcPr>
          <w:p w14:paraId="00CEE9F7" w14:textId="77777777" w:rsidR="007701DC" w:rsidRPr="00BA6F83" w:rsidRDefault="007701DC" w:rsidP="007701D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4,400,000</w:t>
            </w:r>
          </w:p>
        </w:tc>
        <w:tc>
          <w:tcPr>
            <w:tcW w:w="1084" w:type="dxa"/>
            <w:tcBorders>
              <w:top w:val="single" w:sz="4" w:space="0" w:color="auto"/>
              <w:bottom w:val="nil"/>
            </w:tcBorders>
          </w:tcPr>
          <w:p w14:paraId="1CF257DD" w14:textId="77777777" w:rsidR="007701DC" w:rsidRPr="00BA6F83" w:rsidRDefault="007701DC" w:rsidP="007701D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35,152,000</w:t>
            </w:r>
          </w:p>
        </w:tc>
      </w:tr>
      <w:tr w:rsidR="007701DC" w:rsidRPr="007701DC" w14:paraId="5C8ADC12" w14:textId="77777777" w:rsidTr="007701DC">
        <w:trPr>
          <w:trHeight w:val="532"/>
        </w:trPr>
        <w:tc>
          <w:tcPr>
            <w:cnfStyle w:val="001000000000" w:firstRow="0" w:lastRow="0" w:firstColumn="1" w:lastColumn="0" w:oddVBand="0" w:evenVBand="0" w:oddHBand="0" w:evenHBand="0" w:firstRowFirstColumn="0" w:firstRowLastColumn="0" w:lastRowFirstColumn="0" w:lastRowLastColumn="0"/>
            <w:tcW w:w="1721" w:type="dxa"/>
            <w:tcBorders>
              <w:top w:val="nil"/>
              <w:bottom w:val="nil"/>
            </w:tcBorders>
          </w:tcPr>
          <w:p w14:paraId="56C92154" w14:textId="77777777" w:rsidR="007701DC" w:rsidRPr="00BA6F83" w:rsidRDefault="007701DC" w:rsidP="007701DC">
            <w:pPr>
              <w:spacing w:before="60" w:afterLines="60" w:after="144"/>
              <w:rPr>
                <w:rFonts w:ascii="Times New Roman" w:eastAsiaTheme="minorEastAsia" w:hAnsi="Times New Roman" w:cs="Times New Roman"/>
                <w:b w:val="0"/>
                <w:color w:val="000000" w:themeColor="text1"/>
                <w:sz w:val="18"/>
                <w:szCs w:val="18"/>
                <w:lang w:eastAsia="en-CA"/>
              </w:rPr>
            </w:pPr>
            <w:r w:rsidRPr="00BA6F83">
              <w:rPr>
                <w:rFonts w:ascii="Times New Roman" w:eastAsiaTheme="minorEastAsia" w:hAnsi="Times New Roman" w:cs="Times New Roman"/>
                <w:b w:val="0"/>
                <w:color w:val="000000" w:themeColor="text1"/>
                <w:sz w:val="18"/>
                <w:szCs w:val="18"/>
                <w:lang w:eastAsia="en-CA"/>
              </w:rPr>
              <w:t>Population change, 2011-2016 (%)</w:t>
            </w:r>
          </w:p>
        </w:tc>
        <w:tc>
          <w:tcPr>
            <w:tcW w:w="1201" w:type="dxa"/>
            <w:tcBorders>
              <w:top w:val="nil"/>
              <w:bottom w:val="nil"/>
            </w:tcBorders>
          </w:tcPr>
          <w:p w14:paraId="7D108105" w14:textId="77777777" w:rsidR="007701DC" w:rsidRPr="00BA6F83" w:rsidRDefault="007701DC" w:rsidP="007701DC">
            <w:pPr>
              <w:spacing w:before="60" w:afterLines="60" w:after="144"/>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-0.5</w:t>
            </w:r>
          </w:p>
        </w:tc>
        <w:tc>
          <w:tcPr>
            <w:tcW w:w="811" w:type="dxa"/>
            <w:tcBorders>
              <w:top w:val="nil"/>
              <w:bottom w:val="nil"/>
            </w:tcBorders>
          </w:tcPr>
          <w:p w14:paraId="7D329BBE" w14:textId="77777777" w:rsidR="007701DC" w:rsidRPr="00BA6F83" w:rsidRDefault="007701DC" w:rsidP="007701DC">
            <w:pPr>
              <w:spacing w:before="60" w:afterLines="60" w:after="144"/>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0.2</w:t>
            </w:r>
          </w:p>
        </w:tc>
        <w:tc>
          <w:tcPr>
            <w:tcW w:w="1268" w:type="dxa"/>
            <w:tcBorders>
              <w:top w:val="nil"/>
              <w:bottom w:val="nil"/>
            </w:tcBorders>
          </w:tcPr>
          <w:p w14:paraId="198DBCD7" w14:textId="77777777" w:rsidR="007701DC" w:rsidRPr="00BA6F83" w:rsidRDefault="007701DC" w:rsidP="007701DC">
            <w:pPr>
              <w:spacing w:before="60" w:afterLines="60" w:after="144"/>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1.9</w:t>
            </w:r>
          </w:p>
        </w:tc>
        <w:tc>
          <w:tcPr>
            <w:tcW w:w="1364" w:type="dxa"/>
            <w:tcBorders>
              <w:top w:val="nil"/>
              <w:bottom w:val="nil"/>
            </w:tcBorders>
          </w:tcPr>
          <w:p w14:paraId="6D923E79" w14:textId="77777777" w:rsidR="007701DC" w:rsidRPr="00BA6F83" w:rsidRDefault="007701DC" w:rsidP="007701DC">
            <w:pPr>
              <w:spacing w:before="60" w:afterLines="60" w:after="144"/>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1</w:t>
            </w:r>
          </w:p>
        </w:tc>
        <w:tc>
          <w:tcPr>
            <w:tcW w:w="1039" w:type="dxa"/>
            <w:tcBorders>
              <w:top w:val="nil"/>
              <w:bottom w:val="nil"/>
            </w:tcBorders>
          </w:tcPr>
          <w:p w14:paraId="1E7394E8" w14:textId="77777777" w:rsidR="007701DC" w:rsidRPr="00BA6F83" w:rsidRDefault="007701DC" w:rsidP="007701DC">
            <w:pPr>
              <w:spacing w:before="60" w:afterLines="60" w:after="144"/>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4.6</w:t>
            </w:r>
          </w:p>
        </w:tc>
        <w:tc>
          <w:tcPr>
            <w:tcW w:w="989" w:type="dxa"/>
            <w:tcBorders>
              <w:top w:val="nil"/>
              <w:bottom w:val="nil"/>
            </w:tcBorders>
          </w:tcPr>
          <w:p w14:paraId="53243FF4" w14:textId="77777777" w:rsidR="007701DC" w:rsidRPr="00BA6F83" w:rsidRDefault="007701DC" w:rsidP="007701DC">
            <w:pPr>
              <w:spacing w:before="60" w:afterLines="60" w:after="144"/>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5.6</w:t>
            </w:r>
          </w:p>
        </w:tc>
        <w:tc>
          <w:tcPr>
            <w:tcW w:w="1084" w:type="dxa"/>
            <w:tcBorders>
              <w:top w:val="nil"/>
              <w:bottom w:val="nil"/>
            </w:tcBorders>
          </w:tcPr>
          <w:p w14:paraId="30B64BE8" w14:textId="77777777" w:rsidR="007701DC" w:rsidRPr="00BA6F83" w:rsidRDefault="007701DC" w:rsidP="007701DC">
            <w:pPr>
              <w:spacing w:before="60" w:afterLines="60" w:after="144"/>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5</w:t>
            </w:r>
          </w:p>
        </w:tc>
      </w:tr>
      <w:tr w:rsidR="007701DC" w:rsidRPr="007701DC" w14:paraId="19C68629" w14:textId="77777777" w:rsidTr="007701DC">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721" w:type="dxa"/>
            <w:tcBorders>
              <w:top w:val="nil"/>
              <w:bottom w:val="nil"/>
            </w:tcBorders>
          </w:tcPr>
          <w:p w14:paraId="562981BE" w14:textId="77777777" w:rsidR="007701DC" w:rsidRPr="00BA6F83" w:rsidRDefault="007701DC" w:rsidP="007701DC">
            <w:pPr>
              <w:spacing w:after="60"/>
              <w:rPr>
                <w:rFonts w:ascii="Times New Roman" w:eastAsiaTheme="minorEastAsia" w:hAnsi="Times New Roman" w:cs="Times New Roman"/>
                <w:b w:val="0"/>
                <w:color w:val="000000" w:themeColor="text1"/>
                <w:sz w:val="18"/>
                <w:szCs w:val="18"/>
                <w:lang w:eastAsia="en-CA"/>
              </w:rPr>
            </w:pPr>
            <w:r w:rsidRPr="00BA6F83">
              <w:rPr>
                <w:rFonts w:ascii="Times New Roman" w:eastAsiaTheme="minorEastAsia" w:hAnsi="Times New Roman" w:cs="Times New Roman"/>
                <w:b w:val="0"/>
                <w:color w:val="000000" w:themeColor="text1"/>
                <w:sz w:val="18"/>
                <w:szCs w:val="18"/>
                <w:lang w:eastAsia="en-CA"/>
              </w:rPr>
              <w:t>Population density, (persons/km</w:t>
            </w:r>
            <w:r w:rsidRPr="00BA6F83">
              <w:rPr>
                <w:rFonts w:ascii="Times New Roman" w:eastAsiaTheme="minorEastAsia" w:hAnsi="Times New Roman" w:cs="Times New Roman"/>
                <w:b w:val="0"/>
                <w:color w:val="000000" w:themeColor="text1"/>
                <w:sz w:val="18"/>
                <w:szCs w:val="18"/>
                <w:vertAlign w:val="superscript"/>
                <w:lang w:eastAsia="en-CA"/>
              </w:rPr>
              <w:t>2</w:t>
            </w:r>
            <w:r w:rsidRPr="00BA6F83">
              <w:rPr>
                <w:rFonts w:ascii="Times New Roman" w:eastAsiaTheme="minorEastAsia" w:hAnsi="Times New Roman" w:cs="Times New Roman"/>
                <w:b w:val="0"/>
                <w:color w:val="000000" w:themeColor="text1"/>
                <w:sz w:val="18"/>
                <w:szCs w:val="18"/>
                <w:lang w:eastAsia="en-CA"/>
              </w:rPr>
              <w:t>)</w:t>
            </w:r>
          </w:p>
        </w:tc>
        <w:tc>
          <w:tcPr>
            <w:tcW w:w="1201" w:type="dxa"/>
            <w:tcBorders>
              <w:top w:val="nil"/>
              <w:bottom w:val="nil"/>
            </w:tcBorders>
          </w:tcPr>
          <w:p w14:paraId="116342BF" w14:textId="77777777" w:rsidR="007701DC" w:rsidRPr="00BA6F83" w:rsidRDefault="007701DC" w:rsidP="007701DC">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10.5</w:t>
            </w:r>
          </w:p>
        </w:tc>
        <w:tc>
          <w:tcPr>
            <w:tcW w:w="811" w:type="dxa"/>
            <w:tcBorders>
              <w:top w:val="nil"/>
              <w:bottom w:val="nil"/>
            </w:tcBorders>
          </w:tcPr>
          <w:p w14:paraId="2804625E" w14:textId="77777777" w:rsidR="007701DC" w:rsidRPr="00BA6F83" w:rsidRDefault="007701DC" w:rsidP="007701DC">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17.4</w:t>
            </w:r>
          </w:p>
        </w:tc>
        <w:tc>
          <w:tcPr>
            <w:tcW w:w="1268" w:type="dxa"/>
            <w:tcBorders>
              <w:top w:val="nil"/>
              <w:bottom w:val="nil"/>
            </w:tcBorders>
          </w:tcPr>
          <w:p w14:paraId="4B3E86D7" w14:textId="77777777" w:rsidR="007701DC" w:rsidRPr="00BA6F83" w:rsidRDefault="007701DC" w:rsidP="007701DC">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25.1</w:t>
            </w:r>
          </w:p>
        </w:tc>
        <w:tc>
          <w:tcPr>
            <w:tcW w:w="1364" w:type="dxa"/>
            <w:tcBorders>
              <w:top w:val="nil"/>
              <w:bottom w:val="nil"/>
            </w:tcBorders>
          </w:tcPr>
          <w:p w14:paraId="38C7C604" w14:textId="77777777" w:rsidR="007701DC" w:rsidRPr="00BA6F83" w:rsidRDefault="007701DC" w:rsidP="007701DC">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1.4</w:t>
            </w:r>
          </w:p>
        </w:tc>
        <w:tc>
          <w:tcPr>
            <w:tcW w:w="1039" w:type="dxa"/>
            <w:tcBorders>
              <w:top w:val="nil"/>
              <w:bottom w:val="nil"/>
            </w:tcBorders>
          </w:tcPr>
          <w:p w14:paraId="63044E1C" w14:textId="77777777" w:rsidR="007701DC" w:rsidRPr="00BA6F83" w:rsidRDefault="007701DC" w:rsidP="007701DC">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14.8</w:t>
            </w:r>
          </w:p>
        </w:tc>
        <w:tc>
          <w:tcPr>
            <w:tcW w:w="989" w:type="dxa"/>
            <w:tcBorders>
              <w:top w:val="nil"/>
              <w:bottom w:val="nil"/>
            </w:tcBorders>
          </w:tcPr>
          <w:p w14:paraId="37356D07" w14:textId="77777777" w:rsidR="007701DC" w:rsidRPr="00BA6F83" w:rsidRDefault="007701DC" w:rsidP="007701DC">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5</w:t>
            </w:r>
          </w:p>
        </w:tc>
        <w:tc>
          <w:tcPr>
            <w:tcW w:w="1084" w:type="dxa"/>
            <w:tcBorders>
              <w:top w:val="nil"/>
              <w:bottom w:val="nil"/>
            </w:tcBorders>
          </w:tcPr>
          <w:p w14:paraId="17A46BC1" w14:textId="77777777" w:rsidR="007701DC" w:rsidRPr="00BA6F83" w:rsidRDefault="007701DC" w:rsidP="007701DC">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3.9</w:t>
            </w:r>
          </w:p>
        </w:tc>
      </w:tr>
      <w:tr w:rsidR="007701DC" w:rsidRPr="007701DC" w14:paraId="3F1E48EF" w14:textId="77777777" w:rsidTr="007701DC">
        <w:trPr>
          <w:trHeight w:val="245"/>
        </w:trPr>
        <w:tc>
          <w:tcPr>
            <w:cnfStyle w:val="001000000000" w:firstRow="0" w:lastRow="0" w:firstColumn="1" w:lastColumn="0" w:oddVBand="0" w:evenVBand="0" w:oddHBand="0" w:evenHBand="0" w:firstRowFirstColumn="0" w:firstRowLastColumn="0" w:lastRowFirstColumn="0" w:lastRowLastColumn="0"/>
            <w:tcW w:w="1721" w:type="dxa"/>
            <w:tcBorders>
              <w:top w:val="nil"/>
              <w:bottom w:val="nil"/>
            </w:tcBorders>
          </w:tcPr>
          <w:p w14:paraId="70158B76" w14:textId="2A265A0C" w:rsidR="007701DC" w:rsidRPr="00BA6F83" w:rsidRDefault="007701DC" w:rsidP="007701DC">
            <w:pPr>
              <w:spacing w:before="60"/>
              <w:rPr>
                <w:rFonts w:ascii="Times New Roman" w:eastAsiaTheme="minorEastAsia" w:hAnsi="Times New Roman" w:cs="Times New Roman"/>
                <w:b w:val="0"/>
                <w:color w:val="000000" w:themeColor="text1"/>
                <w:sz w:val="18"/>
                <w:szCs w:val="18"/>
                <w:lang w:eastAsia="en-CA"/>
              </w:rPr>
            </w:pPr>
            <w:r w:rsidRPr="00BA6F83">
              <w:rPr>
                <w:rFonts w:ascii="Times New Roman" w:eastAsiaTheme="minorEastAsia" w:hAnsi="Times New Roman" w:cs="Times New Roman"/>
                <w:b w:val="0"/>
                <w:color w:val="000000" w:themeColor="text1"/>
                <w:sz w:val="18"/>
                <w:szCs w:val="18"/>
                <w:lang w:eastAsia="en-CA"/>
              </w:rPr>
              <w:t>Ages 014 (%)</w:t>
            </w:r>
          </w:p>
        </w:tc>
        <w:tc>
          <w:tcPr>
            <w:tcW w:w="1201" w:type="dxa"/>
            <w:tcBorders>
              <w:top w:val="nil"/>
              <w:bottom w:val="nil"/>
            </w:tcBorders>
          </w:tcPr>
          <w:p w14:paraId="05943365" w14:textId="77777777" w:rsidR="007701DC" w:rsidRPr="00BA6F83" w:rsidRDefault="007701DC" w:rsidP="007701DC">
            <w:pPr>
              <w:spacing w:before="6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15</w:t>
            </w:r>
          </w:p>
        </w:tc>
        <w:tc>
          <w:tcPr>
            <w:tcW w:w="811" w:type="dxa"/>
            <w:tcBorders>
              <w:top w:val="nil"/>
              <w:bottom w:val="nil"/>
            </w:tcBorders>
          </w:tcPr>
          <w:p w14:paraId="2184512E" w14:textId="77777777" w:rsidR="007701DC" w:rsidRPr="00BA6F83" w:rsidRDefault="007701DC" w:rsidP="007701DC">
            <w:pPr>
              <w:spacing w:before="6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14</w:t>
            </w:r>
          </w:p>
        </w:tc>
        <w:tc>
          <w:tcPr>
            <w:tcW w:w="1268" w:type="dxa"/>
            <w:tcBorders>
              <w:top w:val="nil"/>
              <w:bottom w:val="nil"/>
            </w:tcBorders>
          </w:tcPr>
          <w:p w14:paraId="6C2B20FC" w14:textId="77777777" w:rsidR="007701DC" w:rsidRPr="00BA6F83" w:rsidRDefault="007701DC" w:rsidP="007701DC">
            <w:pPr>
              <w:spacing w:before="6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16</w:t>
            </w:r>
          </w:p>
        </w:tc>
        <w:tc>
          <w:tcPr>
            <w:tcW w:w="1364" w:type="dxa"/>
            <w:tcBorders>
              <w:top w:val="nil"/>
              <w:bottom w:val="nil"/>
            </w:tcBorders>
          </w:tcPr>
          <w:p w14:paraId="4D9D4421" w14:textId="77777777" w:rsidR="007701DC" w:rsidRPr="00BA6F83" w:rsidRDefault="007701DC" w:rsidP="007701DC">
            <w:pPr>
              <w:spacing w:before="6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14</w:t>
            </w:r>
          </w:p>
        </w:tc>
        <w:tc>
          <w:tcPr>
            <w:tcW w:w="1039" w:type="dxa"/>
            <w:tcBorders>
              <w:top w:val="nil"/>
              <w:bottom w:val="nil"/>
            </w:tcBorders>
          </w:tcPr>
          <w:p w14:paraId="254B8513" w14:textId="77777777" w:rsidR="007701DC" w:rsidRPr="00BA6F83" w:rsidRDefault="007701DC" w:rsidP="007701DC">
            <w:pPr>
              <w:spacing w:before="6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16</w:t>
            </w:r>
          </w:p>
        </w:tc>
        <w:tc>
          <w:tcPr>
            <w:tcW w:w="989" w:type="dxa"/>
            <w:tcBorders>
              <w:top w:val="nil"/>
              <w:bottom w:val="nil"/>
            </w:tcBorders>
          </w:tcPr>
          <w:p w14:paraId="5D3CF0A2" w14:textId="77777777" w:rsidR="007701DC" w:rsidRPr="00BA6F83" w:rsidRDefault="007701DC" w:rsidP="007701DC">
            <w:pPr>
              <w:spacing w:before="6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15</w:t>
            </w:r>
          </w:p>
        </w:tc>
        <w:tc>
          <w:tcPr>
            <w:tcW w:w="1084" w:type="dxa"/>
            <w:tcBorders>
              <w:top w:val="nil"/>
              <w:bottom w:val="nil"/>
            </w:tcBorders>
          </w:tcPr>
          <w:p w14:paraId="05E862AD" w14:textId="77777777" w:rsidR="007701DC" w:rsidRPr="00BA6F83" w:rsidRDefault="007701DC" w:rsidP="007701DC">
            <w:pPr>
              <w:spacing w:before="6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17</w:t>
            </w:r>
          </w:p>
        </w:tc>
      </w:tr>
      <w:tr w:rsidR="007701DC" w:rsidRPr="007701DC" w14:paraId="7DBFD80E" w14:textId="77777777" w:rsidTr="007701DC">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721" w:type="dxa"/>
            <w:tcBorders>
              <w:top w:val="nil"/>
              <w:bottom w:val="nil"/>
            </w:tcBorders>
          </w:tcPr>
          <w:p w14:paraId="07E0DA9C" w14:textId="77777777" w:rsidR="007701DC" w:rsidRPr="00BA6F83" w:rsidRDefault="007701DC" w:rsidP="007701DC">
            <w:pPr>
              <w:spacing w:before="60"/>
              <w:rPr>
                <w:rFonts w:ascii="Times New Roman" w:eastAsiaTheme="minorEastAsia" w:hAnsi="Times New Roman" w:cs="Times New Roman"/>
                <w:b w:val="0"/>
                <w:color w:val="000000" w:themeColor="text1"/>
                <w:sz w:val="18"/>
                <w:szCs w:val="18"/>
                <w:lang w:eastAsia="en-CA"/>
              </w:rPr>
            </w:pPr>
            <w:r w:rsidRPr="00BA6F83">
              <w:rPr>
                <w:rFonts w:ascii="Times New Roman" w:eastAsiaTheme="minorEastAsia" w:hAnsi="Times New Roman" w:cs="Times New Roman"/>
                <w:b w:val="0"/>
                <w:color w:val="000000" w:themeColor="text1"/>
                <w:sz w:val="18"/>
                <w:szCs w:val="18"/>
                <w:lang w:eastAsia="en-CA"/>
              </w:rPr>
              <w:t>Ages 15-64 (%)</w:t>
            </w:r>
          </w:p>
        </w:tc>
        <w:tc>
          <w:tcPr>
            <w:tcW w:w="1201" w:type="dxa"/>
            <w:tcBorders>
              <w:top w:val="nil"/>
              <w:bottom w:val="nil"/>
            </w:tcBorders>
          </w:tcPr>
          <w:p w14:paraId="582F47B8" w14:textId="77777777" w:rsidR="007701DC" w:rsidRPr="00BA6F83" w:rsidRDefault="007701DC" w:rsidP="007701DC">
            <w:pPr>
              <w:spacing w:before="6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65</w:t>
            </w:r>
          </w:p>
        </w:tc>
        <w:tc>
          <w:tcPr>
            <w:tcW w:w="811" w:type="dxa"/>
            <w:tcBorders>
              <w:top w:val="nil"/>
              <w:bottom w:val="nil"/>
            </w:tcBorders>
          </w:tcPr>
          <w:p w14:paraId="28DF4EC3" w14:textId="77777777" w:rsidR="007701DC" w:rsidRPr="00BA6F83" w:rsidRDefault="007701DC" w:rsidP="007701DC">
            <w:pPr>
              <w:spacing w:before="6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66</w:t>
            </w:r>
          </w:p>
        </w:tc>
        <w:tc>
          <w:tcPr>
            <w:tcW w:w="1268" w:type="dxa"/>
            <w:tcBorders>
              <w:top w:val="nil"/>
              <w:bottom w:val="nil"/>
            </w:tcBorders>
          </w:tcPr>
          <w:p w14:paraId="19DD5E6B" w14:textId="77777777" w:rsidR="007701DC" w:rsidRPr="00BA6F83" w:rsidRDefault="007701DC" w:rsidP="007701DC">
            <w:pPr>
              <w:spacing w:before="6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65</w:t>
            </w:r>
          </w:p>
        </w:tc>
        <w:tc>
          <w:tcPr>
            <w:tcW w:w="1364" w:type="dxa"/>
            <w:tcBorders>
              <w:top w:val="nil"/>
              <w:bottom w:val="nil"/>
            </w:tcBorders>
          </w:tcPr>
          <w:p w14:paraId="5C7BDE99" w14:textId="77777777" w:rsidR="007701DC" w:rsidRPr="00BA6F83" w:rsidRDefault="007701DC" w:rsidP="007701DC">
            <w:pPr>
              <w:spacing w:before="6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66</w:t>
            </w:r>
          </w:p>
        </w:tc>
        <w:tc>
          <w:tcPr>
            <w:tcW w:w="1039" w:type="dxa"/>
            <w:tcBorders>
              <w:top w:val="nil"/>
              <w:bottom w:val="nil"/>
            </w:tcBorders>
          </w:tcPr>
          <w:p w14:paraId="17178879" w14:textId="77777777" w:rsidR="007701DC" w:rsidRPr="00BA6F83" w:rsidRDefault="007701DC" w:rsidP="007701DC">
            <w:pPr>
              <w:spacing w:before="6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67</w:t>
            </w:r>
          </w:p>
        </w:tc>
        <w:tc>
          <w:tcPr>
            <w:tcW w:w="989" w:type="dxa"/>
            <w:tcBorders>
              <w:top w:val="nil"/>
              <w:bottom w:val="nil"/>
            </w:tcBorders>
          </w:tcPr>
          <w:p w14:paraId="7CDB4B37" w14:textId="77777777" w:rsidR="007701DC" w:rsidRPr="00BA6F83" w:rsidRDefault="007701DC" w:rsidP="007701DC">
            <w:pPr>
              <w:spacing w:before="6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67</w:t>
            </w:r>
          </w:p>
        </w:tc>
        <w:tc>
          <w:tcPr>
            <w:tcW w:w="1084" w:type="dxa"/>
            <w:tcBorders>
              <w:top w:val="nil"/>
              <w:bottom w:val="nil"/>
            </w:tcBorders>
          </w:tcPr>
          <w:p w14:paraId="03E18534" w14:textId="77777777" w:rsidR="007701DC" w:rsidRPr="00BA6F83" w:rsidRDefault="007701DC" w:rsidP="007701DC">
            <w:pPr>
              <w:spacing w:before="6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67</w:t>
            </w:r>
          </w:p>
        </w:tc>
      </w:tr>
      <w:tr w:rsidR="007701DC" w:rsidRPr="007701DC" w14:paraId="31C93DF0" w14:textId="77777777" w:rsidTr="007701DC">
        <w:trPr>
          <w:trHeight w:val="328"/>
        </w:trPr>
        <w:tc>
          <w:tcPr>
            <w:cnfStyle w:val="001000000000" w:firstRow="0" w:lastRow="0" w:firstColumn="1" w:lastColumn="0" w:oddVBand="0" w:evenVBand="0" w:oddHBand="0" w:evenHBand="0" w:firstRowFirstColumn="0" w:firstRowLastColumn="0" w:lastRowFirstColumn="0" w:lastRowLastColumn="0"/>
            <w:tcW w:w="1721" w:type="dxa"/>
            <w:tcBorders>
              <w:top w:val="nil"/>
              <w:bottom w:val="nil"/>
            </w:tcBorders>
          </w:tcPr>
          <w:p w14:paraId="43D08BD2" w14:textId="77777777" w:rsidR="007701DC" w:rsidRPr="00BA6F83" w:rsidRDefault="007701DC" w:rsidP="007701DC">
            <w:pPr>
              <w:spacing w:before="60" w:afterLines="60" w:after="144"/>
              <w:rPr>
                <w:rFonts w:ascii="Times New Roman" w:eastAsiaTheme="minorEastAsia" w:hAnsi="Times New Roman" w:cs="Times New Roman"/>
                <w:b w:val="0"/>
                <w:color w:val="000000" w:themeColor="text1"/>
                <w:sz w:val="18"/>
                <w:szCs w:val="18"/>
                <w:lang w:eastAsia="en-CA"/>
              </w:rPr>
            </w:pPr>
            <w:r w:rsidRPr="00BA6F83">
              <w:rPr>
                <w:rFonts w:ascii="Times New Roman" w:eastAsiaTheme="minorEastAsia" w:hAnsi="Times New Roman" w:cs="Times New Roman"/>
                <w:b w:val="0"/>
                <w:color w:val="000000" w:themeColor="text1"/>
                <w:sz w:val="18"/>
                <w:szCs w:val="18"/>
                <w:lang w:eastAsia="en-CA"/>
              </w:rPr>
              <w:t>Ages 65+ (%)</w:t>
            </w:r>
          </w:p>
        </w:tc>
        <w:tc>
          <w:tcPr>
            <w:tcW w:w="1201" w:type="dxa"/>
            <w:tcBorders>
              <w:top w:val="nil"/>
              <w:bottom w:val="nil"/>
            </w:tcBorders>
          </w:tcPr>
          <w:p w14:paraId="3290BF25" w14:textId="77777777" w:rsidR="007701DC" w:rsidRPr="00BA6F83" w:rsidRDefault="007701DC" w:rsidP="007701DC">
            <w:pPr>
              <w:spacing w:before="60" w:afterLines="60" w:after="144"/>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20</w:t>
            </w:r>
          </w:p>
        </w:tc>
        <w:tc>
          <w:tcPr>
            <w:tcW w:w="811" w:type="dxa"/>
            <w:tcBorders>
              <w:top w:val="nil"/>
              <w:bottom w:val="nil"/>
            </w:tcBorders>
          </w:tcPr>
          <w:p w14:paraId="7601CFB2" w14:textId="77777777" w:rsidR="007701DC" w:rsidRPr="00BA6F83" w:rsidRDefault="007701DC" w:rsidP="007701DC">
            <w:pPr>
              <w:spacing w:before="60" w:afterLines="60" w:after="144"/>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20</w:t>
            </w:r>
          </w:p>
        </w:tc>
        <w:tc>
          <w:tcPr>
            <w:tcW w:w="1268" w:type="dxa"/>
            <w:tcBorders>
              <w:top w:val="nil"/>
              <w:bottom w:val="nil"/>
            </w:tcBorders>
          </w:tcPr>
          <w:p w14:paraId="3E89D706" w14:textId="77777777" w:rsidR="007701DC" w:rsidRPr="00BA6F83" w:rsidRDefault="007701DC" w:rsidP="007701DC">
            <w:pPr>
              <w:spacing w:before="60" w:afterLines="60" w:after="144"/>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19</w:t>
            </w:r>
          </w:p>
        </w:tc>
        <w:tc>
          <w:tcPr>
            <w:tcW w:w="1364" w:type="dxa"/>
            <w:tcBorders>
              <w:top w:val="nil"/>
              <w:bottom w:val="nil"/>
            </w:tcBorders>
          </w:tcPr>
          <w:p w14:paraId="490AE8A8" w14:textId="77777777" w:rsidR="007701DC" w:rsidRPr="00BA6F83" w:rsidRDefault="007701DC" w:rsidP="007701DC">
            <w:pPr>
              <w:spacing w:before="60" w:afterLines="60" w:after="144"/>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19</w:t>
            </w:r>
          </w:p>
        </w:tc>
        <w:tc>
          <w:tcPr>
            <w:tcW w:w="1039" w:type="dxa"/>
            <w:tcBorders>
              <w:top w:val="nil"/>
              <w:bottom w:val="nil"/>
            </w:tcBorders>
          </w:tcPr>
          <w:p w14:paraId="428C48F3" w14:textId="77777777" w:rsidR="007701DC" w:rsidRPr="00BA6F83" w:rsidRDefault="007701DC" w:rsidP="007701DC">
            <w:pPr>
              <w:spacing w:before="60" w:afterLines="60" w:after="144"/>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17</w:t>
            </w:r>
          </w:p>
        </w:tc>
        <w:tc>
          <w:tcPr>
            <w:tcW w:w="989" w:type="dxa"/>
            <w:tcBorders>
              <w:top w:val="nil"/>
              <w:bottom w:val="nil"/>
            </w:tcBorders>
          </w:tcPr>
          <w:p w14:paraId="1AD77CE7" w14:textId="77777777" w:rsidR="007701DC" w:rsidRPr="00BA6F83" w:rsidRDefault="007701DC" w:rsidP="007701DC">
            <w:pPr>
              <w:spacing w:before="60" w:afterLines="60" w:after="144"/>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18</w:t>
            </w:r>
          </w:p>
        </w:tc>
        <w:tc>
          <w:tcPr>
            <w:tcW w:w="1084" w:type="dxa"/>
            <w:tcBorders>
              <w:top w:val="nil"/>
              <w:bottom w:val="nil"/>
            </w:tcBorders>
          </w:tcPr>
          <w:p w14:paraId="57DF6F9A" w14:textId="77777777" w:rsidR="007701DC" w:rsidRPr="00BA6F83" w:rsidRDefault="007701DC" w:rsidP="007701DC">
            <w:pPr>
              <w:spacing w:before="60" w:afterLines="60" w:after="144"/>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17</w:t>
            </w:r>
          </w:p>
        </w:tc>
      </w:tr>
      <w:tr w:rsidR="007701DC" w:rsidRPr="007701DC" w14:paraId="499CF4D4" w14:textId="77777777" w:rsidTr="00555F82">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721" w:type="dxa"/>
            <w:tcBorders>
              <w:top w:val="nil"/>
              <w:bottom w:val="nil"/>
            </w:tcBorders>
          </w:tcPr>
          <w:p w14:paraId="1059F59C" w14:textId="77777777" w:rsidR="007701DC" w:rsidRPr="00BA6F83" w:rsidRDefault="007701DC" w:rsidP="007701DC">
            <w:pPr>
              <w:spacing w:before="60" w:after="60"/>
              <w:rPr>
                <w:rFonts w:ascii="Times New Roman" w:eastAsiaTheme="minorEastAsia" w:hAnsi="Times New Roman" w:cs="Times New Roman"/>
                <w:b w:val="0"/>
                <w:color w:val="000000" w:themeColor="text1"/>
                <w:sz w:val="18"/>
                <w:szCs w:val="18"/>
                <w:lang w:eastAsia="en-CA"/>
              </w:rPr>
            </w:pPr>
            <w:r w:rsidRPr="00BA6F83">
              <w:rPr>
                <w:rFonts w:ascii="Times New Roman" w:eastAsiaTheme="minorEastAsia" w:hAnsi="Times New Roman" w:cs="Times New Roman"/>
                <w:b w:val="0"/>
                <w:color w:val="000000" w:themeColor="text1"/>
                <w:sz w:val="18"/>
                <w:szCs w:val="18"/>
                <w:lang w:eastAsia="en-CA"/>
              </w:rPr>
              <w:t>Median household income (2015 $)</w:t>
            </w:r>
          </w:p>
        </w:tc>
        <w:tc>
          <w:tcPr>
            <w:tcW w:w="1201" w:type="dxa"/>
            <w:tcBorders>
              <w:top w:val="nil"/>
              <w:bottom w:val="nil"/>
            </w:tcBorders>
          </w:tcPr>
          <w:p w14:paraId="663017D8" w14:textId="77777777" w:rsidR="007701DC" w:rsidRPr="00BA6F83" w:rsidRDefault="007701DC" w:rsidP="007701D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59,300</w:t>
            </w:r>
          </w:p>
        </w:tc>
        <w:tc>
          <w:tcPr>
            <w:tcW w:w="811" w:type="dxa"/>
            <w:tcBorders>
              <w:top w:val="nil"/>
              <w:bottom w:val="nil"/>
            </w:tcBorders>
          </w:tcPr>
          <w:p w14:paraId="5E0F9FD2" w14:textId="77777777" w:rsidR="007701DC" w:rsidRPr="00BA6F83" w:rsidRDefault="007701DC" w:rsidP="007701D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60,800</w:t>
            </w:r>
          </w:p>
        </w:tc>
        <w:tc>
          <w:tcPr>
            <w:tcW w:w="1268" w:type="dxa"/>
            <w:tcBorders>
              <w:top w:val="nil"/>
              <w:bottom w:val="nil"/>
            </w:tcBorders>
          </w:tcPr>
          <w:p w14:paraId="187319C7" w14:textId="77777777" w:rsidR="007701DC" w:rsidRPr="00BA6F83" w:rsidRDefault="007701DC" w:rsidP="007701D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61,200</w:t>
            </w:r>
          </w:p>
        </w:tc>
        <w:tc>
          <w:tcPr>
            <w:tcW w:w="1364" w:type="dxa"/>
            <w:tcBorders>
              <w:top w:val="nil"/>
              <w:bottom w:val="nil"/>
            </w:tcBorders>
          </w:tcPr>
          <w:p w14:paraId="12B09CA5" w14:textId="77777777" w:rsidR="007701DC" w:rsidRPr="00BA6F83" w:rsidRDefault="007701DC" w:rsidP="007701D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67,300</w:t>
            </w:r>
          </w:p>
        </w:tc>
        <w:tc>
          <w:tcPr>
            <w:tcW w:w="1039" w:type="dxa"/>
            <w:tcBorders>
              <w:top w:val="nil"/>
              <w:bottom w:val="nil"/>
            </w:tcBorders>
          </w:tcPr>
          <w:p w14:paraId="1C762602" w14:textId="77777777" w:rsidR="007701DC" w:rsidRPr="00BA6F83" w:rsidRDefault="007701DC" w:rsidP="007701D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74,000</w:t>
            </w:r>
          </w:p>
        </w:tc>
        <w:tc>
          <w:tcPr>
            <w:tcW w:w="989" w:type="dxa"/>
            <w:tcBorders>
              <w:top w:val="nil"/>
              <w:bottom w:val="nil"/>
            </w:tcBorders>
          </w:tcPr>
          <w:p w14:paraId="7B9CD9D0" w14:textId="77777777" w:rsidR="007701DC" w:rsidRPr="00BA6F83" w:rsidRDefault="007701DC" w:rsidP="007701D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70,000</w:t>
            </w:r>
          </w:p>
        </w:tc>
        <w:tc>
          <w:tcPr>
            <w:tcW w:w="1084" w:type="dxa"/>
            <w:tcBorders>
              <w:top w:val="nil"/>
              <w:bottom w:val="nil"/>
            </w:tcBorders>
          </w:tcPr>
          <w:p w14:paraId="4B5CFE84" w14:textId="77777777" w:rsidR="007701DC" w:rsidRPr="00BA6F83" w:rsidRDefault="007701DC" w:rsidP="007701D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70,300</w:t>
            </w:r>
          </w:p>
        </w:tc>
      </w:tr>
      <w:tr w:rsidR="007701DC" w:rsidRPr="007701DC" w14:paraId="29BA0585" w14:textId="77777777" w:rsidTr="00555F82">
        <w:trPr>
          <w:trHeight w:val="580"/>
        </w:trPr>
        <w:tc>
          <w:tcPr>
            <w:cnfStyle w:val="001000000000" w:firstRow="0" w:lastRow="0" w:firstColumn="1" w:lastColumn="0" w:oddVBand="0" w:evenVBand="0" w:oddHBand="0" w:evenHBand="0" w:firstRowFirstColumn="0" w:firstRowLastColumn="0" w:lastRowFirstColumn="0" w:lastRowLastColumn="0"/>
            <w:tcW w:w="1721" w:type="dxa"/>
            <w:tcBorders>
              <w:top w:val="nil"/>
              <w:bottom w:val="single" w:sz="4" w:space="0" w:color="auto"/>
            </w:tcBorders>
          </w:tcPr>
          <w:p w14:paraId="256951EB" w14:textId="77777777" w:rsidR="007701DC" w:rsidRPr="00BA6F83" w:rsidRDefault="007701DC" w:rsidP="007701DC">
            <w:pPr>
              <w:rPr>
                <w:rFonts w:ascii="Times New Roman" w:eastAsiaTheme="minorEastAsia" w:hAnsi="Times New Roman" w:cs="Times New Roman"/>
                <w:b w:val="0"/>
                <w:color w:val="000000" w:themeColor="text1"/>
                <w:sz w:val="18"/>
                <w:szCs w:val="18"/>
                <w:lang w:eastAsia="en-CA"/>
              </w:rPr>
            </w:pPr>
            <w:r w:rsidRPr="00BA6F83">
              <w:rPr>
                <w:rFonts w:ascii="Times New Roman" w:eastAsiaTheme="minorEastAsia" w:hAnsi="Times New Roman" w:cs="Times New Roman"/>
                <w:b w:val="0"/>
                <w:color w:val="000000" w:themeColor="text1"/>
                <w:sz w:val="18"/>
                <w:szCs w:val="18"/>
                <w:lang w:eastAsia="en-CA"/>
              </w:rPr>
              <w:t>% using public transit to get to work, 2016</w:t>
            </w:r>
          </w:p>
        </w:tc>
        <w:tc>
          <w:tcPr>
            <w:tcW w:w="1201" w:type="dxa"/>
            <w:tcBorders>
              <w:top w:val="nil"/>
              <w:bottom w:val="single" w:sz="4" w:space="0" w:color="auto"/>
            </w:tcBorders>
          </w:tcPr>
          <w:p w14:paraId="5478633C"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2.3</w:t>
            </w:r>
          </w:p>
        </w:tc>
        <w:tc>
          <w:tcPr>
            <w:tcW w:w="811" w:type="dxa"/>
            <w:tcBorders>
              <w:top w:val="nil"/>
              <w:bottom w:val="single" w:sz="4" w:space="0" w:color="auto"/>
            </w:tcBorders>
          </w:tcPr>
          <w:p w14:paraId="2983DDD9"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6.4</w:t>
            </w:r>
          </w:p>
        </w:tc>
        <w:tc>
          <w:tcPr>
            <w:tcW w:w="1268" w:type="dxa"/>
            <w:tcBorders>
              <w:top w:val="nil"/>
              <w:bottom w:val="single" w:sz="4" w:space="0" w:color="auto"/>
            </w:tcBorders>
          </w:tcPr>
          <w:p w14:paraId="42E29AA2"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1.3</w:t>
            </w:r>
          </w:p>
        </w:tc>
        <w:tc>
          <w:tcPr>
            <w:tcW w:w="1364" w:type="dxa"/>
            <w:tcBorders>
              <w:top w:val="nil"/>
              <w:bottom w:val="single" w:sz="4" w:space="0" w:color="auto"/>
            </w:tcBorders>
          </w:tcPr>
          <w:p w14:paraId="0A5319AA"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2.5</w:t>
            </w:r>
          </w:p>
        </w:tc>
        <w:tc>
          <w:tcPr>
            <w:tcW w:w="1039" w:type="dxa"/>
            <w:tcBorders>
              <w:top w:val="nil"/>
              <w:bottom w:val="single" w:sz="4" w:space="0" w:color="auto"/>
            </w:tcBorders>
          </w:tcPr>
          <w:p w14:paraId="310C35F2"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14.6</w:t>
            </w:r>
          </w:p>
        </w:tc>
        <w:tc>
          <w:tcPr>
            <w:tcW w:w="989" w:type="dxa"/>
            <w:tcBorders>
              <w:top w:val="nil"/>
              <w:bottom w:val="single" w:sz="4" w:space="0" w:color="auto"/>
            </w:tcBorders>
          </w:tcPr>
          <w:p w14:paraId="3C7E5EAE"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13.1</w:t>
            </w:r>
          </w:p>
        </w:tc>
        <w:tc>
          <w:tcPr>
            <w:tcW w:w="1084" w:type="dxa"/>
            <w:tcBorders>
              <w:top w:val="nil"/>
              <w:bottom w:val="single" w:sz="4" w:space="0" w:color="auto"/>
            </w:tcBorders>
          </w:tcPr>
          <w:p w14:paraId="570303EA"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18"/>
                <w:szCs w:val="18"/>
                <w:lang w:eastAsia="en-CA"/>
              </w:rPr>
            </w:pPr>
            <w:r w:rsidRPr="00BA6F83">
              <w:rPr>
                <w:rFonts w:ascii="Times New Roman" w:eastAsiaTheme="minorEastAsia" w:hAnsi="Times New Roman" w:cs="Times New Roman"/>
                <w:color w:val="000000" w:themeColor="text1"/>
                <w:sz w:val="18"/>
                <w:szCs w:val="18"/>
                <w:lang w:eastAsia="en-CA"/>
              </w:rPr>
              <w:t>12.4</w:t>
            </w:r>
          </w:p>
        </w:tc>
      </w:tr>
    </w:tbl>
    <w:p w14:paraId="259E79E6" w14:textId="77777777" w:rsidR="003C3597" w:rsidRPr="0014385C" w:rsidRDefault="003C3597" w:rsidP="00E1100F">
      <w:pPr>
        <w:pStyle w:val="Heading2"/>
        <w:numPr>
          <w:ilvl w:val="1"/>
          <w:numId w:val="11"/>
        </w:numPr>
        <w:rPr>
          <w:rFonts w:ascii="Times New Roman" w:hAnsi="Times New Roman"/>
          <w:bCs/>
          <w:color w:val="000000"/>
        </w:rPr>
      </w:pPr>
      <w:bookmarkStart w:id="61" w:name="_Toc528650873"/>
      <w:r w:rsidRPr="0014385C">
        <w:rPr>
          <w:rFonts w:ascii="Times New Roman" w:hAnsi="Times New Roman"/>
          <w:bCs/>
          <w:color w:val="000000"/>
        </w:rPr>
        <w:t>SPACE Survey</w:t>
      </w:r>
      <w:bookmarkEnd w:id="61"/>
    </w:p>
    <w:p w14:paraId="4BB726C6" w14:textId="0072145B"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The data for this analysis come from a survey developed to measure Canadian households’ preferences and attitudes for electric vehicles and to assess their sensitivities to various attributes of said vehicles. SPACE (</w:t>
      </w:r>
      <w:r w:rsidRPr="003C3597">
        <w:rPr>
          <w:rFonts w:ascii="Times New Roman" w:hAnsi="Times New Roman" w:cs="Times New Roman"/>
          <w:b/>
          <w:color w:val="000000"/>
        </w:rPr>
        <w:t>S</w:t>
      </w:r>
      <w:r w:rsidRPr="003C3597">
        <w:rPr>
          <w:rFonts w:ascii="Times New Roman" w:hAnsi="Times New Roman" w:cs="Times New Roman"/>
          <w:color w:val="000000"/>
        </w:rPr>
        <w:t xml:space="preserve">urvey for </w:t>
      </w:r>
      <w:r w:rsidRPr="003C3597">
        <w:rPr>
          <w:rFonts w:ascii="Times New Roman" w:hAnsi="Times New Roman" w:cs="Times New Roman"/>
          <w:b/>
          <w:color w:val="000000"/>
        </w:rPr>
        <w:t>P</w:t>
      </w:r>
      <w:r w:rsidRPr="003C3597">
        <w:rPr>
          <w:rFonts w:ascii="Times New Roman" w:hAnsi="Times New Roman" w:cs="Times New Roman"/>
          <w:color w:val="000000"/>
        </w:rPr>
        <w:t xml:space="preserve">references and </w:t>
      </w:r>
      <w:r w:rsidRPr="003C3597">
        <w:rPr>
          <w:rFonts w:ascii="Times New Roman" w:hAnsi="Times New Roman" w:cs="Times New Roman"/>
          <w:b/>
          <w:color w:val="000000"/>
        </w:rPr>
        <w:t>A</w:t>
      </w:r>
      <w:r w:rsidRPr="003C3597">
        <w:rPr>
          <w:rFonts w:ascii="Times New Roman" w:hAnsi="Times New Roman" w:cs="Times New Roman"/>
          <w:color w:val="000000"/>
        </w:rPr>
        <w:t xml:space="preserve">ttitudes of </w:t>
      </w:r>
      <w:r w:rsidRPr="003C3597">
        <w:rPr>
          <w:rFonts w:ascii="Times New Roman" w:hAnsi="Times New Roman" w:cs="Times New Roman"/>
          <w:b/>
          <w:color w:val="000000"/>
        </w:rPr>
        <w:t>C</w:t>
      </w:r>
      <w:r w:rsidRPr="003C3597">
        <w:rPr>
          <w:rFonts w:ascii="Times New Roman" w:hAnsi="Times New Roman" w:cs="Times New Roman"/>
          <w:color w:val="000000"/>
        </w:rPr>
        <w:t xml:space="preserve">anadians towards </w:t>
      </w:r>
      <w:r w:rsidRPr="003C3597">
        <w:rPr>
          <w:rFonts w:ascii="Times New Roman" w:hAnsi="Times New Roman" w:cs="Times New Roman"/>
          <w:b/>
          <w:color w:val="000000"/>
        </w:rPr>
        <w:t>E</w:t>
      </w:r>
      <w:r w:rsidRPr="003C3597">
        <w:rPr>
          <w:rFonts w:ascii="Times New Roman" w:hAnsi="Times New Roman" w:cs="Times New Roman"/>
          <w:color w:val="000000"/>
        </w:rPr>
        <w:t>lectric Vehicles) was administered in May-June 2015 to a panel of approximately 20,000 Canadian households. It was stratified with the less populous provinces more heavily sampled to ensure that an adequate number of respondents from all provinces was provided. For instance, the less-populated provinces of Atlantic Canada, which are investigated in this study, were proportionally over-sampled. Also, the survey was made available in both of Canada’s official languages –</w:t>
      </w:r>
      <w:r w:rsidR="00C57385">
        <w:rPr>
          <w:rFonts w:ascii="Times New Roman" w:hAnsi="Times New Roman" w:cs="Times New Roman"/>
          <w:color w:val="000000"/>
        </w:rPr>
        <w:t xml:space="preserve"> </w:t>
      </w:r>
      <w:r w:rsidRPr="003C3597">
        <w:rPr>
          <w:rFonts w:ascii="Times New Roman" w:hAnsi="Times New Roman" w:cs="Times New Roman"/>
          <w:color w:val="000000"/>
        </w:rPr>
        <w:t>English and French.</w:t>
      </w:r>
    </w:p>
    <w:p w14:paraId="4C5758F0" w14:textId="18A87525"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lastRenderedPageBreak/>
        <w:t>SPACE started with three screening questions to ensure that the realized sample would match the target population. Respondents needed to be 18 years or older, have some intention to purchase a vehicle within the next several years, and be one of the decision makers in their households. The latter question was to emphasize a respondent’s role as household representative. Additionally, we removed respondents who were ‘not at all likely’ to buy a vehicle in the foreseeable future to ensure a sample representative of potential car buyers</w:t>
      </w:r>
      <w:r w:rsidR="00C57385">
        <w:rPr>
          <w:rFonts w:ascii="Times New Roman" w:hAnsi="Times New Roman" w:cs="Times New Roman"/>
          <w:color w:val="000000"/>
        </w:rPr>
        <w:t xml:space="preserve"> </w:t>
      </w:r>
      <w:r w:rsidR="00C57385" w:rsidRPr="005B0597">
        <w:rPr>
          <w:rFonts w:ascii="Times New Roman" w:hAnsi="Times New Roman" w:cs="Times New Roman"/>
          <w:color w:val="000000"/>
        </w:rPr>
        <w:t>(Abotalebi et al., 2018)</w:t>
      </w:r>
      <w:r w:rsidRPr="003C3597">
        <w:rPr>
          <w:rFonts w:ascii="Times New Roman" w:hAnsi="Times New Roman" w:cs="Times New Roman"/>
          <w:color w:val="000000"/>
        </w:rPr>
        <w:t xml:space="preserve">. Our sample, therefore, was more general unlike some previous studies where respondents were required to be recent or urgent car buyers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{"citationItems":[{"id":"ITEM-1","itemData":{"DOI":"10.1016/j.trd.2010.11.001","ISSN":"13619209","abstract":"This paper investigates the potential futures for alternative-fuel vehicles in Denmark, where the vehicle registration tax is very high and large tax rebates can be given. A large stated choice dataset has been collected concerning vehicle choice among conventional, hydrogen, hybrid, bio-diesel, and electric vehicles. We estimate a mixed logit model that improves on previous contributions by controlling for reference dependence and allowing for correlation of random effects. Both improvements are found to be important. An application of the model shows that alternative-fuel vehicles with present technology could obtain fairly high market shares given tax regulations possible in the present high-tax vehicle market. ?? 2010 Elsevier Ltd.","author":[{"dropping-particle":"","family":"Mabit","given":"Stefan L.","non-dropping-particle":"","parse-names":false,"suffix":""},{"dropping-particle":"","family":"Fosgerau","given":"Mogens","non-dropping-particle":"","parse-names":false,"suffix":""}],"container-title":"Transportation Research Part D: Transport and Environment","id":"ITEM-1","issue":"3","issued":{"date-parts":[["2011","5"]]},"page":"225-231","publisher":"Elsevier Ltd","title":"Demand for alternative-fuel vehicles when registration taxes are high","type":"article-journal","volume":"16"},"uris":["http://www.mendeley.com/documents/?uuid=7e8be2b9-7b43-4518-b2ec-ad3d8a344f70"]},{"id":"ITEM-2","itemData":{"DOI":"10.1016/j.tra.2013.01.015","ISSN":"09658564","author":[{"dropping-particle":"","family":"Beck","given":"Matthew J.","non-dropping-particle":"","parse-names":false,"suffix":""},{"dropping-particle":"","family":"Rose","given":"John M.","non-dropping-particle":"","parse-names":false,"suffix":""},{"dropping-particle":"","family":"Hensher","given":"David a.","non-dropping-particle":"","parse-names":false,"suffix":""}],"container-title":"Transportation Research Part A: Policy and Practice","id":"ITEM-2","issued":{"date-parts":[["2013","4"]]},"page":"171-182","title":"Environmental attitudes and emissions charging: An example of policy implications for vehicle choice","type":"article-journal","volume":"50"},"uris":["http://www.mendeley.com/documents/?uuid=67a5eb8a-00a6-4ad6-ac4b-ad6c7d8f0a5f"]},{"id":"ITEM-3","itemData":{"DOI":"10.1007/s10584-011-0362-8","ISSN":"0165-0009","author":[{"dropping-particle":"","family":"Achtnicht","given":"Martin","non-dropping-particle":"","parse-names":false,"suffix":""}],"container-title":"Climatic Change","id":"ITEM-3","issue":"3-4","issued":{"date-parts":[["2011","12","7"]]},"page":"679-697","title":"German car buyers’ willingness to pay to reduce CO2 emissions","type":"article-journal","volume":"113"},"uris":["http://www.mendeley.com/documents/?uuid=6403922d-e741-457b-8c5b-5853ee76844d"]}],"mendeley":{"formattedCitation":"(Mabit and Fosgerau 2011; Beck, Rose, and Hensher 2013; Achtnicht 2011)","manualFormatting":"(e.g. Achtnicht, 2011; Mabit &amp; Fosgerau, 2011)","plainTextFormattedCitation":"(Mabit and Fosgerau 2011; Beck, Rose, and Hensher 2013; Achtnicht 2011)","previouslyFormattedCitation":"(Mabit and Fosgerau 2011; Beck, Rose, and Hensher 2013; Achtnicht 2011)"},"properties":{"noteIndex":0},"schema":"https://github.com/citation-style-language/schema/raw/master/csl-citation.json"}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(e.g., Achtnicht, 2011; Mabit and Fosgerau, 2011)</w:t>
      </w:r>
      <w:r w:rsidRPr="003C3597">
        <w:rPr>
          <w:rFonts w:ascii="Times New Roman" w:hAnsi="Times New Roman" w:cs="Times New Roman"/>
          <w:color w:val="000000"/>
        </w:rPr>
        <w:fldChar w:fldCharType="end"/>
      </w:r>
      <w:r w:rsidRPr="003C3597">
        <w:rPr>
          <w:rFonts w:ascii="Times New Roman" w:hAnsi="Times New Roman" w:cs="Times New Roman"/>
          <w:color w:val="000000"/>
        </w:rPr>
        <w:t>. Also, we did not specify an exact timeframe to purchase a car since it could potentially exclude some buyers who consider vehicle purchase as a long-term decision. Households currently without a vehicle were not excluded from our database, as opposed to studies that included car owners only</w:t>
      </w:r>
      <w:r w:rsidR="00122632">
        <w:rPr>
          <w:rFonts w:ascii="Times New Roman" w:hAnsi="Times New Roman" w:cs="Times New Roman"/>
          <w:color w:val="000000"/>
        </w:rPr>
        <w:t xml:space="preserve"> </w:t>
      </w:r>
      <w:r w:rsidR="00122632" w:rsidRPr="003C3597">
        <w:rPr>
          <w:rFonts w:ascii="Times New Roman" w:hAnsi="Times New Roman" w:cs="Times New Roman"/>
          <w:color w:val="000000"/>
        </w:rPr>
        <w:t>(e.g., Hoen and Koetse, 2014)</w:t>
      </w:r>
      <w:r w:rsidRPr="003C3597">
        <w:rPr>
          <w:rFonts w:ascii="Times New Roman" w:hAnsi="Times New Roman" w:cs="Times New Roman"/>
          <w:color w:val="000000"/>
        </w:rPr>
        <w:t>. In total, 2</w:t>
      </w:r>
      <w:r w:rsidR="00122632">
        <w:rPr>
          <w:rFonts w:ascii="Times New Roman" w:hAnsi="Times New Roman" w:cs="Times New Roman"/>
          <w:color w:val="000000"/>
        </w:rPr>
        <w:t xml:space="preserve"> </w:t>
      </w:r>
      <w:r w:rsidRPr="003C3597">
        <w:rPr>
          <w:rFonts w:ascii="Times New Roman" w:hAnsi="Times New Roman" w:cs="Times New Roman"/>
          <w:color w:val="000000"/>
        </w:rPr>
        <w:t>139 observations from the Atlantic provinces (the lagging region) and 9</w:t>
      </w:r>
      <w:r w:rsidR="00122632">
        <w:rPr>
          <w:rFonts w:ascii="Times New Roman" w:hAnsi="Times New Roman" w:cs="Times New Roman"/>
          <w:color w:val="000000"/>
        </w:rPr>
        <w:t xml:space="preserve"> </w:t>
      </w:r>
      <w:r w:rsidRPr="003C3597">
        <w:rPr>
          <w:rFonts w:ascii="Times New Roman" w:hAnsi="Times New Roman" w:cs="Times New Roman"/>
          <w:color w:val="000000"/>
        </w:rPr>
        <w:t>400 observations from the leading adoption provinces were used in the final analysis.</w:t>
      </w:r>
    </w:p>
    <w:p w14:paraId="4DFBD550" w14:textId="71A0F3D0"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A stated preference (SP) experiment was at the core of SPACE to obtain household preferences in response to different hypothetical situations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author":[{"dropping-particle":"","family":"Hensher","given":"David","non-dropping-particle":"","parse-names":false,"suffix":""},{"dropping-particle":"","family":"Rose","given":"John","non-dropping-particle":"","parse-names":false,"suffix":""},{"dropping-particle":"","family":"Greene","given":"William","non-dropping-particle":"","parse-names":false,"suffix":""}],"id":"ITEM-1","issued":{"date-parts":[["2005"]]},"publisher":"Cambridge University Press","title":"Applied choice analysis: a primer","type":"book"},"uris":["http://www.mendeley.com/documents/?uuid=c608edbe-ac9b-42c6-8183-82e9d8f44c92"]}],"mendeley":{"formattedCitation":"(Hensher, Rose, and Greene 2005)","manualFormatting":"(Hensher et al., 2005)","plainTextFormattedCitation":"(Hensher, Rose, and Greene 2005)","previouslyFormattedCitation":"(Hensher, Rose, and Greene 2005)"},"properties":{"noteIndex":0},"schema":"https://github.com/citation-style-language/schema/raw/master/csl-citation.json"}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(Hensher et al., 2005)</w:t>
      </w:r>
      <w:r w:rsidRPr="003C3597">
        <w:rPr>
          <w:rFonts w:ascii="Times New Roman" w:hAnsi="Times New Roman" w:cs="Times New Roman"/>
          <w:color w:val="000000"/>
        </w:rPr>
        <w:fldChar w:fldCharType="end"/>
      </w:r>
      <w:r w:rsidRPr="003C3597">
        <w:rPr>
          <w:rFonts w:ascii="Times New Roman" w:hAnsi="Times New Roman" w:cs="Times New Roman"/>
          <w:color w:val="000000"/>
        </w:rPr>
        <w:t>. This was supported by an array of information on demographics, residential location and context, current vehicle ownership and vehicle purchase intentions, travel patterns, and an assortment of attitudinal information</w:t>
      </w:r>
      <w:r w:rsidR="00122632">
        <w:rPr>
          <w:rFonts w:ascii="Times New Roman" w:hAnsi="Times New Roman" w:cs="Times New Roman"/>
          <w:color w:val="000000"/>
        </w:rPr>
        <w:t xml:space="preserve"> </w:t>
      </w:r>
      <w:r w:rsidR="00122632" w:rsidRPr="00FA4D0A">
        <w:rPr>
          <w:rFonts w:ascii="Times New Roman" w:hAnsi="Times New Roman" w:cs="Times New Roman"/>
          <w:color w:val="000000"/>
        </w:rPr>
        <w:t>(Abotalebi et al., 2018)</w:t>
      </w:r>
      <w:r w:rsidRPr="003C3597">
        <w:rPr>
          <w:rFonts w:ascii="Times New Roman" w:hAnsi="Times New Roman" w:cs="Times New Roman"/>
          <w:color w:val="000000"/>
        </w:rPr>
        <w:t xml:space="preserve">. SP methods are widely used in marketing and have been applied in cases where the market share of the product is very limited, as with the case of EVs with </w:t>
      </w:r>
      <w:r w:rsidRPr="003C3597">
        <w:rPr>
          <w:rFonts w:ascii="Times New Roman" w:hAnsi="Times New Roman" w:cs="Times New Roman"/>
          <w:color w:val="000000"/>
        </w:rPr>
        <w:lastRenderedPageBreak/>
        <w:t xml:space="preserve">close to zero market penetration in Atlantic Canada. Also, future scenarios and new variables can be included and tested within SP experiments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author":[{"dropping-particle":"","family":"Louviere","given":"Jordan","non-dropping-particle":"","parse-names":false,"suffix":""},{"dropping-particle":"","family":"Hensher","given":"David","non-dropping-particle":"","parse-names":false,"suffix":""},{"dropping-particle":"","family":"Swait","given":"Joffre","non-dropping-particle":"","parse-names":false,"suffix":""}],"id":"ITEM-1","issued":{"date-parts":[["2000"]]},"publisher":"Cambridge University Press","title":"Stated choice methods: analysis and applications","type":"book"},"uris":["http://www.mendeley.com/documents/?uuid=596906e9-ff3c-4ece-a68b-c19e50a02b12"]}],"mendeley":{"formattedCitation":"(Louviere, Hensher, and Swait 2000)","manualFormatting":"(Louviere et al., 2000)","plainTextFormattedCitation":"(Louviere, Hensher, and Swait 2000)","previouslyFormattedCitation":"(Louviere, Hensher, and Swait 2000)"},"properties":{"noteIndex":0},"schema":"https://github.com/citation-style-language/schema/raw/master/csl-citation.json"}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(Louviere et al., 2000)</w:t>
      </w:r>
      <w:r w:rsidRPr="003C3597">
        <w:rPr>
          <w:rFonts w:ascii="Times New Roman" w:hAnsi="Times New Roman" w:cs="Times New Roman"/>
          <w:color w:val="000000"/>
        </w:rPr>
        <w:fldChar w:fldCharType="end"/>
      </w:r>
      <w:r w:rsidRPr="003C3597">
        <w:rPr>
          <w:rFonts w:ascii="Times New Roman" w:hAnsi="Times New Roman" w:cs="Times New Roman"/>
          <w:color w:val="000000"/>
        </w:rPr>
        <w:t>.</w:t>
      </w:r>
    </w:p>
    <w:p w14:paraId="51334E01" w14:textId="5DE2579B"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lang w:val="en-US"/>
        </w:rPr>
        <w:t xml:space="preserve">In the SP scenarios, </w:t>
      </w:r>
      <w:r w:rsidRPr="003C3597">
        <w:rPr>
          <w:rFonts w:ascii="Times New Roman" w:hAnsi="Times New Roman" w:cs="Times New Roman"/>
          <w:color w:val="000000"/>
        </w:rPr>
        <w:t xml:space="preserve">we specifically sought to understand the importance of technological EV attributes including range, charging time, fuel/maintenance cost savings, emission reduction, and performance; as well as the impact of policy measures including </w:t>
      </w:r>
      <w:r w:rsidR="00122632">
        <w:rPr>
          <w:rFonts w:ascii="Times New Roman" w:hAnsi="Times New Roman" w:cs="Times New Roman"/>
          <w:color w:val="000000"/>
        </w:rPr>
        <w:t xml:space="preserve">quality of </w:t>
      </w:r>
      <w:r w:rsidRPr="003C3597">
        <w:rPr>
          <w:rFonts w:ascii="Times New Roman" w:hAnsi="Times New Roman" w:cs="Times New Roman"/>
          <w:color w:val="000000"/>
        </w:rPr>
        <w:t>battery warranty, cash incentives, free municipal parking, HOV lane access, and toll-free roads.</w:t>
      </w:r>
    </w:p>
    <w:p w14:paraId="38446471" w14:textId="77777777" w:rsidR="003C3597" w:rsidRPr="003C3597" w:rsidRDefault="003C3597" w:rsidP="003C3597">
      <w:pPr>
        <w:rPr>
          <w:rFonts w:ascii="Times New Roman" w:hAnsi="Times New Roman" w:cs="Times New Roman"/>
          <w:color w:val="000000"/>
          <w:lang w:val="en-US"/>
        </w:rPr>
      </w:pPr>
      <w:r w:rsidRPr="003C3597">
        <w:rPr>
          <w:rFonts w:ascii="Times New Roman" w:hAnsi="Times New Roman" w:cs="Times New Roman"/>
          <w:color w:val="000000"/>
        </w:rPr>
        <w:t xml:space="preserve">Each scenario consisted of four “labeled” alternatives, internal combustion (ICE), hybrid (HEV), plug-in hybrid (PHEV), and battery electric vehicles (BEV), illustrated with their related visual design. A clear explanation of each alternative was also provided to respondents in the educational section prior to the SP scenarios (Ferguson et al., 2018). Respondents were </w:t>
      </w:r>
      <w:r w:rsidRPr="003C3597">
        <w:rPr>
          <w:rFonts w:ascii="Times New Roman" w:hAnsi="Times New Roman" w:cs="Times New Roman"/>
          <w:color w:val="000000"/>
          <w:lang w:val="en-US"/>
        </w:rPr>
        <w:t xml:space="preserve">presented with four such scenarios and </w:t>
      </w:r>
      <w:r w:rsidRPr="003C3597">
        <w:rPr>
          <w:rFonts w:ascii="Times New Roman" w:hAnsi="Times New Roman" w:cs="Times New Roman"/>
          <w:color w:val="000000"/>
        </w:rPr>
        <w:t>were asked to make a choice between four alternatives.</w:t>
      </w:r>
    </w:p>
    <w:p w14:paraId="32CE01FE" w14:textId="11A2CA1C" w:rsidR="003C3597" w:rsidRPr="003C3597" w:rsidRDefault="003C3597" w:rsidP="003C3597">
      <w:pPr>
        <w:rPr>
          <w:rFonts w:ascii="Times New Roman" w:hAnsi="Times New Roman" w:cs="Times New Roman"/>
          <w:color w:val="000000"/>
          <w:lang w:val="en-US"/>
        </w:rPr>
      </w:pPr>
      <w:r w:rsidRPr="003C3597">
        <w:rPr>
          <w:rFonts w:ascii="Times New Roman" w:hAnsi="Times New Roman" w:cs="Times New Roman"/>
          <w:color w:val="000000"/>
          <w:lang w:val="en-US"/>
        </w:rPr>
        <w:t>A D-efficient experimental design was developed to generate SP scenarios based on the results from a pilot survey conducted prior to the main survey to provide us with some pre-known information about attributes, the so-called “priors,” and to make adjustments to the whole survey</w:t>
      </w:r>
      <w:r w:rsidR="00122632">
        <w:rPr>
          <w:rFonts w:ascii="Times New Roman" w:hAnsi="Times New Roman" w:cs="Times New Roman"/>
          <w:color w:val="000000"/>
          <w:lang w:val="en-US"/>
        </w:rPr>
        <w:t xml:space="preserve"> </w:t>
      </w:r>
      <w:r w:rsidRPr="003C3597">
        <w:rPr>
          <w:rFonts w:ascii="Times New Roman" w:hAnsi="Times New Roman" w:cs="Times New Roman"/>
          <w:color w:val="000000"/>
          <w:lang w:val="en-US"/>
        </w:rPr>
        <w:fldChar w:fldCharType="begin" w:fldLock="1"/>
      </w:r>
      <w:r w:rsidRPr="003C3597">
        <w:rPr>
          <w:rFonts w:ascii="Times New Roman" w:hAnsi="Times New Roman" w:cs="Times New Roman"/>
          <w:color w:val="000000"/>
          <w:lang w:val="en-US"/>
        </w:rPr>
        <w:instrText>ADDIN CSL_CITATION {"citationItems":[{"id":"ITEM-1","itemData":{"DOI":"10.1016/j.tra.2010.09.003","ISSN":"09658564","author":[{"dropping-particle":"","family":"Bliemer","given":"Michiel C.J.","non-dropping-particle":"","parse-names":false,"suffix":""},{"dropping-particle":"","family":"Rose","given":"John M.","non-dropping-particle":"","parse-names":false,"suffix":""}],"container-title":"Transportation Research Part A: Policy and Practice","id":"ITEM-1","issue":"1","issued":{"date-parts":[["2011","1"]]},"page":"63-79","publisher":"Elsevier Ltd","title":"Experimental design influences on stated choice outputs: An empirical study in air travel choice","type":"article-journal","volume":"45"},"uris":["http://www.mendeley.com/documents/?uuid=8033c231-4602-4ade-89b2-7a4408c2f801"]}],"mendeley":{"formattedCitation":"(Bliemer and Rose 2011)","plainTextFormattedCitation":"(Bliemer and Rose 2011)","previouslyFormattedCitation":"(Bliemer and Rose 2011)"},"properties":{"noteIndex":0},"schema":"https://github.com/citation-style-language/schema/raw/master/csl-citation.json"}</w:instrText>
      </w:r>
      <w:r w:rsidRPr="003C3597">
        <w:rPr>
          <w:rFonts w:ascii="Times New Roman" w:hAnsi="Times New Roman" w:cs="Times New Roman"/>
          <w:color w:val="000000"/>
          <w:lang w:val="en-US"/>
        </w:rPr>
        <w:fldChar w:fldCharType="separate"/>
      </w:r>
      <w:r w:rsidRPr="003C3597">
        <w:rPr>
          <w:rFonts w:ascii="Times New Roman" w:hAnsi="Times New Roman" w:cs="Times New Roman"/>
          <w:color w:val="000000"/>
          <w:lang w:val="en-US"/>
        </w:rPr>
        <w:t>(Bliemer and Rose 2011)</w:t>
      </w:r>
      <w:r w:rsidRPr="003C3597">
        <w:rPr>
          <w:rFonts w:ascii="Times New Roman" w:hAnsi="Times New Roman" w:cs="Times New Roman"/>
          <w:color w:val="000000"/>
        </w:rPr>
        <w:fldChar w:fldCharType="end"/>
      </w:r>
      <w:r w:rsidRPr="003C3597">
        <w:rPr>
          <w:rFonts w:ascii="Times New Roman" w:hAnsi="Times New Roman" w:cs="Times New Roman"/>
          <w:color w:val="000000"/>
          <w:lang w:val="en-US"/>
        </w:rPr>
        <w:t>. The Ngene program was used to generate 48 choice scenarios for each seven vehicle classes. These scenarios were divided into 12 blocks, and each respondent was randomly assigned to one of these blocks, with 4 distinct scenarios.</w:t>
      </w:r>
    </w:p>
    <w:p w14:paraId="242F36EE"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lang w:val="en-US"/>
        </w:rPr>
        <w:t xml:space="preserve">The most important aspect of the SP experiments was </w:t>
      </w:r>
      <w:r w:rsidRPr="003C3597">
        <w:rPr>
          <w:rFonts w:ascii="Times New Roman" w:hAnsi="Times New Roman" w:cs="Times New Roman"/>
          <w:color w:val="000000"/>
        </w:rPr>
        <w:t xml:space="preserve">being context sensitive to the respondents’ specific circumstances: annual kilometers, preferred vehicle size, and anticipated </w:t>
      </w:r>
      <w:r w:rsidRPr="003C3597">
        <w:rPr>
          <w:rFonts w:ascii="Times New Roman" w:hAnsi="Times New Roman" w:cs="Times New Roman"/>
          <w:color w:val="000000"/>
        </w:rPr>
        <w:lastRenderedPageBreak/>
        <w:t xml:space="preserve">purchase price. In SPACE, the attribute levels were anchored realistically on the vehicle sizes that respondents specified prior to the SP experiment. </w:t>
      </w:r>
      <w:r w:rsidRPr="003C3597">
        <w:rPr>
          <w:rFonts w:ascii="Times New Roman" w:hAnsi="Times New Roman" w:cs="Times New Roman"/>
          <w:color w:val="000000"/>
          <w:lang w:val="en-US"/>
        </w:rPr>
        <w:t xml:space="preserve">Respondents could choose between seven vehicle classes (Economy, Intermediate, Full Sedan, Luxury, SUV, Minivan, and Pickup truck) presented to them with related images </w:t>
      </w:r>
      <w:r w:rsidRPr="003C3597">
        <w:rPr>
          <w:rFonts w:ascii="Times New Roman" w:hAnsi="Times New Roman" w:cs="Times New Roman"/>
          <w:color w:val="000000"/>
        </w:rPr>
        <w:t xml:space="preserve">and approximate prices corresponding to the ICE market (Table </w:t>
      </w:r>
      <w:r w:rsidR="00B957FF">
        <w:rPr>
          <w:rFonts w:ascii="Times New Roman" w:hAnsi="Times New Roman" w:cs="Times New Roman"/>
          <w:color w:val="000000"/>
        </w:rPr>
        <w:t>3.</w:t>
      </w:r>
      <w:r w:rsidRPr="003C3597">
        <w:rPr>
          <w:rFonts w:ascii="Times New Roman" w:hAnsi="Times New Roman" w:cs="Times New Roman"/>
          <w:color w:val="000000"/>
        </w:rPr>
        <w:t xml:space="preserve">3). The respondents’ selected vehicle size applied to all scenarios and was used as a reference point to derive attribute levels of the alternatives (Table </w:t>
      </w:r>
      <w:r w:rsidR="00B957FF">
        <w:rPr>
          <w:rFonts w:ascii="Times New Roman" w:hAnsi="Times New Roman" w:cs="Times New Roman"/>
          <w:color w:val="000000"/>
        </w:rPr>
        <w:t>3.</w:t>
      </w:r>
      <w:r w:rsidRPr="003C3597">
        <w:rPr>
          <w:rFonts w:ascii="Times New Roman" w:hAnsi="Times New Roman" w:cs="Times New Roman"/>
          <w:color w:val="000000"/>
        </w:rPr>
        <w:t xml:space="preserve">4). This method added to the relevance and realism of the attribute levels being evaluated by the respondent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{"citationItems":[{"id":"ITEM-1","itemData":{"author":[{"dropping-particle":"","family":"Rose","given":"John M.","non-dropping-particle":"","parse-names":false,"suffix":""},{"dropping-particle":"","family":"Bliemer","given":"Michiel C.J.","non-dropping-particle":"","parse-names":false,"suffix":""}],"container-title":"Elsevier","id":"ITEM-1","issued":{"date-parts":[["2008"]]},"page":"1-26","title":"Stated Preference Experimental Design Strategies","type":"article-journal"},"uris":["http://www.mendeley.com/documents/?uuid=b960fa02-42ef-4a5f-895e-d65f6f93cd54"]},{"id":"ITEM-2","itemData":{"DOI":"10.1016/j.tra.2013.01.015","ISSN":"09658564","author":[{"dropping-particle":"","family":"Beck","given":"Matthew J.","non-dropping-particle":"","parse-names":false,"suffix":""},{"dropping-particle":"","family":"Rose","given":"John M.","non-dropping-particle":"","parse-names":false,"suffix":""},{"dropping-particle":"","family":"Hensher","given":"David a.","non-dropping-particle":"","parse-names":false,"suffix":""}],"container-title":"Transportation Research Part A: Policy and Practice","id":"ITEM-2","issued":{"date-parts":[["2013","4"]]},"page":"171-182","title":"Environmental attitudes and emissions charging: An example of policy implications for vehicle choice","type":"article-journal","volume":"50"},"uris":["http://www.mendeley.com/documents/?uuid=67a5eb8a-00a6-4ad6-ac4b-ad6c7d8f0a5f"]}],"mendeley":{"formattedCitation":"(Rose and Bliemer 2008; Beck, Rose, and Hensher 2013)","manualFormatting":"(Beck et al. 2013; Rose and Bliemer 2008)","plainTextFormattedCitation":"(Rose and Bliemer 2008; Beck, Rose, and Hensher 2013)","previouslyFormattedCitation":"(Rose and Bliemer 2008; Beck, Rose, and Hensher 2013)"},"properties":{"noteIndex":0},"schema":"https://github.com/citation-style-language/schema/raw/master/csl-citation.json"}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(Beck et al., 2013; Rose and Bliemer, 2008)</w:t>
      </w:r>
      <w:r w:rsidRPr="003C3597">
        <w:rPr>
          <w:rFonts w:ascii="Times New Roman" w:hAnsi="Times New Roman" w:cs="Times New Roman"/>
          <w:color w:val="000000"/>
        </w:rPr>
        <w:fldChar w:fldCharType="end"/>
      </w:r>
      <w:r w:rsidRPr="003C3597">
        <w:rPr>
          <w:rFonts w:ascii="Times New Roman" w:hAnsi="Times New Roman" w:cs="Times New Roman"/>
          <w:color w:val="000000"/>
        </w:rPr>
        <w:t>. For instance, a household interested in an economy size vehicle was faced with its matching price or fuel cost levels.</w:t>
      </w:r>
    </w:p>
    <w:p w14:paraId="425B1124" w14:textId="3481B80D" w:rsidR="003C3597" w:rsidRDefault="003C3597" w:rsidP="003C3597">
      <w:pPr>
        <w:rPr>
          <w:rFonts w:ascii="Times New Roman" w:hAnsi="Times New Roman" w:cs="Times New Roman"/>
          <w:color w:val="000000"/>
        </w:rPr>
      </w:pPr>
      <w:r w:rsidRPr="003C3597">
        <w:rPr>
          <w:rFonts w:ascii="Times New Roman" w:hAnsi="Times New Roman" w:cs="Times New Roman"/>
          <w:color w:val="000000"/>
        </w:rPr>
        <w:t>For the households without a vehicle at the time of survey, 15,000 km annually (i.e., average annual kilometers reported in the survey) was used. The approximate price of selected vehicle size was used as a reference point and the price</w:t>
      </w:r>
      <w:r w:rsidR="00122632">
        <w:rPr>
          <w:rFonts w:ascii="Times New Roman" w:hAnsi="Times New Roman" w:cs="Times New Roman"/>
          <w:color w:val="000000"/>
        </w:rPr>
        <w:t>s</w:t>
      </w:r>
      <w:r w:rsidRPr="003C3597">
        <w:rPr>
          <w:rFonts w:ascii="Times New Roman" w:hAnsi="Times New Roman" w:cs="Times New Roman"/>
          <w:color w:val="000000"/>
        </w:rPr>
        <w:t xml:space="preserve"> of all alternatives were pivoted off that value specified by the experimental design. Table </w:t>
      </w:r>
      <w:r w:rsidR="00B957FF">
        <w:rPr>
          <w:rFonts w:ascii="Times New Roman" w:hAnsi="Times New Roman" w:cs="Times New Roman"/>
          <w:color w:val="000000"/>
        </w:rPr>
        <w:t>3.</w:t>
      </w:r>
      <w:r w:rsidRPr="003C3597">
        <w:rPr>
          <w:rFonts w:ascii="Times New Roman" w:hAnsi="Times New Roman" w:cs="Times New Roman"/>
          <w:color w:val="000000"/>
        </w:rPr>
        <w:t>4 displays our SP alternatives, attributes, and their levels.</w:t>
      </w:r>
    </w:p>
    <w:p w14:paraId="330AFC84" w14:textId="77777777" w:rsidR="005B0597" w:rsidRDefault="005B0597" w:rsidP="003C3597">
      <w:pPr>
        <w:rPr>
          <w:rFonts w:ascii="Times New Roman" w:hAnsi="Times New Roman" w:cs="Times New Roman"/>
          <w:color w:val="000000"/>
        </w:rPr>
      </w:pPr>
    </w:p>
    <w:p w14:paraId="4905C0D7" w14:textId="77777777" w:rsidR="005B0597" w:rsidRDefault="005B0597" w:rsidP="003C3597">
      <w:pPr>
        <w:rPr>
          <w:rFonts w:ascii="Times New Roman" w:hAnsi="Times New Roman" w:cs="Times New Roman"/>
          <w:color w:val="000000"/>
        </w:rPr>
      </w:pPr>
    </w:p>
    <w:p w14:paraId="7CC3CB33" w14:textId="77777777" w:rsidR="005B0597" w:rsidRDefault="005B0597" w:rsidP="003C3597">
      <w:pPr>
        <w:rPr>
          <w:rFonts w:ascii="Times New Roman" w:hAnsi="Times New Roman" w:cs="Times New Roman"/>
          <w:color w:val="000000"/>
        </w:rPr>
      </w:pPr>
    </w:p>
    <w:p w14:paraId="7E57653A" w14:textId="77777777" w:rsidR="005B0597" w:rsidRDefault="005B0597" w:rsidP="003C3597">
      <w:pPr>
        <w:rPr>
          <w:rFonts w:ascii="Times New Roman" w:hAnsi="Times New Roman" w:cs="Times New Roman"/>
          <w:color w:val="000000"/>
        </w:rPr>
      </w:pPr>
    </w:p>
    <w:p w14:paraId="79D34C17" w14:textId="77777777" w:rsidR="005B0597" w:rsidRDefault="005B0597" w:rsidP="003C3597">
      <w:pPr>
        <w:rPr>
          <w:rFonts w:ascii="Times New Roman" w:hAnsi="Times New Roman" w:cs="Times New Roman"/>
          <w:color w:val="000000"/>
        </w:rPr>
      </w:pPr>
    </w:p>
    <w:p w14:paraId="3A1B0F75" w14:textId="77777777" w:rsidR="005B0597" w:rsidRDefault="005B0597" w:rsidP="003C3597">
      <w:pPr>
        <w:rPr>
          <w:rFonts w:ascii="Times New Roman" w:hAnsi="Times New Roman" w:cs="Times New Roman"/>
          <w:color w:val="000000"/>
        </w:rPr>
      </w:pPr>
    </w:p>
    <w:p w14:paraId="3AAD7343" w14:textId="709A2110" w:rsidR="007701DC" w:rsidRPr="00555F82" w:rsidRDefault="00555F82" w:rsidP="00555F82">
      <w:pPr>
        <w:pStyle w:val="Caption"/>
        <w:ind w:firstLine="0"/>
        <w:rPr>
          <w:rFonts w:ascii="Times New Roman" w:hAnsi="Times New Roman" w:cs="Times New Roman"/>
          <w:i w:val="0"/>
          <w:iCs w:val="0"/>
          <w:color w:val="000000"/>
          <w:sz w:val="24"/>
          <w:szCs w:val="24"/>
        </w:rPr>
      </w:pPr>
      <w:bookmarkStart w:id="62" w:name="_Toc528649796"/>
      <w:r w:rsidRPr="00555F82">
        <w:rPr>
          <w:rFonts w:ascii="Times New Roman" w:hAnsi="Times New Roman" w:cs="Times New Roman"/>
          <w:i w:val="0"/>
          <w:iCs w:val="0"/>
          <w:color w:val="000000"/>
          <w:sz w:val="24"/>
          <w:szCs w:val="24"/>
        </w:rPr>
        <w:lastRenderedPageBreak/>
        <w:t>Table 3.</w:t>
      </w:r>
      <w:r w:rsidRPr="00555F82">
        <w:rPr>
          <w:rFonts w:ascii="Times New Roman" w:hAnsi="Times New Roman" w:cs="Times New Roman"/>
          <w:i w:val="0"/>
          <w:iCs w:val="0"/>
          <w:color w:val="000000"/>
          <w:sz w:val="24"/>
          <w:szCs w:val="24"/>
        </w:rPr>
        <w:fldChar w:fldCharType="begin"/>
      </w:r>
      <w:r w:rsidRPr="00555F82">
        <w:rPr>
          <w:rFonts w:ascii="Times New Roman" w:hAnsi="Times New Roman" w:cs="Times New Roman"/>
          <w:i w:val="0"/>
          <w:iCs w:val="0"/>
          <w:color w:val="000000"/>
          <w:sz w:val="24"/>
          <w:szCs w:val="24"/>
        </w:rPr>
        <w:instrText xml:space="preserve"> SEQ Table_3. \* ARABIC </w:instrText>
      </w:r>
      <w:r w:rsidRPr="00555F82">
        <w:rPr>
          <w:rFonts w:ascii="Times New Roman" w:hAnsi="Times New Roman" w:cs="Times New Roman"/>
          <w:i w:val="0"/>
          <w:iCs w:val="0"/>
          <w:color w:val="000000"/>
          <w:sz w:val="24"/>
          <w:szCs w:val="24"/>
        </w:rPr>
        <w:fldChar w:fldCharType="separate"/>
      </w:r>
      <w:r w:rsidR="00BC70AE">
        <w:rPr>
          <w:rFonts w:ascii="Times New Roman" w:hAnsi="Times New Roman" w:cs="Times New Roman"/>
          <w:i w:val="0"/>
          <w:iCs w:val="0"/>
          <w:noProof/>
          <w:color w:val="000000"/>
          <w:sz w:val="24"/>
          <w:szCs w:val="24"/>
        </w:rPr>
        <w:t>3</w:t>
      </w:r>
      <w:r w:rsidRPr="00555F82">
        <w:rPr>
          <w:rFonts w:ascii="Times New Roman" w:hAnsi="Times New Roman" w:cs="Times New Roman"/>
          <w:i w:val="0"/>
          <w:iCs w:val="0"/>
          <w:color w:val="000000"/>
          <w:sz w:val="24"/>
          <w:szCs w:val="24"/>
        </w:rPr>
        <w:fldChar w:fldCharType="end"/>
      </w:r>
      <w:r w:rsidRPr="00555F82">
        <w:rPr>
          <w:rFonts w:ascii="Times New Roman" w:hAnsi="Times New Roman" w:cs="Times New Roman"/>
          <w:i w:val="0"/>
          <w:iCs w:val="0"/>
          <w:color w:val="000000"/>
          <w:sz w:val="24"/>
          <w:szCs w:val="24"/>
        </w:rPr>
        <w:t xml:space="preserve"> </w:t>
      </w:r>
      <w:r w:rsidR="007701DC" w:rsidRPr="00555F82">
        <w:rPr>
          <w:rFonts w:ascii="Times New Roman" w:hAnsi="Times New Roman" w:cs="Times New Roman"/>
          <w:i w:val="0"/>
          <w:iCs w:val="0"/>
          <w:color w:val="000000"/>
          <w:sz w:val="24"/>
          <w:szCs w:val="24"/>
        </w:rPr>
        <w:t>Base values for the SP scenarios</w:t>
      </w:r>
      <w:bookmarkEnd w:id="62"/>
      <w:r w:rsidR="00122632">
        <w:rPr>
          <w:rFonts w:ascii="Times New Roman" w:hAnsi="Times New Roman" w:cs="Times New Roman"/>
          <w:i w:val="0"/>
          <w:iCs w:val="0"/>
          <w:color w:val="000000"/>
          <w:sz w:val="24"/>
          <w:szCs w:val="24"/>
        </w:rPr>
        <w:t>.</w:t>
      </w:r>
    </w:p>
    <w:tbl>
      <w:tblPr>
        <w:tblStyle w:val="TableGridLight"/>
        <w:tblW w:w="990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1260"/>
        <w:gridCol w:w="900"/>
        <w:gridCol w:w="1440"/>
        <w:gridCol w:w="1170"/>
        <w:gridCol w:w="1177"/>
        <w:gridCol w:w="1191"/>
        <w:gridCol w:w="1592"/>
      </w:tblGrid>
      <w:tr w:rsidR="007701DC" w:rsidRPr="00633AB1" w14:paraId="6D5CD503" w14:textId="77777777" w:rsidTr="007701DC">
        <w:trPr>
          <w:trHeight w:val="596"/>
        </w:trPr>
        <w:tc>
          <w:tcPr>
            <w:tcW w:w="1170" w:type="dxa"/>
            <w:tcBorders>
              <w:top w:val="single" w:sz="4" w:space="0" w:color="auto"/>
              <w:bottom w:val="single" w:sz="4" w:space="0" w:color="auto"/>
            </w:tcBorders>
          </w:tcPr>
          <w:p w14:paraId="2B2B9B5F" w14:textId="77777777" w:rsidR="007701DC" w:rsidRPr="00633AB1" w:rsidRDefault="007701DC" w:rsidP="007701DC">
            <w:pPr>
              <w:spacing w:before="60" w:after="60"/>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Body Type Image</w:t>
            </w:r>
          </w:p>
        </w:tc>
        <w:tc>
          <w:tcPr>
            <w:tcW w:w="1260" w:type="dxa"/>
            <w:tcBorders>
              <w:top w:val="single" w:sz="4" w:space="0" w:color="auto"/>
              <w:bottom w:val="single" w:sz="4" w:space="0" w:color="auto"/>
            </w:tcBorders>
            <w:hideMark/>
          </w:tcPr>
          <w:p w14:paraId="42F450AC" w14:textId="77777777" w:rsidR="007701DC" w:rsidRPr="00633AB1" w:rsidRDefault="007701DC" w:rsidP="007701DC">
            <w:pPr>
              <w:spacing w:before="60" w:after="60"/>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 xml:space="preserve">Vehicle Size </w:t>
            </w:r>
          </w:p>
        </w:tc>
        <w:tc>
          <w:tcPr>
            <w:tcW w:w="900" w:type="dxa"/>
            <w:tcBorders>
              <w:top w:val="single" w:sz="4" w:space="0" w:color="auto"/>
              <w:bottom w:val="single" w:sz="4" w:space="0" w:color="auto"/>
            </w:tcBorders>
            <w:hideMark/>
          </w:tcPr>
          <w:p w14:paraId="31C7A310" w14:textId="77777777" w:rsidR="007701DC" w:rsidRPr="00633AB1" w:rsidRDefault="007701DC" w:rsidP="007701DC">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Purchase Price ($)</w:t>
            </w:r>
          </w:p>
        </w:tc>
        <w:tc>
          <w:tcPr>
            <w:tcW w:w="1440" w:type="dxa"/>
            <w:tcBorders>
              <w:top w:val="single" w:sz="4" w:space="0" w:color="auto"/>
              <w:bottom w:val="single" w:sz="4" w:space="0" w:color="auto"/>
            </w:tcBorders>
            <w:hideMark/>
          </w:tcPr>
          <w:p w14:paraId="52C768B7" w14:textId="77777777" w:rsidR="007701DC" w:rsidRPr="00633AB1" w:rsidRDefault="007701DC" w:rsidP="007701DC">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Maintenance Cost ($/km)</w:t>
            </w:r>
          </w:p>
        </w:tc>
        <w:tc>
          <w:tcPr>
            <w:tcW w:w="1170" w:type="dxa"/>
            <w:tcBorders>
              <w:top w:val="single" w:sz="4" w:space="0" w:color="auto"/>
              <w:bottom w:val="single" w:sz="4" w:space="0" w:color="auto"/>
            </w:tcBorders>
            <w:hideMark/>
          </w:tcPr>
          <w:p w14:paraId="47090E65" w14:textId="2D305A75" w:rsidR="007701DC" w:rsidRPr="00633AB1" w:rsidRDefault="007701DC" w:rsidP="007701DC">
            <w:pPr>
              <w:spacing w:before="60" w:after="60"/>
              <w:jc w:val="center"/>
              <w:textAlignment w:val="baseline"/>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 xml:space="preserve">Acceleration </w:t>
            </w:r>
            <w:r w:rsidRPr="00633AB1">
              <w:rPr>
                <w:rStyle w:val="Emphasis"/>
                <w:rFonts w:ascii="Times New Roman" w:hAnsi="Times New Roman"/>
                <w:color w:val="000000" w:themeColor="text1"/>
                <w:sz w:val="18"/>
                <w:szCs w:val="18"/>
              </w:rPr>
              <w:t>(sec to reach 100 km/h)</w:t>
            </w:r>
          </w:p>
        </w:tc>
        <w:tc>
          <w:tcPr>
            <w:tcW w:w="1177" w:type="dxa"/>
            <w:tcBorders>
              <w:top w:val="single" w:sz="4" w:space="0" w:color="auto"/>
              <w:bottom w:val="single" w:sz="4" w:space="0" w:color="auto"/>
            </w:tcBorders>
            <w:hideMark/>
          </w:tcPr>
          <w:p w14:paraId="417A1155" w14:textId="77777777" w:rsidR="007701DC" w:rsidRPr="00633AB1" w:rsidRDefault="007701DC" w:rsidP="007701DC">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Gasoline Range (km)</w:t>
            </w:r>
          </w:p>
        </w:tc>
        <w:tc>
          <w:tcPr>
            <w:tcW w:w="1191" w:type="dxa"/>
            <w:tcBorders>
              <w:top w:val="single" w:sz="4" w:space="0" w:color="auto"/>
              <w:bottom w:val="single" w:sz="4" w:space="0" w:color="auto"/>
            </w:tcBorders>
            <w:hideMark/>
          </w:tcPr>
          <w:p w14:paraId="02F7BF27" w14:textId="65CB68B7" w:rsidR="007701DC" w:rsidRPr="00633AB1" w:rsidRDefault="007701DC" w:rsidP="007701DC">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CO</w:t>
            </w:r>
            <w:r w:rsidRPr="00633AB1">
              <w:rPr>
                <w:rFonts w:ascii="Times New Roman" w:eastAsia="Times New Roman" w:hAnsi="Times New Roman" w:cs="Times New Roman"/>
                <w:color w:val="000000" w:themeColor="text1"/>
                <w:sz w:val="18"/>
                <w:szCs w:val="18"/>
                <w:vertAlign w:val="subscript"/>
                <w:lang w:eastAsia="en-CA"/>
              </w:rPr>
              <w:t>2</w:t>
            </w:r>
            <w:r w:rsidRPr="00633AB1">
              <w:rPr>
                <w:rFonts w:ascii="Times New Roman" w:eastAsia="Times New Roman" w:hAnsi="Times New Roman" w:cs="Times New Roman"/>
                <w:color w:val="000000" w:themeColor="text1"/>
                <w:sz w:val="18"/>
                <w:szCs w:val="18"/>
                <w:lang w:eastAsia="en-CA"/>
              </w:rPr>
              <w:t xml:space="preserve"> </w:t>
            </w:r>
            <w:r w:rsidR="00122632">
              <w:rPr>
                <w:rFonts w:ascii="Times New Roman" w:eastAsia="Times New Roman" w:hAnsi="Times New Roman" w:cs="Times New Roman"/>
                <w:color w:val="000000" w:themeColor="text1"/>
                <w:sz w:val="18"/>
                <w:szCs w:val="18"/>
                <w:lang w:eastAsia="en-CA"/>
              </w:rPr>
              <w:t>t</w:t>
            </w:r>
            <w:r w:rsidRPr="00633AB1">
              <w:rPr>
                <w:rFonts w:ascii="Times New Roman" w:eastAsia="Times New Roman" w:hAnsi="Times New Roman" w:cs="Times New Roman"/>
                <w:color w:val="000000" w:themeColor="text1"/>
                <w:sz w:val="18"/>
                <w:szCs w:val="18"/>
                <w:lang w:eastAsia="en-CA"/>
              </w:rPr>
              <w:t>ailpipe Emissions (tonnes/km)</w:t>
            </w:r>
          </w:p>
        </w:tc>
        <w:tc>
          <w:tcPr>
            <w:tcW w:w="1592" w:type="dxa"/>
            <w:tcBorders>
              <w:top w:val="single" w:sz="4" w:space="0" w:color="auto"/>
              <w:bottom w:val="single" w:sz="4" w:space="0" w:color="auto"/>
            </w:tcBorders>
            <w:hideMark/>
          </w:tcPr>
          <w:p w14:paraId="756CE367" w14:textId="477D2313" w:rsidR="007701DC" w:rsidRPr="00633AB1" w:rsidRDefault="007701DC" w:rsidP="007701DC">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Fueling/</w:t>
            </w:r>
            <w:r w:rsidR="00122632">
              <w:rPr>
                <w:rFonts w:ascii="Times New Roman" w:eastAsia="Times New Roman" w:hAnsi="Times New Roman" w:cs="Times New Roman"/>
                <w:color w:val="000000" w:themeColor="text1"/>
                <w:sz w:val="18"/>
                <w:szCs w:val="18"/>
                <w:lang w:eastAsia="en-CA"/>
              </w:rPr>
              <w:t>c</w:t>
            </w:r>
            <w:r w:rsidRPr="00633AB1">
              <w:rPr>
                <w:rFonts w:ascii="Times New Roman" w:eastAsia="Times New Roman" w:hAnsi="Times New Roman" w:cs="Times New Roman"/>
                <w:color w:val="000000" w:themeColor="text1"/>
                <w:sz w:val="18"/>
                <w:szCs w:val="18"/>
                <w:lang w:eastAsia="en-CA"/>
              </w:rPr>
              <w:t>harging Cost ($/km)</w:t>
            </w:r>
          </w:p>
        </w:tc>
      </w:tr>
      <w:tr w:rsidR="007701DC" w:rsidRPr="00633AB1" w14:paraId="22D71502" w14:textId="77777777" w:rsidTr="007701DC">
        <w:trPr>
          <w:trHeight w:val="206"/>
        </w:trPr>
        <w:tc>
          <w:tcPr>
            <w:tcW w:w="1170" w:type="dxa"/>
            <w:vMerge w:val="restart"/>
            <w:tcBorders>
              <w:top w:val="single" w:sz="4" w:space="0" w:color="auto"/>
            </w:tcBorders>
          </w:tcPr>
          <w:p w14:paraId="1D64C8E8" w14:textId="77777777" w:rsidR="007701DC" w:rsidRPr="00633AB1" w:rsidRDefault="007701DC" w:rsidP="007701DC">
            <w:pPr>
              <w:tabs>
                <w:tab w:val="center" w:pos="559"/>
              </w:tabs>
              <w:rPr>
                <w:rFonts w:ascii="Times New Roman" w:eastAsia="Times New Roman" w:hAnsi="Times New Roman" w:cs="Times New Roman"/>
                <w:color w:val="000000" w:themeColor="text1"/>
                <w:sz w:val="18"/>
                <w:szCs w:val="18"/>
                <w:lang w:val="en-US"/>
              </w:rPr>
            </w:pPr>
            <w:r w:rsidRPr="00633AB1">
              <w:rPr>
                <w:rFonts w:ascii="Times New Roman" w:eastAsia="Times New Roman" w:hAnsi="Times New Roman" w:cs="Times New Roman"/>
                <w:noProof/>
                <w:color w:val="000000" w:themeColor="text1"/>
                <w:sz w:val="18"/>
                <w:szCs w:val="18"/>
                <w:lang w:eastAsia="en-CA"/>
              </w:rPr>
              <w:drawing>
                <wp:anchor distT="0" distB="0" distL="114300" distR="114300" simplePos="0" relativeHeight="251665408" behindDoc="1" locked="0" layoutInCell="1" allowOverlap="1" wp14:anchorId="0DB5F445" wp14:editId="1868B849">
                  <wp:simplePos x="0" y="0"/>
                  <wp:positionH relativeFrom="margin">
                    <wp:posOffset>-68580</wp:posOffset>
                  </wp:positionH>
                  <wp:positionV relativeFrom="paragraph">
                    <wp:posOffset>10160</wp:posOffset>
                  </wp:positionV>
                  <wp:extent cx="695325" cy="1438275"/>
                  <wp:effectExtent l="0" t="0" r="9525" b="9525"/>
                  <wp:wrapTight wrapText="bothSides">
                    <wp:wrapPolygon edited="0">
                      <wp:start x="0" y="0"/>
                      <wp:lineTo x="0" y="21457"/>
                      <wp:lineTo x="21304" y="21457"/>
                      <wp:lineTo x="2130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01" r="69320" b="660"/>
                          <a:stretch/>
                        </pic:blipFill>
                        <pic:spPr bwMode="auto">
                          <a:xfrm>
                            <a:off x="0" y="0"/>
                            <a:ext cx="695325"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260" w:type="dxa"/>
            <w:tcBorders>
              <w:top w:val="single" w:sz="4" w:space="0" w:color="auto"/>
            </w:tcBorders>
            <w:hideMark/>
          </w:tcPr>
          <w:p w14:paraId="3E7C26A7" w14:textId="77777777" w:rsidR="007701DC" w:rsidRPr="00633AB1" w:rsidRDefault="007701DC" w:rsidP="007701DC">
            <w:pPr>
              <w:spacing w:before="60" w:after="60"/>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Economy</w:t>
            </w:r>
          </w:p>
        </w:tc>
        <w:tc>
          <w:tcPr>
            <w:tcW w:w="900" w:type="dxa"/>
            <w:tcBorders>
              <w:top w:val="single" w:sz="4" w:space="0" w:color="auto"/>
            </w:tcBorders>
            <w:hideMark/>
          </w:tcPr>
          <w:p w14:paraId="3BE39B40" w14:textId="77777777" w:rsidR="007701DC" w:rsidRPr="00633AB1" w:rsidRDefault="007701DC" w:rsidP="007701DC">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22,000</w:t>
            </w:r>
          </w:p>
        </w:tc>
        <w:tc>
          <w:tcPr>
            <w:tcW w:w="1440" w:type="dxa"/>
            <w:tcBorders>
              <w:top w:val="single" w:sz="4" w:space="0" w:color="auto"/>
            </w:tcBorders>
            <w:hideMark/>
          </w:tcPr>
          <w:p w14:paraId="25C7C423" w14:textId="77777777" w:rsidR="007701DC" w:rsidRPr="00633AB1" w:rsidRDefault="007701DC" w:rsidP="007701DC">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0.051</w:t>
            </w:r>
          </w:p>
        </w:tc>
        <w:tc>
          <w:tcPr>
            <w:tcW w:w="1170" w:type="dxa"/>
            <w:tcBorders>
              <w:top w:val="single" w:sz="4" w:space="0" w:color="auto"/>
            </w:tcBorders>
            <w:hideMark/>
          </w:tcPr>
          <w:p w14:paraId="7BBC3D0A" w14:textId="77777777" w:rsidR="007701DC" w:rsidRPr="00633AB1" w:rsidRDefault="007701DC" w:rsidP="007701DC">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8.8</w:t>
            </w:r>
          </w:p>
        </w:tc>
        <w:tc>
          <w:tcPr>
            <w:tcW w:w="1177" w:type="dxa"/>
            <w:tcBorders>
              <w:top w:val="single" w:sz="4" w:space="0" w:color="auto"/>
            </w:tcBorders>
            <w:hideMark/>
          </w:tcPr>
          <w:p w14:paraId="7F7EB006" w14:textId="77777777" w:rsidR="007701DC" w:rsidRPr="00633AB1" w:rsidRDefault="007701DC" w:rsidP="007701DC">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700</w:t>
            </w:r>
          </w:p>
        </w:tc>
        <w:tc>
          <w:tcPr>
            <w:tcW w:w="1191" w:type="dxa"/>
            <w:tcBorders>
              <w:top w:val="single" w:sz="4" w:space="0" w:color="auto"/>
            </w:tcBorders>
            <w:hideMark/>
          </w:tcPr>
          <w:p w14:paraId="3A33DF13" w14:textId="77777777" w:rsidR="007701DC" w:rsidRPr="00633AB1" w:rsidRDefault="007701DC" w:rsidP="007701DC">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0.000143</w:t>
            </w:r>
          </w:p>
        </w:tc>
        <w:tc>
          <w:tcPr>
            <w:tcW w:w="1592" w:type="dxa"/>
            <w:tcBorders>
              <w:top w:val="single" w:sz="4" w:space="0" w:color="auto"/>
            </w:tcBorders>
            <w:hideMark/>
          </w:tcPr>
          <w:p w14:paraId="7301B058" w14:textId="77777777" w:rsidR="007701DC" w:rsidRPr="00633AB1" w:rsidRDefault="007701DC" w:rsidP="007701DC">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0.07</w:t>
            </w:r>
          </w:p>
        </w:tc>
      </w:tr>
      <w:tr w:rsidR="007701DC" w:rsidRPr="00633AB1" w14:paraId="0CF2F2ED" w14:textId="77777777" w:rsidTr="007701DC">
        <w:trPr>
          <w:trHeight w:val="311"/>
        </w:trPr>
        <w:tc>
          <w:tcPr>
            <w:tcW w:w="1170" w:type="dxa"/>
            <w:vMerge/>
          </w:tcPr>
          <w:p w14:paraId="304DBD14" w14:textId="77777777" w:rsidR="007701DC" w:rsidRPr="00633AB1" w:rsidRDefault="007701DC" w:rsidP="007701DC">
            <w:pPr>
              <w:rPr>
                <w:rFonts w:ascii="Times New Roman" w:eastAsia="Times New Roman" w:hAnsi="Times New Roman" w:cs="Times New Roman"/>
                <w:color w:val="000000" w:themeColor="text1"/>
                <w:sz w:val="18"/>
                <w:szCs w:val="18"/>
                <w:lang w:eastAsia="en-CA"/>
              </w:rPr>
            </w:pPr>
          </w:p>
        </w:tc>
        <w:tc>
          <w:tcPr>
            <w:tcW w:w="1260" w:type="dxa"/>
            <w:hideMark/>
          </w:tcPr>
          <w:p w14:paraId="315B6974" w14:textId="77777777" w:rsidR="007701DC" w:rsidRPr="00633AB1" w:rsidRDefault="007701DC" w:rsidP="007701DC">
            <w:pPr>
              <w:spacing w:before="60" w:after="60"/>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Intermediate</w:t>
            </w:r>
          </w:p>
        </w:tc>
        <w:tc>
          <w:tcPr>
            <w:tcW w:w="900" w:type="dxa"/>
            <w:hideMark/>
          </w:tcPr>
          <w:p w14:paraId="1AE96208" w14:textId="77777777" w:rsidR="007701DC" w:rsidRPr="00633AB1" w:rsidRDefault="007701DC" w:rsidP="007701DC">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25,000</w:t>
            </w:r>
          </w:p>
        </w:tc>
        <w:tc>
          <w:tcPr>
            <w:tcW w:w="1440" w:type="dxa"/>
            <w:hideMark/>
          </w:tcPr>
          <w:p w14:paraId="06628D0C" w14:textId="77777777" w:rsidR="007701DC" w:rsidRPr="00633AB1" w:rsidRDefault="007701DC" w:rsidP="007701DC">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0.051</w:t>
            </w:r>
          </w:p>
        </w:tc>
        <w:tc>
          <w:tcPr>
            <w:tcW w:w="1170" w:type="dxa"/>
            <w:hideMark/>
          </w:tcPr>
          <w:p w14:paraId="0DC9CB6C" w14:textId="77777777" w:rsidR="007701DC" w:rsidRPr="00633AB1" w:rsidRDefault="007701DC" w:rsidP="007701DC">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9.0</w:t>
            </w:r>
          </w:p>
        </w:tc>
        <w:tc>
          <w:tcPr>
            <w:tcW w:w="1177" w:type="dxa"/>
            <w:hideMark/>
          </w:tcPr>
          <w:p w14:paraId="118D9B58" w14:textId="77777777" w:rsidR="007701DC" w:rsidRPr="00633AB1" w:rsidRDefault="007701DC" w:rsidP="007701DC">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700</w:t>
            </w:r>
          </w:p>
        </w:tc>
        <w:tc>
          <w:tcPr>
            <w:tcW w:w="1191" w:type="dxa"/>
            <w:hideMark/>
          </w:tcPr>
          <w:p w14:paraId="008D3FC9" w14:textId="77777777" w:rsidR="007701DC" w:rsidRPr="00633AB1" w:rsidRDefault="007701DC" w:rsidP="007701DC">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0.000141</w:t>
            </w:r>
          </w:p>
        </w:tc>
        <w:tc>
          <w:tcPr>
            <w:tcW w:w="1592" w:type="dxa"/>
            <w:hideMark/>
          </w:tcPr>
          <w:p w14:paraId="45D4BA11" w14:textId="77777777" w:rsidR="007701DC" w:rsidRPr="00633AB1" w:rsidRDefault="007701DC" w:rsidP="007701DC">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0.07</w:t>
            </w:r>
          </w:p>
        </w:tc>
      </w:tr>
      <w:tr w:rsidR="007701DC" w:rsidRPr="00633AB1" w14:paraId="5C55B53D" w14:textId="77777777" w:rsidTr="007701DC">
        <w:trPr>
          <w:trHeight w:val="267"/>
        </w:trPr>
        <w:tc>
          <w:tcPr>
            <w:tcW w:w="1170" w:type="dxa"/>
            <w:vMerge/>
          </w:tcPr>
          <w:p w14:paraId="5F5E1762" w14:textId="77777777" w:rsidR="007701DC" w:rsidRPr="00633AB1" w:rsidRDefault="007701DC" w:rsidP="007701DC">
            <w:pPr>
              <w:rPr>
                <w:rFonts w:ascii="Times New Roman" w:eastAsia="Times New Roman" w:hAnsi="Times New Roman" w:cs="Times New Roman"/>
                <w:color w:val="000000" w:themeColor="text1"/>
                <w:sz w:val="18"/>
                <w:szCs w:val="18"/>
                <w:lang w:eastAsia="en-CA"/>
              </w:rPr>
            </w:pPr>
          </w:p>
        </w:tc>
        <w:tc>
          <w:tcPr>
            <w:tcW w:w="1260" w:type="dxa"/>
            <w:hideMark/>
          </w:tcPr>
          <w:p w14:paraId="37B3E7AA" w14:textId="77777777" w:rsidR="007701DC" w:rsidRPr="00633AB1" w:rsidRDefault="007701DC" w:rsidP="007701DC">
            <w:pPr>
              <w:spacing w:before="60" w:after="60"/>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 xml:space="preserve">Full sedan </w:t>
            </w:r>
          </w:p>
        </w:tc>
        <w:tc>
          <w:tcPr>
            <w:tcW w:w="900" w:type="dxa"/>
            <w:hideMark/>
          </w:tcPr>
          <w:p w14:paraId="0BCB2F2A" w14:textId="77777777" w:rsidR="007701DC" w:rsidRPr="00633AB1" w:rsidRDefault="007701DC" w:rsidP="007701DC">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35,000</w:t>
            </w:r>
          </w:p>
        </w:tc>
        <w:tc>
          <w:tcPr>
            <w:tcW w:w="1440" w:type="dxa"/>
            <w:hideMark/>
          </w:tcPr>
          <w:p w14:paraId="0CDD1FE6" w14:textId="77777777" w:rsidR="007701DC" w:rsidRPr="00633AB1" w:rsidRDefault="007701DC" w:rsidP="007701DC">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0.060</w:t>
            </w:r>
          </w:p>
        </w:tc>
        <w:tc>
          <w:tcPr>
            <w:tcW w:w="1170" w:type="dxa"/>
            <w:hideMark/>
          </w:tcPr>
          <w:p w14:paraId="1A1D7287" w14:textId="77777777" w:rsidR="007701DC" w:rsidRPr="00633AB1" w:rsidRDefault="007701DC" w:rsidP="007701DC">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7.2</w:t>
            </w:r>
          </w:p>
        </w:tc>
        <w:tc>
          <w:tcPr>
            <w:tcW w:w="1177" w:type="dxa"/>
            <w:hideMark/>
          </w:tcPr>
          <w:p w14:paraId="76BF72D1" w14:textId="77777777" w:rsidR="007701DC" w:rsidRPr="00633AB1" w:rsidRDefault="007701DC" w:rsidP="007701DC">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800</w:t>
            </w:r>
          </w:p>
        </w:tc>
        <w:tc>
          <w:tcPr>
            <w:tcW w:w="1191" w:type="dxa"/>
            <w:hideMark/>
          </w:tcPr>
          <w:p w14:paraId="29A4AA99" w14:textId="77777777" w:rsidR="007701DC" w:rsidRPr="00633AB1" w:rsidRDefault="007701DC" w:rsidP="007701DC">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0.000182</w:t>
            </w:r>
          </w:p>
        </w:tc>
        <w:tc>
          <w:tcPr>
            <w:tcW w:w="1592" w:type="dxa"/>
            <w:hideMark/>
          </w:tcPr>
          <w:p w14:paraId="2D316E00" w14:textId="77777777" w:rsidR="007701DC" w:rsidRPr="00633AB1" w:rsidRDefault="007701DC" w:rsidP="007701DC">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0.08</w:t>
            </w:r>
          </w:p>
        </w:tc>
      </w:tr>
      <w:tr w:rsidR="007701DC" w:rsidRPr="00633AB1" w14:paraId="2C1CEBE3" w14:textId="77777777" w:rsidTr="007701DC">
        <w:trPr>
          <w:trHeight w:val="215"/>
        </w:trPr>
        <w:tc>
          <w:tcPr>
            <w:tcW w:w="1170" w:type="dxa"/>
            <w:vMerge/>
          </w:tcPr>
          <w:p w14:paraId="5F16CAB0" w14:textId="77777777" w:rsidR="007701DC" w:rsidRPr="00633AB1" w:rsidRDefault="007701DC" w:rsidP="007701DC">
            <w:pPr>
              <w:rPr>
                <w:rFonts w:ascii="Times New Roman" w:eastAsia="Times New Roman" w:hAnsi="Times New Roman" w:cs="Times New Roman"/>
                <w:color w:val="000000" w:themeColor="text1"/>
                <w:sz w:val="18"/>
                <w:szCs w:val="18"/>
                <w:lang w:eastAsia="en-CA"/>
              </w:rPr>
            </w:pPr>
          </w:p>
        </w:tc>
        <w:tc>
          <w:tcPr>
            <w:tcW w:w="1260" w:type="dxa"/>
            <w:hideMark/>
          </w:tcPr>
          <w:p w14:paraId="086AA080" w14:textId="77777777" w:rsidR="007701DC" w:rsidRPr="00633AB1" w:rsidRDefault="007701DC" w:rsidP="007701DC">
            <w:pPr>
              <w:spacing w:before="60" w:after="60"/>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Luxury sedan</w:t>
            </w:r>
          </w:p>
        </w:tc>
        <w:tc>
          <w:tcPr>
            <w:tcW w:w="900" w:type="dxa"/>
            <w:hideMark/>
          </w:tcPr>
          <w:p w14:paraId="7D9C0AD0" w14:textId="77777777" w:rsidR="007701DC" w:rsidRPr="00633AB1" w:rsidRDefault="007701DC" w:rsidP="007701DC">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59,000</w:t>
            </w:r>
          </w:p>
        </w:tc>
        <w:tc>
          <w:tcPr>
            <w:tcW w:w="1440" w:type="dxa"/>
            <w:hideMark/>
          </w:tcPr>
          <w:p w14:paraId="6657D63B" w14:textId="77777777" w:rsidR="007701DC" w:rsidRPr="00633AB1" w:rsidRDefault="007701DC" w:rsidP="007701DC">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0.072</w:t>
            </w:r>
          </w:p>
        </w:tc>
        <w:tc>
          <w:tcPr>
            <w:tcW w:w="1170" w:type="dxa"/>
            <w:hideMark/>
          </w:tcPr>
          <w:p w14:paraId="52C27B43" w14:textId="77777777" w:rsidR="007701DC" w:rsidRPr="00633AB1" w:rsidRDefault="007701DC" w:rsidP="007701DC">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6.5</w:t>
            </w:r>
          </w:p>
        </w:tc>
        <w:tc>
          <w:tcPr>
            <w:tcW w:w="1177" w:type="dxa"/>
            <w:hideMark/>
          </w:tcPr>
          <w:p w14:paraId="09FF8D6A" w14:textId="77777777" w:rsidR="007701DC" w:rsidRPr="00633AB1" w:rsidRDefault="007701DC" w:rsidP="007701DC">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700</w:t>
            </w:r>
          </w:p>
        </w:tc>
        <w:tc>
          <w:tcPr>
            <w:tcW w:w="1191" w:type="dxa"/>
            <w:hideMark/>
          </w:tcPr>
          <w:p w14:paraId="2BE0C758" w14:textId="77777777" w:rsidR="007701DC" w:rsidRPr="00633AB1" w:rsidRDefault="007701DC" w:rsidP="007701DC">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0.000202</w:t>
            </w:r>
          </w:p>
        </w:tc>
        <w:tc>
          <w:tcPr>
            <w:tcW w:w="1592" w:type="dxa"/>
            <w:hideMark/>
          </w:tcPr>
          <w:p w14:paraId="694C3868" w14:textId="77777777" w:rsidR="007701DC" w:rsidRPr="00633AB1" w:rsidRDefault="007701DC" w:rsidP="007701DC">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0.09</w:t>
            </w:r>
          </w:p>
        </w:tc>
      </w:tr>
      <w:tr w:rsidR="007701DC" w:rsidRPr="00633AB1" w14:paraId="4ABC9B82" w14:textId="77777777" w:rsidTr="007701DC">
        <w:trPr>
          <w:trHeight w:val="177"/>
        </w:trPr>
        <w:tc>
          <w:tcPr>
            <w:tcW w:w="1170" w:type="dxa"/>
            <w:vMerge/>
          </w:tcPr>
          <w:p w14:paraId="6C9231D6" w14:textId="77777777" w:rsidR="007701DC" w:rsidRPr="00633AB1" w:rsidRDefault="007701DC" w:rsidP="007701DC">
            <w:pPr>
              <w:rPr>
                <w:rFonts w:ascii="Times New Roman" w:eastAsia="Times New Roman" w:hAnsi="Times New Roman" w:cs="Times New Roman"/>
                <w:color w:val="000000" w:themeColor="text1"/>
                <w:sz w:val="18"/>
                <w:szCs w:val="18"/>
                <w:lang w:eastAsia="en-CA"/>
              </w:rPr>
            </w:pPr>
          </w:p>
        </w:tc>
        <w:tc>
          <w:tcPr>
            <w:tcW w:w="1260" w:type="dxa"/>
            <w:hideMark/>
          </w:tcPr>
          <w:p w14:paraId="3F8EDECC" w14:textId="77777777" w:rsidR="007701DC" w:rsidRPr="00633AB1" w:rsidRDefault="007701DC" w:rsidP="007701DC">
            <w:pPr>
              <w:spacing w:before="60" w:after="60"/>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Minivan</w:t>
            </w:r>
          </w:p>
        </w:tc>
        <w:tc>
          <w:tcPr>
            <w:tcW w:w="900" w:type="dxa"/>
            <w:hideMark/>
          </w:tcPr>
          <w:p w14:paraId="6705FBEB" w14:textId="77777777" w:rsidR="007701DC" w:rsidRPr="00633AB1" w:rsidRDefault="007701DC" w:rsidP="007701DC">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33,500</w:t>
            </w:r>
          </w:p>
        </w:tc>
        <w:tc>
          <w:tcPr>
            <w:tcW w:w="1440" w:type="dxa"/>
            <w:hideMark/>
          </w:tcPr>
          <w:p w14:paraId="6B9E4EF8" w14:textId="77777777" w:rsidR="007701DC" w:rsidRPr="00633AB1" w:rsidRDefault="007701DC" w:rsidP="007701DC">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0.069</w:t>
            </w:r>
          </w:p>
        </w:tc>
        <w:tc>
          <w:tcPr>
            <w:tcW w:w="1170" w:type="dxa"/>
            <w:hideMark/>
          </w:tcPr>
          <w:p w14:paraId="33486FD0" w14:textId="77777777" w:rsidR="007701DC" w:rsidRPr="00633AB1" w:rsidRDefault="007701DC" w:rsidP="007701DC">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5.0</w:t>
            </w:r>
          </w:p>
        </w:tc>
        <w:tc>
          <w:tcPr>
            <w:tcW w:w="1177" w:type="dxa"/>
            <w:hideMark/>
          </w:tcPr>
          <w:p w14:paraId="7CF651CE" w14:textId="77777777" w:rsidR="007701DC" w:rsidRPr="00633AB1" w:rsidRDefault="007701DC" w:rsidP="007701DC">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700</w:t>
            </w:r>
          </w:p>
        </w:tc>
        <w:tc>
          <w:tcPr>
            <w:tcW w:w="1191" w:type="dxa"/>
            <w:hideMark/>
          </w:tcPr>
          <w:p w14:paraId="10AD4479" w14:textId="77777777" w:rsidR="007701DC" w:rsidRPr="00633AB1" w:rsidRDefault="007701DC" w:rsidP="007701DC">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0.000234</w:t>
            </w:r>
          </w:p>
        </w:tc>
        <w:tc>
          <w:tcPr>
            <w:tcW w:w="1592" w:type="dxa"/>
            <w:hideMark/>
          </w:tcPr>
          <w:p w14:paraId="62289A84" w14:textId="77777777" w:rsidR="007701DC" w:rsidRPr="00633AB1" w:rsidRDefault="007701DC" w:rsidP="007701DC">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0.14</w:t>
            </w:r>
          </w:p>
        </w:tc>
      </w:tr>
      <w:tr w:rsidR="007701DC" w:rsidRPr="00633AB1" w14:paraId="765B4BC3" w14:textId="77777777" w:rsidTr="007701DC">
        <w:trPr>
          <w:trHeight w:val="125"/>
        </w:trPr>
        <w:tc>
          <w:tcPr>
            <w:tcW w:w="1170" w:type="dxa"/>
            <w:vMerge/>
          </w:tcPr>
          <w:p w14:paraId="40A6B719" w14:textId="77777777" w:rsidR="007701DC" w:rsidRPr="00633AB1" w:rsidRDefault="007701DC" w:rsidP="007701DC">
            <w:pPr>
              <w:rPr>
                <w:rFonts w:ascii="Times New Roman" w:eastAsia="Times New Roman" w:hAnsi="Times New Roman" w:cs="Times New Roman"/>
                <w:color w:val="000000" w:themeColor="text1"/>
                <w:sz w:val="18"/>
                <w:szCs w:val="18"/>
                <w:lang w:eastAsia="en-CA"/>
              </w:rPr>
            </w:pPr>
          </w:p>
        </w:tc>
        <w:tc>
          <w:tcPr>
            <w:tcW w:w="1260" w:type="dxa"/>
            <w:hideMark/>
          </w:tcPr>
          <w:p w14:paraId="56CB10FF" w14:textId="77777777" w:rsidR="007701DC" w:rsidRPr="00633AB1" w:rsidRDefault="007701DC" w:rsidP="007701DC">
            <w:pPr>
              <w:spacing w:before="60" w:after="60"/>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SUV</w:t>
            </w:r>
          </w:p>
        </w:tc>
        <w:tc>
          <w:tcPr>
            <w:tcW w:w="900" w:type="dxa"/>
            <w:hideMark/>
          </w:tcPr>
          <w:p w14:paraId="4757FB73" w14:textId="77777777" w:rsidR="007701DC" w:rsidRPr="00633AB1" w:rsidRDefault="007701DC" w:rsidP="007701DC">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30,000</w:t>
            </w:r>
          </w:p>
        </w:tc>
        <w:tc>
          <w:tcPr>
            <w:tcW w:w="1440" w:type="dxa"/>
            <w:hideMark/>
          </w:tcPr>
          <w:p w14:paraId="15564B70" w14:textId="77777777" w:rsidR="007701DC" w:rsidRPr="00633AB1" w:rsidRDefault="007701DC" w:rsidP="007701DC">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0.072</w:t>
            </w:r>
          </w:p>
        </w:tc>
        <w:tc>
          <w:tcPr>
            <w:tcW w:w="1170" w:type="dxa"/>
            <w:hideMark/>
          </w:tcPr>
          <w:p w14:paraId="2A98C74E" w14:textId="77777777" w:rsidR="007701DC" w:rsidRPr="00633AB1" w:rsidRDefault="007701DC" w:rsidP="007701DC">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9.0</w:t>
            </w:r>
          </w:p>
        </w:tc>
        <w:tc>
          <w:tcPr>
            <w:tcW w:w="1177" w:type="dxa"/>
            <w:hideMark/>
          </w:tcPr>
          <w:p w14:paraId="4222B6FB" w14:textId="77777777" w:rsidR="007701DC" w:rsidRPr="00633AB1" w:rsidRDefault="007701DC" w:rsidP="007701DC">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670</w:t>
            </w:r>
          </w:p>
        </w:tc>
        <w:tc>
          <w:tcPr>
            <w:tcW w:w="1191" w:type="dxa"/>
            <w:hideMark/>
          </w:tcPr>
          <w:p w14:paraId="48D28523" w14:textId="77777777" w:rsidR="007701DC" w:rsidRPr="00633AB1" w:rsidRDefault="007701DC" w:rsidP="007701DC">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0.000234</w:t>
            </w:r>
          </w:p>
        </w:tc>
        <w:tc>
          <w:tcPr>
            <w:tcW w:w="1592" w:type="dxa"/>
            <w:hideMark/>
          </w:tcPr>
          <w:p w14:paraId="4F4A7445" w14:textId="77777777" w:rsidR="007701DC" w:rsidRPr="00633AB1" w:rsidRDefault="007701DC" w:rsidP="007701DC">
            <w:pPr>
              <w:spacing w:before="60" w:after="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0.09</w:t>
            </w:r>
          </w:p>
        </w:tc>
      </w:tr>
      <w:tr w:rsidR="007701DC" w:rsidRPr="00633AB1" w14:paraId="185917F6" w14:textId="77777777" w:rsidTr="007701DC">
        <w:trPr>
          <w:trHeight w:val="357"/>
        </w:trPr>
        <w:tc>
          <w:tcPr>
            <w:tcW w:w="1170" w:type="dxa"/>
            <w:vMerge/>
          </w:tcPr>
          <w:p w14:paraId="277669BC" w14:textId="77777777" w:rsidR="007701DC" w:rsidRPr="00633AB1" w:rsidRDefault="007701DC" w:rsidP="007701DC">
            <w:pPr>
              <w:rPr>
                <w:rFonts w:ascii="Times New Roman" w:eastAsia="Times New Roman" w:hAnsi="Times New Roman" w:cs="Times New Roman"/>
                <w:color w:val="000000" w:themeColor="text1"/>
                <w:sz w:val="18"/>
                <w:szCs w:val="18"/>
                <w:lang w:eastAsia="en-CA"/>
              </w:rPr>
            </w:pPr>
          </w:p>
        </w:tc>
        <w:tc>
          <w:tcPr>
            <w:tcW w:w="1260" w:type="dxa"/>
            <w:hideMark/>
          </w:tcPr>
          <w:p w14:paraId="04C30860" w14:textId="77777777" w:rsidR="007701DC" w:rsidRPr="00633AB1" w:rsidRDefault="007701DC" w:rsidP="007701DC">
            <w:pPr>
              <w:spacing w:before="60"/>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Pickup truck</w:t>
            </w:r>
          </w:p>
        </w:tc>
        <w:tc>
          <w:tcPr>
            <w:tcW w:w="900" w:type="dxa"/>
            <w:hideMark/>
          </w:tcPr>
          <w:p w14:paraId="4924EB65" w14:textId="77777777" w:rsidR="007701DC" w:rsidRPr="00633AB1" w:rsidRDefault="007701DC" w:rsidP="007701DC">
            <w:pPr>
              <w:spacing w:before="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40,000</w:t>
            </w:r>
          </w:p>
        </w:tc>
        <w:tc>
          <w:tcPr>
            <w:tcW w:w="1440" w:type="dxa"/>
            <w:hideMark/>
          </w:tcPr>
          <w:p w14:paraId="28675517" w14:textId="77777777" w:rsidR="007701DC" w:rsidRPr="00633AB1" w:rsidRDefault="007701DC" w:rsidP="007701DC">
            <w:pPr>
              <w:spacing w:before="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0.081</w:t>
            </w:r>
          </w:p>
        </w:tc>
        <w:tc>
          <w:tcPr>
            <w:tcW w:w="1170" w:type="dxa"/>
            <w:hideMark/>
          </w:tcPr>
          <w:p w14:paraId="1F380D34" w14:textId="77777777" w:rsidR="007701DC" w:rsidRPr="00633AB1" w:rsidRDefault="007701DC" w:rsidP="007701DC">
            <w:pPr>
              <w:spacing w:before="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6.6</w:t>
            </w:r>
          </w:p>
        </w:tc>
        <w:tc>
          <w:tcPr>
            <w:tcW w:w="1177" w:type="dxa"/>
            <w:hideMark/>
          </w:tcPr>
          <w:p w14:paraId="445F400F" w14:textId="77777777" w:rsidR="007701DC" w:rsidRPr="00633AB1" w:rsidRDefault="007701DC" w:rsidP="007701DC">
            <w:pPr>
              <w:spacing w:before="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750</w:t>
            </w:r>
          </w:p>
        </w:tc>
        <w:tc>
          <w:tcPr>
            <w:tcW w:w="1191" w:type="dxa"/>
            <w:hideMark/>
          </w:tcPr>
          <w:p w14:paraId="152953D2" w14:textId="77777777" w:rsidR="007701DC" w:rsidRPr="00633AB1" w:rsidRDefault="007701DC" w:rsidP="007701DC">
            <w:pPr>
              <w:spacing w:before="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0.000444</w:t>
            </w:r>
          </w:p>
        </w:tc>
        <w:tc>
          <w:tcPr>
            <w:tcW w:w="1592" w:type="dxa"/>
            <w:hideMark/>
          </w:tcPr>
          <w:p w14:paraId="6D8166FE" w14:textId="77777777" w:rsidR="007701DC" w:rsidRPr="00633AB1" w:rsidRDefault="007701DC" w:rsidP="007701DC">
            <w:pPr>
              <w:spacing w:before="60"/>
              <w:jc w:val="center"/>
              <w:rPr>
                <w:rFonts w:ascii="Times New Roman" w:eastAsia="Times New Roman" w:hAnsi="Times New Roman" w:cs="Times New Roman"/>
                <w:color w:val="000000" w:themeColor="text1"/>
                <w:sz w:val="18"/>
                <w:szCs w:val="18"/>
                <w:lang w:eastAsia="en-CA"/>
              </w:rPr>
            </w:pPr>
            <w:r w:rsidRPr="00633AB1">
              <w:rPr>
                <w:rFonts w:ascii="Times New Roman" w:eastAsia="Times New Roman" w:hAnsi="Times New Roman" w:cs="Times New Roman"/>
                <w:color w:val="000000" w:themeColor="text1"/>
                <w:sz w:val="18"/>
                <w:szCs w:val="18"/>
                <w:lang w:eastAsia="en-CA"/>
              </w:rPr>
              <w:t>0.13</w:t>
            </w:r>
          </w:p>
        </w:tc>
      </w:tr>
    </w:tbl>
    <w:p w14:paraId="3B2CD425" w14:textId="77777777" w:rsidR="005B0597" w:rsidRDefault="005B0597" w:rsidP="00555F82">
      <w:pPr>
        <w:pStyle w:val="Caption"/>
        <w:ind w:firstLine="0"/>
        <w:rPr>
          <w:rFonts w:ascii="Times New Roman" w:hAnsi="Times New Roman" w:cs="Times New Roman"/>
          <w:i w:val="0"/>
          <w:iCs w:val="0"/>
          <w:color w:val="000000"/>
          <w:sz w:val="24"/>
          <w:szCs w:val="24"/>
        </w:rPr>
      </w:pPr>
      <w:bookmarkStart w:id="63" w:name="_Toc528649797"/>
    </w:p>
    <w:p w14:paraId="2CF8EB3F" w14:textId="22BE10E0" w:rsidR="007701DC" w:rsidRPr="00555F82" w:rsidRDefault="00555F82" w:rsidP="00555F82">
      <w:pPr>
        <w:pStyle w:val="Caption"/>
        <w:ind w:firstLine="0"/>
        <w:rPr>
          <w:rFonts w:ascii="Times New Roman" w:hAnsi="Times New Roman" w:cs="Times New Roman"/>
          <w:i w:val="0"/>
          <w:iCs w:val="0"/>
          <w:color w:val="000000"/>
          <w:sz w:val="24"/>
          <w:szCs w:val="24"/>
        </w:rPr>
      </w:pPr>
      <w:r w:rsidRPr="00555F82">
        <w:rPr>
          <w:rFonts w:ascii="Times New Roman" w:hAnsi="Times New Roman" w:cs="Times New Roman"/>
          <w:i w:val="0"/>
          <w:iCs w:val="0"/>
          <w:color w:val="000000"/>
          <w:sz w:val="24"/>
          <w:szCs w:val="24"/>
        </w:rPr>
        <w:t>Table 3.</w:t>
      </w:r>
      <w:r w:rsidRPr="00555F82">
        <w:rPr>
          <w:rFonts w:ascii="Times New Roman" w:hAnsi="Times New Roman" w:cs="Times New Roman"/>
          <w:i w:val="0"/>
          <w:iCs w:val="0"/>
          <w:color w:val="000000"/>
          <w:sz w:val="24"/>
          <w:szCs w:val="24"/>
        </w:rPr>
        <w:fldChar w:fldCharType="begin"/>
      </w:r>
      <w:r w:rsidRPr="00555F82">
        <w:rPr>
          <w:rFonts w:ascii="Times New Roman" w:hAnsi="Times New Roman" w:cs="Times New Roman"/>
          <w:i w:val="0"/>
          <w:iCs w:val="0"/>
          <w:color w:val="000000"/>
          <w:sz w:val="24"/>
          <w:szCs w:val="24"/>
        </w:rPr>
        <w:instrText xml:space="preserve"> SEQ Table_3. \* ARABIC </w:instrText>
      </w:r>
      <w:r w:rsidRPr="00555F82">
        <w:rPr>
          <w:rFonts w:ascii="Times New Roman" w:hAnsi="Times New Roman" w:cs="Times New Roman"/>
          <w:i w:val="0"/>
          <w:iCs w:val="0"/>
          <w:color w:val="000000"/>
          <w:sz w:val="24"/>
          <w:szCs w:val="24"/>
        </w:rPr>
        <w:fldChar w:fldCharType="separate"/>
      </w:r>
      <w:r w:rsidR="00BC70AE">
        <w:rPr>
          <w:rFonts w:ascii="Times New Roman" w:hAnsi="Times New Roman" w:cs="Times New Roman"/>
          <w:i w:val="0"/>
          <w:iCs w:val="0"/>
          <w:noProof/>
          <w:color w:val="000000"/>
          <w:sz w:val="24"/>
          <w:szCs w:val="24"/>
        </w:rPr>
        <w:t>4</w:t>
      </w:r>
      <w:r w:rsidRPr="00555F82">
        <w:rPr>
          <w:rFonts w:ascii="Times New Roman" w:hAnsi="Times New Roman" w:cs="Times New Roman"/>
          <w:i w:val="0"/>
          <w:iCs w:val="0"/>
          <w:color w:val="000000"/>
          <w:sz w:val="24"/>
          <w:szCs w:val="24"/>
        </w:rPr>
        <w:fldChar w:fldCharType="end"/>
      </w:r>
      <w:r w:rsidRPr="00555F82">
        <w:rPr>
          <w:rFonts w:ascii="Times New Roman" w:hAnsi="Times New Roman" w:cs="Times New Roman"/>
          <w:i w:val="0"/>
          <w:iCs w:val="0"/>
          <w:color w:val="000000"/>
          <w:sz w:val="24"/>
          <w:szCs w:val="24"/>
        </w:rPr>
        <w:t xml:space="preserve"> </w:t>
      </w:r>
      <w:r w:rsidR="007701DC" w:rsidRPr="00555F82">
        <w:rPr>
          <w:rFonts w:ascii="Times New Roman" w:hAnsi="Times New Roman" w:cs="Times New Roman"/>
          <w:i w:val="0"/>
          <w:iCs w:val="0"/>
          <w:color w:val="000000"/>
          <w:sz w:val="24"/>
          <w:szCs w:val="24"/>
        </w:rPr>
        <w:t>Attribute levels for the experimental design</w:t>
      </w:r>
      <w:bookmarkEnd w:id="63"/>
      <w:r w:rsidR="00122632">
        <w:rPr>
          <w:rFonts w:ascii="Times New Roman" w:hAnsi="Times New Roman" w:cs="Times New Roman"/>
          <w:i w:val="0"/>
          <w:iCs w:val="0"/>
          <w:color w:val="000000"/>
          <w:sz w:val="24"/>
          <w:szCs w:val="24"/>
        </w:rPr>
        <w:t>.</w:t>
      </w:r>
    </w:p>
    <w:tbl>
      <w:tblPr>
        <w:tblStyle w:val="TableGridLight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9"/>
        <w:gridCol w:w="1708"/>
        <w:gridCol w:w="1710"/>
        <w:gridCol w:w="1851"/>
        <w:gridCol w:w="1856"/>
      </w:tblGrid>
      <w:tr w:rsidR="007701DC" w:rsidRPr="007701DC" w14:paraId="17F01533" w14:textId="77777777" w:rsidTr="007701DC">
        <w:tc>
          <w:tcPr>
            <w:tcW w:w="1212" w:type="pct"/>
            <w:tcBorders>
              <w:top w:val="single" w:sz="4" w:space="0" w:color="auto"/>
            </w:tcBorders>
          </w:tcPr>
          <w:p w14:paraId="6465902C" w14:textId="77777777" w:rsidR="007701DC" w:rsidRPr="007701DC" w:rsidRDefault="007701DC" w:rsidP="007701DC">
            <w:pPr>
              <w:spacing w:before="60" w:after="60"/>
              <w:textAlignment w:val="baseline"/>
              <w:rPr>
                <w:rFonts w:ascii="Times New Roman" w:hAnsi="Times New Roman" w:cs="Times New Roman"/>
                <w:color w:val="000000" w:themeColor="text1"/>
                <w:sz w:val="18"/>
                <w:szCs w:val="18"/>
              </w:rPr>
            </w:pPr>
          </w:p>
        </w:tc>
        <w:tc>
          <w:tcPr>
            <w:tcW w:w="3788" w:type="pct"/>
            <w:gridSpan w:val="4"/>
            <w:tcBorders>
              <w:top w:val="single" w:sz="4" w:space="0" w:color="auto"/>
            </w:tcBorders>
            <w:vAlign w:val="center"/>
          </w:tcPr>
          <w:p w14:paraId="2758E258" w14:textId="77777777" w:rsidR="007701DC" w:rsidRPr="007701DC" w:rsidRDefault="007701DC" w:rsidP="007701DC">
            <w:pPr>
              <w:spacing w:before="60" w:after="60"/>
              <w:jc w:val="cente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Alternatives</w:t>
            </w:r>
          </w:p>
        </w:tc>
      </w:tr>
      <w:tr w:rsidR="007701DC" w:rsidRPr="007701DC" w14:paraId="73B3F9BE" w14:textId="77777777" w:rsidTr="007701DC">
        <w:tc>
          <w:tcPr>
            <w:tcW w:w="1212" w:type="pct"/>
          </w:tcPr>
          <w:p w14:paraId="706A0716" w14:textId="77777777" w:rsidR="007701DC" w:rsidRPr="007701DC" w:rsidRDefault="007701DC" w:rsidP="007701DC">
            <w:pPr>
              <w:spacing w:before="60" w:after="60"/>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Attributes</w:t>
            </w:r>
          </w:p>
        </w:tc>
        <w:tc>
          <w:tcPr>
            <w:tcW w:w="908" w:type="pct"/>
            <w:tcBorders>
              <w:top w:val="single" w:sz="4" w:space="0" w:color="auto"/>
            </w:tcBorders>
          </w:tcPr>
          <w:p w14:paraId="2E9ED4B9" w14:textId="77777777" w:rsidR="007701DC" w:rsidRPr="007701DC" w:rsidRDefault="007701DC" w:rsidP="007701DC">
            <w:pPr>
              <w:spacing w:before="60" w:after="60"/>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ICE</w:t>
            </w:r>
          </w:p>
        </w:tc>
        <w:tc>
          <w:tcPr>
            <w:tcW w:w="909" w:type="pct"/>
            <w:tcBorders>
              <w:top w:val="single" w:sz="4" w:space="0" w:color="auto"/>
            </w:tcBorders>
          </w:tcPr>
          <w:p w14:paraId="1E538F42" w14:textId="77777777" w:rsidR="007701DC" w:rsidRPr="007701DC" w:rsidRDefault="007701DC" w:rsidP="007701DC">
            <w:pPr>
              <w:spacing w:before="60" w:after="60"/>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HEV</w:t>
            </w:r>
          </w:p>
        </w:tc>
        <w:tc>
          <w:tcPr>
            <w:tcW w:w="984" w:type="pct"/>
            <w:tcBorders>
              <w:top w:val="single" w:sz="4" w:space="0" w:color="auto"/>
            </w:tcBorders>
          </w:tcPr>
          <w:p w14:paraId="06AB867C" w14:textId="77777777" w:rsidR="007701DC" w:rsidRPr="007701DC" w:rsidRDefault="007701DC" w:rsidP="007701DC">
            <w:pPr>
              <w:spacing w:before="60" w:after="60"/>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PHEV</w:t>
            </w:r>
          </w:p>
        </w:tc>
        <w:tc>
          <w:tcPr>
            <w:tcW w:w="987" w:type="pct"/>
            <w:tcBorders>
              <w:top w:val="single" w:sz="4" w:space="0" w:color="auto"/>
            </w:tcBorders>
          </w:tcPr>
          <w:p w14:paraId="7D52FCAA" w14:textId="77777777" w:rsidR="007701DC" w:rsidRPr="007701DC" w:rsidRDefault="007701DC" w:rsidP="007701DC">
            <w:pPr>
              <w:spacing w:before="60" w:after="60"/>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BEV</w:t>
            </w:r>
          </w:p>
        </w:tc>
      </w:tr>
      <w:tr w:rsidR="007701DC" w:rsidRPr="007701DC" w14:paraId="0677FB77" w14:textId="77777777" w:rsidTr="007701DC">
        <w:tc>
          <w:tcPr>
            <w:tcW w:w="1212" w:type="pct"/>
            <w:tcBorders>
              <w:top w:val="single" w:sz="4" w:space="0" w:color="auto"/>
            </w:tcBorders>
          </w:tcPr>
          <w:p w14:paraId="5A80F51E" w14:textId="77777777" w:rsidR="007701DC" w:rsidRPr="007701DC" w:rsidRDefault="007701DC" w:rsidP="007701DC">
            <w:pPr>
              <w:spacing w:before="60"/>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Purchase price ($)</w:t>
            </w:r>
          </w:p>
        </w:tc>
        <w:tc>
          <w:tcPr>
            <w:tcW w:w="908" w:type="pct"/>
            <w:tcBorders>
              <w:top w:val="single" w:sz="4" w:space="0" w:color="auto"/>
            </w:tcBorders>
          </w:tcPr>
          <w:p w14:paraId="20486CEC" w14:textId="77777777" w:rsidR="007701DC" w:rsidRPr="007701DC" w:rsidRDefault="007701DC" w:rsidP="007701DC">
            <w:pPr>
              <w:spacing w:before="60"/>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-25%, Base</w:t>
            </w:r>
          </w:p>
        </w:tc>
        <w:tc>
          <w:tcPr>
            <w:tcW w:w="909" w:type="pct"/>
            <w:tcBorders>
              <w:top w:val="single" w:sz="4" w:space="0" w:color="auto"/>
            </w:tcBorders>
          </w:tcPr>
          <w:p w14:paraId="1587583A" w14:textId="77777777" w:rsidR="007701DC" w:rsidRPr="007701DC" w:rsidRDefault="007701DC" w:rsidP="007701DC">
            <w:pPr>
              <w:spacing w:before="60"/>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Base</w:t>
            </w:r>
            <w:r w:rsidRPr="007701DC" w:rsidDel="007A4B18">
              <w:rPr>
                <w:rFonts w:ascii="Times New Roman" w:hAnsi="Times New Roman" w:cs="Times New Roman"/>
                <w:color w:val="000000" w:themeColor="text1"/>
                <w:sz w:val="18"/>
                <w:szCs w:val="18"/>
              </w:rPr>
              <w:t xml:space="preserve"> </w:t>
            </w:r>
            <w:r w:rsidRPr="007701DC">
              <w:rPr>
                <w:rFonts w:ascii="Times New Roman" w:hAnsi="Times New Roman" w:cs="Times New Roman"/>
                <w:color w:val="000000" w:themeColor="text1"/>
                <w:sz w:val="18"/>
                <w:szCs w:val="18"/>
              </w:rPr>
              <w:t>, +50%</w:t>
            </w:r>
          </w:p>
        </w:tc>
        <w:tc>
          <w:tcPr>
            <w:tcW w:w="984" w:type="pct"/>
            <w:tcBorders>
              <w:top w:val="single" w:sz="4" w:space="0" w:color="auto"/>
            </w:tcBorders>
          </w:tcPr>
          <w:p w14:paraId="04506F48" w14:textId="77777777" w:rsidR="007701DC" w:rsidRPr="007701DC" w:rsidRDefault="007701DC" w:rsidP="007701DC">
            <w:pPr>
              <w:spacing w:before="60"/>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Base</w:t>
            </w:r>
            <w:r w:rsidRPr="007701DC" w:rsidDel="007A4B18">
              <w:rPr>
                <w:rFonts w:ascii="Times New Roman" w:hAnsi="Times New Roman" w:cs="Times New Roman"/>
                <w:color w:val="000000" w:themeColor="text1"/>
                <w:sz w:val="18"/>
                <w:szCs w:val="18"/>
              </w:rPr>
              <w:t xml:space="preserve"> </w:t>
            </w:r>
            <w:r w:rsidRPr="007701DC">
              <w:rPr>
                <w:rFonts w:ascii="Times New Roman" w:hAnsi="Times New Roman" w:cs="Times New Roman"/>
                <w:color w:val="000000" w:themeColor="text1"/>
                <w:sz w:val="18"/>
                <w:szCs w:val="18"/>
              </w:rPr>
              <w:t>, +50%, +100%</w:t>
            </w:r>
          </w:p>
        </w:tc>
        <w:tc>
          <w:tcPr>
            <w:tcW w:w="987" w:type="pct"/>
            <w:tcBorders>
              <w:top w:val="single" w:sz="4" w:space="0" w:color="auto"/>
            </w:tcBorders>
          </w:tcPr>
          <w:p w14:paraId="1CC9D834" w14:textId="77777777" w:rsidR="007701DC" w:rsidRPr="007701DC" w:rsidRDefault="007701DC" w:rsidP="007701DC">
            <w:pPr>
              <w:spacing w:before="60"/>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Base</w:t>
            </w:r>
            <w:r w:rsidRPr="007701DC" w:rsidDel="007A4B18">
              <w:rPr>
                <w:rFonts w:ascii="Times New Roman" w:hAnsi="Times New Roman" w:cs="Times New Roman"/>
                <w:color w:val="000000" w:themeColor="text1"/>
                <w:sz w:val="18"/>
                <w:szCs w:val="18"/>
              </w:rPr>
              <w:t xml:space="preserve"> </w:t>
            </w:r>
            <w:r w:rsidRPr="007701DC">
              <w:rPr>
                <w:rFonts w:ascii="Times New Roman" w:hAnsi="Times New Roman" w:cs="Times New Roman"/>
                <w:color w:val="000000" w:themeColor="text1"/>
                <w:sz w:val="18"/>
                <w:szCs w:val="18"/>
              </w:rPr>
              <w:t>, +50%, +100%</w:t>
            </w:r>
          </w:p>
        </w:tc>
      </w:tr>
      <w:tr w:rsidR="007701DC" w:rsidRPr="007701DC" w14:paraId="5E0F81ED" w14:textId="77777777" w:rsidTr="007701DC">
        <w:tc>
          <w:tcPr>
            <w:tcW w:w="1212" w:type="pct"/>
          </w:tcPr>
          <w:p w14:paraId="43F6BD07"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Cash incentive ($)</w:t>
            </w:r>
          </w:p>
        </w:tc>
        <w:tc>
          <w:tcPr>
            <w:tcW w:w="908" w:type="pct"/>
          </w:tcPr>
          <w:p w14:paraId="6BBE833E"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0</w:t>
            </w:r>
          </w:p>
        </w:tc>
        <w:tc>
          <w:tcPr>
            <w:tcW w:w="909" w:type="pct"/>
          </w:tcPr>
          <w:p w14:paraId="06BDC93A"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0</w:t>
            </w:r>
          </w:p>
        </w:tc>
        <w:tc>
          <w:tcPr>
            <w:tcW w:w="984" w:type="pct"/>
          </w:tcPr>
          <w:p w14:paraId="39DD7888"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0, 5000, 10,000</w:t>
            </w:r>
          </w:p>
        </w:tc>
        <w:tc>
          <w:tcPr>
            <w:tcW w:w="987" w:type="pct"/>
          </w:tcPr>
          <w:p w14:paraId="0065D7AC"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0, 5000, 10,000</w:t>
            </w:r>
          </w:p>
        </w:tc>
      </w:tr>
      <w:tr w:rsidR="007701DC" w:rsidRPr="007701DC" w14:paraId="4A3953E2" w14:textId="77777777" w:rsidTr="007701DC">
        <w:tc>
          <w:tcPr>
            <w:tcW w:w="1212" w:type="pct"/>
          </w:tcPr>
          <w:p w14:paraId="13F853E4"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Maintenance cost ($/km)</w:t>
            </w:r>
          </w:p>
        </w:tc>
        <w:tc>
          <w:tcPr>
            <w:tcW w:w="908" w:type="pct"/>
          </w:tcPr>
          <w:p w14:paraId="38B71E2E"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Base</w:t>
            </w:r>
          </w:p>
        </w:tc>
        <w:tc>
          <w:tcPr>
            <w:tcW w:w="909" w:type="pct"/>
          </w:tcPr>
          <w:p w14:paraId="640DA812"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-25%, Base</w:t>
            </w:r>
          </w:p>
        </w:tc>
        <w:tc>
          <w:tcPr>
            <w:tcW w:w="984" w:type="pct"/>
          </w:tcPr>
          <w:p w14:paraId="7AF5A0D0"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-50%, -25%, Base</w:t>
            </w:r>
          </w:p>
        </w:tc>
        <w:tc>
          <w:tcPr>
            <w:tcW w:w="987" w:type="pct"/>
          </w:tcPr>
          <w:p w14:paraId="3C274971"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-25%, -50%, -75%</w:t>
            </w:r>
          </w:p>
        </w:tc>
      </w:tr>
      <w:tr w:rsidR="007701DC" w:rsidRPr="007701DC" w14:paraId="18A7CFBE" w14:textId="77777777" w:rsidTr="007701DC">
        <w:tc>
          <w:tcPr>
            <w:tcW w:w="1212" w:type="pct"/>
          </w:tcPr>
          <w:p w14:paraId="1453EB28" w14:textId="26B76DA4"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Acceleration (sec to reach 100 km/h)</w:t>
            </w:r>
          </w:p>
        </w:tc>
        <w:tc>
          <w:tcPr>
            <w:tcW w:w="908" w:type="pct"/>
          </w:tcPr>
          <w:p w14:paraId="72712024"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Base</w:t>
            </w:r>
          </w:p>
        </w:tc>
        <w:tc>
          <w:tcPr>
            <w:tcW w:w="909" w:type="pct"/>
          </w:tcPr>
          <w:p w14:paraId="78EAF145"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-50%, Base</w:t>
            </w:r>
            <w:r w:rsidRPr="007701DC" w:rsidDel="007A4B18">
              <w:rPr>
                <w:rFonts w:ascii="Times New Roman" w:hAnsi="Times New Roman" w:cs="Times New Roman"/>
                <w:color w:val="000000" w:themeColor="text1"/>
                <w:sz w:val="18"/>
                <w:szCs w:val="18"/>
              </w:rPr>
              <w:t xml:space="preserve"> </w:t>
            </w:r>
            <w:r w:rsidRPr="007701DC">
              <w:rPr>
                <w:rFonts w:ascii="Times New Roman" w:hAnsi="Times New Roman" w:cs="Times New Roman"/>
                <w:color w:val="000000" w:themeColor="text1"/>
                <w:sz w:val="18"/>
                <w:szCs w:val="18"/>
              </w:rPr>
              <w:t>, +50%</w:t>
            </w:r>
          </w:p>
        </w:tc>
        <w:tc>
          <w:tcPr>
            <w:tcW w:w="984" w:type="pct"/>
          </w:tcPr>
          <w:p w14:paraId="6836EF5B"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-50%, Base</w:t>
            </w:r>
            <w:r w:rsidRPr="007701DC" w:rsidDel="007A4B18">
              <w:rPr>
                <w:rFonts w:ascii="Times New Roman" w:hAnsi="Times New Roman" w:cs="Times New Roman"/>
                <w:color w:val="000000" w:themeColor="text1"/>
                <w:sz w:val="18"/>
                <w:szCs w:val="18"/>
              </w:rPr>
              <w:t xml:space="preserve"> </w:t>
            </w:r>
            <w:r w:rsidRPr="007701DC">
              <w:rPr>
                <w:rFonts w:ascii="Times New Roman" w:hAnsi="Times New Roman" w:cs="Times New Roman"/>
                <w:color w:val="000000" w:themeColor="text1"/>
                <w:sz w:val="18"/>
                <w:szCs w:val="18"/>
              </w:rPr>
              <w:t>, +50%</w:t>
            </w:r>
          </w:p>
        </w:tc>
        <w:tc>
          <w:tcPr>
            <w:tcW w:w="987" w:type="pct"/>
          </w:tcPr>
          <w:p w14:paraId="1E8969AD"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-50%, Base</w:t>
            </w:r>
            <w:r w:rsidRPr="007701DC" w:rsidDel="007A4B18">
              <w:rPr>
                <w:rFonts w:ascii="Times New Roman" w:hAnsi="Times New Roman" w:cs="Times New Roman"/>
                <w:color w:val="000000" w:themeColor="text1"/>
                <w:sz w:val="18"/>
                <w:szCs w:val="18"/>
              </w:rPr>
              <w:t xml:space="preserve"> </w:t>
            </w:r>
            <w:r w:rsidRPr="007701DC">
              <w:rPr>
                <w:rFonts w:ascii="Times New Roman" w:hAnsi="Times New Roman" w:cs="Times New Roman"/>
                <w:color w:val="000000" w:themeColor="text1"/>
                <w:sz w:val="18"/>
                <w:szCs w:val="18"/>
              </w:rPr>
              <w:t>, +50%</w:t>
            </w:r>
          </w:p>
        </w:tc>
      </w:tr>
      <w:tr w:rsidR="007701DC" w:rsidRPr="007701DC" w14:paraId="60EC12E5" w14:textId="77777777" w:rsidTr="007701DC">
        <w:tc>
          <w:tcPr>
            <w:tcW w:w="1212" w:type="pct"/>
          </w:tcPr>
          <w:p w14:paraId="78D960D8"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Battery range (km)</w:t>
            </w:r>
          </w:p>
        </w:tc>
        <w:tc>
          <w:tcPr>
            <w:tcW w:w="908" w:type="pct"/>
          </w:tcPr>
          <w:p w14:paraId="466540D8"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w:t>
            </w:r>
          </w:p>
        </w:tc>
        <w:tc>
          <w:tcPr>
            <w:tcW w:w="909" w:type="pct"/>
          </w:tcPr>
          <w:p w14:paraId="35757A68"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w:t>
            </w:r>
          </w:p>
        </w:tc>
        <w:tc>
          <w:tcPr>
            <w:tcW w:w="984" w:type="pct"/>
          </w:tcPr>
          <w:p w14:paraId="76E5BCBF"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30, 60, 90</w:t>
            </w:r>
          </w:p>
        </w:tc>
        <w:tc>
          <w:tcPr>
            <w:tcW w:w="987" w:type="pct"/>
          </w:tcPr>
          <w:p w14:paraId="6686EAD6"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150, 250, 350</w:t>
            </w:r>
          </w:p>
        </w:tc>
      </w:tr>
      <w:tr w:rsidR="007701DC" w:rsidRPr="007701DC" w14:paraId="6CAD18B7" w14:textId="77777777" w:rsidTr="007701DC">
        <w:tc>
          <w:tcPr>
            <w:tcW w:w="1212" w:type="pct"/>
          </w:tcPr>
          <w:p w14:paraId="5B9DBE65"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Gasoline range (km)</w:t>
            </w:r>
          </w:p>
        </w:tc>
        <w:tc>
          <w:tcPr>
            <w:tcW w:w="908" w:type="pct"/>
          </w:tcPr>
          <w:p w14:paraId="4D9E1569"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Base</w:t>
            </w:r>
          </w:p>
        </w:tc>
        <w:tc>
          <w:tcPr>
            <w:tcW w:w="909" w:type="pct"/>
          </w:tcPr>
          <w:p w14:paraId="44A84C7D"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-25%, +25%</w:t>
            </w:r>
          </w:p>
        </w:tc>
        <w:tc>
          <w:tcPr>
            <w:tcW w:w="984" w:type="pct"/>
          </w:tcPr>
          <w:p w14:paraId="078B2E1B"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-25%, +25%</w:t>
            </w:r>
          </w:p>
        </w:tc>
        <w:tc>
          <w:tcPr>
            <w:tcW w:w="987" w:type="pct"/>
          </w:tcPr>
          <w:p w14:paraId="01747B5C"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w:t>
            </w:r>
          </w:p>
        </w:tc>
      </w:tr>
      <w:tr w:rsidR="007701DC" w:rsidRPr="007701DC" w14:paraId="57764CA4" w14:textId="77777777" w:rsidTr="007701DC">
        <w:tc>
          <w:tcPr>
            <w:tcW w:w="1212" w:type="pct"/>
          </w:tcPr>
          <w:p w14:paraId="479A0956"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CO</w:t>
            </w:r>
            <w:r w:rsidRPr="007701DC">
              <w:rPr>
                <w:rFonts w:ascii="Times New Roman" w:hAnsi="Times New Roman" w:cs="Times New Roman"/>
                <w:color w:val="000000" w:themeColor="text1"/>
                <w:sz w:val="18"/>
                <w:szCs w:val="18"/>
                <w:vertAlign w:val="subscript"/>
              </w:rPr>
              <w:t>2</w:t>
            </w:r>
            <w:r w:rsidRPr="007701DC">
              <w:rPr>
                <w:rFonts w:ascii="Times New Roman" w:hAnsi="Times New Roman" w:cs="Times New Roman"/>
                <w:color w:val="000000" w:themeColor="text1"/>
                <w:sz w:val="18"/>
                <w:szCs w:val="18"/>
              </w:rPr>
              <w:t xml:space="preserve"> tailpipe emissions </w:t>
            </w:r>
            <w:r w:rsidRPr="007701DC">
              <w:rPr>
                <w:rFonts w:ascii="Times New Roman" w:eastAsia="Times New Roman" w:hAnsi="Times New Roman" w:cs="Times New Roman"/>
                <w:color w:val="000000" w:themeColor="text1"/>
                <w:sz w:val="18"/>
                <w:szCs w:val="18"/>
                <w:lang w:eastAsia="en-CA"/>
              </w:rPr>
              <w:t>(tonnes/km)</w:t>
            </w:r>
          </w:p>
        </w:tc>
        <w:tc>
          <w:tcPr>
            <w:tcW w:w="908" w:type="pct"/>
          </w:tcPr>
          <w:p w14:paraId="7B64F9FC"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-25%, Base</w:t>
            </w:r>
          </w:p>
        </w:tc>
        <w:tc>
          <w:tcPr>
            <w:tcW w:w="909" w:type="pct"/>
          </w:tcPr>
          <w:p w14:paraId="6BD73F44"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-50%, -25%</w:t>
            </w:r>
          </w:p>
        </w:tc>
        <w:tc>
          <w:tcPr>
            <w:tcW w:w="984" w:type="pct"/>
          </w:tcPr>
          <w:p w14:paraId="3BA30452"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-75%, -50%</w:t>
            </w:r>
          </w:p>
        </w:tc>
        <w:tc>
          <w:tcPr>
            <w:tcW w:w="987" w:type="pct"/>
          </w:tcPr>
          <w:p w14:paraId="77E997ED"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0</w:t>
            </w:r>
          </w:p>
        </w:tc>
      </w:tr>
      <w:tr w:rsidR="007701DC" w:rsidRPr="007701DC" w14:paraId="23082687" w14:textId="77777777" w:rsidTr="007701DC">
        <w:tc>
          <w:tcPr>
            <w:tcW w:w="1212" w:type="pct"/>
          </w:tcPr>
          <w:p w14:paraId="70671EFE"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Fueling/charging cost ($/km)</w:t>
            </w:r>
          </w:p>
        </w:tc>
        <w:tc>
          <w:tcPr>
            <w:tcW w:w="908" w:type="pct"/>
          </w:tcPr>
          <w:p w14:paraId="3F1CFA4C"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Base</w:t>
            </w:r>
            <w:r w:rsidRPr="007701DC" w:rsidDel="00192CC3">
              <w:rPr>
                <w:rFonts w:ascii="Times New Roman" w:hAnsi="Times New Roman" w:cs="Times New Roman"/>
                <w:color w:val="000000" w:themeColor="text1"/>
                <w:sz w:val="18"/>
                <w:szCs w:val="18"/>
              </w:rPr>
              <w:t xml:space="preserve"> </w:t>
            </w:r>
            <w:r w:rsidRPr="007701DC">
              <w:rPr>
                <w:rFonts w:ascii="Times New Roman" w:hAnsi="Times New Roman" w:cs="Times New Roman"/>
                <w:color w:val="000000" w:themeColor="text1"/>
                <w:sz w:val="18"/>
                <w:szCs w:val="18"/>
              </w:rPr>
              <w:t>, +20%, +40%</w:t>
            </w:r>
          </w:p>
        </w:tc>
        <w:tc>
          <w:tcPr>
            <w:tcW w:w="909" w:type="pct"/>
          </w:tcPr>
          <w:p w14:paraId="55BB118C"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-20%, Base</w:t>
            </w:r>
          </w:p>
        </w:tc>
        <w:tc>
          <w:tcPr>
            <w:tcW w:w="984" w:type="pct"/>
          </w:tcPr>
          <w:p w14:paraId="049CFCD5"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-60%, -40%, -20%</w:t>
            </w:r>
          </w:p>
        </w:tc>
        <w:tc>
          <w:tcPr>
            <w:tcW w:w="987" w:type="pct"/>
          </w:tcPr>
          <w:p w14:paraId="159C2A1C"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-80%, -60%</w:t>
            </w:r>
          </w:p>
        </w:tc>
      </w:tr>
      <w:tr w:rsidR="007701DC" w:rsidRPr="007701DC" w14:paraId="62DC8536" w14:textId="77777777" w:rsidTr="007701DC">
        <w:tc>
          <w:tcPr>
            <w:tcW w:w="1212" w:type="pct"/>
          </w:tcPr>
          <w:p w14:paraId="0ABABEEC"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 xml:space="preserve">Public charging time (hr) </w:t>
            </w:r>
          </w:p>
        </w:tc>
        <w:tc>
          <w:tcPr>
            <w:tcW w:w="908" w:type="pct"/>
          </w:tcPr>
          <w:p w14:paraId="393B07DA"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w:t>
            </w:r>
          </w:p>
        </w:tc>
        <w:tc>
          <w:tcPr>
            <w:tcW w:w="909" w:type="pct"/>
          </w:tcPr>
          <w:p w14:paraId="28A8FECD"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w:t>
            </w:r>
          </w:p>
        </w:tc>
        <w:tc>
          <w:tcPr>
            <w:tcW w:w="984" w:type="pct"/>
          </w:tcPr>
          <w:p w14:paraId="7643D8AF" w14:textId="77777777" w:rsidR="007701DC" w:rsidRPr="007701DC" w:rsidRDefault="007701DC" w:rsidP="007701DC">
            <w:pPr>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0.15, 1.5, 2.75</w:t>
            </w:r>
          </w:p>
        </w:tc>
        <w:tc>
          <w:tcPr>
            <w:tcW w:w="987" w:type="pct"/>
          </w:tcPr>
          <w:p w14:paraId="23DCA617"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0.25, 3, 5.65</w:t>
            </w:r>
          </w:p>
        </w:tc>
      </w:tr>
      <w:tr w:rsidR="007701DC" w:rsidRPr="007701DC" w14:paraId="65F16BC0" w14:textId="77777777" w:rsidTr="007701DC">
        <w:tc>
          <w:tcPr>
            <w:tcW w:w="1212" w:type="pct"/>
          </w:tcPr>
          <w:p w14:paraId="40EF660C"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Home/work charging time (hr)</w:t>
            </w:r>
          </w:p>
        </w:tc>
        <w:tc>
          <w:tcPr>
            <w:tcW w:w="908" w:type="pct"/>
          </w:tcPr>
          <w:p w14:paraId="3B2AB6BF"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w:t>
            </w:r>
          </w:p>
        </w:tc>
        <w:tc>
          <w:tcPr>
            <w:tcW w:w="909" w:type="pct"/>
          </w:tcPr>
          <w:p w14:paraId="70B195CD"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w:t>
            </w:r>
          </w:p>
        </w:tc>
        <w:tc>
          <w:tcPr>
            <w:tcW w:w="984" w:type="pct"/>
          </w:tcPr>
          <w:p w14:paraId="67CCC032" w14:textId="77777777" w:rsidR="007701DC" w:rsidRPr="007701DC" w:rsidRDefault="007701DC" w:rsidP="007701DC">
            <w:pPr>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2, 3, 4</w:t>
            </w:r>
          </w:p>
        </w:tc>
        <w:tc>
          <w:tcPr>
            <w:tcW w:w="987" w:type="pct"/>
          </w:tcPr>
          <w:p w14:paraId="34F63F91" w14:textId="77777777" w:rsidR="007701DC" w:rsidRPr="007701DC" w:rsidRDefault="007701DC" w:rsidP="007701DC">
            <w:pPr>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3.5, 5.25, 7</w:t>
            </w:r>
          </w:p>
        </w:tc>
      </w:tr>
      <w:tr w:rsidR="007701DC" w:rsidRPr="007701DC" w14:paraId="1D5D1BE4" w14:textId="77777777" w:rsidTr="007701DC">
        <w:tc>
          <w:tcPr>
            <w:tcW w:w="1212" w:type="pct"/>
          </w:tcPr>
          <w:p w14:paraId="79BF88ED"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Fueling/charging station availability</w:t>
            </w:r>
          </w:p>
        </w:tc>
        <w:tc>
          <w:tcPr>
            <w:tcW w:w="908" w:type="pct"/>
          </w:tcPr>
          <w:p w14:paraId="43F4E6AE"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All gas stations</w:t>
            </w:r>
          </w:p>
        </w:tc>
        <w:tc>
          <w:tcPr>
            <w:tcW w:w="909" w:type="pct"/>
          </w:tcPr>
          <w:p w14:paraId="25428159"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 xml:space="preserve">All gas stations </w:t>
            </w:r>
          </w:p>
        </w:tc>
        <w:tc>
          <w:tcPr>
            <w:tcW w:w="984" w:type="pct"/>
          </w:tcPr>
          <w:p w14:paraId="0368E889"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10%, Same, Twice</w:t>
            </w:r>
          </w:p>
        </w:tc>
        <w:tc>
          <w:tcPr>
            <w:tcW w:w="987" w:type="pct"/>
          </w:tcPr>
          <w:p w14:paraId="6AAD81E5"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10%, Same, Twice</w:t>
            </w:r>
          </w:p>
        </w:tc>
      </w:tr>
      <w:tr w:rsidR="007701DC" w:rsidRPr="007701DC" w14:paraId="151239F6" w14:textId="77777777" w:rsidTr="007701DC">
        <w:tc>
          <w:tcPr>
            <w:tcW w:w="1212" w:type="pct"/>
          </w:tcPr>
          <w:p w14:paraId="1803AA4F"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Battery warranty</w:t>
            </w:r>
          </w:p>
        </w:tc>
        <w:tc>
          <w:tcPr>
            <w:tcW w:w="908" w:type="pct"/>
          </w:tcPr>
          <w:p w14:paraId="5FA9602E"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w:t>
            </w:r>
          </w:p>
        </w:tc>
        <w:tc>
          <w:tcPr>
            <w:tcW w:w="909" w:type="pct"/>
          </w:tcPr>
          <w:p w14:paraId="7FDBA97C" w14:textId="7777777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w:t>
            </w:r>
          </w:p>
        </w:tc>
        <w:tc>
          <w:tcPr>
            <w:tcW w:w="984" w:type="pct"/>
          </w:tcPr>
          <w:p w14:paraId="29020604" w14:textId="65E644C7"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3 yrs</w:t>
            </w:r>
            <w:r w:rsidR="00122632">
              <w:rPr>
                <w:rFonts w:ascii="Times New Roman" w:hAnsi="Times New Roman" w:cs="Times New Roman"/>
                <w:color w:val="000000" w:themeColor="text1"/>
                <w:sz w:val="18"/>
                <w:szCs w:val="18"/>
              </w:rPr>
              <w:t>.</w:t>
            </w:r>
            <w:r w:rsidRPr="007701DC">
              <w:rPr>
                <w:rFonts w:ascii="Times New Roman" w:hAnsi="Times New Roman" w:cs="Times New Roman"/>
                <w:color w:val="000000" w:themeColor="text1"/>
                <w:sz w:val="18"/>
                <w:szCs w:val="18"/>
              </w:rPr>
              <w:t>/58,000 km,</w:t>
            </w:r>
            <w:r w:rsidRPr="007701DC">
              <w:rPr>
                <w:rFonts w:ascii="Times New Roman" w:hAnsi="Times New Roman" w:cs="Times New Roman"/>
                <w:color w:val="000000" w:themeColor="text1"/>
                <w:sz w:val="18"/>
                <w:szCs w:val="18"/>
              </w:rPr>
              <w:br/>
              <w:t>5 yrs</w:t>
            </w:r>
            <w:r w:rsidR="00122632">
              <w:rPr>
                <w:rFonts w:ascii="Times New Roman" w:hAnsi="Times New Roman" w:cs="Times New Roman"/>
                <w:color w:val="000000" w:themeColor="text1"/>
                <w:sz w:val="18"/>
                <w:szCs w:val="18"/>
              </w:rPr>
              <w:t>.</w:t>
            </w:r>
            <w:r w:rsidRPr="007701DC">
              <w:rPr>
                <w:rFonts w:ascii="Times New Roman" w:hAnsi="Times New Roman" w:cs="Times New Roman"/>
                <w:color w:val="000000" w:themeColor="text1"/>
                <w:sz w:val="18"/>
                <w:szCs w:val="18"/>
              </w:rPr>
              <w:t>/96,000 km,</w:t>
            </w:r>
            <w:r w:rsidRPr="007701DC">
              <w:rPr>
                <w:rFonts w:ascii="Times New Roman" w:hAnsi="Times New Roman" w:cs="Times New Roman"/>
                <w:color w:val="000000" w:themeColor="text1"/>
                <w:sz w:val="18"/>
                <w:szCs w:val="18"/>
              </w:rPr>
              <w:br/>
              <w:t>8 yrs</w:t>
            </w:r>
            <w:r w:rsidR="00122632">
              <w:rPr>
                <w:rFonts w:ascii="Times New Roman" w:hAnsi="Times New Roman" w:cs="Times New Roman"/>
                <w:color w:val="000000" w:themeColor="text1"/>
                <w:sz w:val="18"/>
                <w:szCs w:val="18"/>
              </w:rPr>
              <w:t>.</w:t>
            </w:r>
            <w:r w:rsidRPr="007701DC">
              <w:rPr>
                <w:rFonts w:ascii="Times New Roman" w:hAnsi="Times New Roman" w:cs="Times New Roman"/>
                <w:color w:val="000000" w:themeColor="text1"/>
                <w:sz w:val="18"/>
                <w:szCs w:val="18"/>
              </w:rPr>
              <w:t>/160,000 km</w:t>
            </w:r>
          </w:p>
        </w:tc>
        <w:tc>
          <w:tcPr>
            <w:tcW w:w="987" w:type="pct"/>
          </w:tcPr>
          <w:p w14:paraId="4DAD869E" w14:textId="648EE2B9" w:rsidR="007701DC" w:rsidRPr="007701DC" w:rsidRDefault="007701DC" w:rsidP="007701DC">
            <w:pPr>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3 yrs</w:t>
            </w:r>
            <w:r w:rsidR="00122632">
              <w:rPr>
                <w:rFonts w:ascii="Times New Roman" w:hAnsi="Times New Roman" w:cs="Times New Roman"/>
                <w:color w:val="000000" w:themeColor="text1"/>
                <w:sz w:val="18"/>
                <w:szCs w:val="18"/>
              </w:rPr>
              <w:t>.</w:t>
            </w:r>
            <w:r w:rsidRPr="007701DC">
              <w:rPr>
                <w:rFonts w:ascii="Times New Roman" w:hAnsi="Times New Roman" w:cs="Times New Roman"/>
                <w:color w:val="000000" w:themeColor="text1"/>
                <w:sz w:val="18"/>
                <w:szCs w:val="18"/>
              </w:rPr>
              <w:t>/58,000 km,</w:t>
            </w:r>
            <w:r w:rsidRPr="007701DC">
              <w:rPr>
                <w:rFonts w:ascii="Times New Roman" w:hAnsi="Times New Roman" w:cs="Times New Roman"/>
                <w:color w:val="000000" w:themeColor="text1"/>
                <w:sz w:val="18"/>
                <w:szCs w:val="18"/>
              </w:rPr>
              <w:br/>
              <w:t>5 yrs</w:t>
            </w:r>
            <w:r w:rsidR="00122632">
              <w:rPr>
                <w:rFonts w:ascii="Times New Roman" w:hAnsi="Times New Roman" w:cs="Times New Roman"/>
                <w:color w:val="000000" w:themeColor="text1"/>
                <w:sz w:val="18"/>
                <w:szCs w:val="18"/>
              </w:rPr>
              <w:t>.</w:t>
            </w:r>
            <w:r w:rsidRPr="007701DC">
              <w:rPr>
                <w:rFonts w:ascii="Times New Roman" w:hAnsi="Times New Roman" w:cs="Times New Roman"/>
                <w:color w:val="000000" w:themeColor="text1"/>
                <w:sz w:val="18"/>
                <w:szCs w:val="18"/>
              </w:rPr>
              <w:t>/96,000 km,</w:t>
            </w:r>
            <w:r w:rsidRPr="007701DC">
              <w:rPr>
                <w:rFonts w:ascii="Times New Roman" w:hAnsi="Times New Roman" w:cs="Times New Roman"/>
                <w:color w:val="000000" w:themeColor="text1"/>
                <w:sz w:val="18"/>
                <w:szCs w:val="18"/>
              </w:rPr>
              <w:br/>
              <w:t>8 yrs</w:t>
            </w:r>
            <w:r w:rsidR="00122632">
              <w:rPr>
                <w:rFonts w:ascii="Times New Roman" w:hAnsi="Times New Roman" w:cs="Times New Roman"/>
                <w:color w:val="000000" w:themeColor="text1"/>
                <w:sz w:val="18"/>
                <w:szCs w:val="18"/>
              </w:rPr>
              <w:t>.</w:t>
            </w:r>
            <w:r w:rsidRPr="007701DC">
              <w:rPr>
                <w:rFonts w:ascii="Times New Roman" w:hAnsi="Times New Roman" w:cs="Times New Roman"/>
                <w:color w:val="000000" w:themeColor="text1"/>
                <w:sz w:val="18"/>
                <w:szCs w:val="18"/>
              </w:rPr>
              <w:t>/160,000 km</w:t>
            </w:r>
          </w:p>
        </w:tc>
      </w:tr>
      <w:tr w:rsidR="007701DC" w:rsidRPr="007701DC" w14:paraId="14A814F0" w14:textId="77777777" w:rsidTr="007701DC">
        <w:tc>
          <w:tcPr>
            <w:tcW w:w="1212" w:type="pct"/>
            <w:tcBorders>
              <w:bottom w:val="single" w:sz="4" w:space="0" w:color="auto"/>
            </w:tcBorders>
          </w:tcPr>
          <w:p w14:paraId="77464EAE" w14:textId="77777777" w:rsidR="007701DC" w:rsidRPr="007701DC" w:rsidRDefault="007701DC" w:rsidP="007701DC">
            <w:pPr>
              <w:spacing w:after="60"/>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Non-cash incentives</w:t>
            </w:r>
          </w:p>
        </w:tc>
        <w:tc>
          <w:tcPr>
            <w:tcW w:w="908" w:type="pct"/>
            <w:tcBorders>
              <w:bottom w:val="single" w:sz="4" w:space="0" w:color="auto"/>
            </w:tcBorders>
          </w:tcPr>
          <w:p w14:paraId="5F4571E1" w14:textId="77777777" w:rsidR="007701DC" w:rsidRPr="007701DC" w:rsidRDefault="007701DC" w:rsidP="007701DC">
            <w:pPr>
              <w:spacing w:after="60"/>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w:t>
            </w:r>
          </w:p>
        </w:tc>
        <w:tc>
          <w:tcPr>
            <w:tcW w:w="909" w:type="pct"/>
            <w:tcBorders>
              <w:bottom w:val="single" w:sz="4" w:space="0" w:color="auto"/>
            </w:tcBorders>
          </w:tcPr>
          <w:p w14:paraId="062EAA92" w14:textId="77777777" w:rsidR="007701DC" w:rsidRPr="007701DC" w:rsidRDefault="007701DC" w:rsidP="007701DC">
            <w:pPr>
              <w:spacing w:after="60"/>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w:t>
            </w:r>
          </w:p>
        </w:tc>
        <w:tc>
          <w:tcPr>
            <w:tcW w:w="984" w:type="pct"/>
            <w:tcBorders>
              <w:bottom w:val="single" w:sz="4" w:space="0" w:color="auto"/>
            </w:tcBorders>
          </w:tcPr>
          <w:p w14:paraId="475250BF" w14:textId="77777777" w:rsidR="007701DC" w:rsidRPr="007701DC" w:rsidRDefault="007701DC" w:rsidP="007701DC">
            <w:pPr>
              <w:spacing w:after="60"/>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HOV lane access,</w:t>
            </w:r>
            <w:r w:rsidRPr="007701DC">
              <w:rPr>
                <w:rFonts w:ascii="Times New Roman" w:hAnsi="Times New Roman" w:cs="Times New Roman"/>
                <w:color w:val="000000" w:themeColor="text1"/>
                <w:sz w:val="18"/>
                <w:szCs w:val="18"/>
              </w:rPr>
              <w:br/>
              <w:t>Free parking,</w:t>
            </w:r>
            <w:r w:rsidRPr="007701DC">
              <w:rPr>
                <w:rFonts w:ascii="Times New Roman" w:hAnsi="Times New Roman" w:cs="Times New Roman"/>
                <w:color w:val="000000" w:themeColor="text1"/>
                <w:sz w:val="18"/>
                <w:szCs w:val="18"/>
              </w:rPr>
              <w:br/>
              <w:t>Free toll roads</w:t>
            </w:r>
          </w:p>
        </w:tc>
        <w:tc>
          <w:tcPr>
            <w:tcW w:w="987" w:type="pct"/>
            <w:tcBorders>
              <w:bottom w:val="single" w:sz="4" w:space="0" w:color="auto"/>
            </w:tcBorders>
          </w:tcPr>
          <w:p w14:paraId="3BF08195" w14:textId="77777777" w:rsidR="007701DC" w:rsidRPr="007701DC" w:rsidRDefault="007701DC" w:rsidP="007701DC">
            <w:pPr>
              <w:spacing w:after="60"/>
              <w:textAlignment w:val="baseline"/>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HOV lane access,</w:t>
            </w:r>
            <w:r w:rsidRPr="007701DC">
              <w:rPr>
                <w:rFonts w:ascii="Times New Roman" w:hAnsi="Times New Roman" w:cs="Times New Roman"/>
                <w:color w:val="000000" w:themeColor="text1"/>
                <w:sz w:val="18"/>
                <w:szCs w:val="18"/>
              </w:rPr>
              <w:br/>
              <w:t>Free parking,</w:t>
            </w:r>
            <w:r w:rsidRPr="007701DC">
              <w:rPr>
                <w:rFonts w:ascii="Times New Roman" w:hAnsi="Times New Roman" w:cs="Times New Roman"/>
                <w:color w:val="000000" w:themeColor="text1"/>
                <w:sz w:val="18"/>
                <w:szCs w:val="18"/>
              </w:rPr>
              <w:br/>
              <w:t>Free toll roads</w:t>
            </w:r>
          </w:p>
        </w:tc>
      </w:tr>
      <w:tr w:rsidR="007701DC" w:rsidRPr="007701DC" w14:paraId="6F7B450C" w14:textId="77777777" w:rsidTr="007701DC">
        <w:tc>
          <w:tcPr>
            <w:tcW w:w="5000" w:type="pct"/>
            <w:gridSpan w:val="5"/>
            <w:tcBorders>
              <w:top w:val="single" w:sz="4" w:space="0" w:color="auto"/>
            </w:tcBorders>
          </w:tcPr>
          <w:p w14:paraId="0F37EC92" w14:textId="77777777" w:rsidR="007701DC" w:rsidRPr="007701DC" w:rsidRDefault="007701DC" w:rsidP="007701DC">
            <w:pPr>
              <w:spacing w:before="60"/>
              <w:textAlignment w:val="baseline"/>
              <w:rPr>
                <w:rFonts w:ascii="Times New Roman" w:hAnsi="Times New Roman" w:cs="Times New Roman"/>
                <w:color w:val="000000" w:themeColor="text1"/>
                <w:sz w:val="16"/>
                <w:szCs w:val="16"/>
              </w:rPr>
            </w:pPr>
            <w:r w:rsidRPr="007701DC">
              <w:rPr>
                <w:rFonts w:ascii="Times New Roman" w:hAnsi="Times New Roman" w:cs="Times New Roman"/>
                <w:color w:val="000000" w:themeColor="text1"/>
                <w:sz w:val="16"/>
                <w:szCs w:val="16"/>
              </w:rPr>
              <w:t>Same = same number of stations as number of current gas stations; Twice = twice as many stations as current number of gas stations; HOV lane access = high occupancy vehicle lane access.</w:t>
            </w:r>
          </w:p>
        </w:tc>
      </w:tr>
    </w:tbl>
    <w:p w14:paraId="6714DD69" w14:textId="77777777" w:rsidR="007701DC" w:rsidRPr="003C3597" w:rsidRDefault="007701DC" w:rsidP="003C3597">
      <w:pPr>
        <w:rPr>
          <w:rFonts w:ascii="Times New Roman" w:hAnsi="Times New Roman" w:cs="Times New Roman"/>
          <w:color w:val="000000"/>
        </w:rPr>
      </w:pPr>
    </w:p>
    <w:p w14:paraId="267EEF52" w14:textId="77777777" w:rsidR="003C3597" w:rsidRPr="0014385C" w:rsidRDefault="003C3597" w:rsidP="00E1100F">
      <w:pPr>
        <w:pStyle w:val="Heading2"/>
        <w:numPr>
          <w:ilvl w:val="1"/>
          <w:numId w:val="11"/>
        </w:numPr>
        <w:rPr>
          <w:rFonts w:ascii="Times New Roman" w:hAnsi="Times New Roman"/>
          <w:bCs/>
          <w:color w:val="000000"/>
        </w:rPr>
      </w:pPr>
      <w:bookmarkStart w:id="64" w:name="_Toc528650874"/>
      <w:r w:rsidRPr="0014385C">
        <w:rPr>
          <w:rFonts w:ascii="Times New Roman" w:hAnsi="Times New Roman"/>
          <w:bCs/>
          <w:color w:val="000000"/>
        </w:rPr>
        <w:lastRenderedPageBreak/>
        <w:t>Methods</w:t>
      </w:r>
      <w:bookmarkEnd w:id="64"/>
    </w:p>
    <w:p w14:paraId="6EAFDF06" w14:textId="77777777" w:rsidR="003C3597" w:rsidRPr="007701DC" w:rsidRDefault="003C3597" w:rsidP="00E1100F">
      <w:pPr>
        <w:pStyle w:val="ListParagraph"/>
        <w:numPr>
          <w:ilvl w:val="2"/>
          <w:numId w:val="11"/>
        </w:numPr>
        <w:outlineLvl w:val="2"/>
        <w:rPr>
          <w:rFonts w:ascii="Times New Roman" w:hAnsi="Times New Roman" w:cs="Times New Roman"/>
          <w:b/>
          <w:color w:val="000000"/>
        </w:rPr>
      </w:pPr>
      <w:bookmarkStart w:id="65" w:name="_Toc528650875"/>
      <w:r w:rsidRPr="007701DC">
        <w:rPr>
          <w:rFonts w:ascii="Times New Roman" w:hAnsi="Times New Roman" w:cs="Times New Roman"/>
          <w:b/>
          <w:color w:val="000000"/>
        </w:rPr>
        <w:t>Latent Class Choice Model</w:t>
      </w:r>
      <w:bookmarkEnd w:id="65"/>
    </w:p>
    <w:p w14:paraId="6C0BD8E5"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The dependent variable in our model is a household’s stated choice of vehicle fuel type among four alternatives for their next vehicle purchase. The latent class (LC) choice model is the modeling approach used for this analysis. The LC model is preferred to the multinomial logit model (MNL) as it is not constrained by the IIA property and can also capture discrete segmentation of the data set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{"citationItems":[{"id":"ITEM-1","itemData":{"DOI":"10.1007/s10109-006-0030-0","ISBN":"1435-5930\\r1435-5949","ISSN":"14355930","PMID":"25246403","abstract":"Lifestyle, indicating preferences towards a particular way of living, is a key driver of the decision of where to live. We employ latent class choice models to represent this behavior, where the latent classes are the lifestyles and the choice model","author":[{"dropping-particle":"","family":"Walker","given":"Joan L.","non-dropping-particle":"","parse-names":false,"suffix":""},{"dropping-particle":"","family":"Li","given":"Jieping","non-dropping-particle":"","parse-names":false,"suffix":""}],"container-title":"Journal of Geographical Systems","id":"ITEM-1","issue":"1","issued":{"date-parts":[["2007"]]},"page":"77-101","title":"Latent lifestyle preferences and household location decisions","type":"article-journal","volume":"9"},"uris":["http://www.mendeley.com/documents/?uuid=a4bc2df7-166b-45f4-ba80-b8c11dd20422"]}],"mendeley":{"formattedCitation":"(Walker and Li 2007)","manualFormatting":"(Walker and Li, 2007)","plainTextFormattedCitation":"(Walker and Li 2007)","previouslyFormattedCitation":"(Walker and Li 2007)"},"properties":{"noteIndex":0},"schema":"https://github.com/citation-style-language/schema/raw/master/csl-citation.json"}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(Walker and Li, 2007)</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The LC model can link taste heterogeneity to attitudinal and socioeconomic characteristics of decision makers rather than only specifying a random distribution to a given parameter as is the case with the mixed logit model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{"citationItems":[{"id":"ITEM-1","itemData":{"DOI":"10.1016/j.tra.2013.01.015","ISSN":"09658564","author":[{"dropping-particle":"","family":"Beck","given":"Matthew J.","non-dropping-particle":"","parse-names":false,"suffix":""},{"dropping-particle":"","family":"Rose","given":"John M.","non-dropping-particle":"","parse-names":false,"suffix":""},{"dropping-particle":"","family":"Hensher","given":"David a.","non-dropping-particle":"","parse-names":false,"suffix":""}],"container-title":"Transportation Research Part A: Policy and Practice","id":"ITEM-1","issued":{"date-parts":[["2013","4"]]},"page":"171-182","title":"Environmental attitudes and emissions charging: An example of policy implications for vehicle choice","type":"article-journal","volume":"50"},"uris":["http://www.mendeley.com/documents/?uuid=67a5eb8a-00a6-4ad6-ac4b-ad6c7d8f0a5f"]}],"mendeley":{"formattedCitation":"(Beck, Rose, and Hensher 2013)","manualFormatting":"(Beck et al., 2013)","plainTextFormattedCitation":"(Beck, Rose, and Hensher 2013)","previouslyFormattedCitation":"(Beck, Rose, and Hensher 2013)"},"properties":{"noteIndex":0},"schema":"https://github.com/citation-style-language/schema/raw/master/csl-citation.json"}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(Beck et al., 2013)</w:t>
      </w:r>
      <w:r w:rsidRPr="003C3597">
        <w:rPr>
          <w:rFonts w:ascii="Times New Roman" w:hAnsi="Times New Roman" w:cs="Times New Roman"/>
          <w:color w:val="000000"/>
        </w:rPr>
        <w:fldChar w:fldCharType="end"/>
      </w:r>
      <w:r w:rsidRPr="003C3597">
        <w:rPr>
          <w:rFonts w:ascii="Times New Roman" w:hAnsi="Times New Roman" w:cs="Times New Roman"/>
          <w:color w:val="000000"/>
        </w:rPr>
        <w:t>. Hence, the LC model seeks to identify consumer segments that primarily differ according to their overall attitudes and preferences, and provide an appropriate framework for interpreting results, proposing policies, and making decisions based on respondents’ taste heterogeneity.</w:t>
      </w:r>
    </w:p>
    <w:p w14:paraId="1D8CC2CD" w14:textId="1D27E1FE"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The LC model is also preferred to </w:t>
      </w:r>
      <w:r w:rsidR="000D6C5D">
        <w:rPr>
          <w:rFonts w:ascii="Times New Roman" w:hAnsi="Times New Roman" w:cs="Times New Roman"/>
          <w:color w:val="000000"/>
        </w:rPr>
        <w:t xml:space="preserve">the </w:t>
      </w:r>
      <w:r w:rsidRPr="003C3597">
        <w:rPr>
          <w:rFonts w:ascii="Times New Roman" w:hAnsi="Times New Roman" w:cs="Times New Roman"/>
          <w:color w:val="000000"/>
        </w:rPr>
        <w:t xml:space="preserve">multinomial probit model (MNP) for the current analysis as it is free from unwarranted distributional assumptions (e.g., normal distribution in the MNP models)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author":[{"dropping-particle":"","family":"Amaya-amaya","given":"Mabel","non-dropping-particle":"","parse-names":false,"suffix":""},{"dropping-particle":"","family":"Gerard","given":"Karen","non-dropping-particle":"","parse-names":false,"suffix":""},{"dropping-particle":"","family":"Ryan","given":"Mandy","non-dropping-particle":"","parse-names":false,"suffix":""}],"id":"ITEM-1","issued":{"date-parts":[["2008"]]},"page":"13-46","publisher":"Springer Netherlands","title":"Discrete choice experiments in a nutshell. In Using discrete choice experiments to value health and health care","type":"chapter"},"uris":["http://www.mendeley.com/documents/?uuid=4c3c3bfb-a262-4e67-8e70-09a4df688b11"]}],"mendeley":{"formattedCitation":"(Amaya-amaya, Gerard, and Ryan 2008)","manualFormatting":"(Amaya-amaya et al., 2008)","plainTextFormattedCitation":"(Amaya-amaya, Gerard, and Ryan 2008)","previouslyFormattedCitation":"(Amaya-amaya, Gerard, and Ryan 2008)"},"properties":{"noteIndex":0},"schema":"https://github.com/citation-style-language/schema/raw/master/csl-citation.json"}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(Ryan et al., 2008)</w:t>
      </w:r>
      <w:r w:rsidRPr="003C3597">
        <w:rPr>
          <w:rFonts w:ascii="Times New Roman" w:hAnsi="Times New Roman" w:cs="Times New Roman"/>
          <w:color w:val="000000"/>
        </w:rPr>
        <w:fldChar w:fldCharType="end"/>
      </w:r>
      <w:r w:rsidRPr="003C3597">
        <w:rPr>
          <w:rFonts w:ascii="Times New Roman" w:hAnsi="Times New Roman" w:cs="Times New Roman"/>
          <w:color w:val="000000"/>
        </w:rPr>
        <w:t xml:space="preserve">. The LC class-specific choice model takes on whatever form is most appropriate for each class (e.g., logit, probit, random parameter logit, etc.) and can vary across classes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{"citationItems":[{"id":"ITEM-1","itemData":{"DOI":"10.1007/s10109-006-0030-0","ISBN":"1435-5930\\r1435-5949","ISSN":"14355930","PMID":"25246403","abstract":"Lifestyle, indicating preferences towards a particular way of living, is a key driver of the decision of where to live. We employ latent class choice models to represent this behavior, where the latent classes are the lifestyles and the choice model","author":[{"dropping-particle":"","family":"Walker","given":"Joan L.","non-dropping-particle":"","parse-names":false,"suffix":""},{"dropping-particle":"","family":"Li","given":"Jieping","non-dropping-particle":"","parse-names":false,"suffix":""}],"container-title":"Journal of Geographical Systems","id":"ITEM-1","issue":"1","issued":{"date-parts":[["2007"]]},"page":"77-101","title":"Latent lifestyle preferences and household location decisions","type":"article-journal","volume":"9"},"uris":["http://www.mendeley.com/documents/?uuid=a4bc2df7-166b-45f4-ba80-b8c11dd20422"]}],"mendeley":{"formattedCitation":"(Walker and Li 2007)","plainTextFormattedCitation":"(Walker and Li 2007)","previouslyFormattedCitation":"(Walker and Li 2007)"},"properties":{"noteIndex":0},"schema":"https://github.com/citation-style-language/schema/raw/master/csl-citation.json"}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(Walker and Li, 2007)</w:t>
      </w:r>
      <w:r w:rsidRPr="003C3597">
        <w:rPr>
          <w:rFonts w:ascii="Times New Roman" w:hAnsi="Times New Roman" w:cs="Times New Roman"/>
          <w:color w:val="000000"/>
        </w:rPr>
        <w:fldChar w:fldCharType="end"/>
      </w:r>
      <w:r w:rsidRPr="003C3597">
        <w:rPr>
          <w:rFonts w:ascii="Times New Roman" w:hAnsi="Times New Roman" w:cs="Times New Roman"/>
          <w:color w:val="000000"/>
        </w:rPr>
        <w:t>.</w:t>
      </w:r>
    </w:p>
    <w:p w14:paraId="3C1A04D2"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lastRenderedPageBreak/>
        <w:t xml:space="preserve">The LC model consists of two parts: a class membership model and a class-specific choice model. The probability that a decision maker with characteristics </w:t>
      </w:r>
      <w:r w:rsidRPr="003C3597">
        <w:rPr>
          <w:rFonts w:ascii="Times New Roman" w:hAnsi="Times New Roman" w:cs="Times New Roman"/>
          <w:i/>
          <w:iCs/>
          <w:color w:val="000000"/>
        </w:rPr>
        <w:t>X</w:t>
      </w:r>
      <w:r w:rsidRPr="003C3597">
        <w:rPr>
          <w:rFonts w:ascii="Times New Roman" w:hAnsi="Times New Roman" w:cs="Times New Roman"/>
          <w:i/>
          <w:iCs/>
          <w:color w:val="000000"/>
          <w:vertAlign w:val="subscript"/>
        </w:rPr>
        <w:t>n</w:t>
      </w:r>
      <w:r w:rsidRPr="003C3597">
        <w:rPr>
          <w:rFonts w:ascii="Times New Roman" w:hAnsi="Times New Roman" w:cs="Times New Roman"/>
          <w:color w:val="000000"/>
          <w:vertAlign w:val="subscript"/>
        </w:rPr>
        <w:t xml:space="preserve"> </w:t>
      </w:r>
      <w:r w:rsidRPr="003C3597">
        <w:rPr>
          <w:rFonts w:ascii="Times New Roman" w:hAnsi="Times New Roman" w:cs="Times New Roman"/>
          <w:color w:val="000000"/>
        </w:rPr>
        <w:t xml:space="preserve">chooses alternative </w:t>
      </w:r>
      <w:r w:rsidRPr="003C3597">
        <w:rPr>
          <w:rFonts w:ascii="Times New Roman" w:hAnsi="Times New Roman" w:cs="Times New Roman"/>
          <w:i/>
          <w:iCs/>
          <w:color w:val="000000"/>
        </w:rPr>
        <w:t>i</w:t>
      </w:r>
      <w:r w:rsidRPr="003C3597">
        <w:rPr>
          <w:rFonts w:ascii="Times New Roman" w:hAnsi="Times New Roman" w:cs="Times New Roman"/>
          <w:color w:val="000000"/>
        </w:rPr>
        <w:t xml:space="preserve"> is presented as:</w:t>
      </w:r>
    </w:p>
    <w:p w14:paraId="4D37B7AB" w14:textId="77777777" w:rsidR="003C3597" w:rsidRPr="003C3597" w:rsidRDefault="003C3597" w:rsidP="003C3597">
      <w:pPr>
        <w:rPr>
          <w:rFonts w:ascii="Times New Roman" w:hAnsi="Times New Roman" w:cs="Times New Roman"/>
          <w:color w:val="000000"/>
        </w:rPr>
      </w:pPr>
      <m:oMathPara>
        <m:oMath>
          <m:r>
            <w:rPr>
              <w:rFonts w:ascii="Cambria Math" w:hAnsi="Cambria Math" w:cs="Times New Roman"/>
              <w:color w:val="000000"/>
            </w:rPr>
            <m:t>P</m:t>
          </m:r>
          <m:d>
            <m:dPr>
              <m:ctrlPr>
                <w:rPr>
                  <w:rFonts w:ascii="Cambria Math" w:hAnsi="Cambria Math" w:cs="Times New Roman"/>
                  <w:color w:val="000000"/>
                </w:rPr>
              </m:ctrlPr>
            </m:dPr>
            <m:e>
              <m:r>
                <w:rPr>
                  <w:rFonts w:ascii="Cambria Math" w:hAnsi="Cambria Math" w:cs="Times New Roman"/>
                  <w:color w:val="000000"/>
                </w:rPr>
                <m:t>i</m:t>
              </m:r>
            </m:e>
            <m:e>
              <m:sSub>
                <m:sSubPr>
                  <m:ctrlPr>
                    <w:rPr>
                      <w:rFonts w:ascii="Cambria Math" w:hAnsi="Cambria Math" w:cs="Times New Roman"/>
                      <w:color w:val="000000"/>
                    </w:rPr>
                  </m:ctrlPr>
                </m:sSubPr>
                <m:e>
                  <m:r>
                    <w:rPr>
                      <w:rFonts w:ascii="Cambria Math" w:hAnsi="Cambria Math" w:cs="Times New Roman"/>
                      <w:color w:val="000000"/>
                    </w:rPr>
                    <m:t>X</m:t>
                  </m:r>
                </m:e>
                <m:sub>
                  <m:r>
                    <w:rPr>
                      <w:rFonts w:ascii="Cambria Math" w:hAnsi="Cambria Math" w:cs="Times New Roman"/>
                      <w:color w:val="000000"/>
                    </w:rPr>
                    <m:t>n</m:t>
                  </m:r>
                </m:sub>
              </m:sSub>
            </m:e>
          </m:d>
          <m:r>
            <m:rPr>
              <m:sty m:val="p"/>
            </m:rPr>
            <w:rPr>
              <w:rFonts w:ascii="Cambria Math" w:hAnsi="Cambria Math" w:cs="Times New Roman"/>
              <w:color w:val="000000"/>
            </w:rPr>
            <m:t>=</m:t>
          </m:r>
          <m:nary>
            <m:naryPr>
              <m:chr m:val="∑"/>
              <m:limLoc m:val="undOvr"/>
              <m:ctrlPr>
                <w:rPr>
                  <w:rFonts w:ascii="Cambria Math" w:hAnsi="Cambria Math" w:cs="Times New Roman"/>
                  <w:color w:val="000000"/>
                </w:rPr>
              </m:ctrlPr>
            </m:naryPr>
            <m:sub>
              <m:r>
                <w:rPr>
                  <w:rFonts w:ascii="Cambria Math" w:hAnsi="Cambria Math" w:cs="Times New Roman"/>
                  <w:color w:val="000000"/>
                </w:rPr>
                <m:t>s</m:t>
              </m:r>
              <m:r>
                <m:rPr>
                  <m:sty m:val="p"/>
                </m:rPr>
                <w:rPr>
                  <w:rFonts w:ascii="Cambria Math" w:hAnsi="Cambria Math" w:cs="Times New Roman"/>
                  <w:color w:val="000000"/>
                </w:rPr>
                <m:t>=1</m:t>
              </m:r>
            </m:sub>
            <m:sup>
              <m:r>
                <w:rPr>
                  <w:rFonts w:ascii="Cambria Math" w:hAnsi="Cambria Math" w:cs="Times New Roman"/>
                  <w:color w:val="000000"/>
                </w:rPr>
                <m:t>S</m:t>
              </m:r>
            </m:sup>
            <m:e>
              <m:r>
                <w:rPr>
                  <w:rFonts w:ascii="Cambria Math" w:hAnsi="Cambria Math" w:cs="Times New Roman"/>
                  <w:color w:val="000000"/>
                </w:rPr>
                <m:t>P</m:t>
              </m:r>
              <m:d>
                <m:dPr>
                  <m:ctrlPr>
                    <w:rPr>
                      <w:rFonts w:ascii="Cambria Math" w:hAnsi="Cambria Math" w:cs="Times New Roman"/>
                      <w:color w:val="000000"/>
                    </w:rPr>
                  </m:ctrlPr>
                </m:dPr>
                <m:e>
                  <m:r>
                    <w:rPr>
                      <w:rFonts w:ascii="Cambria Math" w:hAnsi="Cambria Math" w:cs="Times New Roman"/>
                      <w:color w:val="000000"/>
                    </w:rPr>
                    <m:t>i</m:t>
                  </m:r>
                </m:e>
                <m:e>
                  <m:sSub>
                    <m:sSubPr>
                      <m:ctrlPr>
                        <w:rPr>
                          <w:rFonts w:ascii="Cambria Math" w:hAnsi="Cambria Math" w:cs="Times New Roman"/>
                          <w:color w:val="000000"/>
                        </w:rPr>
                      </m:ctrlPr>
                    </m:sSubPr>
                    <m:e>
                      <m:r>
                        <w:rPr>
                          <w:rFonts w:ascii="Cambria Math" w:hAnsi="Cambria Math" w:cs="Times New Roman"/>
                          <w:color w:val="000000"/>
                        </w:rPr>
                        <m:t>X</m:t>
                      </m:r>
                    </m:e>
                    <m:sub>
                      <m:r>
                        <w:rPr>
                          <w:rFonts w:ascii="Cambria Math" w:hAnsi="Cambria Math" w:cs="Times New Roman"/>
                          <w:color w:val="000000"/>
                        </w:rPr>
                        <m:t>n</m:t>
                      </m:r>
                    </m:sub>
                  </m:sSub>
                  <m:r>
                    <m:rPr>
                      <m:sty m:val="p"/>
                    </m:rPr>
                    <w:rPr>
                      <w:rFonts w:ascii="Cambria Math" w:hAnsi="Cambria Math" w:cs="Times New Roman"/>
                      <w:color w:val="000000"/>
                    </w:rPr>
                    <m:t>,</m:t>
                  </m:r>
                  <m:r>
                    <w:rPr>
                      <w:rFonts w:ascii="Cambria Math" w:hAnsi="Cambria Math" w:cs="Times New Roman"/>
                      <w:color w:val="000000"/>
                    </w:rPr>
                    <m:t>S</m:t>
                  </m:r>
                </m:e>
              </m:d>
              <m:r>
                <w:rPr>
                  <w:rFonts w:ascii="Cambria Math" w:hAnsi="Cambria Math" w:cs="Times New Roman"/>
                  <w:color w:val="000000"/>
                </w:rPr>
                <m:t>P</m:t>
              </m:r>
              <m:r>
                <m:rPr>
                  <m:sty m:val="p"/>
                </m:rPr>
                <w:rPr>
                  <w:rFonts w:ascii="Cambria Math" w:hAnsi="Cambria Math" w:cs="Times New Roman"/>
                  <w:color w:val="000000"/>
                </w:rPr>
                <m:t>(</m:t>
              </m:r>
              <m:r>
                <w:rPr>
                  <w:rFonts w:ascii="Cambria Math" w:hAnsi="Cambria Math" w:cs="Times New Roman"/>
                  <w:color w:val="000000"/>
                </w:rPr>
                <m:t>S</m:t>
              </m:r>
              <m:r>
                <m:rPr>
                  <m:sty m:val="p"/>
                </m:rPr>
                <w:rPr>
                  <w:rFonts w:ascii="Cambria Math" w:hAnsi="Cambria Math" w:cs="Times New Roman"/>
                  <w:color w:val="000000"/>
                </w:rPr>
                <m:t>|</m:t>
              </m:r>
              <m:sSub>
                <m:sSubPr>
                  <m:ctrlPr>
                    <w:rPr>
                      <w:rFonts w:ascii="Cambria Math" w:hAnsi="Cambria Math" w:cs="Times New Roman"/>
                      <w:color w:val="000000"/>
                    </w:rPr>
                  </m:ctrlPr>
                </m:sSubPr>
                <m:e>
                  <m:r>
                    <w:rPr>
                      <w:rFonts w:ascii="Cambria Math" w:hAnsi="Cambria Math" w:cs="Times New Roman"/>
                      <w:color w:val="000000"/>
                    </w:rPr>
                    <m:t>X</m:t>
                  </m:r>
                </m:e>
                <m:sub>
                  <m:r>
                    <w:rPr>
                      <w:rFonts w:ascii="Cambria Math" w:hAnsi="Cambria Math" w:cs="Times New Roman"/>
                      <w:color w:val="000000"/>
                    </w:rPr>
                    <m:t>n</m:t>
                  </m:r>
                </m:sub>
              </m:sSub>
              <m:r>
                <m:rPr>
                  <m:sty m:val="p"/>
                </m:rPr>
                <w:rPr>
                  <w:rFonts w:ascii="Cambria Math" w:hAnsi="Cambria Math" w:cs="Times New Roman"/>
                  <w:color w:val="000000"/>
                </w:rPr>
                <m:t>)</m:t>
              </m:r>
            </m:e>
          </m:nary>
        </m:oMath>
      </m:oMathPara>
    </w:p>
    <w:p w14:paraId="6D8DEA9E"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where </w:t>
      </w:r>
      <m:oMath>
        <m:r>
          <w:rPr>
            <w:rFonts w:ascii="Cambria Math" w:hAnsi="Cambria Math" w:cs="Times New Roman"/>
            <w:color w:val="000000"/>
          </w:rPr>
          <m:t>P</m:t>
        </m:r>
        <m:d>
          <m:dPr>
            <m:ctrlPr>
              <w:rPr>
                <w:rFonts w:ascii="Cambria Math" w:hAnsi="Cambria Math" w:cs="Times New Roman"/>
                <w:i/>
                <w:color w:val="000000"/>
              </w:rPr>
            </m:ctrlPr>
          </m:dPr>
          <m:e>
            <m:r>
              <w:rPr>
                <w:rFonts w:ascii="Cambria Math" w:hAnsi="Cambria Math" w:cs="Times New Roman"/>
                <w:color w:val="000000"/>
              </w:rPr>
              <m:t>i</m:t>
            </m:r>
          </m:e>
          <m:e>
            <m:sSub>
              <m:sSubPr>
                <m:ctrlPr>
                  <w:rPr>
                    <w:rFonts w:ascii="Cambria Math" w:hAnsi="Cambria Math" w:cs="Times New Roman"/>
                    <w:i/>
                    <w:color w:val="000000"/>
                  </w:rPr>
                </m:ctrlPr>
              </m:sSubPr>
              <m:e>
                <m:r>
                  <w:rPr>
                    <w:rFonts w:ascii="Cambria Math" w:hAnsi="Cambria Math" w:cs="Times New Roman"/>
                    <w:color w:val="000000"/>
                  </w:rPr>
                  <m:t>X</m:t>
                </m:r>
              </m:e>
              <m:sub>
                <m:r>
                  <w:rPr>
                    <w:rFonts w:ascii="Cambria Math" w:hAnsi="Cambria Math" w:cs="Times New Roman"/>
                    <w:color w:val="000000"/>
                  </w:rPr>
                  <m:t>n</m:t>
                </m:r>
              </m:sub>
            </m:sSub>
            <m:r>
              <w:rPr>
                <w:rFonts w:ascii="Cambria Math" w:hAnsi="Cambria Math" w:cs="Times New Roman"/>
                <w:color w:val="000000"/>
              </w:rPr>
              <m:t>,S</m:t>
            </m:r>
          </m:e>
        </m:d>
      </m:oMath>
      <w:r w:rsidRPr="003C3597">
        <w:rPr>
          <w:rFonts w:ascii="Times New Roman" w:hAnsi="Times New Roman" w:cs="Times New Roman"/>
          <w:color w:val="000000"/>
        </w:rPr>
        <w:t xml:space="preserve"> is the probability of choosing alternative </w:t>
      </w:r>
      <w:r w:rsidRPr="003C3597">
        <w:rPr>
          <w:rFonts w:ascii="Times New Roman" w:hAnsi="Times New Roman" w:cs="Times New Roman"/>
          <w:i/>
          <w:iCs/>
          <w:color w:val="000000"/>
        </w:rPr>
        <w:t>i</w:t>
      </w:r>
      <w:r w:rsidRPr="003C3597">
        <w:rPr>
          <w:rFonts w:ascii="Times New Roman" w:hAnsi="Times New Roman" w:cs="Times New Roman"/>
          <w:color w:val="000000"/>
        </w:rPr>
        <w:t xml:space="preserve"> conditional on attributes and decision maker characteristics </w:t>
      </w:r>
      <w:r w:rsidRPr="003C3597">
        <w:rPr>
          <w:rFonts w:ascii="Times New Roman" w:hAnsi="Times New Roman" w:cs="Times New Roman"/>
          <w:i/>
          <w:iCs/>
          <w:color w:val="000000"/>
        </w:rPr>
        <w:t>X</w:t>
      </w:r>
      <w:r w:rsidRPr="003C3597">
        <w:rPr>
          <w:rFonts w:ascii="Times New Roman" w:hAnsi="Times New Roman" w:cs="Times New Roman"/>
          <w:i/>
          <w:iCs/>
          <w:color w:val="000000"/>
          <w:vertAlign w:val="subscript"/>
        </w:rPr>
        <w:t xml:space="preserve">n, </w:t>
      </w:r>
      <w:r w:rsidRPr="003C3597">
        <w:rPr>
          <w:rFonts w:ascii="Times New Roman" w:hAnsi="Times New Roman" w:cs="Times New Roman"/>
          <w:color w:val="000000"/>
        </w:rPr>
        <w:t xml:space="preserve">and being a member of class </w:t>
      </w:r>
      <w:r w:rsidRPr="003C3597">
        <w:rPr>
          <w:rFonts w:ascii="Times New Roman" w:hAnsi="Times New Roman" w:cs="Times New Roman"/>
          <w:i/>
          <w:iCs/>
          <w:color w:val="000000"/>
        </w:rPr>
        <w:t>S</w:t>
      </w:r>
      <w:r w:rsidRPr="003C3597">
        <w:rPr>
          <w:rFonts w:ascii="Times New Roman" w:hAnsi="Times New Roman" w:cs="Times New Roman"/>
          <w:color w:val="000000"/>
        </w:rPr>
        <w:t xml:space="preserve">, and </w:t>
      </w:r>
      <m:oMath>
        <m:r>
          <w:rPr>
            <w:rFonts w:ascii="Cambria Math" w:hAnsi="Cambria Math" w:cs="Times New Roman"/>
            <w:color w:val="000000"/>
          </w:rPr>
          <m:t>P(S|</m:t>
        </m:r>
        <m:sSub>
          <m:sSubPr>
            <m:ctrlPr>
              <w:rPr>
                <w:rFonts w:ascii="Cambria Math" w:hAnsi="Cambria Math" w:cs="Times New Roman"/>
                <w:i/>
                <w:color w:val="000000"/>
              </w:rPr>
            </m:ctrlPr>
          </m:sSubPr>
          <m:e>
            <m:r>
              <w:rPr>
                <w:rFonts w:ascii="Cambria Math" w:hAnsi="Cambria Math" w:cs="Times New Roman"/>
                <w:color w:val="000000"/>
              </w:rPr>
              <m:t>X</m:t>
            </m:r>
          </m:e>
          <m:sub>
            <m:r>
              <w:rPr>
                <w:rFonts w:ascii="Cambria Math" w:hAnsi="Cambria Math" w:cs="Times New Roman"/>
                <w:color w:val="000000"/>
              </w:rPr>
              <m:t>n</m:t>
            </m:r>
          </m:sub>
        </m:sSub>
        <m:r>
          <w:rPr>
            <w:rFonts w:ascii="Cambria Math" w:hAnsi="Cambria Math" w:cs="Times New Roman"/>
            <w:color w:val="000000"/>
          </w:rPr>
          <m:t>)</m:t>
        </m:r>
      </m:oMath>
      <w:r w:rsidRPr="003C3597">
        <w:rPr>
          <w:rFonts w:ascii="Times New Roman" w:hAnsi="Times New Roman" w:cs="Times New Roman"/>
          <w:color w:val="000000"/>
        </w:rPr>
        <w:t xml:space="preserve"> is the probability that the decision maker with characteristics </w:t>
      </w:r>
      <w:r w:rsidRPr="003C3597">
        <w:rPr>
          <w:rFonts w:ascii="Times New Roman" w:hAnsi="Times New Roman" w:cs="Times New Roman"/>
          <w:i/>
          <w:iCs/>
          <w:color w:val="000000"/>
        </w:rPr>
        <w:t>X</w:t>
      </w:r>
      <w:r w:rsidRPr="003C3597">
        <w:rPr>
          <w:rFonts w:ascii="Times New Roman" w:hAnsi="Times New Roman" w:cs="Times New Roman"/>
          <w:i/>
          <w:iCs/>
          <w:color w:val="000000"/>
          <w:vertAlign w:val="subscript"/>
        </w:rPr>
        <w:t xml:space="preserve">n </w:t>
      </w:r>
      <w:r w:rsidRPr="003C3597">
        <w:rPr>
          <w:rFonts w:ascii="Times New Roman" w:hAnsi="Times New Roman" w:cs="Times New Roman"/>
          <w:color w:val="000000"/>
        </w:rPr>
        <w:t xml:space="preserve">belongs to class </w:t>
      </w:r>
      <w:r w:rsidRPr="003C3597">
        <w:rPr>
          <w:rFonts w:ascii="Times New Roman" w:hAnsi="Times New Roman" w:cs="Times New Roman"/>
          <w:i/>
          <w:iCs/>
          <w:color w:val="000000"/>
        </w:rPr>
        <w:t xml:space="preserve">S </w:t>
      </w:r>
      <w:r w:rsidRPr="003C3597">
        <w:rPr>
          <w:rFonts w:ascii="Times New Roman" w:hAnsi="Times New Roman" w:cs="Times New Roman"/>
          <w:color w:val="000000"/>
        </w:rPr>
        <w:fldChar w:fldCharType="begin" w:fldLock="1"/>
      </w:r>
      <w:r w:rsidRPr="003C3597">
        <w:rPr>
          <w:rFonts w:ascii="Times New Roman" w:hAnsi="Times New Roman" w:cs="Times New Roman"/>
          <w:i/>
          <w:color w:val="000000"/>
        </w:rPr>
        <w:instrText>ADDIN CSL_CITATION {"citationItems":[{"id":"ITEM-1","itemData":{"DOI":"10.1007/s10109-006-0030-0","ISBN":"1435-5930\\r1435-5949","ISSN":"14355930","PMID":"25246403","abstract":"Lifestyle, indicating preferences towards a particular way of living, is a key driver of the decision of where to live. We employ latent class choice models to represent this behavior, where the latent classes are the lifestyles and the choice model","author":[{"dropping-particle":"","family":"Walker","given":"Joan L.","non-dropping-particle":"","parse-names":false,"suffix":""},{"dropping-particle":"","family":"Li","given":"Jieping","non-dropping-particle":"","parse-names":false,"suffix":""}],"container-title":"Journal of Geographical Systems","id":"ITEM-1","issue":"1","issued":{"date-parts":[["2007"]]},"page":"77-101","title":"Latent lifestyle preferences and household location decisions","type":"article-journal","volume":"9"},"uris":["http://www.mendeley.com/documents/?uuid=a4bc2df7-166b-45f4-ba80-b8c11dd20422"]}],"mendeley":{"formattedCitation":"(Walker and Li 2007)","plainTextFormattedCitation":"(Walker and Li 2007)","previouslyFormattedCitation":"(Walker and Li 2007)"},"properties":{"noteIndex":0},"schema":"https://github.com/citation-style-language/schema/raw/master/csl-citation.json"}</w:instrText>
      </w:r>
      <w:r w:rsidRPr="003C3597">
        <w:rPr>
          <w:rFonts w:ascii="Times New Roman" w:hAnsi="Times New Roman" w:cs="Times New Roman"/>
          <w:i/>
          <w:color w:val="000000"/>
        </w:rPr>
        <w:fldChar w:fldCharType="separate"/>
      </w:r>
      <w:r w:rsidRPr="003C3597">
        <w:rPr>
          <w:rFonts w:ascii="Times New Roman" w:hAnsi="Times New Roman" w:cs="Times New Roman"/>
          <w:color w:val="000000"/>
        </w:rPr>
        <w:t>(Walker and Li, 2007)</w:t>
      </w:r>
      <w:r w:rsidRPr="003C3597">
        <w:rPr>
          <w:rFonts w:ascii="Times New Roman" w:hAnsi="Times New Roman" w:cs="Times New Roman"/>
          <w:color w:val="000000"/>
        </w:rPr>
        <w:fldChar w:fldCharType="end"/>
      </w:r>
      <w:r w:rsidRPr="003C3597">
        <w:rPr>
          <w:rFonts w:ascii="Times New Roman" w:hAnsi="Times New Roman" w:cs="Times New Roman"/>
          <w:color w:val="000000"/>
        </w:rPr>
        <w:t>. The class assignment is not deterministic, but is modelled as a probability across classes.</w:t>
      </w:r>
    </w:p>
    <w:p w14:paraId="786EA4E2" w14:textId="77777777" w:rsidR="003C3597" w:rsidRPr="007701DC" w:rsidRDefault="003C3597" w:rsidP="00E1100F">
      <w:pPr>
        <w:pStyle w:val="ListParagraph"/>
        <w:numPr>
          <w:ilvl w:val="2"/>
          <w:numId w:val="11"/>
        </w:numPr>
        <w:outlineLvl w:val="2"/>
        <w:rPr>
          <w:rFonts w:ascii="Times New Roman" w:hAnsi="Times New Roman" w:cs="Times New Roman"/>
          <w:b/>
          <w:color w:val="000000"/>
        </w:rPr>
      </w:pPr>
      <w:bookmarkStart w:id="66" w:name="_Toc528650876"/>
      <w:r w:rsidRPr="007701DC">
        <w:rPr>
          <w:rFonts w:ascii="Times New Roman" w:hAnsi="Times New Roman" w:cs="Times New Roman"/>
          <w:b/>
          <w:color w:val="000000"/>
        </w:rPr>
        <w:t>Determining the Number of Latent Classes</w:t>
      </w:r>
      <w:bookmarkEnd w:id="66"/>
    </w:p>
    <w:p w14:paraId="47B86B1C" w14:textId="1E158E8A"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The number of classes is not determined endogenously. Instead, a series of models with varying number</w:t>
      </w:r>
      <w:r w:rsidR="000D6C5D">
        <w:rPr>
          <w:rFonts w:ascii="Times New Roman" w:hAnsi="Times New Roman" w:cs="Times New Roman"/>
          <w:color w:val="000000"/>
        </w:rPr>
        <w:t>s</w:t>
      </w:r>
      <w:r w:rsidRPr="003C3597">
        <w:rPr>
          <w:rFonts w:ascii="Times New Roman" w:hAnsi="Times New Roman" w:cs="Times New Roman"/>
          <w:color w:val="000000"/>
        </w:rPr>
        <w:t xml:space="preserve"> of classes are estimated and a trio of statistics are used to compare different models. The statistics that aid the selection of the number of classes are the Bayesian Information Criterion (BIC), Akaike Information Criterion (AIC), and pseudo R</w:t>
      </w:r>
      <w:r w:rsidRPr="003C3597">
        <w:rPr>
          <w:rFonts w:ascii="Times New Roman" w:hAnsi="Times New Roman" w:cs="Times New Roman"/>
          <w:color w:val="000000"/>
          <w:vertAlign w:val="superscript"/>
        </w:rPr>
        <w:t>2</w:t>
      </w:r>
      <w:r w:rsidRPr="003C3597">
        <w:rPr>
          <w:rFonts w:ascii="Times New Roman" w:hAnsi="Times New Roman" w:cs="Times New Roman"/>
          <w:color w:val="000000"/>
        </w:rPr>
        <w:t xml:space="preserve">. In general, the higher these values, the better is the model according to the statistics </w:t>
      </w:r>
      <w:r w:rsidRPr="003C3597">
        <w:rPr>
          <w:rFonts w:ascii="Times New Roman" w:hAnsi="Times New Roman" w:cs="Times New Roman"/>
          <w:color w:val="000000"/>
        </w:rPr>
        <w:fldChar w:fldCharType="begin" w:fldLock="1"/>
      </w:r>
      <w:r w:rsidRPr="003C3597">
        <w:rPr>
          <w:rFonts w:ascii="Times New Roman" w:hAnsi="Times New Roman" w:cs="Times New Roman"/>
          <w:color w:val="000000"/>
        </w:rPr>
        <w:instrText>ADDIN CSL_CITATION {"citationItems":[{"id":"ITEM-1","itemData":{"DOI":"10.1007/s10109-006-0030-0","ISBN":"1435-5930\\r1435-5949","ISSN":"14355930","PMID":"25246403","abstract":"Lifestyle, indicating preferences towards a particular way of living, is a key driver of the decision of where to live. We employ latent class choice models to represent this behavior, where the latent classes are the lifestyles and the choice model","author":[{"dropping-particle":"","family":"Walker","given":"Joan L.","non-dropping-particle":"","parse-names":false,"suffix":""},{"dropping-particle":"","family":"Li","given":"Jieping","non-dropping-particle":"","parse-names":false,"suffix":""}],"container-title":"Journal of Geographical Systems","id":"ITEM-1","issue":"1","issued":{"date-parts":[["2007"]]},"page":"77-101","title":"Latent lifestyle preferences and household location decisions","type":"article-journal","volume":"9"},"uris":["http://www.mendeley.com/documents/?uuid=a4bc2df7-166b-45f4-ba80-b8c11dd20422"]}],"mendeley":{"formattedCitation":"(Walker and Li 2007)","manualFormatting":"(Walker and Li, 2007)","plainTextFormattedCitation":"(Walker and Li 2007)","previouslyFormattedCitation":"(Walker and Li 2007)"},"properties":{"noteIndex":0},"schema":"https://github.com/citation-style-language/schema/raw/master/csl-citation.json"}</w:instrText>
      </w:r>
      <w:r w:rsidRPr="003C3597">
        <w:rPr>
          <w:rFonts w:ascii="Times New Roman" w:hAnsi="Times New Roman" w:cs="Times New Roman"/>
          <w:color w:val="000000"/>
        </w:rPr>
        <w:fldChar w:fldCharType="separate"/>
      </w:r>
      <w:r w:rsidRPr="003C3597">
        <w:rPr>
          <w:rFonts w:ascii="Times New Roman" w:hAnsi="Times New Roman" w:cs="Times New Roman"/>
          <w:color w:val="000000"/>
        </w:rPr>
        <w:t>(Walker and Li, 2007)</w:t>
      </w:r>
      <w:r w:rsidRPr="003C3597">
        <w:rPr>
          <w:rFonts w:ascii="Times New Roman" w:hAnsi="Times New Roman" w:cs="Times New Roman"/>
          <w:color w:val="000000"/>
        </w:rPr>
        <w:fldChar w:fldCharType="end"/>
      </w:r>
      <w:r w:rsidRPr="003C3597">
        <w:rPr>
          <w:rFonts w:ascii="Times New Roman" w:hAnsi="Times New Roman" w:cs="Times New Roman"/>
          <w:color w:val="000000"/>
        </w:rPr>
        <w:t>. Non-statistical criteria are also applied when selecting the number of classes. Since the focus is on understanding the heterogeneity underlying different segments, each class must be clearly distinct in terms of behaviors of decision makers assigned to that class.</w:t>
      </w:r>
    </w:p>
    <w:p w14:paraId="6606BD8C" w14:textId="66E0AED2" w:rsidR="00555F82" w:rsidRDefault="003C3597" w:rsidP="003C3597">
      <w:pPr>
        <w:rPr>
          <w:rFonts w:ascii="Times New Roman" w:hAnsi="Times New Roman" w:cs="Times New Roman"/>
          <w:color w:val="000000"/>
        </w:rPr>
      </w:pPr>
      <w:r w:rsidRPr="003C3597">
        <w:rPr>
          <w:rFonts w:ascii="Times New Roman" w:hAnsi="Times New Roman" w:cs="Times New Roman"/>
          <w:color w:val="000000"/>
        </w:rPr>
        <w:lastRenderedPageBreak/>
        <w:t xml:space="preserve">Table </w:t>
      </w:r>
      <w:r w:rsidR="00B957FF">
        <w:rPr>
          <w:rFonts w:ascii="Times New Roman" w:hAnsi="Times New Roman" w:cs="Times New Roman"/>
          <w:color w:val="000000"/>
        </w:rPr>
        <w:t>3.</w:t>
      </w:r>
      <w:r w:rsidRPr="003C3597">
        <w:rPr>
          <w:rFonts w:ascii="Times New Roman" w:hAnsi="Times New Roman" w:cs="Times New Roman"/>
          <w:color w:val="000000"/>
        </w:rPr>
        <w:t>5 shows statistics to select the optimum number of latent classes for both the “Atlantic” and “Leading” models. With an increase in the number of classes, the model performs better in terms of statistical criteria (i.e., pseudo R-square, AIC, and BIC), but the classes become more identical with four or more classes. For the Atlantic sample, the 3- and 4-class models are very close with respect to their estimation results. However, the model with 3 classes provides better results, since the differences between classes are more identifiable and meaningful. The same analysis was conducted for the leading sample, though the model with four latent classes provided the best fit and was selected for the final analysis.</w:t>
      </w:r>
    </w:p>
    <w:p w14:paraId="2BA28F29" w14:textId="77777777" w:rsidR="007701DC" w:rsidRPr="00555F82" w:rsidRDefault="00555F82" w:rsidP="00555F82">
      <w:pPr>
        <w:pStyle w:val="Caption"/>
        <w:ind w:firstLine="0"/>
        <w:rPr>
          <w:rFonts w:ascii="Times New Roman" w:hAnsi="Times New Roman" w:cs="Times New Roman"/>
          <w:i w:val="0"/>
          <w:iCs w:val="0"/>
          <w:color w:val="000000"/>
          <w:sz w:val="24"/>
          <w:szCs w:val="24"/>
        </w:rPr>
      </w:pPr>
      <w:bookmarkStart w:id="67" w:name="_Toc528649798"/>
      <w:r>
        <w:rPr>
          <w:rFonts w:ascii="Times New Roman" w:hAnsi="Times New Roman" w:cs="Times New Roman"/>
          <w:i w:val="0"/>
          <w:iCs w:val="0"/>
          <w:color w:val="000000"/>
          <w:sz w:val="24"/>
          <w:szCs w:val="24"/>
        </w:rPr>
        <w:t>Table 3.</w:t>
      </w:r>
      <w:r w:rsidRPr="00555F82">
        <w:rPr>
          <w:rFonts w:ascii="Times New Roman" w:hAnsi="Times New Roman" w:cs="Times New Roman"/>
          <w:i w:val="0"/>
          <w:iCs w:val="0"/>
          <w:color w:val="000000"/>
          <w:sz w:val="24"/>
          <w:szCs w:val="24"/>
        </w:rPr>
        <w:fldChar w:fldCharType="begin"/>
      </w:r>
      <w:r w:rsidRPr="00555F82">
        <w:rPr>
          <w:rFonts w:ascii="Times New Roman" w:hAnsi="Times New Roman" w:cs="Times New Roman"/>
          <w:i w:val="0"/>
          <w:iCs w:val="0"/>
          <w:color w:val="000000"/>
          <w:sz w:val="24"/>
          <w:szCs w:val="24"/>
        </w:rPr>
        <w:instrText xml:space="preserve"> SEQ Table_3. \* ARABIC </w:instrText>
      </w:r>
      <w:r w:rsidRPr="00555F82">
        <w:rPr>
          <w:rFonts w:ascii="Times New Roman" w:hAnsi="Times New Roman" w:cs="Times New Roman"/>
          <w:i w:val="0"/>
          <w:iCs w:val="0"/>
          <w:color w:val="000000"/>
          <w:sz w:val="24"/>
          <w:szCs w:val="24"/>
        </w:rPr>
        <w:fldChar w:fldCharType="separate"/>
      </w:r>
      <w:r w:rsidR="00BC70AE">
        <w:rPr>
          <w:rFonts w:ascii="Times New Roman" w:hAnsi="Times New Roman" w:cs="Times New Roman"/>
          <w:i w:val="0"/>
          <w:iCs w:val="0"/>
          <w:noProof/>
          <w:color w:val="000000"/>
          <w:sz w:val="24"/>
          <w:szCs w:val="24"/>
        </w:rPr>
        <w:t>5</w:t>
      </w:r>
      <w:r w:rsidRPr="00555F82">
        <w:rPr>
          <w:rFonts w:ascii="Times New Roman" w:hAnsi="Times New Roman" w:cs="Times New Roman"/>
          <w:i w:val="0"/>
          <w:iCs w:val="0"/>
          <w:color w:val="000000"/>
          <w:sz w:val="24"/>
          <w:szCs w:val="24"/>
        </w:rPr>
        <w:fldChar w:fldCharType="end"/>
      </w:r>
      <w:r>
        <w:rPr>
          <w:rFonts w:ascii="Times New Roman" w:hAnsi="Times New Roman" w:cs="Times New Roman"/>
          <w:i w:val="0"/>
          <w:iCs w:val="0"/>
          <w:color w:val="000000"/>
          <w:sz w:val="24"/>
          <w:szCs w:val="24"/>
        </w:rPr>
        <w:t xml:space="preserve"> </w:t>
      </w:r>
      <w:r w:rsidR="007701DC" w:rsidRPr="00555F82">
        <w:rPr>
          <w:rFonts w:ascii="Times New Roman" w:hAnsi="Times New Roman" w:cs="Times New Roman"/>
          <w:i w:val="0"/>
          <w:iCs w:val="0"/>
          <w:color w:val="000000"/>
          <w:sz w:val="24"/>
          <w:szCs w:val="24"/>
        </w:rPr>
        <w:t>Latent class model statistics for assessing the optimum number of classes</w:t>
      </w:r>
      <w:bookmarkEnd w:id="67"/>
    </w:p>
    <w:tbl>
      <w:tblPr>
        <w:tblStyle w:val="PlainTable23"/>
        <w:tblW w:w="0" w:type="auto"/>
        <w:tblLayout w:type="fixed"/>
        <w:tblLook w:val="04A0" w:firstRow="1" w:lastRow="0" w:firstColumn="1" w:lastColumn="0" w:noHBand="0" w:noVBand="1"/>
      </w:tblPr>
      <w:tblGrid>
        <w:gridCol w:w="2610"/>
        <w:gridCol w:w="1080"/>
        <w:gridCol w:w="990"/>
        <w:gridCol w:w="990"/>
        <w:gridCol w:w="1081"/>
      </w:tblGrid>
      <w:tr w:rsidR="007701DC" w:rsidRPr="00BA6F83" w14:paraId="6CB4A2B7" w14:textId="77777777" w:rsidTr="007701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vAlign w:val="center"/>
          </w:tcPr>
          <w:p w14:paraId="165ACF92" w14:textId="77777777" w:rsidR="007701DC" w:rsidRPr="00BA6F83" w:rsidRDefault="007701DC" w:rsidP="007701DC">
            <w:pPr>
              <w:spacing w:before="60" w:after="60"/>
              <w:rPr>
                <w:rFonts w:ascii="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Number of Classes</w:t>
            </w:r>
          </w:p>
        </w:tc>
        <w:tc>
          <w:tcPr>
            <w:tcW w:w="1080" w:type="dxa"/>
            <w:tcBorders>
              <w:top w:val="single" w:sz="4" w:space="0" w:color="auto"/>
              <w:bottom w:val="single" w:sz="4" w:space="0" w:color="auto"/>
            </w:tcBorders>
            <w:vAlign w:val="center"/>
          </w:tcPr>
          <w:p w14:paraId="34D9C5F1" w14:textId="77777777" w:rsidR="007701DC" w:rsidRPr="00BA6F83" w:rsidRDefault="007701DC" w:rsidP="007701D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Number of Parameters</w:t>
            </w:r>
          </w:p>
        </w:tc>
        <w:tc>
          <w:tcPr>
            <w:tcW w:w="990" w:type="dxa"/>
            <w:tcBorders>
              <w:top w:val="single" w:sz="4" w:space="0" w:color="auto"/>
              <w:bottom w:val="single" w:sz="4" w:space="0" w:color="auto"/>
            </w:tcBorders>
            <w:vAlign w:val="center"/>
          </w:tcPr>
          <w:p w14:paraId="218B8758" w14:textId="77777777" w:rsidR="007701DC" w:rsidRPr="00BA6F83" w:rsidRDefault="007701DC" w:rsidP="007701D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BIC</w:t>
            </w:r>
          </w:p>
        </w:tc>
        <w:tc>
          <w:tcPr>
            <w:tcW w:w="990" w:type="dxa"/>
            <w:tcBorders>
              <w:top w:val="single" w:sz="4" w:space="0" w:color="auto"/>
              <w:bottom w:val="single" w:sz="4" w:space="0" w:color="auto"/>
            </w:tcBorders>
            <w:vAlign w:val="center"/>
          </w:tcPr>
          <w:p w14:paraId="00D3F7D1" w14:textId="77777777" w:rsidR="007701DC" w:rsidRPr="00BA6F83" w:rsidRDefault="007701DC" w:rsidP="007701D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AIC</w:t>
            </w:r>
          </w:p>
        </w:tc>
        <w:tc>
          <w:tcPr>
            <w:tcW w:w="1081" w:type="dxa"/>
            <w:tcBorders>
              <w:top w:val="single" w:sz="4" w:space="0" w:color="auto"/>
              <w:bottom w:val="single" w:sz="4" w:space="0" w:color="auto"/>
            </w:tcBorders>
            <w:vAlign w:val="center"/>
          </w:tcPr>
          <w:p w14:paraId="5ED6ACEB" w14:textId="77777777" w:rsidR="007701DC" w:rsidRPr="00BA6F83" w:rsidRDefault="007701DC" w:rsidP="007701D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vertAlign w:val="superscript"/>
              </w:rPr>
            </w:pPr>
            <w:r w:rsidRPr="00BA6F83">
              <w:rPr>
                <w:rFonts w:ascii="Times New Roman" w:eastAsia="Times New Roman" w:hAnsi="Times New Roman" w:cs="Times New Roman"/>
                <w:b w:val="0"/>
                <w:color w:val="000000" w:themeColor="text1"/>
                <w:sz w:val="18"/>
                <w:szCs w:val="18"/>
              </w:rPr>
              <w:t>Pseudo R</w:t>
            </w:r>
            <w:r w:rsidRPr="00BA6F83">
              <w:rPr>
                <w:rFonts w:ascii="Times New Roman" w:eastAsia="Times New Roman" w:hAnsi="Times New Roman" w:cs="Times New Roman"/>
                <w:b w:val="0"/>
                <w:color w:val="000000" w:themeColor="text1"/>
                <w:sz w:val="18"/>
                <w:szCs w:val="18"/>
                <w:vertAlign w:val="superscript"/>
              </w:rPr>
              <w:t>2</w:t>
            </w:r>
          </w:p>
        </w:tc>
      </w:tr>
      <w:tr w:rsidR="007701DC" w:rsidRPr="007701DC" w14:paraId="07CACD42" w14:textId="77777777" w:rsidTr="007701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1" w:type="dxa"/>
            <w:gridSpan w:val="5"/>
            <w:tcBorders>
              <w:top w:val="single" w:sz="4" w:space="0" w:color="auto"/>
              <w:bottom w:val="nil"/>
            </w:tcBorders>
          </w:tcPr>
          <w:p w14:paraId="68D328A2" w14:textId="77777777" w:rsidR="007701DC" w:rsidRPr="00BA6F83" w:rsidRDefault="007701DC" w:rsidP="007701DC">
            <w:pPr>
              <w:spacing w:before="60"/>
              <w:rPr>
                <w:rFonts w:ascii="Times New Roman" w:hAnsi="Times New Roman" w:cs="Times New Roman"/>
                <w:b w:val="0"/>
                <w:i/>
                <w:color w:val="000000" w:themeColor="text1"/>
                <w:sz w:val="18"/>
                <w:szCs w:val="18"/>
                <w:u w:val="single"/>
              </w:rPr>
            </w:pPr>
            <w:r w:rsidRPr="00BA6F83">
              <w:rPr>
                <w:rFonts w:ascii="Times New Roman" w:eastAsia="Times New Roman" w:hAnsi="Times New Roman" w:cs="Times New Roman"/>
                <w:b w:val="0"/>
                <w:i/>
                <w:color w:val="000000" w:themeColor="text1"/>
                <w:sz w:val="18"/>
                <w:szCs w:val="18"/>
                <w:u w:val="single"/>
              </w:rPr>
              <w:t>Atlantic Model</w:t>
            </w:r>
          </w:p>
        </w:tc>
      </w:tr>
      <w:tr w:rsidR="007701DC" w:rsidRPr="007701DC" w14:paraId="67337CC6" w14:textId="77777777" w:rsidTr="007701DC">
        <w:tc>
          <w:tcPr>
            <w:cnfStyle w:val="001000000000" w:firstRow="0" w:lastRow="0" w:firstColumn="1" w:lastColumn="0" w:oddVBand="0" w:evenVBand="0" w:oddHBand="0" w:evenHBand="0" w:firstRowFirstColumn="0" w:firstRowLastColumn="0" w:lastRowFirstColumn="0" w:lastRowLastColumn="0"/>
            <w:tcW w:w="2610" w:type="dxa"/>
            <w:tcBorders>
              <w:top w:val="nil"/>
              <w:bottom w:val="nil"/>
            </w:tcBorders>
          </w:tcPr>
          <w:p w14:paraId="0A3120DD" w14:textId="77777777" w:rsidR="007701DC" w:rsidRPr="00BA6F83" w:rsidRDefault="007701DC" w:rsidP="007701DC">
            <w:pPr>
              <w:rPr>
                <w:rFonts w:ascii="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2</w:t>
            </w:r>
          </w:p>
        </w:tc>
        <w:tc>
          <w:tcPr>
            <w:tcW w:w="1080" w:type="dxa"/>
            <w:tcBorders>
              <w:top w:val="nil"/>
              <w:bottom w:val="nil"/>
            </w:tcBorders>
          </w:tcPr>
          <w:p w14:paraId="19C6877E" w14:textId="77777777" w:rsidR="007701DC" w:rsidRPr="007701DC"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7701DC">
              <w:rPr>
                <w:rFonts w:ascii="Times New Roman" w:eastAsia="Times New Roman" w:hAnsi="Times New Roman" w:cs="Times New Roman"/>
                <w:color w:val="000000" w:themeColor="text1"/>
                <w:sz w:val="18"/>
                <w:szCs w:val="18"/>
              </w:rPr>
              <w:t>50</w:t>
            </w:r>
          </w:p>
        </w:tc>
        <w:tc>
          <w:tcPr>
            <w:tcW w:w="990" w:type="dxa"/>
            <w:tcBorders>
              <w:top w:val="nil"/>
              <w:bottom w:val="nil"/>
            </w:tcBorders>
          </w:tcPr>
          <w:p w14:paraId="7048B201" w14:textId="77777777" w:rsidR="007701DC" w:rsidRPr="007701DC"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7701DC">
              <w:rPr>
                <w:rFonts w:ascii="Times New Roman" w:eastAsia="Times New Roman" w:hAnsi="Times New Roman" w:cs="Times New Roman"/>
                <w:color w:val="000000" w:themeColor="text1"/>
                <w:sz w:val="18"/>
                <w:szCs w:val="18"/>
              </w:rPr>
              <w:t>-21,286</w:t>
            </w:r>
          </w:p>
        </w:tc>
        <w:tc>
          <w:tcPr>
            <w:tcW w:w="990" w:type="dxa"/>
            <w:tcBorders>
              <w:top w:val="nil"/>
              <w:bottom w:val="nil"/>
            </w:tcBorders>
          </w:tcPr>
          <w:p w14:paraId="2FE1CA46" w14:textId="77777777" w:rsidR="007701DC" w:rsidRPr="007701DC"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7701DC">
              <w:rPr>
                <w:rFonts w:ascii="Times New Roman" w:eastAsia="Times New Roman" w:hAnsi="Times New Roman" w:cs="Times New Roman"/>
                <w:color w:val="000000" w:themeColor="text1"/>
                <w:sz w:val="18"/>
                <w:szCs w:val="18"/>
              </w:rPr>
              <w:t>-20,990</w:t>
            </w:r>
          </w:p>
        </w:tc>
        <w:tc>
          <w:tcPr>
            <w:tcW w:w="1081" w:type="dxa"/>
            <w:tcBorders>
              <w:top w:val="nil"/>
              <w:bottom w:val="nil"/>
            </w:tcBorders>
          </w:tcPr>
          <w:p w14:paraId="0419A74A" w14:textId="77777777" w:rsidR="007701DC" w:rsidRPr="007701DC"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0.313</w:t>
            </w:r>
          </w:p>
        </w:tc>
      </w:tr>
      <w:tr w:rsidR="007701DC" w:rsidRPr="007701DC" w14:paraId="71068D85" w14:textId="77777777" w:rsidTr="007701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nil"/>
              <w:bottom w:val="nil"/>
            </w:tcBorders>
          </w:tcPr>
          <w:p w14:paraId="3D46AF4A" w14:textId="77777777" w:rsidR="007701DC" w:rsidRPr="00BA6F83" w:rsidRDefault="007701DC" w:rsidP="007701DC">
            <w:pPr>
              <w:rPr>
                <w:rFonts w:ascii="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3 (selected)</w:t>
            </w:r>
          </w:p>
        </w:tc>
        <w:tc>
          <w:tcPr>
            <w:tcW w:w="1080" w:type="dxa"/>
            <w:tcBorders>
              <w:top w:val="nil"/>
              <w:bottom w:val="nil"/>
            </w:tcBorders>
          </w:tcPr>
          <w:p w14:paraId="5BBF9148" w14:textId="77777777" w:rsidR="007701DC" w:rsidRPr="007701DC"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7701DC">
              <w:rPr>
                <w:rFonts w:ascii="Times New Roman" w:eastAsia="Times New Roman" w:hAnsi="Times New Roman" w:cs="Times New Roman"/>
                <w:color w:val="000000" w:themeColor="text1"/>
                <w:sz w:val="18"/>
                <w:szCs w:val="18"/>
              </w:rPr>
              <w:t>84</w:t>
            </w:r>
          </w:p>
        </w:tc>
        <w:tc>
          <w:tcPr>
            <w:tcW w:w="990" w:type="dxa"/>
            <w:tcBorders>
              <w:top w:val="nil"/>
              <w:bottom w:val="nil"/>
            </w:tcBorders>
          </w:tcPr>
          <w:p w14:paraId="5F356A78" w14:textId="77777777" w:rsidR="007701DC" w:rsidRPr="007701DC"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7701DC">
              <w:rPr>
                <w:rFonts w:ascii="Times New Roman" w:eastAsia="Times New Roman" w:hAnsi="Times New Roman" w:cs="Times New Roman"/>
                <w:color w:val="000000" w:themeColor="text1"/>
                <w:sz w:val="18"/>
                <w:szCs w:val="18"/>
              </w:rPr>
              <w:t>-19,676</w:t>
            </w:r>
          </w:p>
        </w:tc>
        <w:tc>
          <w:tcPr>
            <w:tcW w:w="990" w:type="dxa"/>
            <w:tcBorders>
              <w:top w:val="nil"/>
              <w:bottom w:val="nil"/>
            </w:tcBorders>
          </w:tcPr>
          <w:p w14:paraId="1F426C57" w14:textId="77777777" w:rsidR="007701DC" w:rsidRPr="007701DC"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7701DC">
              <w:rPr>
                <w:rFonts w:ascii="Times New Roman" w:eastAsia="Times New Roman" w:hAnsi="Times New Roman" w:cs="Times New Roman"/>
                <w:color w:val="000000" w:themeColor="text1"/>
                <w:sz w:val="18"/>
                <w:szCs w:val="18"/>
              </w:rPr>
              <w:t>-19,179</w:t>
            </w:r>
          </w:p>
        </w:tc>
        <w:tc>
          <w:tcPr>
            <w:tcW w:w="1081" w:type="dxa"/>
            <w:tcBorders>
              <w:top w:val="nil"/>
              <w:bottom w:val="nil"/>
            </w:tcBorders>
          </w:tcPr>
          <w:p w14:paraId="52430AEA" w14:textId="77777777" w:rsidR="007701DC" w:rsidRPr="007701DC"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0.375</w:t>
            </w:r>
          </w:p>
        </w:tc>
      </w:tr>
      <w:tr w:rsidR="007701DC" w:rsidRPr="007701DC" w14:paraId="7AFFB231" w14:textId="77777777" w:rsidTr="007701DC">
        <w:tc>
          <w:tcPr>
            <w:cnfStyle w:val="001000000000" w:firstRow="0" w:lastRow="0" w:firstColumn="1" w:lastColumn="0" w:oddVBand="0" w:evenVBand="0" w:oddHBand="0" w:evenHBand="0" w:firstRowFirstColumn="0" w:firstRowLastColumn="0" w:lastRowFirstColumn="0" w:lastRowLastColumn="0"/>
            <w:tcW w:w="2610" w:type="dxa"/>
            <w:tcBorders>
              <w:top w:val="nil"/>
              <w:bottom w:val="nil"/>
            </w:tcBorders>
          </w:tcPr>
          <w:p w14:paraId="23701158" w14:textId="77777777" w:rsidR="007701DC" w:rsidRPr="00BA6F83" w:rsidRDefault="007701DC" w:rsidP="007701DC">
            <w:pPr>
              <w:rPr>
                <w:rFonts w:ascii="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4</w:t>
            </w:r>
          </w:p>
        </w:tc>
        <w:tc>
          <w:tcPr>
            <w:tcW w:w="1080" w:type="dxa"/>
            <w:tcBorders>
              <w:top w:val="nil"/>
              <w:bottom w:val="nil"/>
            </w:tcBorders>
          </w:tcPr>
          <w:p w14:paraId="1D561159" w14:textId="77777777" w:rsidR="007701DC" w:rsidRPr="007701DC"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7701DC">
              <w:rPr>
                <w:rFonts w:ascii="Times New Roman" w:eastAsia="Times New Roman" w:hAnsi="Times New Roman" w:cs="Times New Roman"/>
                <w:color w:val="000000" w:themeColor="text1"/>
                <w:sz w:val="18"/>
                <w:szCs w:val="18"/>
              </w:rPr>
              <w:t>118</w:t>
            </w:r>
          </w:p>
        </w:tc>
        <w:tc>
          <w:tcPr>
            <w:tcW w:w="990" w:type="dxa"/>
            <w:tcBorders>
              <w:top w:val="nil"/>
              <w:bottom w:val="nil"/>
            </w:tcBorders>
          </w:tcPr>
          <w:p w14:paraId="09E4358A" w14:textId="77777777" w:rsidR="007701DC" w:rsidRPr="007701DC"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7701DC">
              <w:rPr>
                <w:rFonts w:ascii="Times New Roman" w:eastAsia="Times New Roman" w:hAnsi="Times New Roman" w:cs="Times New Roman"/>
                <w:color w:val="000000" w:themeColor="text1"/>
                <w:sz w:val="18"/>
                <w:szCs w:val="18"/>
              </w:rPr>
              <w:t>-19,283</w:t>
            </w:r>
          </w:p>
        </w:tc>
        <w:tc>
          <w:tcPr>
            <w:tcW w:w="990" w:type="dxa"/>
            <w:tcBorders>
              <w:top w:val="nil"/>
              <w:bottom w:val="nil"/>
            </w:tcBorders>
          </w:tcPr>
          <w:p w14:paraId="12E69713" w14:textId="77777777" w:rsidR="007701DC" w:rsidRPr="007701DC"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7701DC">
              <w:rPr>
                <w:rFonts w:ascii="Times New Roman" w:eastAsia="Times New Roman" w:hAnsi="Times New Roman" w:cs="Times New Roman"/>
                <w:color w:val="000000" w:themeColor="text1"/>
                <w:sz w:val="18"/>
                <w:szCs w:val="18"/>
              </w:rPr>
              <w:t>-18,585</w:t>
            </w:r>
          </w:p>
        </w:tc>
        <w:tc>
          <w:tcPr>
            <w:tcW w:w="1081" w:type="dxa"/>
            <w:tcBorders>
              <w:top w:val="nil"/>
              <w:bottom w:val="nil"/>
            </w:tcBorders>
          </w:tcPr>
          <w:p w14:paraId="333E6043" w14:textId="77777777" w:rsidR="007701DC" w:rsidRPr="007701DC"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0.397</w:t>
            </w:r>
          </w:p>
        </w:tc>
      </w:tr>
      <w:tr w:rsidR="007701DC" w:rsidRPr="007701DC" w14:paraId="1ECA4562" w14:textId="77777777" w:rsidTr="007701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1" w:type="dxa"/>
            <w:gridSpan w:val="5"/>
            <w:tcBorders>
              <w:top w:val="nil"/>
              <w:bottom w:val="nil"/>
            </w:tcBorders>
          </w:tcPr>
          <w:p w14:paraId="3E64096C" w14:textId="77777777" w:rsidR="007701DC" w:rsidRPr="00BA6F83" w:rsidRDefault="007701DC" w:rsidP="007701DC">
            <w:pPr>
              <w:spacing w:before="60"/>
              <w:rPr>
                <w:rFonts w:ascii="Times New Roman" w:hAnsi="Times New Roman" w:cs="Times New Roman"/>
                <w:b w:val="0"/>
                <w:i/>
                <w:color w:val="000000" w:themeColor="text1"/>
                <w:sz w:val="18"/>
                <w:szCs w:val="18"/>
                <w:u w:val="single"/>
              </w:rPr>
            </w:pPr>
            <w:r w:rsidRPr="00BA6F83">
              <w:rPr>
                <w:rFonts w:ascii="Times New Roman" w:eastAsia="Times New Roman" w:hAnsi="Times New Roman" w:cs="Times New Roman"/>
                <w:b w:val="0"/>
                <w:i/>
                <w:color w:val="000000" w:themeColor="text1"/>
                <w:sz w:val="18"/>
                <w:szCs w:val="18"/>
                <w:u w:val="single"/>
              </w:rPr>
              <w:t>Leading (ON and BC) Model</w:t>
            </w:r>
          </w:p>
        </w:tc>
      </w:tr>
      <w:tr w:rsidR="007701DC" w:rsidRPr="007701DC" w14:paraId="7B7C062E" w14:textId="77777777" w:rsidTr="007701DC">
        <w:tc>
          <w:tcPr>
            <w:cnfStyle w:val="001000000000" w:firstRow="0" w:lastRow="0" w:firstColumn="1" w:lastColumn="0" w:oddVBand="0" w:evenVBand="0" w:oddHBand="0" w:evenHBand="0" w:firstRowFirstColumn="0" w:firstRowLastColumn="0" w:lastRowFirstColumn="0" w:lastRowLastColumn="0"/>
            <w:tcW w:w="2610" w:type="dxa"/>
            <w:tcBorders>
              <w:top w:val="nil"/>
              <w:bottom w:val="nil"/>
            </w:tcBorders>
          </w:tcPr>
          <w:p w14:paraId="50D48F93" w14:textId="77777777" w:rsidR="007701DC" w:rsidRPr="00BA6F83" w:rsidRDefault="007701DC" w:rsidP="007701DC">
            <w:pPr>
              <w:rPr>
                <w:rFonts w:ascii="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3</w:t>
            </w:r>
          </w:p>
        </w:tc>
        <w:tc>
          <w:tcPr>
            <w:tcW w:w="1080" w:type="dxa"/>
            <w:tcBorders>
              <w:top w:val="nil"/>
              <w:bottom w:val="nil"/>
            </w:tcBorders>
          </w:tcPr>
          <w:p w14:paraId="0594E57B" w14:textId="77777777" w:rsidR="007701DC" w:rsidRPr="007701DC"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7701DC">
              <w:rPr>
                <w:rFonts w:ascii="Times New Roman" w:eastAsia="Times New Roman" w:hAnsi="Times New Roman" w:cs="Times New Roman"/>
                <w:color w:val="000000" w:themeColor="text1"/>
                <w:sz w:val="18"/>
                <w:szCs w:val="18"/>
              </w:rPr>
              <w:t>84</w:t>
            </w:r>
          </w:p>
        </w:tc>
        <w:tc>
          <w:tcPr>
            <w:tcW w:w="990" w:type="dxa"/>
            <w:tcBorders>
              <w:top w:val="nil"/>
              <w:bottom w:val="nil"/>
            </w:tcBorders>
          </w:tcPr>
          <w:p w14:paraId="3C344273" w14:textId="77777777" w:rsidR="007701DC" w:rsidRPr="007701DC"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7701DC">
              <w:rPr>
                <w:rFonts w:ascii="Times New Roman" w:eastAsia="Times New Roman" w:hAnsi="Times New Roman" w:cs="Times New Roman"/>
                <w:color w:val="000000" w:themeColor="text1"/>
                <w:sz w:val="18"/>
                <w:szCs w:val="18"/>
              </w:rPr>
              <w:t>-71,747</w:t>
            </w:r>
          </w:p>
        </w:tc>
        <w:tc>
          <w:tcPr>
            <w:tcW w:w="990" w:type="dxa"/>
            <w:tcBorders>
              <w:top w:val="nil"/>
              <w:bottom w:val="nil"/>
            </w:tcBorders>
          </w:tcPr>
          <w:p w14:paraId="3BE61A68" w14:textId="77777777" w:rsidR="007701DC" w:rsidRPr="007701DC"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7701DC">
              <w:rPr>
                <w:rFonts w:ascii="Times New Roman" w:eastAsia="Times New Roman" w:hAnsi="Times New Roman" w:cs="Times New Roman"/>
                <w:color w:val="000000" w:themeColor="text1"/>
                <w:sz w:val="18"/>
                <w:szCs w:val="18"/>
              </w:rPr>
              <w:t>-71,115</w:t>
            </w:r>
          </w:p>
        </w:tc>
        <w:tc>
          <w:tcPr>
            <w:tcW w:w="1081" w:type="dxa"/>
            <w:tcBorders>
              <w:top w:val="nil"/>
              <w:bottom w:val="nil"/>
            </w:tcBorders>
          </w:tcPr>
          <w:p w14:paraId="058FDF74" w14:textId="77777777" w:rsidR="007701DC" w:rsidRPr="007701DC"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0.319</w:t>
            </w:r>
          </w:p>
        </w:tc>
      </w:tr>
      <w:tr w:rsidR="007701DC" w:rsidRPr="007701DC" w14:paraId="7B1729AD" w14:textId="77777777" w:rsidTr="007701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nil"/>
              <w:bottom w:val="nil"/>
            </w:tcBorders>
          </w:tcPr>
          <w:p w14:paraId="600616E2" w14:textId="77777777" w:rsidR="007701DC" w:rsidRPr="00BA6F83" w:rsidRDefault="007701DC" w:rsidP="007701DC">
            <w:pPr>
              <w:rPr>
                <w:rFonts w:ascii="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4 (selected)</w:t>
            </w:r>
          </w:p>
        </w:tc>
        <w:tc>
          <w:tcPr>
            <w:tcW w:w="1080" w:type="dxa"/>
            <w:tcBorders>
              <w:top w:val="nil"/>
              <w:bottom w:val="nil"/>
            </w:tcBorders>
          </w:tcPr>
          <w:p w14:paraId="64A8C5D3" w14:textId="77777777" w:rsidR="007701DC" w:rsidRPr="007701DC"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7701DC">
              <w:rPr>
                <w:rFonts w:ascii="Times New Roman" w:eastAsia="Times New Roman" w:hAnsi="Times New Roman" w:cs="Times New Roman"/>
                <w:color w:val="000000" w:themeColor="text1"/>
                <w:sz w:val="18"/>
                <w:szCs w:val="18"/>
              </w:rPr>
              <w:t>118</w:t>
            </w:r>
          </w:p>
        </w:tc>
        <w:tc>
          <w:tcPr>
            <w:tcW w:w="990" w:type="dxa"/>
            <w:tcBorders>
              <w:top w:val="nil"/>
              <w:bottom w:val="nil"/>
            </w:tcBorders>
          </w:tcPr>
          <w:p w14:paraId="39BA14CE" w14:textId="77777777" w:rsidR="007701DC" w:rsidRPr="007701DC"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7701DC">
              <w:rPr>
                <w:rFonts w:ascii="Times New Roman" w:eastAsia="Times New Roman" w:hAnsi="Times New Roman" w:cs="Times New Roman"/>
                <w:color w:val="000000" w:themeColor="text1"/>
                <w:sz w:val="18"/>
                <w:szCs w:val="18"/>
              </w:rPr>
              <w:t>-68,184</w:t>
            </w:r>
          </w:p>
        </w:tc>
        <w:tc>
          <w:tcPr>
            <w:tcW w:w="990" w:type="dxa"/>
            <w:tcBorders>
              <w:top w:val="nil"/>
              <w:bottom w:val="nil"/>
            </w:tcBorders>
          </w:tcPr>
          <w:p w14:paraId="32BD04EB" w14:textId="77777777" w:rsidR="007701DC" w:rsidRPr="007701DC"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7701DC">
              <w:rPr>
                <w:rFonts w:ascii="Times New Roman" w:eastAsia="Times New Roman" w:hAnsi="Times New Roman" w:cs="Times New Roman"/>
                <w:color w:val="000000" w:themeColor="text1"/>
                <w:sz w:val="18"/>
                <w:szCs w:val="18"/>
              </w:rPr>
              <w:t>-67,254</w:t>
            </w:r>
          </w:p>
        </w:tc>
        <w:tc>
          <w:tcPr>
            <w:tcW w:w="1081" w:type="dxa"/>
            <w:tcBorders>
              <w:top w:val="nil"/>
              <w:bottom w:val="nil"/>
            </w:tcBorders>
          </w:tcPr>
          <w:p w14:paraId="18727C4C" w14:textId="77777777" w:rsidR="007701DC" w:rsidRPr="007701DC"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7701DC">
              <w:rPr>
                <w:rFonts w:ascii="Times New Roman" w:eastAsia="Times New Roman" w:hAnsi="Times New Roman" w:cs="Times New Roman"/>
                <w:color w:val="000000" w:themeColor="text1"/>
                <w:sz w:val="18"/>
                <w:szCs w:val="18"/>
              </w:rPr>
              <w:t>0.357</w:t>
            </w:r>
          </w:p>
        </w:tc>
      </w:tr>
      <w:tr w:rsidR="007701DC" w:rsidRPr="007701DC" w14:paraId="1C6911BA" w14:textId="77777777" w:rsidTr="007701DC">
        <w:tc>
          <w:tcPr>
            <w:cnfStyle w:val="001000000000" w:firstRow="0" w:lastRow="0" w:firstColumn="1" w:lastColumn="0" w:oddVBand="0" w:evenVBand="0" w:oddHBand="0" w:evenHBand="0" w:firstRowFirstColumn="0" w:firstRowLastColumn="0" w:lastRowFirstColumn="0" w:lastRowLastColumn="0"/>
            <w:tcW w:w="2610" w:type="dxa"/>
            <w:tcBorders>
              <w:top w:val="nil"/>
              <w:bottom w:val="single" w:sz="4" w:space="0" w:color="auto"/>
            </w:tcBorders>
          </w:tcPr>
          <w:p w14:paraId="42A6C949" w14:textId="77777777" w:rsidR="007701DC" w:rsidRPr="00BA6F83" w:rsidRDefault="007701DC" w:rsidP="007701DC">
            <w:pPr>
              <w:spacing w:after="60"/>
              <w:rPr>
                <w:rFonts w:ascii="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5</w:t>
            </w:r>
          </w:p>
        </w:tc>
        <w:tc>
          <w:tcPr>
            <w:tcW w:w="1080" w:type="dxa"/>
            <w:tcBorders>
              <w:top w:val="nil"/>
              <w:bottom w:val="single" w:sz="4" w:space="0" w:color="auto"/>
            </w:tcBorders>
          </w:tcPr>
          <w:p w14:paraId="1384BDAE" w14:textId="77777777" w:rsidR="007701DC" w:rsidRPr="007701DC" w:rsidRDefault="007701DC" w:rsidP="007701DC">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7701DC">
              <w:rPr>
                <w:rFonts w:ascii="Times New Roman" w:eastAsia="Times New Roman" w:hAnsi="Times New Roman" w:cs="Times New Roman"/>
                <w:color w:val="000000" w:themeColor="text1"/>
                <w:sz w:val="18"/>
                <w:szCs w:val="18"/>
              </w:rPr>
              <w:t>152</w:t>
            </w:r>
          </w:p>
        </w:tc>
        <w:tc>
          <w:tcPr>
            <w:tcW w:w="990" w:type="dxa"/>
            <w:tcBorders>
              <w:top w:val="nil"/>
              <w:bottom w:val="single" w:sz="4" w:space="0" w:color="auto"/>
            </w:tcBorders>
          </w:tcPr>
          <w:p w14:paraId="666D6C9D" w14:textId="77777777" w:rsidR="007701DC" w:rsidRPr="007701DC" w:rsidRDefault="007701DC" w:rsidP="007701DC">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7701DC">
              <w:rPr>
                <w:rFonts w:ascii="Times New Roman" w:eastAsia="Times New Roman" w:hAnsi="Times New Roman" w:cs="Times New Roman"/>
                <w:color w:val="000000" w:themeColor="text1"/>
                <w:sz w:val="18"/>
                <w:szCs w:val="18"/>
              </w:rPr>
              <w:t>-66,708</w:t>
            </w:r>
          </w:p>
        </w:tc>
        <w:tc>
          <w:tcPr>
            <w:tcW w:w="990" w:type="dxa"/>
            <w:tcBorders>
              <w:top w:val="nil"/>
              <w:bottom w:val="single" w:sz="4" w:space="0" w:color="auto"/>
            </w:tcBorders>
          </w:tcPr>
          <w:p w14:paraId="0EECA9EA" w14:textId="77777777" w:rsidR="007701DC" w:rsidRPr="007701DC" w:rsidRDefault="007701DC" w:rsidP="007701DC">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7701DC">
              <w:rPr>
                <w:rFonts w:ascii="Times New Roman" w:eastAsia="Times New Roman" w:hAnsi="Times New Roman" w:cs="Times New Roman"/>
                <w:color w:val="000000" w:themeColor="text1"/>
                <w:sz w:val="18"/>
                <w:szCs w:val="18"/>
              </w:rPr>
              <w:t>-65,513</w:t>
            </w:r>
          </w:p>
        </w:tc>
        <w:tc>
          <w:tcPr>
            <w:tcW w:w="1081" w:type="dxa"/>
            <w:tcBorders>
              <w:top w:val="nil"/>
              <w:bottom w:val="single" w:sz="4" w:space="0" w:color="auto"/>
            </w:tcBorders>
          </w:tcPr>
          <w:p w14:paraId="283F388C" w14:textId="77777777" w:rsidR="007701DC" w:rsidRPr="007701DC" w:rsidRDefault="007701DC" w:rsidP="007701DC">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7701DC">
              <w:rPr>
                <w:rFonts w:ascii="Times New Roman" w:hAnsi="Times New Roman" w:cs="Times New Roman"/>
                <w:color w:val="000000" w:themeColor="text1"/>
                <w:sz w:val="18"/>
                <w:szCs w:val="18"/>
              </w:rPr>
              <w:t>0.374</w:t>
            </w:r>
          </w:p>
        </w:tc>
      </w:tr>
      <w:tr w:rsidR="007701DC" w:rsidRPr="007701DC" w14:paraId="0FF0E3C8" w14:textId="77777777" w:rsidTr="007701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1" w:type="dxa"/>
            <w:gridSpan w:val="5"/>
            <w:tcBorders>
              <w:top w:val="single" w:sz="4" w:space="0" w:color="auto"/>
              <w:bottom w:val="nil"/>
            </w:tcBorders>
          </w:tcPr>
          <w:p w14:paraId="05D9CF43" w14:textId="77777777" w:rsidR="007701DC" w:rsidRPr="00BA6F83" w:rsidRDefault="007701DC" w:rsidP="007701DC">
            <w:pPr>
              <w:spacing w:before="60"/>
              <w:rPr>
                <w:rFonts w:ascii="Times New Roman" w:hAnsi="Times New Roman" w:cs="Times New Roman"/>
                <w:b w:val="0"/>
                <w:color w:val="000000" w:themeColor="text1"/>
                <w:sz w:val="16"/>
                <w:szCs w:val="16"/>
              </w:rPr>
            </w:pPr>
            <w:r w:rsidRPr="00BA6F83">
              <w:rPr>
                <w:rFonts w:ascii="Times New Roman" w:hAnsi="Times New Roman" w:cs="Times New Roman"/>
                <w:b w:val="0"/>
                <w:color w:val="000000" w:themeColor="text1"/>
                <w:sz w:val="16"/>
                <w:szCs w:val="16"/>
              </w:rPr>
              <w:t>AIC = Akaike Information Criterion; BIC = Bayesian Information Criterion.</w:t>
            </w:r>
          </w:p>
        </w:tc>
      </w:tr>
    </w:tbl>
    <w:p w14:paraId="08DEF500" w14:textId="77777777" w:rsidR="003C3597" w:rsidRPr="0014385C" w:rsidRDefault="003C3597" w:rsidP="00E1100F">
      <w:pPr>
        <w:pStyle w:val="Heading2"/>
        <w:numPr>
          <w:ilvl w:val="1"/>
          <w:numId w:val="11"/>
        </w:numPr>
        <w:rPr>
          <w:rFonts w:ascii="Times New Roman" w:hAnsi="Times New Roman"/>
          <w:bCs/>
          <w:color w:val="000000"/>
        </w:rPr>
      </w:pPr>
      <w:bookmarkStart w:id="68" w:name="_Toc528650877"/>
      <w:r w:rsidRPr="0014385C">
        <w:rPr>
          <w:rFonts w:ascii="Times New Roman" w:hAnsi="Times New Roman"/>
          <w:bCs/>
          <w:color w:val="000000"/>
        </w:rPr>
        <w:t>Results</w:t>
      </w:r>
      <w:bookmarkEnd w:id="68"/>
    </w:p>
    <w:p w14:paraId="6C69B466" w14:textId="77777777" w:rsidR="003C3597" w:rsidRPr="007701DC" w:rsidRDefault="003C3597" w:rsidP="00E1100F">
      <w:pPr>
        <w:pStyle w:val="ListParagraph"/>
        <w:numPr>
          <w:ilvl w:val="2"/>
          <w:numId w:val="11"/>
        </w:numPr>
        <w:outlineLvl w:val="2"/>
        <w:rPr>
          <w:rFonts w:ascii="Times New Roman" w:hAnsi="Times New Roman" w:cs="Times New Roman"/>
          <w:b/>
          <w:color w:val="000000"/>
        </w:rPr>
      </w:pPr>
      <w:bookmarkStart w:id="69" w:name="_Toc528650878"/>
      <w:r w:rsidRPr="007701DC">
        <w:rPr>
          <w:rFonts w:ascii="Times New Roman" w:hAnsi="Times New Roman" w:cs="Times New Roman"/>
          <w:b/>
          <w:color w:val="000000"/>
        </w:rPr>
        <w:t>Descriptive Statistics</w:t>
      </w:r>
      <w:bookmarkEnd w:id="69"/>
    </w:p>
    <w:p w14:paraId="7E81A1A6" w14:textId="1D7906DB" w:rsidR="00E349C8"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The respondent-specific variables used in the latent class model and their descriptive statistics are found in Table </w:t>
      </w:r>
      <w:r w:rsidR="00B957FF">
        <w:rPr>
          <w:rFonts w:ascii="Times New Roman" w:hAnsi="Times New Roman" w:cs="Times New Roman"/>
          <w:color w:val="000000"/>
        </w:rPr>
        <w:t>3.</w:t>
      </w:r>
      <w:r w:rsidRPr="003C3597">
        <w:rPr>
          <w:rFonts w:ascii="Times New Roman" w:hAnsi="Times New Roman" w:cs="Times New Roman"/>
          <w:color w:val="000000"/>
        </w:rPr>
        <w:t xml:space="preserve">6. Participants were also asked to choose the vehicle they would next purchase with regard to size. Figure </w:t>
      </w:r>
      <w:r w:rsidR="00B957FF">
        <w:rPr>
          <w:rFonts w:ascii="Times New Roman" w:hAnsi="Times New Roman" w:cs="Times New Roman"/>
          <w:color w:val="000000"/>
        </w:rPr>
        <w:t>3.</w:t>
      </w:r>
      <w:r w:rsidRPr="003C3597">
        <w:rPr>
          <w:rFonts w:ascii="Times New Roman" w:hAnsi="Times New Roman" w:cs="Times New Roman"/>
          <w:color w:val="000000"/>
        </w:rPr>
        <w:t xml:space="preserve">2 shows the preferred vehicle sizes in all Atlantic and leading </w:t>
      </w:r>
      <w:r w:rsidRPr="003C3597">
        <w:rPr>
          <w:rFonts w:ascii="Times New Roman" w:hAnsi="Times New Roman" w:cs="Times New Roman"/>
          <w:color w:val="000000"/>
        </w:rPr>
        <w:lastRenderedPageBreak/>
        <w:t>provinces. In Newfoundland and Labrador, there is a greater proportion for larger vehicles (i.e., SUVs, vans, and pickup trucks) and lower demand for fuel-efficient vehicles. This trend is reversed in Nova Scotia where close to half of its respondents chose an economy or intermediate size vehicle. Luxury or full sedan is relatively more popular in Ontario.</w:t>
      </w:r>
    </w:p>
    <w:p w14:paraId="4E234ED2" w14:textId="77777777" w:rsidR="007701DC" w:rsidRPr="00555F82" w:rsidRDefault="00555F82" w:rsidP="00555F82">
      <w:pPr>
        <w:pStyle w:val="Caption"/>
        <w:ind w:firstLine="0"/>
        <w:rPr>
          <w:rFonts w:ascii="Times New Roman" w:hAnsi="Times New Roman" w:cs="Times New Roman"/>
          <w:i w:val="0"/>
          <w:iCs w:val="0"/>
          <w:color w:val="000000"/>
          <w:sz w:val="24"/>
          <w:szCs w:val="24"/>
        </w:rPr>
      </w:pPr>
      <w:bookmarkStart w:id="70" w:name="_Toc528649799"/>
      <w:r>
        <w:rPr>
          <w:rFonts w:ascii="Times New Roman" w:hAnsi="Times New Roman" w:cs="Times New Roman"/>
          <w:i w:val="0"/>
          <w:iCs w:val="0"/>
          <w:color w:val="000000"/>
          <w:sz w:val="24"/>
          <w:szCs w:val="24"/>
        </w:rPr>
        <w:t>Table 3.</w:t>
      </w:r>
      <w:r w:rsidRPr="00555F82">
        <w:rPr>
          <w:rFonts w:ascii="Times New Roman" w:hAnsi="Times New Roman" w:cs="Times New Roman"/>
          <w:i w:val="0"/>
          <w:iCs w:val="0"/>
          <w:color w:val="000000"/>
          <w:sz w:val="24"/>
          <w:szCs w:val="24"/>
        </w:rPr>
        <w:fldChar w:fldCharType="begin"/>
      </w:r>
      <w:r w:rsidRPr="00555F82">
        <w:rPr>
          <w:rFonts w:ascii="Times New Roman" w:hAnsi="Times New Roman" w:cs="Times New Roman"/>
          <w:i w:val="0"/>
          <w:iCs w:val="0"/>
          <w:color w:val="000000"/>
          <w:sz w:val="24"/>
          <w:szCs w:val="24"/>
        </w:rPr>
        <w:instrText xml:space="preserve"> SEQ Table_3. \* ARABIC </w:instrText>
      </w:r>
      <w:r w:rsidRPr="00555F82">
        <w:rPr>
          <w:rFonts w:ascii="Times New Roman" w:hAnsi="Times New Roman" w:cs="Times New Roman"/>
          <w:i w:val="0"/>
          <w:iCs w:val="0"/>
          <w:color w:val="000000"/>
          <w:sz w:val="24"/>
          <w:szCs w:val="24"/>
        </w:rPr>
        <w:fldChar w:fldCharType="separate"/>
      </w:r>
      <w:r w:rsidR="00BC70AE">
        <w:rPr>
          <w:rFonts w:ascii="Times New Roman" w:hAnsi="Times New Roman" w:cs="Times New Roman"/>
          <w:i w:val="0"/>
          <w:iCs w:val="0"/>
          <w:noProof/>
          <w:color w:val="000000"/>
          <w:sz w:val="24"/>
          <w:szCs w:val="24"/>
        </w:rPr>
        <w:t>6</w:t>
      </w:r>
      <w:r w:rsidRPr="00555F82">
        <w:rPr>
          <w:rFonts w:ascii="Times New Roman" w:hAnsi="Times New Roman" w:cs="Times New Roman"/>
          <w:i w:val="0"/>
          <w:iCs w:val="0"/>
          <w:color w:val="000000"/>
          <w:sz w:val="24"/>
          <w:szCs w:val="24"/>
        </w:rPr>
        <w:fldChar w:fldCharType="end"/>
      </w:r>
      <w:r>
        <w:rPr>
          <w:rFonts w:ascii="Times New Roman" w:hAnsi="Times New Roman" w:cs="Times New Roman"/>
          <w:i w:val="0"/>
          <w:iCs w:val="0"/>
          <w:color w:val="000000"/>
          <w:sz w:val="24"/>
          <w:szCs w:val="24"/>
        </w:rPr>
        <w:t xml:space="preserve"> </w:t>
      </w:r>
      <w:r w:rsidR="007701DC" w:rsidRPr="00555F82">
        <w:rPr>
          <w:rFonts w:ascii="Times New Roman" w:hAnsi="Times New Roman" w:cs="Times New Roman"/>
          <w:i w:val="0"/>
          <w:iCs w:val="0"/>
          <w:color w:val="000000"/>
          <w:sz w:val="24"/>
          <w:szCs w:val="24"/>
        </w:rPr>
        <w:t>Variable definitions and statistics</w:t>
      </w:r>
      <w:bookmarkEnd w:id="70"/>
    </w:p>
    <w:tbl>
      <w:tblPr>
        <w:tblStyle w:val="PlainTable24"/>
        <w:tblW w:w="8581" w:type="dxa"/>
        <w:tblLayout w:type="fixed"/>
        <w:tblLook w:val="04A0" w:firstRow="1" w:lastRow="0" w:firstColumn="1" w:lastColumn="0" w:noHBand="0" w:noVBand="1"/>
      </w:tblPr>
      <w:tblGrid>
        <w:gridCol w:w="1457"/>
        <w:gridCol w:w="4708"/>
        <w:gridCol w:w="1287"/>
        <w:gridCol w:w="1129"/>
      </w:tblGrid>
      <w:tr w:rsidR="007701DC" w:rsidRPr="007701DC" w14:paraId="55769C10" w14:textId="77777777" w:rsidTr="00E349C8">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457" w:type="dxa"/>
            <w:tcBorders>
              <w:bottom w:val="none" w:sz="0" w:space="0" w:color="auto"/>
            </w:tcBorders>
            <w:vAlign w:val="center"/>
          </w:tcPr>
          <w:p w14:paraId="3B93AF52" w14:textId="77777777" w:rsidR="007701DC" w:rsidRPr="00BA6F83" w:rsidRDefault="007701DC" w:rsidP="007701DC">
            <w:pPr>
              <w:spacing w:before="60" w:after="60"/>
              <w:rPr>
                <w:rFonts w:ascii="Times New Roman" w:eastAsia="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Variable</w:t>
            </w:r>
          </w:p>
        </w:tc>
        <w:tc>
          <w:tcPr>
            <w:tcW w:w="4708" w:type="dxa"/>
            <w:tcBorders>
              <w:bottom w:val="none" w:sz="0" w:space="0" w:color="auto"/>
            </w:tcBorders>
            <w:vAlign w:val="center"/>
          </w:tcPr>
          <w:p w14:paraId="2BB9BF3F" w14:textId="77777777" w:rsidR="007701DC" w:rsidRPr="00BA6F83" w:rsidRDefault="007701DC" w:rsidP="007701DC">
            <w:pPr>
              <w:spacing w:before="60" w:after="6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Definition</w:t>
            </w:r>
          </w:p>
        </w:tc>
        <w:tc>
          <w:tcPr>
            <w:tcW w:w="1287" w:type="dxa"/>
            <w:tcBorders>
              <w:bottom w:val="none" w:sz="0" w:space="0" w:color="auto"/>
            </w:tcBorders>
            <w:vAlign w:val="center"/>
          </w:tcPr>
          <w:p w14:paraId="0FEAA14A" w14:textId="77777777" w:rsidR="007701DC" w:rsidRPr="00BA6F83" w:rsidRDefault="007701DC" w:rsidP="007701D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Atlantic Canada (%)</w:t>
            </w:r>
          </w:p>
        </w:tc>
        <w:tc>
          <w:tcPr>
            <w:tcW w:w="1129" w:type="dxa"/>
            <w:tcBorders>
              <w:bottom w:val="none" w:sz="0" w:space="0" w:color="auto"/>
            </w:tcBorders>
            <w:vAlign w:val="center"/>
          </w:tcPr>
          <w:p w14:paraId="373A5FB6" w14:textId="77777777" w:rsidR="007701DC" w:rsidRPr="00BA6F83" w:rsidRDefault="007701DC" w:rsidP="007701D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ON and BC (%)</w:t>
            </w:r>
          </w:p>
        </w:tc>
      </w:tr>
      <w:tr w:rsidR="007701DC" w:rsidRPr="007701DC" w14:paraId="0EA2B26F" w14:textId="77777777" w:rsidTr="00E349C8">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457" w:type="dxa"/>
            <w:tcBorders>
              <w:top w:val="none" w:sz="0" w:space="0" w:color="auto"/>
              <w:bottom w:val="nil"/>
            </w:tcBorders>
          </w:tcPr>
          <w:p w14:paraId="424DEE93" w14:textId="77777777" w:rsidR="007701DC" w:rsidRPr="00BA6F83" w:rsidRDefault="007701DC" w:rsidP="007701DC">
            <w:pPr>
              <w:spacing w:before="60"/>
              <w:rPr>
                <w:rFonts w:ascii="Times New Roman" w:eastAsia="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Age &lt; 45</w:t>
            </w:r>
          </w:p>
        </w:tc>
        <w:tc>
          <w:tcPr>
            <w:tcW w:w="4708" w:type="dxa"/>
            <w:tcBorders>
              <w:top w:val="none" w:sz="0" w:space="0" w:color="auto"/>
              <w:bottom w:val="nil"/>
            </w:tcBorders>
          </w:tcPr>
          <w:p w14:paraId="42C6524C" w14:textId="65F5E8F8" w:rsidR="007701DC" w:rsidRPr="00BA6F83" w:rsidRDefault="007701DC" w:rsidP="000D6C5D">
            <w:pPr>
              <w:spacing w:before="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 xml:space="preserve">1 if householder is </w:t>
            </w:r>
            <w:r w:rsidR="000D6C5D">
              <w:rPr>
                <w:rFonts w:ascii="Times New Roman" w:eastAsia="Times New Roman" w:hAnsi="Times New Roman" w:cs="Times New Roman"/>
                <w:color w:val="000000" w:themeColor="text1"/>
                <w:sz w:val="18"/>
                <w:szCs w:val="18"/>
              </w:rPr>
              <w:t>&lt;</w:t>
            </w:r>
            <w:r w:rsidRPr="00BA6F83">
              <w:rPr>
                <w:rFonts w:ascii="Times New Roman" w:eastAsia="Times New Roman" w:hAnsi="Times New Roman" w:cs="Times New Roman"/>
                <w:color w:val="000000" w:themeColor="text1"/>
                <w:sz w:val="18"/>
                <w:szCs w:val="18"/>
              </w:rPr>
              <w:t xml:space="preserve"> 45 years old; 0 otherwise</w:t>
            </w:r>
          </w:p>
        </w:tc>
        <w:tc>
          <w:tcPr>
            <w:tcW w:w="1287" w:type="dxa"/>
            <w:tcBorders>
              <w:top w:val="none" w:sz="0" w:space="0" w:color="auto"/>
              <w:bottom w:val="nil"/>
            </w:tcBorders>
          </w:tcPr>
          <w:p w14:paraId="4D4FFFBB" w14:textId="77777777" w:rsidR="007701DC" w:rsidRPr="00BA6F83" w:rsidRDefault="007701DC" w:rsidP="007701DC">
            <w:pPr>
              <w:spacing w:before="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36</w:t>
            </w:r>
          </w:p>
        </w:tc>
        <w:tc>
          <w:tcPr>
            <w:tcW w:w="1129" w:type="dxa"/>
            <w:tcBorders>
              <w:top w:val="none" w:sz="0" w:space="0" w:color="auto"/>
              <w:bottom w:val="nil"/>
            </w:tcBorders>
          </w:tcPr>
          <w:p w14:paraId="111285C6" w14:textId="77777777" w:rsidR="007701DC" w:rsidRPr="00BA6F83" w:rsidRDefault="007701DC" w:rsidP="007701DC">
            <w:pPr>
              <w:spacing w:before="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36</w:t>
            </w:r>
          </w:p>
        </w:tc>
      </w:tr>
      <w:tr w:rsidR="007701DC" w:rsidRPr="007701DC" w14:paraId="54FEB3C2" w14:textId="77777777" w:rsidTr="00E349C8">
        <w:trPr>
          <w:trHeight w:val="220"/>
        </w:trPr>
        <w:tc>
          <w:tcPr>
            <w:cnfStyle w:val="001000000000" w:firstRow="0" w:lastRow="0" w:firstColumn="1" w:lastColumn="0" w:oddVBand="0" w:evenVBand="0" w:oddHBand="0" w:evenHBand="0" w:firstRowFirstColumn="0" w:firstRowLastColumn="0" w:lastRowFirstColumn="0" w:lastRowLastColumn="0"/>
            <w:tcW w:w="1457" w:type="dxa"/>
            <w:tcBorders>
              <w:top w:val="nil"/>
              <w:bottom w:val="nil"/>
            </w:tcBorders>
          </w:tcPr>
          <w:p w14:paraId="12A3F3F7" w14:textId="77777777" w:rsidR="007701DC" w:rsidRPr="00BA6F83" w:rsidRDefault="007701DC" w:rsidP="007701DC">
            <w:pPr>
              <w:rPr>
                <w:rFonts w:ascii="Times New Roman" w:eastAsia="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Female householder</w:t>
            </w:r>
          </w:p>
        </w:tc>
        <w:tc>
          <w:tcPr>
            <w:tcW w:w="4708" w:type="dxa"/>
            <w:tcBorders>
              <w:top w:val="nil"/>
              <w:bottom w:val="nil"/>
            </w:tcBorders>
          </w:tcPr>
          <w:p w14:paraId="36D30194" w14:textId="77777777" w:rsidR="007701DC" w:rsidRPr="00BA6F83" w:rsidRDefault="007701DC" w:rsidP="007701D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1 if householder is female; 0 otherwise</w:t>
            </w:r>
          </w:p>
        </w:tc>
        <w:tc>
          <w:tcPr>
            <w:tcW w:w="1287" w:type="dxa"/>
            <w:tcBorders>
              <w:top w:val="nil"/>
              <w:bottom w:val="nil"/>
            </w:tcBorders>
          </w:tcPr>
          <w:p w14:paraId="57F0631B"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58</w:t>
            </w:r>
          </w:p>
        </w:tc>
        <w:tc>
          <w:tcPr>
            <w:tcW w:w="1129" w:type="dxa"/>
            <w:tcBorders>
              <w:top w:val="nil"/>
              <w:bottom w:val="nil"/>
            </w:tcBorders>
          </w:tcPr>
          <w:p w14:paraId="3C16E291"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54</w:t>
            </w:r>
          </w:p>
        </w:tc>
      </w:tr>
      <w:tr w:rsidR="007701DC" w:rsidRPr="007701DC" w14:paraId="02FAC0AA" w14:textId="77777777" w:rsidTr="00E349C8">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457" w:type="dxa"/>
            <w:tcBorders>
              <w:top w:val="nil"/>
              <w:bottom w:val="nil"/>
            </w:tcBorders>
          </w:tcPr>
          <w:p w14:paraId="4A430692" w14:textId="77777777" w:rsidR="007701DC" w:rsidRPr="00BA6F83" w:rsidRDefault="007701DC" w:rsidP="007701DC">
            <w:pPr>
              <w:rPr>
                <w:rFonts w:ascii="Times New Roman" w:eastAsia="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University degree</w:t>
            </w:r>
          </w:p>
        </w:tc>
        <w:tc>
          <w:tcPr>
            <w:tcW w:w="4708" w:type="dxa"/>
            <w:tcBorders>
              <w:top w:val="nil"/>
              <w:bottom w:val="nil"/>
            </w:tcBorders>
          </w:tcPr>
          <w:p w14:paraId="085FFADD" w14:textId="77777777" w:rsidR="007701DC" w:rsidRPr="00BA6F83" w:rsidRDefault="007701DC" w:rsidP="007701D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1 if householder has achieved a university degree; 0 otherwise</w:t>
            </w:r>
          </w:p>
        </w:tc>
        <w:tc>
          <w:tcPr>
            <w:tcW w:w="1287" w:type="dxa"/>
            <w:tcBorders>
              <w:top w:val="nil"/>
              <w:bottom w:val="nil"/>
            </w:tcBorders>
          </w:tcPr>
          <w:p w14:paraId="6527B25F"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70</w:t>
            </w:r>
          </w:p>
        </w:tc>
        <w:tc>
          <w:tcPr>
            <w:tcW w:w="1129" w:type="dxa"/>
            <w:tcBorders>
              <w:top w:val="nil"/>
              <w:bottom w:val="nil"/>
            </w:tcBorders>
          </w:tcPr>
          <w:p w14:paraId="3EF2C84B"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73</w:t>
            </w:r>
          </w:p>
        </w:tc>
      </w:tr>
      <w:tr w:rsidR="007701DC" w:rsidRPr="007701DC" w14:paraId="699B7DD7" w14:textId="77777777" w:rsidTr="00E349C8">
        <w:trPr>
          <w:trHeight w:val="220"/>
        </w:trPr>
        <w:tc>
          <w:tcPr>
            <w:cnfStyle w:val="001000000000" w:firstRow="0" w:lastRow="0" w:firstColumn="1" w:lastColumn="0" w:oddVBand="0" w:evenVBand="0" w:oddHBand="0" w:evenHBand="0" w:firstRowFirstColumn="0" w:firstRowLastColumn="0" w:lastRowFirstColumn="0" w:lastRowLastColumn="0"/>
            <w:tcW w:w="1457" w:type="dxa"/>
            <w:tcBorders>
              <w:top w:val="nil"/>
              <w:bottom w:val="nil"/>
            </w:tcBorders>
          </w:tcPr>
          <w:p w14:paraId="68BDDDF2" w14:textId="77777777" w:rsidR="007701DC" w:rsidRPr="00BA6F83" w:rsidRDefault="007701DC" w:rsidP="007701DC">
            <w:pPr>
              <w:rPr>
                <w:rFonts w:ascii="Times New Roman" w:eastAsia="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Multicar household</w:t>
            </w:r>
          </w:p>
        </w:tc>
        <w:tc>
          <w:tcPr>
            <w:tcW w:w="4708" w:type="dxa"/>
            <w:tcBorders>
              <w:top w:val="nil"/>
              <w:bottom w:val="nil"/>
            </w:tcBorders>
          </w:tcPr>
          <w:p w14:paraId="56F882DA" w14:textId="77777777" w:rsidR="007701DC" w:rsidRPr="00BA6F83" w:rsidRDefault="007701DC" w:rsidP="007701D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1 if household owns at least two cars; 0 otherwise</w:t>
            </w:r>
          </w:p>
        </w:tc>
        <w:tc>
          <w:tcPr>
            <w:tcW w:w="1287" w:type="dxa"/>
            <w:tcBorders>
              <w:top w:val="nil"/>
              <w:bottom w:val="nil"/>
            </w:tcBorders>
          </w:tcPr>
          <w:p w14:paraId="16C0D24B"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53</w:t>
            </w:r>
          </w:p>
        </w:tc>
        <w:tc>
          <w:tcPr>
            <w:tcW w:w="1129" w:type="dxa"/>
            <w:tcBorders>
              <w:top w:val="nil"/>
              <w:bottom w:val="nil"/>
            </w:tcBorders>
          </w:tcPr>
          <w:p w14:paraId="7E504CB3"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49</w:t>
            </w:r>
          </w:p>
        </w:tc>
      </w:tr>
      <w:tr w:rsidR="007701DC" w:rsidRPr="007701DC" w14:paraId="1031E81F" w14:textId="77777777" w:rsidTr="00E349C8">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457" w:type="dxa"/>
            <w:tcBorders>
              <w:top w:val="nil"/>
              <w:bottom w:val="nil"/>
            </w:tcBorders>
          </w:tcPr>
          <w:p w14:paraId="0D37830A" w14:textId="77777777" w:rsidR="007701DC" w:rsidRPr="00BA6F83" w:rsidRDefault="007701DC" w:rsidP="007701DC">
            <w:pPr>
              <w:rPr>
                <w:rFonts w:ascii="Times New Roman" w:eastAsia="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Homeowner</w:t>
            </w:r>
          </w:p>
        </w:tc>
        <w:tc>
          <w:tcPr>
            <w:tcW w:w="4708" w:type="dxa"/>
            <w:tcBorders>
              <w:top w:val="nil"/>
              <w:bottom w:val="nil"/>
            </w:tcBorders>
          </w:tcPr>
          <w:p w14:paraId="25AAD99F" w14:textId="77777777" w:rsidR="007701DC" w:rsidRPr="00BA6F83" w:rsidRDefault="007701DC" w:rsidP="007701D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1 if household is owns its home; 0 otherwise</w:t>
            </w:r>
          </w:p>
        </w:tc>
        <w:tc>
          <w:tcPr>
            <w:tcW w:w="1287" w:type="dxa"/>
            <w:tcBorders>
              <w:top w:val="nil"/>
              <w:bottom w:val="nil"/>
            </w:tcBorders>
          </w:tcPr>
          <w:p w14:paraId="266B6B13"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80</w:t>
            </w:r>
          </w:p>
        </w:tc>
        <w:tc>
          <w:tcPr>
            <w:tcW w:w="1129" w:type="dxa"/>
            <w:tcBorders>
              <w:top w:val="nil"/>
              <w:bottom w:val="nil"/>
            </w:tcBorders>
          </w:tcPr>
          <w:p w14:paraId="01F7883B"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78</w:t>
            </w:r>
          </w:p>
        </w:tc>
      </w:tr>
      <w:tr w:rsidR="007701DC" w:rsidRPr="007701DC" w14:paraId="08597E96" w14:textId="77777777" w:rsidTr="00E349C8">
        <w:trPr>
          <w:trHeight w:val="424"/>
        </w:trPr>
        <w:tc>
          <w:tcPr>
            <w:cnfStyle w:val="001000000000" w:firstRow="0" w:lastRow="0" w:firstColumn="1" w:lastColumn="0" w:oddVBand="0" w:evenVBand="0" w:oddHBand="0" w:evenHBand="0" w:firstRowFirstColumn="0" w:firstRowLastColumn="0" w:lastRowFirstColumn="0" w:lastRowLastColumn="0"/>
            <w:tcW w:w="1457" w:type="dxa"/>
            <w:tcBorders>
              <w:top w:val="nil"/>
              <w:bottom w:val="nil"/>
            </w:tcBorders>
          </w:tcPr>
          <w:p w14:paraId="65A2B8F1" w14:textId="77777777" w:rsidR="007701DC" w:rsidRPr="00BA6F83" w:rsidRDefault="007701DC" w:rsidP="007701DC">
            <w:pPr>
              <w:rPr>
                <w:rFonts w:ascii="Times New Roman" w:eastAsia="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Economy size</w:t>
            </w:r>
          </w:p>
        </w:tc>
        <w:tc>
          <w:tcPr>
            <w:tcW w:w="4708" w:type="dxa"/>
            <w:tcBorders>
              <w:top w:val="nil"/>
              <w:bottom w:val="nil"/>
            </w:tcBorders>
          </w:tcPr>
          <w:p w14:paraId="2E9DD190" w14:textId="77777777" w:rsidR="007701DC" w:rsidRPr="00BA6F83" w:rsidRDefault="007701DC" w:rsidP="007701D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1 if household’s next vehicle purchase is an economy size vehicle; 0 otherwise</w:t>
            </w:r>
          </w:p>
        </w:tc>
        <w:tc>
          <w:tcPr>
            <w:tcW w:w="1287" w:type="dxa"/>
            <w:tcBorders>
              <w:top w:val="nil"/>
              <w:bottom w:val="nil"/>
            </w:tcBorders>
          </w:tcPr>
          <w:p w14:paraId="777D5D3F"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17</w:t>
            </w:r>
          </w:p>
        </w:tc>
        <w:tc>
          <w:tcPr>
            <w:tcW w:w="1129" w:type="dxa"/>
            <w:tcBorders>
              <w:top w:val="nil"/>
              <w:bottom w:val="nil"/>
            </w:tcBorders>
          </w:tcPr>
          <w:p w14:paraId="1F6F3539"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18</w:t>
            </w:r>
          </w:p>
        </w:tc>
      </w:tr>
      <w:tr w:rsidR="007701DC" w:rsidRPr="007701DC" w14:paraId="5DA38A27" w14:textId="77777777" w:rsidTr="00E349C8">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457" w:type="dxa"/>
            <w:tcBorders>
              <w:top w:val="nil"/>
              <w:bottom w:val="nil"/>
            </w:tcBorders>
          </w:tcPr>
          <w:p w14:paraId="6C5A00C7" w14:textId="77777777" w:rsidR="007701DC" w:rsidRPr="00BA6F83" w:rsidRDefault="007701DC" w:rsidP="007701DC">
            <w:pPr>
              <w:rPr>
                <w:rFonts w:ascii="Times New Roman" w:eastAsia="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Keeping vehicle &lt; 3 years</w:t>
            </w:r>
          </w:p>
        </w:tc>
        <w:tc>
          <w:tcPr>
            <w:tcW w:w="4708" w:type="dxa"/>
            <w:tcBorders>
              <w:top w:val="nil"/>
              <w:bottom w:val="nil"/>
            </w:tcBorders>
          </w:tcPr>
          <w:p w14:paraId="53DCCCA6" w14:textId="25F75B5F" w:rsidR="007701DC" w:rsidRPr="00BA6F83" w:rsidRDefault="007701DC" w:rsidP="000D6C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 xml:space="preserve">1 if the amount of time that the household usually keeps a vehicle </w:t>
            </w:r>
            <w:r w:rsidR="000D6C5D">
              <w:rPr>
                <w:rFonts w:ascii="Times New Roman" w:eastAsia="Times New Roman" w:hAnsi="Times New Roman" w:cs="Times New Roman"/>
                <w:color w:val="000000" w:themeColor="text1"/>
                <w:sz w:val="18"/>
                <w:szCs w:val="18"/>
              </w:rPr>
              <w:t>&lt;</w:t>
            </w:r>
            <w:r w:rsidRPr="00BA6F83">
              <w:rPr>
                <w:rFonts w:ascii="Times New Roman" w:eastAsia="Times New Roman" w:hAnsi="Times New Roman" w:cs="Times New Roman"/>
                <w:color w:val="000000" w:themeColor="text1"/>
                <w:sz w:val="18"/>
                <w:szCs w:val="18"/>
              </w:rPr>
              <w:t xml:space="preserve"> than 3 years; 0 otherwise</w:t>
            </w:r>
          </w:p>
        </w:tc>
        <w:tc>
          <w:tcPr>
            <w:tcW w:w="1287" w:type="dxa"/>
            <w:tcBorders>
              <w:top w:val="nil"/>
              <w:bottom w:val="nil"/>
            </w:tcBorders>
          </w:tcPr>
          <w:p w14:paraId="58A3EDF8"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9</w:t>
            </w:r>
          </w:p>
        </w:tc>
        <w:tc>
          <w:tcPr>
            <w:tcW w:w="1129" w:type="dxa"/>
            <w:tcBorders>
              <w:top w:val="nil"/>
              <w:bottom w:val="nil"/>
            </w:tcBorders>
          </w:tcPr>
          <w:p w14:paraId="23ED31FD"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8</w:t>
            </w:r>
          </w:p>
        </w:tc>
      </w:tr>
      <w:tr w:rsidR="007701DC" w:rsidRPr="007701DC" w14:paraId="6B6EF6FC" w14:textId="77777777" w:rsidTr="00E349C8">
        <w:trPr>
          <w:trHeight w:val="220"/>
        </w:trPr>
        <w:tc>
          <w:tcPr>
            <w:cnfStyle w:val="001000000000" w:firstRow="0" w:lastRow="0" w:firstColumn="1" w:lastColumn="0" w:oddVBand="0" w:evenVBand="0" w:oddHBand="0" w:evenHBand="0" w:firstRowFirstColumn="0" w:firstRowLastColumn="0" w:lastRowFirstColumn="0" w:lastRowLastColumn="0"/>
            <w:tcW w:w="1457" w:type="dxa"/>
            <w:tcBorders>
              <w:top w:val="nil"/>
              <w:bottom w:val="nil"/>
            </w:tcBorders>
          </w:tcPr>
          <w:p w14:paraId="65F7F2CD" w14:textId="77777777" w:rsidR="007701DC" w:rsidRPr="00BA6F83" w:rsidRDefault="007701DC" w:rsidP="007701DC">
            <w:pPr>
              <w:rPr>
                <w:rFonts w:ascii="Times New Roman" w:eastAsia="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 xml:space="preserve">High income </w:t>
            </w:r>
          </w:p>
        </w:tc>
        <w:tc>
          <w:tcPr>
            <w:tcW w:w="4708" w:type="dxa"/>
            <w:tcBorders>
              <w:top w:val="nil"/>
              <w:bottom w:val="nil"/>
            </w:tcBorders>
          </w:tcPr>
          <w:p w14:paraId="742A8D3E" w14:textId="77777777" w:rsidR="007701DC" w:rsidRPr="00BA6F83" w:rsidRDefault="007701DC" w:rsidP="007701D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1 if household’s income is greater than $100,000; 0 otherwise</w:t>
            </w:r>
          </w:p>
        </w:tc>
        <w:tc>
          <w:tcPr>
            <w:tcW w:w="1287" w:type="dxa"/>
            <w:tcBorders>
              <w:top w:val="nil"/>
              <w:bottom w:val="nil"/>
            </w:tcBorders>
          </w:tcPr>
          <w:p w14:paraId="1F797D82"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40</w:t>
            </w:r>
          </w:p>
        </w:tc>
        <w:tc>
          <w:tcPr>
            <w:tcW w:w="1129" w:type="dxa"/>
            <w:tcBorders>
              <w:top w:val="nil"/>
              <w:bottom w:val="nil"/>
            </w:tcBorders>
          </w:tcPr>
          <w:p w14:paraId="12D0B2FB"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43</w:t>
            </w:r>
          </w:p>
        </w:tc>
      </w:tr>
      <w:tr w:rsidR="007701DC" w:rsidRPr="007701DC" w14:paraId="42C5A140" w14:textId="77777777" w:rsidTr="00E349C8">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457" w:type="dxa"/>
            <w:tcBorders>
              <w:top w:val="nil"/>
              <w:bottom w:val="nil"/>
            </w:tcBorders>
          </w:tcPr>
          <w:p w14:paraId="1B061D68" w14:textId="77777777" w:rsidR="007701DC" w:rsidRPr="00BA6F83" w:rsidRDefault="007701DC" w:rsidP="007701DC">
            <w:pPr>
              <w:rPr>
                <w:rFonts w:ascii="Times New Roman" w:eastAsia="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Newfoundland</w:t>
            </w:r>
          </w:p>
        </w:tc>
        <w:tc>
          <w:tcPr>
            <w:tcW w:w="4708" w:type="dxa"/>
            <w:tcBorders>
              <w:top w:val="nil"/>
              <w:bottom w:val="nil"/>
            </w:tcBorders>
          </w:tcPr>
          <w:p w14:paraId="54A2DBFF" w14:textId="77777777" w:rsidR="007701DC" w:rsidRPr="00BA6F83" w:rsidRDefault="007701DC" w:rsidP="007701D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1 if household lives in the province of Newfoundland and Labrador; 0 otherwise</w:t>
            </w:r>
          </w:p>
        </w:tc>
        <w:tc>
          <w:tcPr>
            <w:tcW w:w="1287" w:type="dxa"/>
            <w:tcBorders>
              <w:top w:val="nil"/>
              <w:bottom w:val="nil"/>
            </w:tcBorders>
          </w:tcPr>
          <w:p w14:paraId="06DEAED7"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25</w:t>
            </w:r>
          </w:p>
        </w:tc>
        <w:tc>
          <w:tcPr>
            <w:tcW w:w="1129" w:type="dxa"/>
            <w:tcBorders>
              <w:top w:val="nil"/>
              <w:bottom w:val="nil"/>
            </w:tcBorders>
          </w:tcPr>
          <w:p w14:paraId="27E6227B"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w:t>
            </w:r>
          </w:p>
        </w:tc>
      </w:tr>
      <w:tr w:rsidR="007701DC" w:rsidRPr="007701DC" w14:paraId="5B239AD2" w14:textId="77777777" w:rsidTr="00E349C8">
        <w:trPr>
          <w:trHeight w:val="339"/>
        </w:trPr>
        <w:tc>
          <w:tcPr>
            <w:cnfStyle w:val="001000000000" w:firstRow="0" w:lastRow="0" w:firstColumn="1" w:lastColumn="0" w:oddVBand="0" w:evenVBand="0" w:oddHBand="0" w:evenHBand="0" w:firstRowFirstColumn="0" w:firstRowLastColumn="0" w:lastRowFirstColumn="0" w:lastRowLastColumn="0"/>
            <w:tcW w:w="1457" w:type="dxa"/>
            <w:tcBorders>
              <w:top w:val="nil"/>
              <w:bottom w:val="nil"/>
            </w:tcBorders>
          </w:tcPr>
          <w:p w14:paraId="32C7E28D" w14:textId="77777777" w:rsidR="007701DC" w:rsidRPr="00BA6F83" w:rsidRDefault="007701DC" w:rsidP="007701DC">
            <w:pPr>
              <w:spacing w:before="60" w:after="60"/>
              <w:rPr>
                <w:rFonts w:ascii="Times New Roman" w:eastAsia="Times New Roman" w:hAnsi="Times New Roman" w:cs="Times New Roman"/>
                <w:b w:val="0"/>
                <w:color w:val="000000" w:themeColor="text1"/>
                <w:sz w:val="18"/>
                <w:szCs w:val="18"/>
              </w:rPr>
            </w:pPr>
          </w:p>
        </w:tc>
        <w:tc>
          <w:tcPr>
            <w:tcW w:w="4708" w:type="dxa"/>
            <w:tcBorders>
              <w:top w:val="nil"/>
              <w:bottom w:val="nil"/>
            </w:tcBorders>
          </w:tcPr>
          <w:p w14:paraId="394B0DF2" w14:textId="77777777" w:rsidR="007701DC" w:rsidRPr="00BA6F83" w:rsidRDefault="007701DC" w:rsidP="007701D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p>
        </w:tc>
        <w:tc>
          <w:tcPr>
            <w:tcW w:w="2416" w:type="dxa"/>
            <w:gridSpan w:val="2"/>
            <w:tcBorders>
              <w:top w:val="nil"/>
              <w:bottom w:val="single" w:sz="4" w:space="0" w:color="auto"/>
            </w:tcBorders>
          </w:tcPr>
          <w:p w14:paraId="0F62C4C6" w14:textId="77777777" w:rsidR="007701DC" w:rsidRPr="00BA6F83" w:rsidRDefault="007701DC" w:rsidP="007701DC">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Mean Score</w:t>
            </w:r>
          </w:p>
        </w:tc>
      </w:tr>
      <w:tr w:rsidR="007701DC" w:rsidRPr="007701DC" w14:paraId="75C7AC05" w14:textId="77777777" w:rsidTr="00E349C8">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1457" w:type="dxa"/>
            <w:tcBorders>
              <w:top w:val="nil"/>
              <w:bottom w:val="nil"/>
            </w:tcBorders>
          </w:tcPr>
          <w:p w14:paraId="7FF761A5" w14:textId="77777777" w:rsidR="007701DC" w:rsidRPr="00BA6F83" w:rsidRDefault="007701DC" w:rsidP="007701DC">
            <w:pPr>
              <w:spacing w:before="60"/>
              <w:rPr>
                <w:rFonts w:ascii="Times New Roman" w:eastAsia="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 xml:space="preserve">Environment-supportive score </w:t>
            </w:r>
            <w:r w:rsidRPr="00BA6F83">
              <w:rPr>
                <w:rFonts w:ascii="Times New Roman" w:hAnsi="Times New Roman" w:cs="Times New Roman"/>
                <w:b w:val="0"/>
                <w:color w:val="000000" w:themeColor="text1"/>
                <w:sz w:val="18"/>
                <w:szCs w:val="18"/>
              </w:rPr>
              <w:t>(out of 25)</w:t>
            </w:r>
          </w:p>
        </w:tc>
        <w:tc>
          <w:tcPr>
            <w:tcW w:w="4708" w:type="dxa"/>
            <w:vMerge w:val="restart"/>
            <w:tcBorders>
              <w:top w:val="nil"/>
              <w:bottom w:val="none" w:sz="0" w:space="0" w:color="auto"/>
            </w:tcBorders>
          </w:tcPr>
          <w:p w14:paraId="506A04B4" w14:textId="3C09FFA0" w:rsidR="007701DC" w:rsidRPr="00BA6F83" w:rsidRDefault="007701DC" w:rsidP="007701D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Respondents were asked about their attitudes on two qualitative criteria: environment- and EV-supportive. The statements were measured on a five-point Likert scale. For each category</w:t>
            </w:r>
            <w:r w:rsidR="000D6C5D">
              <w:rPr>
                <w:rFonts w:ascii="Times New Roman" w:eastAsia="Times New Roman" w:hAnsi="Times New Roman" w:cs="Times New Roman"/>
                <w:color w:val="000000" w:themeColor="text1"/>
                <w:sz w:val="18"/>
                <w:szCs w:val="18"/>
              </w:rPr>
              <w:t>,</w:t>
            </w:r>
            <w:r w:rsidRPr="00BA6F83">
              <w:rPr>
                <w:rFonts w:ascii="Times New Roman" w:eastAsia="Times New Roman" w:hAnsi="Times New Roman" w:cs="Times New Roman"/>
                <w:color w:val="000000" w:themeColor="text1"/>
                <w:sz w:val="18"/>
                <w:szCs w:val="18"/>
              </w:rPr>
              <w:t xml:space="preserve"> a score was calculated for each respondent according to their responses (where 1 equals </w:t>
            </w:r>
            <w:r w:rsidRPr="00BA6F83">
              <w:rPr>
                <w:rFonts w:ascii="Times New Roman" w:eastAsia="Times New Roman" w:hAnsi="Times New Roman" w:cs="Times New Roman"/>
                <w:iCs/>
                <w:color w:val="000000" w:themeColor="text1"/>
                <w:sz w:val="18"/>
                <w:szCs w:val="18"/>
              </w:rPr>
              <w:t>Strongly Disagree</w:t>
            </w:r>
            <w:r w:rsidRPr="00BA6F83">
              <w:rPr>
                <w:rFonts w:ascii="Times New Roman" w:eastAsia="Times New Roman" w:hAnsi="Times New Roman" w:cs="Times New Roman"/>
                <w:color w:val="000000" w:themeColor="text1"/>
                <w:sz w:val="18"/>
                <w:szCs w:val="18"/>
              </w:rPr>
              <w:t xml:space="preserve">, 3 equals </w:t>
            </w:r>
            <w:r w:rsidRPr="00BA6F83">
              <w:rPr>
                <w:rFonts w:ascii="Times New Roman" w:eastAsia="Times New Roman" w:hAnsi="Times New Roman" w:cs="Times New Roman"/>
                <w:iCs/>
                <w:color w:val="000000" w:themeColor="text1"/>
                <w:sz w:val="18"/>
                <w:szCs w:val="18"/>
              </w:rPr>
              <w:t>Neutral,</w:t>
            </w:r>
            <w:r w:rsidRPr="00BA6F83">
              <w:rPr>
                <w:rFonts w:ascii="Times New Roman" w:eastAsia="Times New Roman" w:hAnsi="Times New Roman" w:cs="Times New Roman"/>
                <w:color w:val="000000" w:themeColor="text1"/>
                <w:sz w:val="18"/>
                <w:szCs w:val="18"/>
              </w:rPr>
              <w:t xml:space="preserve"> and 5 equals </w:t>
            </w:r>
            <w:r w:rsidRPr="00BA6F83">
              <w:rPr>
                <w:rFonts w:ascii="Times New Roman" w:eastAsia="Times New Roman" w:hAnsi="Times New Roman" w:cs="Times New Roman"/>
                <w:iCs/>
                <w:color w:val="000000" w:themeColor="text1"/>
                <w:sz w:val="18"/>
                <w:szCs w:val="18"/>
              </w:rPr>
              <w:t>Strongly Agree</w:t>
            </w:r>
            <w:r w:rsidRPr="00BA6F83">
              <w:rPr>
                <w:rFonts w:ascii="Times New Roman" w:eastAsia="Times New Roman" w:hAnsi="Times New Roman" w:cs="Times New Roman"/>
                <w:color w:val="000000" w:themeColor="text1"/>
                <w:sz w:val="18"/>
                <w:szCs w:val="18"/>
              </w:rPr>
              <w:t>) and was used as a covariate in our final model See Mohamed et al. (2016) for a list of the attitudinal statements used in the SPACE survey.</w:t>
            </w:r>
          </w:p>
        </w:tc>
        <w:tc>
          <w:tcPr>
            <w:tcW w:w="1287" w:type="dxa"/>
            <w:tcBorders>
              <w:top w:val="single" w:sz="4" w:space="0" w:color="auto"/>
              <w:bottom w:val="nil"/>
            </w:tcBorders>
          </w:tcPr>
          <w:p w14:paraId="0E4360B5" w14:textId="77777777" w:rsidR="007701DC" w:rsidRPr="00BA6F83" w:rsidRDefault="007701DC" w:rsidP="007701DC">
            <w:pPr>
              <w:spacing w:before="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10.13</w:t>
            </w:r>
          </w:p>
        </w:tc>
        <w:tc>
          <w:tcPr>
            <w:tcW w:w="1129" w:type="dxa"/>
            <w:tcBorders>
              <w:top w:val="single" w:sz="4" w:space="0" w:color="auto"/>
              <w:bottom w:val="nil"/>
            </w:tcBorders>
          </w:tcPr>
          <w:p w14:paraId="49E1C822" w14:textId="77777777" w:rsidR="007701DC" w:rsidRPr="00BA6F83" w:rsidRDefault="007701DC" w:rsidP="007701DC">
            <w:pPr>
              <w:spacing w:before="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11.82</w:t>
            </w:r>
          </w:p>
        </w:tc>
      </w:tr>
      <w:tr w:rsidR="007701DC" w:rsidRPr="007701DC" w14:paraId="09C1E41B" w14:textId="77777777" w:rsidTr="00E349C8">
        <w:trPr>
          <w:trHeight w:val="900"/>
        </w:trPr>
        <w:tc>
          <w:tcPr>
            <w:cnfStyle w:val="001000000000" w:firstRow="0" w:lastRow="0" w:firstColumn="1" w:lastColumn="0" w:oddVBand="0" w:evenVBand="0" w:oddHBand="0" w:evenHBand="0" w:firstRowFirstColumn="0" w:firstRowLastColumn="0" w:lastRowFirstColumn="0" w:lastRowLastColumn="0"/>
            <w:tcW w:w="1457" w:type="dxa"/>
            <w:tcBorders>
              <w:top w:val="nil"/>
              <w:bottom w:val="single" w:sz="4" w:space="0" w:color="auto"/>
            </w:tcBorders>
          </w:tcPr>
          <w:p w14:paraId="081F3CB2" w14:textId="77777777" w:rsidR="007701DC" w:rsidRPr="00BA6F83" w:rsidRDefault="007701DC" w:rsidP="007701DC">
            <w:pPr>
              <w:spacing w:before="60" w:after="60"/>
              <w:rPr>
                <w:rFonts w:ascii="Times New Roman" w:eastAsia="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EV-supportive score (out of 35)</w:t>
            </w:r>
          </w:p>
        </w:tc>
        <w:tc>
          <w:tcPr>
            <w:tcW w:w="4708" w:type="dxa"/>
            <w:vMerge/>
            <w:tcBorders>
              <w:bottom w:val="single" w:sz="4" w:space="0" w:color="auto"/>
            </w:tcBorders>
          </w:tcPr>
          <w:p w14:paraId="31683C53" w14:textId="77777777" w:rsidR="007701DC" w:rsidRPr="00BA6F83" w:rsidRDefault="007701DC" w:rsidP="007701D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p>
        </w:tc>
        <w:tc>
          <w:tcPr>
            <w:tcW w:w="1287" w:type="dxa"/>
            <w:tcBorders>
              <w:top w:val="nil"/>
              <w:bottom w:val="single" w:sz="4" w:space="0" w:color="auto"/>
            </w:tcBorders>
          </w:tcPr>
          <w:p w14:paraId="06DF16D2" w14:textId="77777777" w:rsidR="007701DC" w:rsidRPr="00BA6F83" w:rsidRDefault="007701DC" w:rsidP="007701DC">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22.46</w:t>
            </w:r>
          </w:p>
        </w:tc>
        <w:tc>
          <w:tcPr>
            <w:tcW w:w="1129" w:type="dxa"/>
            <w:tcBorders>
              <w:top w:val="nil"/>
              <w:bottom w:val="single" w:sz="4" w:space="0" w:color="auto"/>
            </w:tcBorders>
          </w:tcPr>
          <w:p w14:paraId="377B2186" w14:textId="77777777" w:rsidR="007701DC" w:rsidRPr="00BA6F83" w:rsidRDefault="007701DC" w:rsidP="007701DC">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24.32</w:t>
            </w:r>
          </w:p>
        </w:tc>
      </w:tr>
    </w:tbl>
    <w:p w14:paraId="6E588BCA" w14:textId="77777777" w:rsidR="007701DC" w:rsidRDefault="007701DC" w:rsidP="007701DC">
      <w:pPr>
        <w:spacing w:after="120" w:line="276" w:lineRule="auto"/>
        <w:rPr>
          <w:rFonts w:ascii="Times New Roman" w:eastAsia="Times New Roman" w:hAnsi="Times New Roman" w:cs="Times New Roman"/>
          <w:color w:val="000000" w:themeColor="text1"/>
        </w:rPr>
      </w:pPr>
    </w:p>
    <w:p w14:paraId="55F7B61F" w14:textId="77777777" w:rsidR="007701DC" w:rsidRPr="007701DC" w:rsidRDefault="007701DC" w:rsidP="007701DC">
      <w:pPr>
        <w:spacing w:after="120" w:line="276" w:lineRule="auto"/>
        <w:rPr>
          <w:rFonts w:ascii="Times New Roman" w:hAnsi="Times New Roman" w:cs="Times New Roman"/>
          <w:color w:val="000000"/>
        </w:rPr>
      </w:pPr>
      <w:r>
        <w:rPr>
          <w:rFonts w:ascii="Times New Roman" w:hAnsi="Times New Roman" w:cs="Times New Roman"/>
          <w:noProof/>
          <w:color w:val="000000"/>
          <w:lang w:eastAsia="en-CA"/>
        </w:rPr>
        <w:lastRenderedPageBreak/>
        <w:drawing>
          <wp:inline distT="0" distB="0" distL="0" distR="0" wp14:anchorId="04728B5C" wp14:editId="3958FCCC">
            <wp:extent cx="4581525" cy="27622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10-26 EV Adoption R1 (Figure 2).jpg"/>
                    <pic:cNvPicPr/>
                  </pic:nvPicPr>
                  <pic:blipFill>
                    <a:blip r:embed="rId23">
                      <a:extLst>
                        <a:ext uri="{28A0092B-C50C-407E-A947-70E740481C1C}">
                          <a14:useLocalDpi xmlns:a14="http://schemas.microsoft.com/office/drawing/2010/main" val="0"/>
                        </a:ext>
                      </a:extLst>
                    </a:blip>
                    <a:stretch>
                      <a:fillRect/>
                    </a:stretch>
                  </pic:blipFill>
                  <pic:spPr>
                    <a:xfrm>
                      <a:off x="0" y="0"/>
                      <a:ext cx="4581525" cy="2762250"/>
                    </a:xfrm>
                    <a:prstGeom prst="rect">
                      <a:avLst/>
                    </a:prstGeom>
                    <a:ln>
                      <a:noFill/>
                    </a:ln>
                  </pic:spPr>
                </pic:pic>
              </a:graphicData>
            </a:graphic>
          </wp:inline>
        </w:drawing>
      </w:r>
    </w:p>
    <w:p w14:paraId="1B12B947" w14:textId="77777777" w:rsidR="007701DC" w:rsidRPr="00B02EB5" w:rsidRDefault="00B02EB5" w:rsidP="00B02EB5">
      <w:pPr>
        <w:pStyle w:val="Caption"/>
        <w:ind w:firstLine="0"/>
        <w:jc w:val="center"/>
        <w:rPr>
          <w:rFonts w:ascii="Times New Roman" w:hAnsi="Times New Roman" w:cs="Times New Roman"/>
          <w:i w:val="0"/>
          <w:iCs w:val="0"/>
          <w:color w:val="000000"/>
          <w:sz w:val="24"/>
          <w:szCs w:val="24"/>
        </w:rPr>
      </w:pPr>
      <w:bookmarkStart w:id="71" w:name="_Toc528649548"/>
      <w:bookmarkStart w:id="72" w:name="_Toc528649657"/>
      <w:r w:rsidRPr="00B02EB5">
        <w:rPr>
          <w:rFonts w:ascii="Times New Roman" w:hAnsi="Times New Roman" w:cs="Times New Roman"/>
          <w:i w:val="0"/>
          <w:iCs w:val="0"/>
          <w:color w:val="000000"/>
          <w:sz w:val="24"/>
          <w:szCs w:val="24"/>
        </w:rPr>
        <w:t>Figure 3.</w:t>
      </w:r>
      <w:r w:rsidRPr="00B02EB5">
        <w:rPr>
          <w:rFonts w:ascii="Times New Roman" w:hAnsi="Times New Roman" w:cs="Times New Roman"/>
          <w:i w:val="0"/>
          <w:iCs w:val="0"/>
          <w:color w:val="000000"/>
          <w:sz w:val="24"/>
          <w:szCs w:val="24"/>
        </w:rPr>
        <w:fldChar w:fldCharType="begin"/>
      </w:r>
      <w:r w:rsidRPr="00B02EB5">
        <w:rPr>
          <w:rFonts w:ascii="Times New Roman" w:hAnsi="Times New Roman" w:cs="Times New Roman"/>
          <w:i w:val="0"/>
          <w:iCs w:val="0"/>
          <w:color w:val="000000"/>
          <w:sz w:val="24"/>
          <w:szCs w:val="24"/>
        </w:rPr>
        <w:instrText xml:space="preserve"> SEQ Figure_3. \* ARABIC </w:instrText>
      </w:r>
      <w:r w:rsidRPr="00B02EB5">
        <w:rPr>
          <w:rFonts w:ascii="Times New Roman" w:hAnsi="Times New Roman" w:cs="Times New Roman"/>
          <w:i w:val="0"/>
          <w:iCs w:val="0"/>
          <w:color w:val="000000"/>
          <w:sz w:val="24"/>
          <w:szCs w:val="24"/>
        </w:rPr>
        <w:fldChar w:fldCharType="separate"/>
      </w:r>
      <w:r w:rsidR="00BC70AE">
        <w:rPr>
          <w:rFonts w:ascii="Times New Roman" w:hAnsi="Times New Roman" w:cs="Times New Roman"/>
          <w:i w:val="0"/>
          <w:iCs w:val="0"/>
          <w:noProof/>
          <w:color w:val="000000"/>
          <w:sz w:val="24"/>
          <w:szCs w:val="24"/>
        </w:rPr>
        <w:t>2</w:t>
      </w:r>
      <w:r w:rsidRPr="00B02EB5">
        <w:rPr>
          <w:rFonts w:ascii="Times New Roman" w:hAnsi="Times New Roman" w:cs="Times New Roman"/>
          <w:i w:val="0"/>
          <w:iCs w:val="0"/>
          <w:color w:val="000000"/>
          <w:sz w:val="24"/>
          <w:szCs w:val="24"/>
        </w:rPr>
        <w:fldChar w:fldCharType="end"/>
      </w:r>
      <w:r w:rsidRPr="00B02EB5">
        <w:rPr>
          <w:rFonts w:ascii="Times New Roman" w:hAnsi="Times New Roman" w:cs="Times New Roman"/>
          <w:i w:val="0"/>
          <w:iCs w:val="0"/>
          <w:color w:val="000000"/>
          <w:sz w:val="24"/>
          <w:szCs w:val="24"/>
        </w:rPr>
        <w:t xml:space="preserve"> </w:t>
      </w:r>
      <w:r w:rsidR="007701DC" w:rsidRPr="00B02EB5">
        <w:rPr>
          <w:rFonts w:ascii="Times New Roman" w:hAnsi="Times New Roman" w:cs="Times New Roman"/>
          <w:i w:val="0"/>
          <w:iCs w:val="0"/>
          <w:color w:val="000000"/>
          <w:sz w:val="24"/>
          <w:szCs w:val="24"/>
        </w:rPr>
        <w:t>Vehicle body type preferences by province</w:t>
      </w:r>
      <w:bookmarkEnd w:id="71"/>
      <w:bookmarkEnd w:id="72"/>
    </w:p>
    <w:p w14:paraId="385A8F7E" w14:textId="77777777" w:rsidR="007701DC" w:rsidRPr="00633AB1" w:rsidRDefault="007701DC" w:rsidP="007701DC">
      <w:pPr>
        <w:spacing w:after="120" w:line="276" w:lineRule="auto"/>
        <w:rPr>
          <w:rFonts w:ascii="Times New Roman" w:eastAsia="Times New Roman" w:hAnsi="Times New Roman" w:cs="Times New Roman"/>
          <w:color w:val="000000" w:themeColor="text1"/>
        </w:rPr>
      </w:pPr>
    </w:p>
    <w:p w14:paraId="053F9F2E" w14:textId="77777777" w:rsidR="003C3597" w:rsidRPr="007701DC" w:rsidRDefault="003C3597" w:rsidP="00E1100F">
      <w:pPr>
        <w:pStyle w:val="ListParagraph"/>
        <w:numPr>
          <w:ilvl w:val="2"/>
          <w:numId w:val="11"/>
        </w:numPr>
        <w:outlineLvl w:val="2"/>
        <w:rPr>
          <w:rFonts w:ascii="Times New Roman" w:hAnsi="Times New Roman" w:cs="Times New Roman"/>
          <w:b/>
          <w:color w:val="000000"/>
        </w:rPr>
      </w:pPr>
      <w:bookmarkStart w:id="73" w:name="_Toc528650879"/>
      <w:r w:rsidRPr="007701DC">
        <w:rPr>
          <w:rFonts w:ascii="Times New Roman" w:hAnsi="Times New Roman" w:cs="Times New Roman"/>
          <w:b/>
          <w:color w:val="000000"/>
        </w:rPr>
        <w:t>Class membership sub-model</w:t>
      </w:r>
      <w:bookmarkEnd w:id="73"/>
    </w:p>
    <w:p w14:paraId="74CA6958" w14:textId="5193C3D5"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Table </w:t>
      </w:r>
      <w:r w:rsidR="00B957FF">
        <w:rPr>
          <w:rFonts w:ascii="Times New Roman" w:hAnsi="Times New Roman" w:cs="Times New Roman"/>
          <w:color w:val="000000"/>
        </w:rPr>
        <w:t>3.</w:t>
      </w:r>
      <w:r w:rsidRPr="003C3597">
        <w:rPr>
          <w:rFonts w:ascii="Times New Roman" w:hAnsi="Times New Roman" w:cs="Times New Roman"/>
          <w:color w:val="000000"/>
        </w:rPr>
        <w:t>7 summarizes the results for the class membership for both the “Atlantic” and “Leading” models. The class membership results for the Atlantic model show that being of younger age (</w:t>
      </w:r>
      <w:r w:rsidR="000D6C5D">
        <w:rPr>
          <w:rFonts w:ascii="Times New Roman" w:hAnsi="Times New Roman" w:cs="Times New Roman"/>
          <w:color w:val="000000"/>
        </w:rPr>
        <w:t>&lt;</w:t>
      </w:r>
      <w:r w:rsidRPr="003C3597">
        <w:rPr>
          <w:rFonts w:ascii="Times New Roman" w:hAnsi="Times New Roman" w:cs="Times New Roman"/>
          <w:color w:val="000000"/>
        </w:rPr>
        <w:t xml:space="preserve"> 45), having a university degree, and planning to buy an economy car increase a respondent’s PEV-orientation. For the Leading model, the factors of younger age, being female, and possession of a university degree decrease the chance of membership in the ICE-oriented class. In both models, people with higher scores for non-ICE technologies have a higher tendency to choose a plug-in electric vehicle as their next purchase, indicating the importance of attitudes in determining class assignment. In the Atlantic model, being a homeowner and having a tendency to keep vehicles less than three years are associated with being included in the ICE-oriented class. The latter factor </w:t>
      </w:r>
      <w:r w:rsidRPr="003C3597">
        <w:rPr>
          <w:rFonts w:ascii="Times New Roman" w:hAnsi="Times New Roman" w:cs="Times New Roman"/>
          <w:color w:val="000000"/>
        </w:rPr>
        <w:lastRenderedPageBreak/>
        <w:t>reflects less opportunity to benefit from EV fuel savings in the long run. Higher income and having access to multiple cars were statistically insignificant in both the Atlantic and Leading models. The class membership results show that Atlantic people closely follow similar sociodemographic and attitudinal characteristics as people living in the Leading adoption provinces.</w:t>
      </w:r>
    </w:p>
    <w:p w14:paraId="143859AB" w14:textId="2CCC9BFF" w:rsid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Our analysis on provincial differences within Atlantic Canada shows that respondents living in Newfoundland and Labrador are less likely to buy a plug-in electric vehicle. This is most likely due to isolation and a lower level of urbanization in this province compared to the rest of the Atlantic provinces. We already saw that people living in Newfoundland and Labrador have less tendency towards an economy or intermediate vehicle size, which is the typical body type of most available EV models (Figure </w:t>
      </w:r>
      <w:r w:rsidR="00B957FF">
        <w:rPr>
          <w:rFonts w:ascii="Times New Roman" w:hAnsi="Times New Roman" w:cs="Times New Roman"/>
          <w:color w:val="000000"/>
        </w:rPr>
        <w:t>3.</w:t>
      </w:r>
      <w:r w:rsidRPr="003C3597">
        <w:rPr>
          <w:rFonts w:ascii="Times New Roman" w:hAnsi="Times New Roman" w:cs="Times New Roman"/>
          <w:color w:val="000000"/>
        </w:rPr>
        <w:t>2).</w:t>
      </w:r>
    </w:p>
    <w:p w14:paraId="50D4C2F9" w14:textId="77777777" w:rsidR="007701DC" w:rsidRPr="00555F82" w:rsidRDefault="00555F82" w:rsidP="00555F82">
      <w:pPr>
        <w:pStyle w:val="Caption"/>
        <w:ind w:firstLine="0"/>
        <w:rPr>
          <w:rFonts w:ascii="Times New Roman" w:hAnsi="Times New Roman" w:cs="Times New Roman"/>
          <w:i w:val="0"/>
          <w:iCs w:val="0"/>
          <w:color w:val="000000"/>
          <w:sz w:val="24"/>
          <w:szCs w:val="24"/>
        </w:rPr>
      </w:pPr>
      <w:bookmarkStart w:id="74" w:name="_Toc528649800"/>
      <w:r>
        <w:rPr>
          <w:rFonts w:ascii="Times New Roman" w:hAnsi="Times New Roman" w:cs="Times New Roman"/>
          <w:i w:val="0"/>
          <w:iCs w:val="0"/>
          <w:color w:val="000000"/>
          <w:sz w:val="24"/>
          <w:szCs w:val="24"/>
        </w:rPr>
        <w:t>Table 3.</w:t>
      </w:r>
      <w:r w:rsidRPr="00555F82">
        <w:rPr>
          <w:rFonts w:ascii="Times New Roman" w:hAnsi="Times New Roman" w:cs="Times New Roman"/>
          <w:i w:val="0"/>
          <w:iCs w:val="0"/>
          <w:color w:val="000000"/>
          <w:sz w:val="24"/>
          <w:szCs w:val="24"/>
        </w:rPr>
        <w:fldChar w:fldCharType="begin"/>
      </w:r>
      <w:r w:rsidRPr="00555F82">
        <w:rPr>
          <w:rFonts w:ascii="Times New Roman" w:hAnsi="Times New Roman" w:cs="Times New Roman"/>
          <w:i w:val="0"/>
          <w:iCs w:val="0"/>
          <w:color w:val="000000"/>
          <w:sz w:val="24"/>
          <w:szCs w:val="24"/>
        </w:rPr>
        <w:instrText xml:space="preserve"> SEQ Table_3. \* ARABIC </w:instrText>
      </w:r>
      <w:r w:rsidRPr="00555F82">
        <w:rPr>
          <w:rFonts w:ascii="Times New Roman" w:hAnsi="Times New Roman" w:cs="Times New Roman"/>
          <w:i w:val="0"/>
          <w:iCs w:val="0"/>
          <w:color w:val="000000"/>
          <w:sz w:val="24"/>
          <w:szCs w:val="24"/>
        </w:rPr>
        <w:fldChar w:fldCharType="separate"/>
      </w:r>
      <w:r w:rsidR="00BC70AE">
        <w:rPr>
          <w:rFonts w:ascii="Times New Roman" w:hAnsi="Times New Roman" w:cs="Times New Roman"/>
          <w:i w:val="0"/>
          <w:iCs w:val="0"/>
          <w:noProof/>
          <w:color w:val="000000"/>
          <w:sz w:val="24"/>
          <w:szCs w:val="24"/>
        </w:rPr>
        <w:t>7</w:t>
      </w:r>
      <w:r w:rsidRPr="00555F82">
        <w:rPr>
          <w:rFonts w:ascii="Times New Roman" w:hAnsi="Times New Roman" w:cs="Times New Roman"/>
          <w:i w:val="0"/>
          <w:iCs w:val="0"/>
          <w:color w:val="000000"/>
          <w:sz w:val="24"/>
          <w:szCs w:val="24"/>
        </w:rPr>
        <w:fldChar w:fldCharType="end"/>
      </w:r>
      <w:r>
        <w:rPr>
          <w:rFonts w:ascii="Times New Roman" w:hAnsi="Times New Roman" w:cs="Times New Roman"/>
          <w:i w:val="0"/>
          <w:iCs w:val="0"/>
          <w:color w:val="000000"/>
          <w:sz w:val="24"/>
          <w:szCs w:val="24"/>
        </w:rPr>
        <w:t xml:space="preserve"> </w:t>
      </w:r>
      <w:r w:rsidR="007701DC" w:rsidRPr="00555F82">
        <w:rPr>
          <w:rFonts w:ascii="Times New Roman" w:hAnsi="Times New Roman" w:cs="Times New Roman"/>
          <w:i w:val="0"/>
          <w:iCs w:val="0"/>
          <w:color w:val="000000"/>
          <w:sz w:val="24"/>
          <w:szCs w:val="24"/>
        </w:rPr>
        <w:t>Latent class membership model results</w:t>
      </w:r>
      <w:bookmarkEnd w:id="74"/>
    </w:p>
    <w:tbl>
      <w:tblPr>
        <w:tblStyle w:val="PlainTable25"/>
        <w:tblW w:w="9228" w:type="dxa"/>
        <w:tblLayout w:type="fixed"/>
        <w:tblLook w:val="04A0" w:firstRow="1" w:lastRow="0" w:firstColumn="1" w:lastColumn="0" w:noHBand="0" w:noVBand="1"/>
      </w:tblPr>
      <w:tblGrid>
        <w:gridCol w:w="2471"/>
        <w:gridCol w:w="1235"/>
        <w:gridCol w:w="1319"/>
        <w:gridCol w:w="247"/>
        <w:gridCol w:w="1235"/>
        <w:gridCol w:w="1400"/>
        <w:gridCol w:w="1321"/>
      </w:tblGrid>
      <w:tr w:rsidR="007701DC" w:rsidRPr="007701DC" w14:paraId="5BA665B7" w14:textId="77777777" w:rsidTr="00E349C8">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471" w:type="dxa"/>
            <w:tcBorders>
              <w:top w:val="single" w:sz="4" w:space="0" w:color="auto"/>
              <w:bottom w:val="nil"/>
            </w:tcBorders>
          </w:tcPr>
          <w:p w14:paraId="0D4899BC" w14:textId="40894267" w:rsidR="007701DC" w:rsidRPr="00BA6F83" w:rsidRDefault="007701DC" w:rsidP="007701DC">
            <w:pPr>
              <w:spacing w:before="60" w:after="60"/>
              <w:rPr>
                <w:rFonts w:ascii="Times New Roman" w:eastAsia="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HEV-oriented (</w:t>
            </w:r>
            <w:r w:rsidR="000D6C5D">
              <w:rPr>
                <w:rFonts w:ascii="Times New Roman" w:eastAsia="Times New Roman" w:hAnsi="Times New Roman" w:cs="Times New Roman"/>
                <w:b w:val="0"/>
                <w:color w:val="000000" w:themeColor="text1"/>
                <w:sz w:val="18"/>
                <w:szCs w:val="18"/>
              </w:rPr>
              <w:t>r</w:t>
            </w:r>
            <w:r w:rsidRPr="00BA6F83">
              <w:rPr>
                <w:rFonts w:ascii="Times New Roman" w:eastAsia="Times New Roman" w:hAnsi="Times New Roman" w:cs="Times New Roman"/>
                <w:b w:val="0"/>
                <w:color w:val="000000" w:themeColor="text1"/>
                <w:sz w:val="18"/>
                <w:szCs w:val="18"/>
              </w:rPr>
              <w:t>eference)</w:t>
            </w:r>
          </w:p>
        </w:tc>
        <w:tc>
          <w:tcPr>
            <w:tcW w:w="2554" w:type="dxa"/>
            <w:gridSpan w:val="2"/>
            <w:tcBorders>
              <w:top w:val="single" w:sz="4" w:space="0" w:color="auto"/>
              <w:bottom w:val="single" w:sz="4" w:space="0" w:color="auto"/>
            </w:tcBorders>
            <w:vAlign w:val="center"/>
          </w:tcPr>
          <w:p w14:paraId="353E7B84" w14:textId="6CC54F2B" w:rsidR="007701DC" w:rsidRPr="00BA6F83" w:rsidRDefault="007701DC" w:rsidP="007701D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 xml:space="preserve">Atlantic </w:t>
            </w:r>
            <w:r w:rsidR="000D6C5D">
              <w:rPr>
                <w:rFonts w:ascii="Times New Roman" w:eastAsia="Times New Roman" w:hAnsi="Times New Roman" w:cs="Times New Roman"/>
                <w:b w:val="0"/>
                <w:color w:val="000000" w:themeColor="text1"/>
                <w:sz w:val="18"/>
                <w:szCs w:val="18"/>
              </w:rPr>
              <w:t>m</w:t>
            </w:r>
            <w:r w:rsidRPr="00BA6F83">
              <w:rPr>
                <w:rFonts w:ascii="Times New Roman" w:eastAsia="Times New Roman" w:hAnsi="Times New Roman" w:cs="Times New Roman"/>
                <w:b w:val="0"/>
                <w:color w:val="000000" w:themeColor="text1"/>
                <w:sz w:val="18"/>
                <w:szCs w:val="18"/>
              </w:rPr>
              <w:t>odel</w:t>
            </w:r>
          </w:p>
        </w:tc>
        <w:tc>
          <w:tcPr>
            <w:tcW w:w="247" w:type="dxa"/>
            <w:tcBorders>
              <w:top w:val="single" w:sz="4" w:space="0" w:color="auto"/>
              <w:bottom w:val="nil"/>
            </w:tcBorders>
            <w:vAlign w:val="center"/>
          </w:tcPr>
          <w:p w14:paraId="391555F7" w14:textId="77777777" w:rsidR="007701DC" w:rsidRPr="00BA6F83" w:rsidRDefault="007701DC" w:rsidP="007701D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rPr>
            </w:pPr>
          </w:p>
        </w:tc>
        <w:tc>
          <w:tcPr>
            <w:tcW w:w="3955" w:type="dxa"/>
            <w:gridSpan w:val="3"/>
            <w:tcBorders>
              <w:top w:val="single" w:sz="4" w:space="0" w:color="auto"/>
              <w:bottom w:val="single" w:sz="4" w:space="0" w:color="auto"/>
            </w:tcBorders>
            <w:vAlign w:val="center"/>
          </w:tcPr>
          <w:p w14:paraId="028FA480" w14:textId="687B1815" w:rsidR="007701DC" w:rsidRPr="00BA6F83" w:rsidRDefault="007701DC" w:rsidP="007701D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 xml:space="preserve">Leading (ON and BC) </w:t>
            </w:r>
            <w:r w:rsidR="000D6C5D">
              <w:rPr>
                <w:rFonts w:ascii="Times New Roman" w:eastAsia="Times New Roman" w:hAnsi="Times New Roman" w:cs="Times New Roman"/>
                <w:b w:val="0"/>
                <w:color w:val="000000" w:themeColor="text1"/>
                <w:sz w:val="18"/>
                <w:szCs w:val="18"/>
              </w:rPr>
              <w:t>m</w:t>
            </w:r>
            <w:r w:rsidRPr="00BA6F83">
              <w:rPr>
                <w:rFonts w:ascii="Times New Roman" w:eastAsia="Times New Roman" w:hAnsi="Times New Roman" w:cs="Times New Roman"/>
                <w:b w:val="0"/>
                <w:color w:val="000000" w:themeColor="text1"/>
                <w:sz w:val="18"/>
                <w:szCs w:val="18"/>
              </w:rPr>
              <w:t>odel</w:t>
            </w:r>
          </w:p>
        </w:tc>
      </w:tr>
      <w:tr w:rsidR="007701DC" w:rsidRPr="007701DC" w14:paraId="42538BF1" w14:textId="77777777" w:rsidTr="00E349C8">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471" w:type="dxa"/>
            <w:tcBorders>
              <w:top w:val="nil"/>
              <w:bottom w:val="single" w:sz="4" w:space="0" w:color="auto"/>
            </w:tcBorders>
            <w:vAlign w:val="bottom"/>
          </w:tcPr>
          <w:p w14:paraId="19990590" w14:textId="77777777" w:rsidR="007701DC" w:rsidRPr="00BA6F83" w:rsidRDefault="007701DC" w:rsidP="007701DC">
            <w:pPr>
              <w:spacing w:before="60" w:after="60"/>
              <w:rPr>
                <w:rFonts w:ascii="Times New Roman" w:hAnsi="Times New Roman" w:cs="Times New Roman"/>
                <w:b w:val="0"/>
                <w:color w:val="000000"/>
                <w:sz w:val="18"/>
                <w:szCs w:val="18"/>
              </w:rPr>
            </w:pPr>
            <w:r w:rsidRPr="00BA6F83">
              <w:rPr>
                <w:rFonts w:ascii="Times New Roman" w:hAnsi="Times New Roman" w:cs="Times New Roman"/>
                <w:b w:val="0"/>
                <w:color w:val="000000"/>
                <w:sz w:val="18"/>
                <w:szCs w:val="18"/>
              </w:rPr>
              <w:t>Variable</w:t>
            </w:r>
          </w:p>
        </w:tc>
        <w:tc>
          <w:tcPr>
            <w:tcW w:w="1235" w:type="dxa"/>
            <w:tcBorders>
              <w:top w:val="single" w:sz="4" w:space="0" w:color="auto"/>
              <w:bottom w:val="single" w:sz="4" w:space="0" w:color="auto"/>
            </w:tcBorders>
          </w:tcPr>
          <w:p w14:paraId="1E7714E5" w14:textId="77777777" w:rsidR="007701DC" w:rsidRPr="00BA6F83" w:rsidRDefault="007701DC" w:rsidP="007701D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Class 1:</w:t>
            </w:r>
            <w:r w:rsidRPr="00BA6F83">
              <w:rPr>
                <w:rFonts w:ascii="Times New Roman" w:eastAsia="Times New Roman" w:hAnsi="Times New Roman" w:cs="Times New Roman"/>
                <w:color w:val="000000" w:themeColor="text1"/>
                <w:sz w:val="18"/>
                <w:szCs w:val="18"/>
              </w:rPr>
              <w:br/>
              <w:t>ICE-oriented</w:t>
            </w:r>
          </w:p>
        </w:tc>
        <w:tc>
          <w:tcPr>
            <w:tcW w:w="1318" w:type="dxa"/>
            <w:tcBorders>
              <w:top w:val="single" w:sz="4" w:space="0" w:color="auto"/>
              <w:bottom w:val="single" w:sz="4" w:space="0" w:color="auto"/>
            </w:tcBorders>
          </w:tcPr>
          <w:p w14:paraId="596955C7" w14:textId="77777777" w:rsidR="007701DC" w:rsidRPr="00BA6F83" w:rsidRDefault="007701DC" w:rsidP="007701D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Class 3:</w:t>
            </w:r>
            <w:r w:rsidRPr="00BA6F83">
              <w:rPr>
                <w:rFonts w:ascii="Times New Roman" w:eastAsia="Times New Roman" w:hAnsi="Times New Roman" w:cs="Times New Roman"/>
                <w:color w:val="000000" w:themeColor="text1"/>
                <w:sz w:val="18"/>
                <w:szCs w:val="18"/>
              </w:rPr>
              <w:br/>
              <w:t>PEV- oriented</w:t>
            </w:r>
          </w:p>
        </w:tc>
        <w:tc>
          <w:tcPr>
            <w:tcW w:w="247" w:type="dxa"/>
            <w:tcBorders>
              <w:top w:val="nil"/>
              <w:bottom w:val="single" w:sz="4" w:space="0" w:color="auto"/>
            </w:tcBorders>
          </w:tcPr>
          <w:p w14:paraId="390CA329" w14:textId="77777777" w:rsidR="007701DC" w:rsidRPr="00BA6F83" w:rsidRDefault="007701DC" w:rsidP="007701D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p>
        </w:tc>
        <w:tc>
          <w:tcPr>
            <w:tcW w:w="1235" w:type="dxa"/>
            <w:tcBorders>
              <w:top w:val="single" w:sz="4" w:space="0" w:color="auto"/>
              <w:bottom w:val="single" w:sz="4" w:space="0" w:color="auto"/>
            </w:tcBorders>
          </w:tcPr>
          <w:p w14:paraId="34DC3D01" w14:textId="77777777" w:rsidR="007701DC" w:rsidRPr="00BA6F83" w:rsidRDefault="007701DC" w:rsidP="007701D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Class 1:</w:t>
            </w:r>
            <w:r w:rsidRPr="00BA6F83">
              <w:rPr>
                <w:rFonts w:ascii="Times New Roman" w:eastAsia="Times New Roman" w:hAnsi="Times New Roman" w:cs="Times New Roman"/>
                <w:color w:val="000000" w:themeColor="text1"/>
                <w:sz w:val="18"/>
                <w:szCs w:val="18"/>
              </w:rPr>
              <w:br/>
              <w:t>ICE-oriented</w:t>
            </w:r>
          </w:p>
        </w:tc>
        <w:tc>
          <w:tcPr>
            <w:tcW w:w="1400" w:type="dxa"/>
            <w:tcBorders>
              <w:top w:val="single" w:sz="4" w:space="0" w:color="auto"/>
              <w:bottom w:val="single" w:sz="4" w:space="0" w:color="auto"/>
            </w:tcBorders>
          </w:tcPr>
          <w:p w14:paraId="001D126E" w14:textId="77777777" w:rsidR="007701DC" w:rsidRPr="007701DC" w:rsidRDefault="007701DC" w:rsidP="007701D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7701DC">
              <w:rPr>
                <w:rFonts w:ascii="Times New Roman" w:eastAsia="Times New Roman" w:hAnsi="Times New Roman" w:cs="Times New Roman"/>
                <w:color w:val="000000" w:themeColor="text1"/>
                <w:sz w:val="18"/>
                <w:szCs w:val="18"/>
              </w:rPr>
              <w:t>Class 3:</w:t>
            </w:r>
            <w:r w:rsidRPr="007701DC">
              <w:rPr>
                <w:rFonts w:ascii="Times New Roman" w:eastAsia="Times New Roman" w:hAnsi="Times New Roman" w:cs="Times New Roman"/>
                <w:color w:val="000000" w:themeColor="text1"/>
                <w:sz w:val="18"/>
                <w:szCs w:val="18"/>
              </w:rPr>
              <w:br/>
              <w:t>PHEV-oriented</w:t>
            </w:r>
          </w:p>
        </w:tc>
        <w:tc>
          <w:tcPr>
            <w:tcW w:w="1319" w:type="dxa"/>
            <w:tcBorders>
              <w:top w:val="single" w:sz="4" w:space="0" w:color="auto"/>
              <w:bottom w:val="single" w:sz="4" w:space="0" w:color="auto"/>
            </w:tcBorders>
          </w:tcPr>
          <w:p w14:paraId="7658A8E0" w14:textId="77777777" w:rsidR="007701DC" w:rsidRPr="007701DC" w:rsidRDefault="007701DC" w:rsidP="007701D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7701DC">
              <w:rPr>
                <w:rFonts w:ascii="Times New Roman" w:eastAsia="Times New Roman" w:hAnsi="Times New Roman" w:cs="Times New Roman"/>
                <w:color w:val="000000" w:themeColor="text1"/>
                <w:sz w:val="18"/>
                <w:szCs w:val="18"/>
              </w:rPr>
              <w:t>Class 4:</w:t>
            </w:r>
            <w:r w:rsidRPr="007701DC">
              <w:rPr>
                <w:rFonts w:ascii="Times New Roman" w:eastAsia="Times New Roman" w:hAnsi="Times New Roman" w:cs="Times New Roman"/>
                <w:color w:val="000000" w:themeColor="text1"/>
                <w:sz w:val="18"/>
                <w:szCs w:val="18"/>
              </w:rPr>
              <w:br/>
              <w:t>BEV-oriented</w:t>
            </w:r>
          </w:p>
        </w:tc>
      </w:tr>
      <w:tr w:rsidR="007701DC" w:rsidRPr="007701DC" w14:paraId="436D3975" w14:textId="77777777" w:rsidTr="00E349C8">
        <w:trPr>
          <w:trHeight w:val="243"/>
        </w:trPr>
        <w:tc>
          <w:tcPr>
            <w:cnfStyle w:val="001000000000" w:firstRow="0" w:lastRow="0" w:firstColumn="1" w:lastColumn="0" w:oddVBand="0" w:evenVBand="0" w:oddHBand="0" w:evenHBand="0" w:firstRowFirstColumn="0" w:firstRowLastColumn="0" w:lastRowFirstColumn="0" w:lastRowLastColumn="0"/>
            <w:tcW w:w="2471" w:type="dxa"/>
            <w:tcBorders>
              <w:top w:val="single" w:sz="4" w:space="0" w:color="auto"/>
              <w:bottom w:val="nil"/>
            </w:tcBorders>
          </w:tcPr>
          <w:p w14:paraId="1A2C7A70" w14:textId="77777777" w:rsidR="007701DC" w:rsidRPr="00BA6F83" w:rsidRDefault="007701DC" w:rsidP="007701DC">
            <w:pPr>
              <w:spacing w:before="60"/>
              <w:rPr>
                <w:rFonts w:ascii="Times New Roman" w:hAnsi="Times New Roman" w:cs="Times New Roman"/>
                <w:b w:val="0"/>
                <w:color w:val="000000"/>
                <w:sz w:val="18"/>
                <w:szCs w:val="18"/>
              </w:rPr>
            </w:pPr>
            <w:r w:rsidRPr="00BA6F83">
              <w:rPr>
                <w:rFonts w:ascii="Times New Roman" w:hAnsi="Times New Roman" w:cs="Times New Roman"/>
                <w:b w:val="0"/>
                <w:color w:val="000000"/>
                <w:sz w:val="18"/>
                <w:szCs w:val="18"/>
              </w:rPr>
              <w:t xml:space="preserve">Constant </w:t>
            </w:r>
          </w:p>
        </w:tc>
        <w:tc>
          <w:tcPr>
            <w:tcW w:w="1235" w:type="dxa"/>
            <w:tcBorders>
              <w:top w:val="single" w:sz="4" w:space="0" w:color="auto"/>
              <w:bottom w:val="nil"/>
            </w:tcBorders>
          </w:tcPr>
          <w:p w14:paraId="3761E504" w14:textId="77777777" w:rsidR="007701DC" w:rsidRPr="00BA6F83" w:rsidRDefault="007701DC" w:rsidP="007701DC">
            <w:pPr>
              <w:tabs>
                <w:tab w:val="decimal" w:pos="338"/>
              </w:tabs>
              <w:spacing w:before="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3.708***</w:t>
            </w:r>
          </w:p>
        </w:tc>
        <w:tc>
          <w:tcPr>
            <w:tcW w:w="1318" w:type="dxa"/>
            <w:tcBorders>
              <w:top w:val="single" w:sz="4" w:space="0" w:color="auto"/>
              <w:bottom w:val="nil"/>
            </w:tcBorders>
          </w:tcPr>
          <w:p w14:paraId="419BAB7C" w14:textId="77777777" w:rsidR="007701DC" w:rsidRPr="00BA6F83" w:rsidRDefault="007701DC" w:rsidP="007701DC">
            <w:pPr>
              <w:tabs>
                <w:tab w:val="decimal" w:pos="434"/>
              </w:tabs>
              <w:spacing w:before="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-4.41***</w:t>
            </w:r>
          </w:p>
        </w:tc>
        <w:tc>
          <w:tcPr>
            <w:tcW w:w="247" w:type="dxa"/>
            <w:tcBorders>
              <w:top w:val="single" w:sz="4" w:space="0" w:color="auto"/>
              <w:bottom w:val="nil"/>
            </w:tcBorders>
          </w:tcPr>
          <w:p w14:paraId="0C0E9682" w14:textId="77777777" w:rsidR="007701DC" w:rsidRPr="00BA6F83" w:rsidRDefault="007701DC" w:rsidP="007701DC">
            <w:pPr>
              <w:tabs>
                <w:tab w:val="decimal" w:pos="541"/>
              </w:tabs>
              <w:spacing w:before="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1235" w:type="dxa"/>
            <w:tcBorders>
              <w:top w:val="single" w:sz="4" w:space="0" w:color="auto"/>
              <w:bottom w:val="nil"/>
            </w:tcBorders>
          </w:tcPr>
          <w:p w14:paraId="26B0A044" w14:textId="77777777" w:rsidR="007701DC" w:rsidRPr="00BA6F83" w:rsidRDefault="007701DC" w:rsidP="007701DC">
            <w:pPr>
              <w:tabs>
                <w:tab w:val="decimal" w:pos="340"/>
              </w:tabs>
              <w:spacing w:before="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3.593***</w:t>
            </w:r>
          </w:p>
        </w:tc>
        <w:tc>
          <w:tcPr>
            <w:tcW w:w="1400" w:type="dxa"/>
            <w:tcBorders>
              <w:top w:val="single" w:sz="4" w:space="0" w:color="auto"/>
              <w:bottom w:val="nil"/>
            </w:tcBorders>
          </w:tcPr>
          <w:p w14:paraId="61011C87" w14:textId="77777777" w:rsidR="007701DC" w:rsidRPr="007701DC" w:rsidRDefault="007701DC" w:rsidP="007701DC">
            <w:pPr>
              <w:tabs>
                <w:tab w:val="decimal" w:pos="429"/>
              </w:tabs>
              <w:spacing w:before="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7701DC">
              <w:rPr>
                <w:rFonts w:ascii="Times New Roman" w:hAnsi="Times New Roman" w:cs="Times New Roman"/>
                <w:color w:val="000000"/>
                <w:sz w:val="18"/>
                <w:szCs w:val="18"/>
              </w:rPr>
              <w:t>1.386***</w:t>
            </w:r>
          </w:p>
        </w:tc>
        <w:tc>
          <w:tcPr>
            <w:tcW w:w="1319" w:type="dxa"/>
            <w:tcBorders>
              <w:top w:val="single" w:sz="4" w:space="0" w:color="auto"/>
              <w:bottom w:val="nil"/>
            </w:tcBorders>
          </w:tcPr>
          <w:p w14:paraId="02B0605B" w14:textId="77777777" w:rsidR="007701DC" w:rsidRPr="007701DC" w:rsidRDefault="007701DC" w:rsidP="007701DC">
            <w:pPr>
              <w:tabs>
                <w:tab w:val="decimal" w:pos="430"/>
              </w:tabs>
              <w:spacing w:before="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7701DC">
              <w:rPr>
                <w:rFonts w:ascii="Times New Roman" w:hAnsi="Times New Roman" w:cs="Times New Roman"/>
                <w:color w:val="000000"/>
                <w:sz w:val="18"/>
                <w:szCs w:val="18"/>
              </w:rPr>
              <w:t>-2.635***</w:t>
            </w:r>
          </w:p>
        </w:tc>
      </w:tr>
      <w:tr w:rsidR="007701DC" w:rsidRPr="007701DC" w14:paraId="58681A1E" w14:textId="77777777" w:rsidTr="00E349C8">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2471" w:type="dxa"/>
            <w:tcBorders>
              <w:top w:val="nil"/>
              <w:bottom w:val="nil"/>
            </w:tcBorders>
          </w:tcPr>
          <w:p w14:paraId="50421266" w14:textId="77777777" w:rsidR="007701DC" w:rsidRPr="00BA6F83" w:rsidRDefault="007701DC" w:rsidP="007701DC">
            <w:pPr>
              <w:rPr>
                <w:rFonts w:ascii="Times New Roman" w:hAnsi="Times New Roman" w:cs="Times New Roman"/>
                <w:b w:val="0"/>
                <w:color w:val="000000"/>
                <w:sz w:val="18"/>
                <w:szCs w:val="18"/>
              </w:rPr>
            </w:pPr>
            <w:r w:rsidRPr="00BA6F83">
              <w:rPr>
                <w:rFonts w:ascii="Times New Roman" w:hAnsi="Times New Roman" w:cs="Times New Roman"/>
                <w:b w:val="0"/>
                <w:color w:val="000000"/>
                <w:sz w:val="18"/>
                <w:szCs w:val="18"/>
              </w:rPr>
              <w:t>Age &lt; 45</w:t>
            </w:r>
          </w:p>
        </w:tc>
        <w:tc>
          <w:tcPr>
            <w:tcW w:w="1235" w:type="dxa"/>
            <w:tcBorders>
              <w:top w:val="nil"/>
              <w:bottom w:val="nil"/>
            </w:tcBorders>
          </w:tcPr>
          <w:p w14:paraId="11C8BC2F" w14:textId="77777777" w:rsidR="007701DC" w:rsidRPr="00BA6F83" w:rsidRDefault="007701DC" w:rsidP="007701DC">
            <w:pPr>
              <w:tabs>
                <w:tab w:val="decimal" w:pos="33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0.04</w:t>
            </w:r>
          </w:p>
        </w:tc>
        <w:tc>
          <w:tcPr>
            <w:tcW w:w="1318" w:type="dxa"/>
            <w:tcBorders>
              <w:top w:val="nil"/>
              <w:bottom w:val="nil"/>
            </w:tcBorders>
          </w:tcPr>
          <w:p w14:paraId="5CE8047B" w14:textId="77777777" w:rsidR="007701DC" w:rsidRPr="00BA6F83" w:rsidRDefault="007701DC" w:rsidP="007701DC">
            <w:pPr>
              <w:tabs>
                <w:tab w:val="decimal" w:pos="434"/>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0.34**</w:t>
            </w:r>
          </w:p>
        </w:tc>
        <w:tc>
          <w:tcPr>
            <w:tcW w:w="247" w:type="dxa"/>
            <w:tcBorders>
              <w:top w:val="nil"/>
              <w:bottom w:val="nil"/>
            </w:tcBorders>
          </w:tcPr>
          <w:p w14:paraId="4C00BF5F" w14:textId="77777777" w:rsidR="007701DC" w:rsidRPr="00BA6F83" w:rsidRDefault="007701DC" w:rsidP="007701DC">
            <w:pPr>
              <w:tabs>
                <w:tab w:val="decimal" w:pos="54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p>
        </w:tc>
        <w:tc>
          <w:tcPr>
            <w:tcW w:w="1235" w:type="dxa"/>
            <w:tcBorders>
              <w:top w:val="nil"/>
              <w:bottom w:val="nil"/>
            </w:tcBorders>
          </w:tcPr>
          <w:p w14:paraId="53BA6D70" w14:textId="77777777" w:rsidR="007701DC" w:rsidRPr="00BA6F83" w:rsidRDefault="007701DC" w:rsidP="007701DC">
            <w:pPr>
              <w:tabs>
                <w:tab w:val="decimal" w:pos="34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-0.270***</w:t>
            </w:r>
          </w:p>
        </w:tc>
        <w:tc>
          <w:tcPr>
            <w:tcW w:w="1400" w:type="dxa"/>
            <w:tcBorders>
              <w:top w:val="nil"/>
              <w:bottom w:val="nil"/>
            </w:tcBorders>
          </w:tcPr>
          <w:p w14:paraId="320537EE" w14:textId="77777777" w:rsidR="007701DC" w:rsidRPr="007701DC" w:rsidRDefault="007701DC" w:rsidP="007701DC">
            <w:pPr>
              <w:tabs>
                <w:tab w:val="decimal" w:pos="429"/>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7701DC">
              <w:rPr>
                <w:rFonts w:ascii="Times New Roman" w:hAnsi="Times New Roman" w:cs="Times New Roman"/>
                <w:color w:val="000000"/>
                <w:sz w:val="18"/>
                <w:szCs w:val="18"/>
              </w:rPr>
              <w:t>-0.295***</w:t>
            </w:r>
          </w:p>
        </w:tc>
        <w:tc>
          <w:tcPr>
            <w:tcW w:w="1319" w:type="dxa"/>
            <w:tcBorders>
              <w:top w:val="nil"/>
              <w:bottom w:val="nil"/>
            </w:tcBorders>
          </w:tcPr>
          <w:p w14:paraId="0D3F81ED" w14:textId="77777777" w:rsidR="007701DC" w:rsidRPr="007701DC" w:rsidRDefault="007701DC" w:rsidP="007701DC">
            <w:pPr>
              <w:tabs>
                <w:tab w:val="decimal" w:pos="43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7701DC">
              <w:rPr>
                <w:rFonts w:ascii="Times New Roman" w:hAnsi="Times New Roman" w:cs="Times New Roman"/>
                <w:color w:val="000000"/>
                <w:sz w:val="18"/>
                <w:szCs w:val="18"/>
              </w:rPr>
              <w:t>0.048</w:t>
            </w:r>
          </w:p>
        </w:tc>
      </w:tr>
      <w:tr w:rsidR="007701DC" w:rsidRPr="007701DC" w14:paraId="57D129E9" w14:textId="77777777" w:rsidTr="00E349C8">
        <w:trPr>
          <w:trHeight w:val="195"/>
        </w:trPr>
        <w:tc>
          <w:tcPr>
            <w:cnfStyle w:val="001000000000" w:firstRow="0" w:lastRow="0" w:firstColumn="1" w:lastColumn="0" w:oddVBand="0" w:evenVBand="0" w:oddHBand="0" w:evenHBand="0" w:firstRowFirstColumn="0" w:firstRowLastColumn="0" w:lastRowFirstColumn="0" w:lastRowLastColumn="0"/>
            <w:tcW w:w="2471" w:type="dxa"/>
            <w:tcBorders>
              <w:top w:val="nil"/>
              <w:bottom w:val="nil"/>
            </w:tcBorders>
          </w:tcPr>
          <w:p w14:paraId="2CBED381" w14:textId="77777777" w:rsidR="007701DC" w:rsidRPr="00BA6F83" w:rsidRDefault="007701DC" w:rsidP="007701DC">
            <w:pPr>
              <w:rPr>
                <w:rFonts w:ascii="Times New Roman" w:hAnsi="Times New Roman" w:cs="Times New Roman"/>
                <w:b w:val="0"/>
                <w:color w:val="000000"/>
                <w:sz w:val="18"/>
                <w:szCs w:val="18"/>
              </w:rPr>
            </w:pPr>
            <w:r w:rsidRPr="00BA6F83">
              <w:rPr>
                <w:rFonts w:ascii="Times New Roman" w:hAnsi="Times New Roman" w:cs="Times New Roman"/>
                <w:b w:val="0"/>
                <w:color w:val="000000"/>
                <w:sz w:val="18"/>
                <w:szCs w:val="18"/>
              </w:rPr>
              <w:t>Female householder</w:t>
            </w:r>
          </w:p>
        </w:tc>
        <w:tc>
          <w:tcPr>
            <w:tcW w:w="1235" w:type="dxa"/>
            <w:tcBorders>
              <w:top w:val="nil"/>
              <w:bottom w:val="nil"/>
            </w:tcBorders>
          </w:tcPr>
          <w:p w14:paraId="2FC4D734" w14:textId="77777777" w:rsidR="007701DC" w:rsidRPr="00BA6F83" w:rsidRDefault="007701DC" w:rsidP="007701DC">
            <w:pPr>
              <w:tabs>
                <w:tab w:val="decimal" w:pos="33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0.035</w:t>
            </w:r>
          </w:p>
        </w:tc>
        <w:tc>
          <w:tcPr>
            <w:tcW w:w="1318" w:type="dxa"/>
            <w:tcBorders>
              <w:top w:val="nil"/>
              <w:bottom w:val="nil"/>
            </w:tcBorders>
          </w:tcPr>
          <w:p w14:paraId="2D80A97A" w14:textId="77777777" w:rsidR="007701DC" w:rsidRPr="00BA6F83" w:rsidRDefault="007701DC" w:rsidP="007701DC">
            <w:pPr>
              <w:tabs>
                <w:tab w:val="decimal" w:pos="43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0.191</w:t>
            </w:r>
          </w:p>
        </w:tc>
        <w:tc>
          <w:tcPr>
            <w:tcW w:w="247" w:type="dxa"/>
            <w:tcBorders>
              <w:top w:val="nil"/>
              <w:bottom w:val="nil"/>
            </w:tcBorders>
          </w:tcPr>
          <w:p w14:paraId="3BF28104" w14:textId="77777777" w:rsidR="007701DC" w:rsidRPr="00BA6F83" w:rsidRDefault="007701DC" w:rsidP="007701DC">
            <w:pPr>
              <w:tabs>
                <w:tab w:val="decimal" w:pos="541"/>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1235" w:type="dxa"/>
            <w:tcBorders>
              <w:top w:val="nil"/>
              <w:bottom w:val="nil"/>
            </w:tcBorders>
          </w:tcPr>
          <w:p w14:paraId="614C4C2B" w14:textId="77777777" w:rsidR="007701DC" w:rsidRPr="00BA6F83" w:rsidRDefault="007701DC" w:rsidP="007701DC">
            <w:pPr>
              <w:tabs>
                <w:tab w:val="decimal" w:pos="3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sz w:val="18"/>
                <w:szCs w:val="18"/>
              </w:rPr>
              <w:t>-0.319***</w:t>
            </w:r>
          </w:p>
        </w:tc>
        <w:tc>
          <w:tcPr>
            <w:tcW w:w="1400" w:type="dxa"/>
            <w:tcBorders>
              <w:top w:val="nil"/>
              <w:bottom w:val="nil"/>
            </w:tcBorders>
          </w:tcPr>
          <w:p w14:paraId="47130608" w14:textId="77777777" w:rsidR="007701DC" w:rsidRPr="007701DC" w:rsidRDefault="007701DC" w:rsidP="007701DC">
            <w:pPr>
              <w:tabs>
                <w:tab w:val="decimal" w:pos="42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7701DC">
              <w:rPr>
                <w:rFonts w:ascii="Times New Roman" w:hAnsi="Times New Roman" w:cs="Times New Roman"/>
                <w:color w:val="000000"/>
                <w:sz w:val="18"/>
                <w:szCs w:val="18"/>
              </w:rPr>
              <w:t>0.116</w:t>
            </w:r>
          </w:p>
        </w:tc>
        <w:tc>
          <w:tcPr>
            <w:tcW w:w="1319" w:type="dxa"/>
            <w:tcBorders>
              <w:top w:val="nil"/>
              <w:bottom w:val="nil"/>
            </w:tcBorders>
          </w:tcPr>
          <w:p w14:paraId="3FDB36C6" w14:textId="77777777" w:rsidR="007701DC" w:rsidRPr="007701DC" w:rsidRDefault="007701DC" w:rsidP="007701DC">
            <w:pPr>
              <w:tabs>
                <w:tab w:val="decimal" w:pos="4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7701DC">
              <w:rPr>
                <w:rFonts w:ascii="Times New Roman" w:hAnsi="Times New Roman" w:cs="Times New Roman"/>
                <w:color w:val="000000"/>
                <w:sz w:val="18"/>
                <w:szCs w:val="18"/>
              </w:rPr>
              <w:t>-0.135</w:t>
            </w:r>
          </w:p>
        </w:tc>
      </w:tr>
      <w:tr w:rsidR="007701DC" w:rsidRPr="007701DC" w14:paraId="36FF16BE" w14:textId="77777777" w:rsidTr="00E349C8">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2471" w:type="dxa"/>
            <w:tcBorders>
              <w:top w:val="nil"/>
              <w:bottom w:val="nil"/>
            </w:tcBorders>
          </w:tcPr>
          <w:p w14:paraId="0E41C3A3" w14:textId="77777777" w:rsidR="007701DC" w:rsidRPr="00BA6F83" w:rsidRDefault="007701DC" w:rsidP="007701DC">
            <w:pPr>
              <w:rPr>
                <w:rFonts w:ascii="Times New Roman" w:hAnsi="Times New Roman" w:cs="Times New Roman"/>
                <w:b w:val="0"/>
                <w:color w:val="000000"/>
                <w:sz w:val="18"/>
                <w:szCs w:val="18"/>
              </w:rPr>
            </w:pPr>
            <w:r w:rsidRPr="00BA6F83">
              <w:rPr>
                <w:rFonts w:ascii="Times New Roman" w:hAnsi="Times New Roman" w:cs="Times New Roman"/>
                <w:b w:val="0"/>
                <w:color w:val="000000"/>
                <w:sz w:val="18"/>
                <w:szCs w:val="18"/>
              </w:rPr>
              <w:t xml:space="preserve">University degree </w:t>
            </w:r>
          </w:p>
        </w:tc>
        <w:tc>
          <w:tcPr>
            <w:tcW w:w="1235" w:type="dxa"/>
            <w:tcBorders>
              <w:top w:val="nil"/>
              <w:bottom w:val="nil"/>
            </w:tcBorders>
          </w:tcPr>
          <w:p w14:paraId="0BFAFE96" w14:textId="77777777" w:rsidR="007701DC" w:rsidRPr="00BA6F83" w:rsidRDefault="007701DC" w:rsidP="007701DC">
            <w:pPr>
              <w:tabs>
                <w:tab w:val="decimal" w:pos="33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-0.045**</w:t>
            </w:r>
          </w:p>
        </w:tc>
        <w:tc>
          <w:tcPr>
            <w:tcW w:w="1318" w:type="dxa"/>
            <w:tcBorders>
              <w:top w:val="nil"/>
              <w:bottom w:val="nil"/>
            </w:tcBorders>
          </w:tcPr>
          <w:p w14:paraId="37058713" w14:textId="77777777" w:rsidR="007701DC" w:rsidRPr="00BA6F83" w:rsidRDefault="007701DC" w:rsidP="007701DC">
            <w:pPr>
              <w:tabs>
                <w:tab w:val="decimal" w:pos="434"/>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0.164**</w:t>
            </w:r>
          </w:p>
        </w:tc>
        <w:tc>
          <w:tcPr>
            <w:tcW w:w="247" w:type="dxa"/>
            <w:tcBorders>
              <w:top w:val="nil"/>
              <w:bottom w:val="nil"/>
            </w:tcBorders>
          </w:tcPr>
          <w:p w14:paraId="6A1BC1C9" w14:textId="77777777" w:rsidR="007701DC" w:rsidRPr="00BA6F83" w:rsidRDefault="007701DC" w:rsidP="007701DC">
            <w:pPr>
              <w:tabs>
                <w:tab w:val="decimal" w:pos="54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p>
        </w:tc>
        <w:tc>
          <w:tcPr>
            <w:tcW w:w="1235" w:type="dxa"/>
            <w:tcBorders>
              <w:top w:val="nil"/>
              <w:bottom w:val="nil"/>
            </w:tcBorders>
          </w:tcPr>
          <w:p w14:paraId="45E62CB6" w14:textId="77777777" w:rsidR="007701DC" w:rsidRPr="00BA6F83" w:rsidRDefault="007701DC" w:rsidP="007701DC">
            <w:pPr>
              <w:tabs>
                <w:tab w:val="decimal" w:pos="34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-0.412***</w:t>
            </w:r>
          </w:p>
        </w:tc>
        <w:tc>
          <w:tcPr>
            <w:tcW w:w="1400" w:type="dxa"/>
            <w:tcBorders>
              <w:top w:val="nil"/>
              <w:bottom w:val="nil"/>
            </w:tcBorders>
          </w:tcPr>
          <w:p w14:paraId="2A4E2327" w14:textId="77777777" w:rsidR="007701DC" w:rsidRPr="007701DC" w:rsidRDefault="007701DC" w:rsidP="007701DC">
            <w:pPr>
              <w:tabs>
                <w:tab w:val="decimal" w:pos="429"/>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7701DC">
              <w:rPr>
                <w:rFonts w:ascii="Times New Roman" w:hAnsi="Times New Roman" w:cs="Times New Roman"/>
                <w:color w:val="000000"/>
                <w:sz w:val="18"/>
                <w:szCs w:val="18"/>
              </w:rPr>
              <w:t>0.210***</w:t>
            </w:r>
          </w:p>
        </w:tc>
        <w:tc>
          <w:tcPr>
            <w:tcW w:w="1319" w:type="dxa"/>
            <w:tcBorders>
              <w:top w:val="nil"/>
              <w:bottom w:val="nil"/>
            </w:tcBorders>
          </w:tcPr>
          <w:p w14:paraId="12A74B43" w14:textId="77777777" w:rsidR="007701DC" w:rsidRPr="007701DC" w:rsidRDefault="007701DC" w:rsidP="007701DC">
            <w:pPr>
              <w:tabs>
                <w:tab w:val="decimal" w:pos="43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7701DC">
              <w:rPr>
                <w:rFonts w:ascii="Times New Roman" w:hAnsi="Times New Roman" w:cs="Times New Roman"/>
                <w:color w:val="000000"/>
                <w:sz w:val="18"/>
                <w:szCs w:val="18"/>
              </w:rPr>
              <w:t>0.040</w:t>
            </w:r>
          </w:p>
        </w:tc>
      </w:tr>
      <w:tr w:rsidR="007701DC" w:rsidRPr="007701DC" w14:paraId="1355F4E6" w14:textId="77777777" w:rsidTr="00E349C8">
        <w:trPr>
          <w:trHeight w:val="211"/>
        </w:trPr>
        <w:tc>
          <w:tcPr>
            <w:cnfStyle w:val="001000000000" w:firstRow="0" w:lastRow="0" w:firstColumn="1" w:lastColumn="0" w:oddVBand="0" w:evenVBand="0" w:oddHBand="0" w:evenHBand="0" w:firstRowFirstColumn="0" w:firstRowLastColumn="0" w:lastRowFirstColumn="0" w:lastRowLastColumn="0"/>
            <w:tcW w:w="2471" w:type="dxa"/>
            <w:tcBorders>
              <w:top w:val="nil"/>
              <w:bottom w:val="nil"/>
            </w:tcBorders>
          </w:tcPr>
          <w:p w14:paraId="731842D9" w14:textId="77777777" w:rsidR="007701DC" w:rsidRPr="00BA6F83" w:rsidRDefault="007701DC" w:rsidP="007701DC">
            <w:pPr>
              <w:rPr>
                <w:rFonts w:ascii="Times New Roman" w:hAnsi="Times New Roman" w:cs="Times New Roman"/>
                <w:b w:val="0"/>
                <w:color w:val="000000"/>
                <w:sz w:val="18"/>
                <w:szCs w:val="18"/>
              </w:rPr>
            </w:pPr>
            <w:r w:rsidRPr="00BA6F83">
              <w:rPr>
                <w:rFonts w:ascii="Times New Roman" w:hAnsi="Times New Roman" w:cs="Times New Roman"/>
                <w:b w:val="0"/>
                <w:color w:val="000000"/>
                <w:sz w:val="18"/>
                <w:szCs w:val="18"/>
              </w:rPr>
              <w:t>Multicar household</w:t>
            </w:r>
          </w:p>
        </w:tc>
        <w:tc>
          <w:tcPr>
            <w:tcW w:w="1235" w:type="dxa"/>
            <w:tcBorders>
              <w:top w:val="nil"/>
              <w:bottom w:val="nil"/>
            </w:tcBorders>
          </w:tcPr>
          <w:p w14:paraId="04C97825" w14:textId="77777777" w:rsidR="007701DC" w:rsidRPr="00BA6F83" w:rsidRDefault="007701DC" w:rsidP="007701DC">
            <w:pPr>
              <w:tabs>
                <w:tab w:val="decimal" w:pos="33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0.099</w:t>
            </w:r>
          </w:p>
        </w:tc>
        <w:tc>
          <w:tcPr>
            <w:tcW w:w="1318" w:type="dxa"/>
            <w:tcBorders>
              <w:top w:val="nil"/>
              <w:bottom w:val="nil"/>
            </w:tcBorders>
          </w:tcPr>
          <w:p w14:paraId="4012D9EA" w14:textId="77777777" w:rsidR="007701DC" w:rsidRPr="00BA6F83" w:rsidRDefault="007701DC" w:rsidP="007701DC">
            <w:pPr>
              <w:tabs>
                <w:tab w:val="decimal" w:pos="43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0.082</w:t>
            </w:r>
          </w:p>
        </w:tc>
        <w:tc>
          <w:tcPr>
            <w:tcW w:w="247" w:type="dxa"/>
            <w:tcBorders>
              <w:top w:val="nil"/>
              <w:bottom w:val="nil"/>
            </w:tcBorders>
          </w:tcPr>
          <w:p w14:paraId="2E3EC1DF" w14:textId="77777777" w:rsidR="007701DC" w:rsidRPr="00BA6F83" w:rsidRDefault="007701DC" w:rsidP="007701DC">
            <w:pPr>
              <w:tabs>
                <w:tab w:val="decimal" w:pos="541"/>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1235" w:type="dxa"/>
            <w:tcBorders>
              <w:top w:val="nil"/>
              <w:bottom w:val="nil"/>
            </w:tcBorders>
          </w:tcPr>
          <w:p w14:paraId="38A05603" w14:textId="77777777" w:rsidR="007701DC" w:rsidRPr="00BA6F83" w:rsidRDefault="007701DC" w:rsidP="007701DC">
            <w:pPr>
              <w:tabs>
                <w:tab w:val="decimal" w:pos="3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sz w:val="18"/>
                <w:szCs w:val="18"/>
              </w:rPr>
              <w:t>0.045</w:t>
            </w:r>
          </w:p>
        </w:tc>
        <w:tc>
          <w:tcPr>
            <w:tcW w:w="1400" w:type="dxa"/>
            <w:tcBorders>
              <w:top w:val="nil"/>
              <w:bottom w:val="nil"/>
            </w:tcBorders>
          </w:tcPr>
          <w:p w14:paraId="7A108E4C" w14:textId="77777777" w:rsidR="007701DC" w:rsidRPr="007701DC" w:rsidRDefault="007701DC" w:rsidP="007701DC">
            <w:pPr>
              <w:tabs>
                <w:tab w:val="decimal" w:pos="42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7701DC">
              <w:rPr>
                <w:rFonts w:ascii="Times New Roman" w:hAnsi="Times New Roman" w:cs="Times New Roman"/>
                <w:color w:val="000000"/>
                <w:sz w:val="18"/>
                <w:szCs w:val="18"/>
              </w:rPr>
              <w:t>-0.008</w:t>
            </w:r>
          </w:p>
        </w:tc>
        <w:tc>
          <w:tcPr>
            <w:tcW w:w="1319" w:type="dxa"/>
            <w:tcBorders>
              <w:top w:val="nil"/>
              <w:bottom w:val="nil"/>
            </w:tcBorders>
          </w:tcPr>
          <w:p w14:paraId="682FF850" w14:textId="77777777" w:rsidR="007701DC" w:rsidRPr="007701DC" w:rsidRDefault="007701DC" w:rsidP="007701DC">
            <w:pPr>
              <w:tabs>
                <w:tab w:val="decimal" w:pos="4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7701DC">
              <w:rPr>
                <w:rFonts w:ascii="Times New Roman" w:hAnsi="Times New Roman" w:cs="Times New Roman"/>
                <w:color w:val="000000"/>
                <w:sz w:val="18"/>
                <w:szCs w:val="18"/>
              </w:rPr>
              <w:t>-0.217</w:t>
            </w:r>
          </w:p>
        </w:tc>
      </w:tr>
      <w:tr w:rsidR="007701DC" w:rsidRPr="007701DC" w14:paraId="3CFFBB87" w14:textId="77777777" w:rsidTr="00E349C8">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2471" w:type="dxa"/>
            <w:tcBorders>
              <w:top w:val="nil"/>
              <w:bottom w:val="nil"/>
            </w:tcBorders>
          </w:tcPr>
          <w:p w14:paraId="63A0DB3E" w14:textId="77777777" w:rsidR="007701DC" w:rsidRPr="00BA6F83" w:rsidRDefault="007701DC" w:rsidP="007701DC">
            <w:pPr>
              <w:rPr>
                <w:rFonts w:ascii="Times New Roman" w:hAnsi="Times New Roman" w:cs="Times New Roman"/>
                <w:b w:val="0"/>
                <w:color w:val="000000"/>
                <w:sz w:val="18"/>
                <w:szCs w:val="18"/>
              </w:rPr>
            </w:pPr>
            <w:r w:rsidRPr="00BA6F83">
              <w:rPr>
                <w:rFonts w:ascii="Times New Roman" w:hAnsi="Times New Roman" w:cs="Times New Roman"/>
                <w:b w:val="0"/>
                <w:color w:val="000000"/>
                <w:sz w:val="18"/>
                <w:szCs w:val="18"/>
              </w:rPr>
              <w:t>Homeowner</w:t>
            </w:r>
          </w:p>
        </w:tc>
        <w:tc>
          <w:tcPr>
            <w:tcW w:w="1235" w:type="dxa"/>
            <w:tcBorders>
              <w:top w:val="nil"/>
              <w:bottom w:val="nil"/>
            </w:tcBorders>
          </w:tcPr>
          <w:p w14:paraId="2D07C280" w14:textId="77777777" w:rsidR="007701DC" w:rsidRPr="00BA6F83" w:rsidRDefault="007701DC" w:rsidP="007701DC">
            <w:pPr>
              <w:tabs>
                <w:tab w:val="decimal" w:pos="33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0.302*</w:t>
            </w:r>
          </w:p>
        </w:tc>
        <w:tc>
          <w:tcPr>
            <w:tcW w:w="1318" w:type="dxa"/>
            <w:tcBorders>
              <w:top w:val="nil"/>
              <w:bottom w:val="nil"/>
            </w:tcBorders>
          </w:tcPr>
          <w:p w14:paraId="1DBD6E56" w14:textId="77777777" w:rsidR="007701DC" w:rsidRPr="00BA6F83" w:rsidRDefault="007701DC" w:rsidP="007701DC">
            <w:pPr>
              <w:tabs>
                <w:tab w:val="decimal" w:pos="43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0.246</w:t>
            </w:r>
          </w:p>
        </w:tc>
        <w:tc>
          <w:tcPr>
            <w:tcW w:w="247" w:type="dxa"/>
            <w:tcBorders>
              <w:top w:val="nil"/>
              <w:bottom w:val="nil"/>
            </w:tcBorders>
          </w:tcPr>
          <w:p w14:paraId="073E97D0" w14:textId="77777777" w:rsidR="007701DC" w:rsidRPr="00BA6F83" w:rsidRDefault="007701DC" w:rsidP="007701DC">
            <w:pPr>
              <w:tabs>
                <w:tab w:val="decimal" w:pos="54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p>
        </w:tc>
        <w:tc>
          <w:tcPr>
            <w:tcW w:w="1235" w:type="dxa"/>
            <w:tcBorders>
              <w:top w:val="nil"/>
              <w:bottom w:val="nil"/>
            </w:tcBorders>
          </w:tcPr>
          <w:p w14:paraId="0752AD61" w14:textId="77777777" w:rsidR="007701DC" w:rsidRPr="00BA6F83" w:rsidRDefault="007701DC" w:rsidP="007701DC">
            <w:pPr>
              <w:tabs>
                <w:tab w:val="decimal" w:pos="3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A6F83">
              <w:rPr>
                <w:rFonts w:ascii="Times New Roman" w:hAnsi="Times New Roman" w:cs="Times New Roman"/>
                <w:color w:val="000000"/>
                <w:sz w:val="18"/>
                <w:szCs w:val="18"/>
              </w:rPr>
              <w:t>-0.015</w:t>
            </w:r>
          </w:p>
        </w:tc>
        <w:tc>
          <w:tcPr>
            <w:tcW w:w="1400" w:type="dxa"/>
            <w:tcBorders>
              <w:top w:val="nil"/>
              <w:bottom w:val="nil"/>
            </w:tcBorders>
          </w:tcPr>
          <w:p w14:paraId="09D2192A" w14:textId="77777777" w:rsidR="007701DC" w:rsidRPr="007701DC" w:rsidRDefault="007701DC" w:rsidP="007701DC">
            <w:pPr>
              <w:tabs>
                <w:tab w:val="decimal" w:pos="42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7701DC">
              <w:rPr>
                <w:rFonts w:ascii="Times New Roman" w:hAnsi="Times New Roman" w:cs="Times New Roman"/>
                <w:color w:val="000000"/>
                <w:sz w:val="18"/>
                <w:szCs w:val="18"/>
              </w:rPr>
              <w:t>-0.049</w:t>
            </w:r>
          </w:p>
        </w:tc>
        <w:tc>
          <w:tcPr>
            <w:tcW w:w="1319" w:type="dxa"/>
            <w:tcBorders>
              <w:top w:val="nil"/>
              <w:bottom w:val="nil"/>
            </w:tcBorders>
          </w:tcPr>
          <w:p w14:paraId="5C1C1934" w14:textId="77777777" w:rsidR="007701DC" w:rsidRPr="007701DC" w:rsidRDefault="007701DC" w:rsidP="007701DC">
            <w:pPr>
              <w:tabs>
                <w:tab w:val="decimal" w:pos="4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7701DC">
              <w:rPr>
                <w:rFonts w:ascii="Times New Roman" w:hAnsi="Times New Roman" w:cs="Times New Roman"/>
                <w:color w:val="000000"/>
                <w:sz w:val="18"/>
                <w:szCs w:val="18"/>
              </w:rPr>
              <w:t>-0.176</w:t>
            </w:r>
          </w:p>
        </w:tc>
      </w:tr>
      <w:tr w:rsidR="007701DC" w:rsidRPr="007701DC" w14:paraId="12993675" w14:textId="77777777" w:rsidTr="00E349C8">
        <w:trPr>
          <w:trHeight w:val="195"/>
        </w:trPr>
        <w:tc>
          <w:tcPr>
            <w:cnfStyle w:val="001000000000" w:firstRow="0" w:lastRow="0" w:firstColumn="1" w:lastColumn="0" w:oddVBand="0" w:evenVBand="0" w:oddHBand="0" w:evenHBand="0" w:firstRowFirstColumn="0" w:firstRowLastColumn="0" w:lastRowFirstColumn="0" w:lastRowLastColumn="0"/>
            <w:tcW w:w="2471" w:type="dxa"/>
            <w:tcBorders>
              <w:top w:val="nil"/>
              <w:bottom w:val="nil"/>
            </w:tcBorders>
          </w:tcPr>
          <w:p w14:paraId="39CA0981" w14:textId="77777777" w:rsidR="007701DC" w:rsidRPr="00BA6F83" w:rsidRDefault="007701DC" w:rsidP="007701DC">
            <w:pPr>
              <w:rPr>
                <w:rFonts w:ascii="Times New Roman" w:hAnsi="Times New Roman" w:cs="Times New Roman"/>
                <w:b w:val="0"/>
                <w:color w:val="000000"/>
                <w:sz w:val="18"/>
                <w:szCs w:val="18"/>
              </w:rPr>
            </w:pPr>
            <w:r w:rsidRPr="00BA6F83">
              <w:rPr>
                <w:rFonts w:ascii="Times New Roman" w:hAnsi="Times New Roman" w:cs="Times New Roman"/>
                <w:b w:val="0"/>
                <w:color w:val="000000"/>
                <w:sz w:val="18"/>
                <w:szCs w:val="18"/>
              </w:rPr>
              <w:t>Economy size</w:t>
            </w:r>
          </w:p>
        </w:tc>
        <w:tc>
          <w:tcPr>
            <w:tcW w:w="1235" w:type="dxa"/>
            <w:tcBorders>
              <w:top w:val="nil"/>
              <w:bottom w:val="nil"/>
            </w:tcBorders>
          </w:tcPr>
          <w:p w14:paraId="16DB5D14" w14:textId="77777777" w:rsidR="007701DC" w:rsidRPr="00BA6F83" w:rsidRDefault="007701DC" w:rsidP="007701DC">
            <w:pPr>
              <w:tabs>
                <w:tab w:val="decimal" w:pos="33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0.549***</w:t>
            </w:r>
          </w:p>
        </w:tc>
        <w:tc>
          <w:tcPr>
            <w:tcW w:w="1318" w:type="dxa"/>
            <w:tcBorders>
              <w:top w:val="nil"/>
              <w:bottom w:val="nil"/>
            </w:tcBorders>
          </w:tcPr>
          <w:p w14:paraId="788E791E" w14:textId="77777777" w:rsidR="007701DC" w:rsidRPr="00BA6F83" w:rsidRDefault="007701DC" w:rsidP="007701DC">
            <w:pPr>
              <w:tabs>
                <w:tab w:val="decimal" w:pos="434"/>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0.363**</w:t>
            </w:r>
          </w:p>
        </w:tc>
        <w:tc>
          <w:tcPr>
            <w:tcW w:w="247" w:type="dxa"/>
            <w:tcBorders>
              <w:top w:val="nil"/>
              <w:bottom w:val="nil"/>
            </w:tcBorders>
          </w:tcPr>
          <w:p w14:paraId="0CC95E3A" w14:textId="77777777" w:rsidR="007701DC" w:rsidRPr="00BA6F83" w:rsidRDefault="007701DC" w:rsidP="007701DC">
            <w:pPr>
              <w:tabs>
                <w:tab w:val="decimal" w:pos="541"/>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1235" w:type="dxa"/>
            <w:tcBorders>
              <w:top w:val="nil"/>
              <w:bottom w:val="nil"/>
            </w:tcBorders>
          </w:tcPr>
          <w:p w14:paraId="243080F5" w14:textId="77777777" w:rsidR="007701DC" w:rsidRPr="00BA6F83" w:rsidRDefault="007701DC" w:rsidP="007701DC">
            <w:pPr>
              <w:tabs>
                <w:tab w:val="decimal" w:pos="3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A6F83">
              <w:rPr>
                <w:rFonts w:ascii="Times New Roman" w:hAnsi="Times New Roman" w:cs="Times New Roman"/>
                <w:color w:val="000000"/>
                <w:sz w:val="18"/>
                <w:szCs w:val="18"/>
              </w:rPr>
              <w:t>-0.031</w:t>
            </w:r>
          </w:p>
        </w:tc>
        <w:tc>
          <w:tcPr>
            <w:tcW w:w="1400" w:type="dxa"/>
            <w:tcBorders>
              <w:top w:val="nil"/>
              <w:bottom w:val="nil"/>
            </w:tcBorders>
          </w:tcPr>
          <w:p w14:paraId="73CFFF15" w14:textId="77777777" w:rsidR="007701DC" w:rsidRPr="007701DC" w:rsidRDefault="007701DC" w:rsidP="007701DC">
            <w:pPr>
              <w:tabs>
                <w:tab w:val="decimal" w:pos="42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7701DC">
              <w:rPr>
                <w:rFonts w:ascii="Times New Roman" w:hAnsi="Times New Roman" w:cs="Times New Roman"/>
                <w:color w:val="000000"/>
                <w:sz w:val="18"/>
                <w:szCs w:val="18"/>
              </w:rPr>
              <w:t>-0.112</w:t>
            </w:r>
          </w:p>
        </w:tc>
        <w:tc>
          <w:tcPr>
            <w:tcW w:w="1319" w:type="dxa"/>
            <w:tcBorders>
              <w:top w:val="nil"/>
              <w:bottom w:val="nil"/>
            </w:tcBorders>
          </w:tcPr>
          <w:p w14:paraId="0D79BECB" w14:textId="77777777" w:rsidR="007701DC" w:rsidRPr="007701DC" w:rsidRDefault="007701DC" w:rsidP="007701DC">
            <w:pPr>
              <w:tabs>
                <w:tab w:val="decimal" w:pos="4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7701DC">
              <w:rPr>
                <w:rFonts w:ascii="Times New Roman" w:hAnsi="Times New Roman" w:cs="Times New Roman"/>
                <w:color w:val="000000"/>
                <w:sz w:val="18"/>
                <w:szCs w:val="18"/>
              </w:rPr>
              <w:t>0.309***</w:t>
            </w:r>
          </w:p>
        </w:tc>
      </w:tr>
      <w:tr w:rsidR="007701DC" w:rsidRPr="007701DC" w14:paraId="7CD93D4A" w14:textId="77777777" w:rsidTr="00E349C8">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2471" w:type="dxa"/>
            <w:tcBorders>
              <w:top w:val="nil"/>
              <w:bottom w:val="nil"/>
            </w:tcBorders>
          </w:tcPr>
          <w:p w14:paraId="1ACAEFA3" w14:textId="77777777" w:rsidR="007701DC" w:rsidRPr="00BA6F83" w:rsidRDefault="007701DC" w:rsidP="007701DC">
            <w:pPr>
              <w:rPr>
                <w:rFonts w:ascii="Times New Roman" w:hAnsi="Times New Roman" w:cs="Times New Roman"/>
                <w:b w:val="0"/>
                <w:color w:val="000000"/>
                <w:sz w:val="18"/>
                <w:szCs w:val="18"/>
              </w:rPr>
            </w:pPr>
            <w:r w:rsidRPr="00BA6F83">
              <w:rPr>
                <w:rFonts w:ascii="Times New Roman" w:hAnsi="Times New Roman" w:cs="Times New Roman"/>
                <w:b w:val="0"/>
                <w:color w:val="000000"/>
                <w:sz w:val="18"/>
                <w:szCs w:val="18"/>
              </w:rPr>
              <w:t>Keeping vehicle &lt; 3 years</w:t>
            </w:r>
          </w:p>
        </w:tc>
        <w:tc>
          <w:tcPr>
            <w:tcW w:w="1235" w:type="dxa"/>
            <w:tcBorders>
              <w:top w:val="nil"/>
              <w:bottom w:val="nil"/>
            </w:tcBorders>
          </w:tcPr>
          <w:p w14:paraId="7657FE7A" w14:textId="77777777" w:rsidR="007701DC" w:rsidRPr="00BA6F83" w:rsidRDefault="007701DC" w:rsidP="007701DC">
            <w:pPr>
              <w:tabs>
                <w:tab w:val="decimal" w:pos="33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0.39*</w:t>
            </w:r>
          </w:p>
        </w:tc>
        <w:tc>
          <w:tcPr>
            <w:tcW w:w="1318" w:type="dxa"/>
            <w:tcBorders>
              <w:top w:val="nil"/>
              <w:bottom w:val="nil"/>
            </w:tcBorders>
          </w:tcPr>
          <w:p w14:paraId="28CA8C5A" w14:textId="77777777" w:rsidR="007701DC" w:rsidRPr="00BA6F83" w:rsidRDefault="007701DC" w:rsidP="007701DC">
            <w:pPr>
              <w:tabs>
                <w:tab w:val="decimal" w:pos="434"/>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-0.013</w:t>
            </w:r>
          </w:p>
        </w:tc>
        <w:tc>
          <w:tcPr>
            <w:tcW w:w="247" w:type="dxa"/>
            <w:tcBorders>
              <w:top w:val="nil"/>
              <w:bottom w:val="nil"/>
            </w:tcBorders>
          </w:tcPr>
          <w:p w14:paraId="7D772040" w14:textId="77777777" w:rsidR="007701DC" w:rsidRPr="00BA6F83" w:rsidRDefault="007701DC" w:rsidP="007701DC">
            <w:pPr>
              <w:tabs>
                <w:tab w:val="decimal" w:pos="54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p>
        </w:tc>
        <w:tc>
          <w:tcPr>
            <w:tcW w:w="1235" w:type="dxa"/>
            <w:tcBorders>
              <w:top w:val="nil"/>
              <w:bottom w:val="nil"/>
            </w:tcBorders>
          </w:tcPr>
          <w:p w14:paraId="5E1D22FF" w14:textId="77777777" w:rsidR="007701DC" w:rsidRPr="00BA6F83" w:rsidRDefault="007701DC" w:rsidP="007701DC">
            <w:pPr>
              <w:tabs>
                <w:tab w:val="decimal" w:pos="34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0.441***</w:t>
            </w:r>
          </w:p>
        </w:tc>
        <w:tc>
          <w:tcPr>
            <w:tcW w:w="1400" w:type="dxa"/>
            <w:tcBorders>
              <w:top w:val="nil"/>
              <w:bottom w:val="nil"/>
            </w:tcBorders>
          </w:tcPr>
          <w:p w14:paraId="1ED47245" w14:textId="77777777" w:rsidR="007701DC" w:rsidRPr="007701DC" w:rsidRDefault="007701DC" w:rsidP="007701DC">
            <w:pPr>
              <w:tabs>
                <w:tab w:val="decimal" w:pos="429"/>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7701DC">
              <w:rPr>
                <w:rFonts w:ascii="Times New Roman" w:hAnsi="Times New Roman" w:cs="Times New Roman"/>
                <w:color w:val="000000"/>
                <w:sz w:val="18"/>
                <w:szCs w:val="18"/>
              </w:rPr>
              <w:t>0.397***</w:t>
            </w:r>
          </w:p>
        </w:tc>
        <w:tc>
          <w:tcPr>
            <w:tcW w:w="1319" w:type="dxa"/>
            <w:tcBorders>
              <w:top w:val="nil"/>
              <w:bottom w:val="nil"/>
            </w:tcBorders>
          </w:tcPr>
          <w:p w14:paraId="57308E8B" w14:textId="77777777" w:rsidR="007701DC" w:rsidRPr="007701DC" w:rsidRDefault="007701DC" w:rsidP="007701DC">
            <w:pPr>
              <w:tabs>
                <w:tab w:val="decimal" w:pos="43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7701DC">
              <w:rPr>
                <w:rFonts w:ascii="Times New Roman" w:hAnsi="Times New Roman" w:cs="Times New Roman"/>
                <w:color w:val="000000"/>
                <w:sz w:val="18"/>
                <w:szCs w:val="18"/>
              </w:rPr>
              <w:t>0.311**</w:t>
            </w:r>
          </w:p>
        </w:tc>
      </w:tr>
      <w:tr w:rsidR="007701DC" w:rsidRPr="007701DC" w14:paraId="0B629C41" w14:textId="77777777" w:rsidTr="00E349C8">
        <w:trPr>
          <w:trHeight w:val="195"/>
        </w:trPr>
        <w:tc>
          <w:tcPr>
            <w:cnfStyle w:val="001000000000" w:firstRow="0" w:lastRow="0" w:firstColumn="1" w:lastColumn="0" w:oddVBand="0" w:evenVBand="0" w:oddHBand="0" w:evenHBand="0" w:firstRowFirstColumn="0" w:firstRowLastColumn="0" w:lastRowFirstColumn="0" w:lastRowLastColumn="0"/>
            <w:tcW w:w="2471" w:type="dxa"/>
            <w:tcBorders>
              <w:top w:val="nil"/>
              <w:bottom w:val="nil"/>
            </w:tcBorders>
          </w:tcPr>
          <w:p w14:paraId="35113512" w14:textId="77777777" w:rsidR="007701DC" w:rsidRPr="00BA6F83" w:rsidRDefault="007701DC" w:rsidP="007701DC">
            <w:pPr>
              <w:rPr>
                <w:rFonts w:ascii="Times New Roman" w:hAnsi="Times New Roman" w:cs="Times New Roman"/>
                <w:b w:val="0"/>
                <w:color w:val="000000"/>
                <w:sz w:val="18"/>
                <w:szCs w:val="18"/>
              </w:rPr>
            </w:pPr>
            <w:r w:rsidRPr="00BA6F83">
              <w:rPr>
                <w:rFonts w:ascii="Times New Roman" w:hAnsi="Times New Roman" w:cs="Times New Roman"/>
                <w:b w:val="0"/>
                <w:color w:val="000000"/>
                <w:sz w:val="18"/>
                <w:szCs w:val="18"/>
              </w:rPr>
              <w:t>High income</w:t>
            </w:r>
          </w:p>
        </w:tc>
        <w:tc>
          <w:tcPr>
            <w:tcW w:w="1235" w:type="dxa"/>
            <w:tcBorders>
              <w:top w:val="nil"/>
              <w:bottom w:val="nil"/>
            </w:tcBorders>
          </w:tcPr>
          <w:p w14:paraId="702DD0AC" w14:textId="77777777" w:rsidR="007701DC" w:rsidRPr="00BA6F83" w:rsidRDefault="007701DC" w:rsidP="007701DC">
            <w:pPr>
              <w:tabs>
                <w:tab w:val="decimal" w:pos="33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-0.201</w:t>
            </w:r>
          </w:p>
        </w:tc>
        <w:tc>
          <w:tcPr>
            <w:tcW w:w="1318" w:type="dxa"/>
            <w:tcBorders>
              <w:top w:val="nil"/>
              <w:bottom w:val="nil"/>
            </w:tcBorders>
          </w:tcPr>
          <w:p w14:paraId="28AB4E39" w14:textId="77777777" w:rsidR="007701DC" w:rsidRPr="00BA6F83" w:rsidRDefault="007701DC" w:rsidP="007701DC">
            <w:pPr>
              <w:tabs>
                <w:tab w:val="decimal" w:pos="434"/>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-0.104</w:t>
            </w:r>
          </w:p>
        </w:tc>
        <w:tc>
          <w:tcPr>
            <w:tcW w:w="247" w:type="dxa"/>
            <w:tcBorders>
              <w:top w:val="nil"/>
              <w:bottom w:val="nil"/>
            </w:tcBorders>
          </w:tcPr>
          <w:p w14:paraId="4EE49E5F" w14:textId="77777777" w:rsidR="007701DC" w:rsidRPr="00BA6F83" w:rsidRDefault="007701DC" w:rsidP="007701DC">
            <w:pPr>
              <w:tabs>
                <w:tab w:val="decimal" w:pos="541"/>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1235" w:type="dxa"/>
            <w:tcBorders>
              <w:top w:val="nil"/>
              <w:bottom w:val="nil"/>
            </w:tcBorders>
          </w:tcPr>
          <w:p w14:paraId="339C8F29" w14:textId="77777777" w:rsidR="007701DC" w:rsidRPr="00BA6F83" w:rsidRDefault="007701DC" w:rsidP="007701DC">
            <w:pPr>
              <w:tabs>
                <w:tab w:val="decimal" w:pos="34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0.036</w:t>
            </w:r>
          </w:p>
        </w:tc>
        <w:tc>
          <w:tcPr>
            <w:tcW w:w="1400" w:type="dxa"/>
            <w:tcBorders>
              <w:top w:val="nil"/>
              <w:bottom w:val="nil"/>
            </w:tcBorders>
          </w:tcPr>
          <w:p w14:paraId="182CD9E9" w14:textId="77777777" w:rsidR="007701DC" w:rsidRPr="007701DC" w:rsidRDefault="007701DC" w:rsidP="007701DC">
            <w:pPr>
              <w:tabs>
                <w:tab w:val="decimal" w:pos="429"/>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7701DC">
              <w:rPr>
                <w:rFonts w:ascii="Times New Roman" w:hAnsi="Times New Roman" w:cs="Times New Roman"/>
                <w:color w:val="000000"/>
                <w:sz w:val="18"/>
                <w:szCs w:val="18"/>
              </w:rPr>
              <w:t>0.014</w:t>
            </w:r>
          </w:p>
        </w:tc>
        <w:tc>
          <w:tcPr>
            <w:tcW w:w="1319" w:type="dxa"/>
            <w:tcBorders>
              <w:top w:val="nil"/>
              <w:bottom w:val="nil"/>
            </w:tcBorders>
          </w:tcPr>
          <w:p w14:paraId="0BB07419" w14:textId="77777777" w:rsidR="007701DC" w:rsidRPr="007701DC" w:rsidRDefault="007701DC" w:rsidP="007701DC">
            <w:pPr>
              <w:tabs>
                <w:tab w:val="decimal" w:pos="43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7701DC">
              <w:rPr>
                <w:rFonts w:ascii="Times New Roman" w:hAnsi="Times New Roman" w:cs="Times New Roman"/>
                <w:color w:val="000000"/>
                <w:sz w:val="18"/>
                <w:szCs w:val="18"/>
              </w:rPr>
              <w:t>-0.156</w:t>
            </w:r>
          </w:p>
        </w:tc>
      </w:tr>
      <w:tr w:rsidR="007701DC" w:rsidRPr="007701DC" w14:paraId="2A6234DD" w14:textId="77777777" w:rsidTr="00E349C8">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2471" w:type="dxa"/>
            <w:tcBorders>
              <w:top w:val="nil"/>
              <w:bottom w:val="nil"/>
            </w:tcBorders>
          </w:tcPr>
          <w:p w14:paraId="611133CA" w14:textId="77777777" w:rsidR="007701DC" w:rsidRPr="00BA6F83" w:rsidRDefault="007701DC" w:rsidP="007701DC">
            <w:pPr>
              <w:rPr>
                <w:rFonts w:ascii="Times New Roman" w:eastAsia="Times New Roman" w:hAnsi="Times New Roman" w:cs="Times New Roman"/>
                <w:b w:val="0"/>
                <w:color w:val="000000" w:themeColor="text1"/>
                <w:sz w:val="18"/>
                <w:szCs w:val="18"/>
              </w:rPr>
            </w:pPr>
            <w:r w:rsidRPr="00BA6F83">
              <w:rPr>
                <w:rFonts w:ascii="Times New Roman" w:hAnsi="Times New Roman" w:cs="Times New Roman"/>
                <w:b w:val="0"/>
                <w:color w:val="000000"/>
                <w:sz w:val="18"/>
                <w:szCs w:val="18"/>
              </w:rPr>
              <w:t>Newfoundland</w:t>
            </w:r>
          </w:p>
        </w:tc>
        <w:tc>
          <w:tcPr>
            <w:tcW w:w="1235" w:type="dxa"/>
            <w:tcBorders>
              <w:top w:val="nil"/>
              <w:bottom w:val="nil"/>
            </w:tcBorders>
          </w:tcPr>
          <w:p w14:paraId="6BFCC5D7" w14:textId="77777777" w:rsidR="007701DC" w:rsidRPr="00BA6F83" w:rsidRDefault="007701DC" w:rsidP="007701DC">
            <w:pPr>
              <w:tabs>
                <w:tab w:val="decimal" w:pos="33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0.398***</w:t>
            </w:r>
          </w:p>
        </w:tc>
        <w:tc>
          <w:tcPr>
            <w:tcW w:w="1318" w:type="dxa"/>
            <w:tcBorders>
              <w:top w:val="nil"/>
              <w:bottom w:val="nil"/>
            </w:tcBorders>
          </w:tcPr>
          <w:p w14:paraId="5B3EB3CD" w14:textId="77777777" w:rsidR="007701DC" w:rsidRPr="00BA6F83" w:rsidRDefault="007701DC" w:rsidP="007701DC">
            <w:pPr>
              <w:tabs>
                <w:tab w:val="decimal" w:pos="434"/>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-0.199*</w:t>
            </w:r>
          </w:p>
        </w:tc>
        <w:tc>
          <w:tcPr>
            <w:tcW w:w="247" w:type="dxa"/>
            <w:tcBorders>
              <w:top w:val="nil"/>
              <w:bottom w:val="nil"/>
            </w:tcBorders>
          </w:tcPr>
          <w:p w14:paraId="0F84B27E" w14:textId="77777777" w:rsidR="007701DC" w:rsidRPr="00BA6F83" w:rsidRDefault="007701DC" w:rsidP="007701DC">
            <w:pPr>
              <w:tabs>
                <w:tab w:val="decimal" w:pos="541"/>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p>
        </w:tc>
        <w:tc>
          <w:tcPr>
            <w:tcW w:w="1235" w:type="dxa"/>
            <w:tcBorders>
              <w:top w:val="nil"/>
              <w:bottom w:val="nil"/>
            </w:tcBorders>
          </w:tcPr>
          <w:p w14:paraId="70C03847" w14:textId="77777777" w:rsidR="007701DC" w:rsidRPr="00BA6F83" w:rsidRDefault="007701DC" w:rsidP="007701DC">
            <w:pPr>
              <w:tabs>
                <w:tab w:val="decimal" w:pos="34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w:t>
            </w:r>
          </w:p>
        </w:tc>
        <w:tc>
          <w:tcPr>
            <w:tcW w:w="1400" w:type="dxa"/>
            <w:tcBorders>
              <w:top w:val="nil"/>
              <w:bottom w:val="nil"/>
            </w:tcBorders>
          </w:tcPr>
          <w:p w14:paraId="193BF7F4" w14:textId="77777777" w:rsidR="007701DC" w:rsidRPr="007701DC" w:rsidRDefault="007701DC" w:rsidP="007701DC">
            <w:pPr>
              <w:tabs>
                <w:tab w:val="decimal" w:pos="429"/>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7701DC">
              <w:rPr>
                <w:rFonts w:ascii="Times New Roman" w:eastAsia="Times New Roman" w:hAnsi="Times New Roman" w:cs="Times New Roman"/>
                <w:color w:val="000000" w:themeColor="text1"/>
                <w:sz w:val="18"/>
                <w:szCs w:val="18"/>
              </w:rPr>
              <w:t>-</w:t>
            </w:r>
          </w:p>
        </w:tc>
        <w:tc>
          <w:tcPr>
            <w:tcW w:w="1319" w:type="dxa"/>
            <w:tcBorders>
              <w:top w:val="nil"/>
              <w:bottom w:val="nil"/>
            </w:tcBorders>
          </w:tcPr>
          <w:p w14:paraId="2CA3FE5E" w14:textId="77777777" w:rsidR="007701DC" w:rsidRPr="007701DC" w:rsidRDefault="007701DC" w:rsidP="007701DC">
            <w:pPr>
              <w:tabs>
                <w:tab w:val="decimal" w:pos="43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7701DC">
              <w:rPr>
                <w:rFonts w:ascii="Times New Roman" w:eastAsia="Times New Roman" w:hAnsi="Times New Roman" w:cs="Times New Roman"/>
                <w:color w:val="000000" w:themeColor="text1"/>
                <w:sz w:val="18"/>
                <w:szCs w:val="18"/>
              </w:rPr>
              <w:t>-</w:t>
            </w:r>
          </w:p>
        </w:tc>
      </w:tr>
      <w:tr w:rsidR="007701DC" w:rsidRPr="007701DC" w14:paraId="6DE5794F" w14:textId="77777777" w:rsidTr="00E349C8">
        <w:trPr>
          <w:trHeight w:val="211"/>
        </w:trPr>
        <w:tc>
          <w:tcPr>
            <w:cnfStyle w:val="001000000000" w:firstRow="0" w:lastRow="0" w:firstColumn="1" w:lastColumn="0" w:oddVBand="0" w:evenVBand="0" w:oddHBand="0" w:evenHBand="0" w:firstRowFirstColumn="0" w:firstRowLastColumn="0" w:lastRowFirstColumn="0" w:lastRowLastColumn="0"/>
            <w:tcW w:w="2471" w:type="dxa"/>
            <w:tcBorders>
              <w:top w:val="nil"/>
              <w:bottom w:val="nil"/>
            </w:tcBorders>
          </w:tcPr>
          <w:p w14:paraId="1492DE86" w14:textId="77777777" w:rsidR="007701DC" w:rsidRPr="00BA6F83" w:rsidRDefault="007701DC" w:rsidP="007701DC">
            <w:pPr>
              <w:rPr>
                <w:rFonts w:ascii="Times New Roman" w:hAnsi="Times New Roman" w:cs="Times New Roman"/>
                <w:b w:val="0"/>
                <w:color w:val="000000"/>
                <w:sz w:val="18"/>
                <w:szCs w:val="18"/>
              </w:rPr>
            </w:pPr>
            <w:r w:rsidRPr="00BA6F83">
              <w:rPr>
                <w:rFonts w:ascii="Times New Roman" w:hAnsi="Times New Roman" w:cs="Times New Roman"/>
                <w:b w:val="0"/>
                <w:color w:val="000000"/>
                <w:sz w:val="18"/>
                <w:szCs w:val="18"/>
              </w:rPr>
              <w:t>Environment supportive score</w:t>
            </w:r>
          </w:p>
        </w:tc>
        <w:tc>
          <w:tcPr>
            <w:tcW w:w="1235" w:type="dxa"/>
            <w:tcBorders>
              <w:top w:val="nil"/>
              <w:bottom w:val="nil"/>
            </w:tcBorders>
          </w:tcPr>
          <w:p w14:paraId="616F8528" w14:textId="77777777" w:rsidR="007701DC" w:rsidRPr="00BA6F83" w:rsidRDefault="007701DC" w:rsidP="007701DC">
            <w:pPr>
              <w:tabs>
                <w:tab w:val="decimal" w:pos="33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-0.074***</w:t>
            </w:r>
          </w:p>
        </w:tc>
        <w:tc>
          <w:tcPr>
            <w:tcW w:w="1318" w:type="dxa"/>
            <w:tcBorders>
              <w:top w:val="nil"/>
              <w:bottom w:val="nil"/>
            </w:tcBorders>
          </w:tcPr>
          <w:p w14:paraId="0E543E81" w14:textId="77777777" w:rsidR="007701DC" w:rsidRPr="00BA6F83" w:rsidRDefault="007701DC" w:rsidP="007701DC">
            <w:pPr>
              <w:tabs>
                <w:tab w:val="decimal" w:pos="434"/>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0.066***</w:t>
            </w:r>
          </w:p>
        </w:tc>
        <w:tc>
          <w:tcPr>
            <w:tcW w:w="247" w:type="dxa"/>
            <w:tcBorders>
              <w:top w:val="nil"/>
              <w:bottom w:val="nil"/>
            </w:tcBorders>
          </w:tcPr>
          <w:p w14:paraId="50EE8EB7" w14:textId="77777777" w:rsidR="007701DC" w:rsidRPr="00BA6F83" w:rsidRDefault="007701DC" w:rsidP="007701DC">
            <w:pPr>
              <w:tabs>
                <w:tab w:val="decimal" w:pos="541"/>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1235" w:type="dxa"/>
            <w:tcBorders>
              <w:top w:val="nil"/>
              <w:bottom w:val="nil"/>
            </w:tcBorders>
          </w:tcPr>
          <w:p w14:paraId="6AE5D0A1" w14:textId="77777777" w:rsidR="007701DC" w:rsidRPr="00BA6F83" w:rsidRDefault="007701DC" w:rsidP="007701DC">
            <w:pPr>
              <w:tabs>
                <w:tab w:val="decimal" w:pos="34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-0.013*</w:t>
            </w:r>
          </w:p>
        </w:tc>
        <w:tc>
          <w:tcPr>
            <w:tcW w:w="1400" w:type="dxa"/>
            <w:tcBorders>
              <w:top w:val="nil"/>
              <w:bottom w:val="nil"/>
            </w:tcBorders>
          </w:tcPr>
          <w:p w14:paraId="0D819BA4" w14:textId="77777777" w:rsidR="007701DC" w:rsidRPr="007701DC" w:rsidRDefault="007701DC" w:rsidP="007701DC">
            <w:pPr>
              <w:tabs>
                <w:tab w:val="decimal" w:pos="429"/>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7701DC">
              <w:rPr>
                <w:rFonts w:ascii="Times New Roman" w:hAnsi="Times New Roman" w:cs="Times New Roman"/>
                <w:color w:val="000000"/>
                <w:sz w:val="18"/>
                <w:szCs w:val="18"/>
              </w:rPr>
              <w:t>0.006</w:t>
            </w:r>
          </w:p>
        </w:tc>
        <w:tc>
          <w:tcPr>
            <w:tcW w:w="1319" w:type="dxa"/>
            <w:tcBorders>
              <w:top w:val="nil"/>
              <w:bottom w:val="nil"/>
            </w:tcBorders>
          </w:tcPr>
          <w:p w14:paraId="403C8C77" w14:textId="77777777" w:rsidR="007701DC" w:rsidRPr="007701DC" w:rsidRDefault="007701DC" w:rsidP="007701DC">
            <w:pPr>
              <w:tabs>
                <w:tab w:val="decimal" w:pos="43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7701DC">
              <w:rPr>
                <w:rFonts w:ascii="Times New Roman" w:hAnsi="Times New Roman" w:cs="Times New Roman"/>
                <w:color w:val="000000"/>
                <w:sz w:val="18"/>
                <w:szCs w:val="18"/>
              </w:rPr>
              <w:t>0.009*</w:t>
            </w:r>
          </w:p>
        </w:tc>
      </w:tr>
      <w:tr w:rsidR="007701DC" w:rsidRPr="007701DC" w14:paraId="2D146CD1" w14:textId="77777777" w:rsidTr="00E349C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71" w:type="dxa"/>
            <w:tcBorders>
              <w:top w:val="nil"/>
              <w:bottom w:val="single" w:sz="4" w:space="0" w:color="auto"/>
            </w:tcBorders>
          </w:tcPr>
          <w:p w14:paraId="176BC1DD" w14:textId="77777777" w:rsidR="007701DC" w:rsidRPr="00BA6F83" w:rsidRDefault="007701DC" w:rsidP="007701DC">
            <w:pPr>
              <w:spacing w:after="60"/>
              <w:rPr>
                <w:rFonts w:ascii="Times New Roman" w:eastAsia="Times New Roman" w:hAnsi="Times New Roman" w:cs="Times New Roman"/>
                <w:b w:val="0"/>
                <w:color w:val="000000" w:themeColor="text1"/>
                <w:sz w:val="18"/>
                <w:szCs w:val="18"/>
              </w:rPr>
            </w:pPr>
            <w:r w:rsidRPr="00BA6F83">
              <w:rPr>
                <w:rFonts w:ascii="Times New Roman" w:hAnsi="Times New Roman" w:cs="Times New Roman"/>
                <w:b w:val="0"/>
                <w:color w:val="000000"/>
                <w:sz w:val="18"/>
                <w:szCs w:val="18"/>
              </w:rPr>
              <w:t>EV supportive score</w:t>
            </w:r>
          </w:p>
        </w:tc>
        <w:tc>
          <w:tcPr>
            <w:tcW w:w="1235" w:type="dxa"/>
            <w:tcBorders>
              <w:top w:val="nil"/>
              <w:bottom w:val="single" w:sz="4" w:space="0" w:color="auto"/>
            </w:tcBorders>
          </w:tcPr>
          <w:p w14:paraId="1BF8FFFF" w14:textId="77777777" w:rsidR="007701DC" w:rsidRPr="00BA6F83" w:rsidRDefault="007701DC" w:rsidP="007701DC">
            <w:pPr>
              <w:tabs>
                <w:tab w:val="decimal" w:pos="338"/>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-0.125***</w:t>
            </w:r>
          </w:p>
        </w:tc>
        <w:tc>
          <w:tcPr>
            <w:tcW w:w="1318" w:type="dxa"/>
            <w:tcBorders>
              <w:top w:val="nil"/>
              <w:bottom w:val="single" w:sz="4" w:space="0" w:color="auto"/>
            </w:tcBorders>
          </w:tcPr>
          <w:p w14:paraId="3A81A2C4" w14:textId="77777777" w:rsidR="007701DC" w:rsidRPr="00BA6F83" w:rsidRDefault="007701DC" w:rsidP="007701DC">
            <w:pPr>
              <w:tabs>
                <w:tab w:val="decimal" w:pos="434"/>
              </w:tabs>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0.113***</w:t>
            </w:r>
          </w:p>
        </w:tc>
        <w:tc>
          <w:tcPr>
            <w:tcW w:w="247" w:type="dxa"/>
            <w:tcBorders>
              <w:top w:val="nil"/>
              <w:bottom w:val="single" w:sz="4" w:space="0" w:color="auto"/>
            </w:tcBorders>
          </w:tcPr>
          <w:p w14:paraId="1A4E1DD6" w14:textId="77777777" w:rsidR="007701DC" w:rsidRPr="00BA6F83" w:rsidRDefault="007701DC" w:rsidP="007701DC">
            <w:pPr>
              <w:tabs>
                <w:tab w:val="decimal" w:pos="541"/>
              </w:tabs>
              <w:spacing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p>
        </w:tc>
        <w:tc>
          <w:tcPr>
            <w:tcW w:w="1235" w:type="dxa"/>
            <w:tcBorders>
              <w:top w:val="nil"/>
              <w:bottom w:val="single" w:sz="4" w:space="0" w:color="auto"/>
            </w:tcBorders>
          </w:tcPr>
          <w:p w14:paraId="41DB4C0C" w14:textId="77777777" w:rsidR="007701DC" w:rsidRPr="00BA6F83" w:rsidRDefault="007701DC" w:rsidP="007701DC">
            <w:pPr>
              <w:tabs>
                <w:tab w:val="decimal" w:pos="340"/>
              </w:tabs>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-0.144***</w:t>
            </w:r>
          </w:p>
        </w:tc>
        <w:tc>
          <w:tcPr>
            <w:tcW w:w="1400" w:type="dxa"/>
            <w:tcBorders>
              <w:top w:val="nil"/>
              <w:bottom w:val="single" w:sz="4" w:space="0" w:color="auto"/>
            </w:tcBorders>
          </w:tcPr>
          <w:p w14:paraId="15012FC5" w14:textId="77777777" w:rsidR="007701DC" w:rsidRPr="007701DC" w:rsidRDefault="007701DC" w:rsidP="007701DC">
            <w:pPr>
              <w:tabs>
                <w:tab w:val="decimal" w:pos="429"/>
              </w:tabs>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7701DC">
              <w:rPr>
                <w:rFonts w:ascii="Times New Roman" w:hAnsi="Times New Roman" w:cs="Times New Roman"/>
                <w:color w:val="000000"/>
                <w:sz w:val="18"/>
                <w:szCs w:val="18"/>
              </w:rPr>
              <w:t>0.057***</w:t>
            </w:r>
          </w:p>
        </w:tc>
        <w:tc>
          <w:tcPr>
            <w:tcW w:w="1319" w:type="dxa"/>
            <w:tcBorders>
              <w:top w:val="nil"/>
              <w:bottom w:val="single" w:sz="4" w:space="0" w:color="auto"/>
            </w:tcBorders>
          </w:tcPr>
          <w:p w14:paraId="69925003" w14:textId="77777777" w:rsidR="007701DC" w:rsidRPr="007701DC" w:rsidRDefault="007701DC" w:rsidP="007701DC">
            <w:pPr>
              <w:tabs>
                <w:tab w:val="decimal" w:pos="430"/>
              </w:tabs>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7701DC">
              <w:rPr>
                <w:rFonts w:ascii="Times New Roman" w:hAnsi="Times New Roman" w:cs="Times New Roman"/>
                <w:color w:val="000000"/>
                <w:sz w:val="18"/>
                <w:szCs w:val="18"/>
              </w:rPr>
              <w:t>0.089***</w:t>
            </w:r>
          </w:p>
        </w:tc>
      </w:tr>
      <w:tr w:rsidR="007701DC" w:rsidRPr="007701DC" w14:paraId="114EEA91" w14:textId="77777777" w:rsidTr="00E349C8">
        <w:trPr>
          <w:trHeight w:val="227"/>
        </w:trPr>
        <w:tc>
          <w:tcPr>
            <w:cnfStyle w:val="001000000000" w:firstRow="0" w:lastRow="0" w:firstColumn="1" w:lastColumn="0" w:oddVBand="0" w:evenVBand="0" w:oddHBand="0" w:evenHBand="0" w:firstRowFirstColumn="0" w:firstRowLastColumn="0" w:lastRowFirstColumn="0" w:lastRowLastColumn="0"/>
            <w:tcW w:w="9228" w:type="dxa"/>
            <w:gridSpan w:val="7"/>
            <w:tcBorders>
              <w:top w:val="single" w:sz="4" w:space="0" w:color="auto"/>
              <w:bottom w:val="nil"/>
            </w:tcBorders>
          </w:tcPr>
          <w:p w14:paraId="039F4CB8" w14:textId="77777777" w:rsidR="007701DC" w:rsidRPr="00BA6F83" w:rsidRDefault="007701DC" w:rsidP="007701DC">
            <w:pPr>
              <w:spacing w:before="60"/>
              <w:rPr>
                <w:rFonts w:ascii="Times New Roman" w:hAnsi="Times New Roman" w:cs="Times New Roman"/>
                <w:b w:val="0"/>
                <w:color w:val="000000"/>
                <w:sz w:val="16"/>
                <w:szCs w:val="16"/>
              </w:rPr>
            </w:pPr>
            <w:r w:rsidRPr="00BA6F83">
              <w:rPr>
                <w:rFonts w:ascii="Times New Roman" w:eastAsia="Times New Roman" w:hAnsi="Times New Roman" w:cs="Times New Roman"/>
                <w:b w:val="0"/>
                <w:color w:val="000000" w:themeColor="text1"/>
                <w:sz w:val="16"/>
                <w:szCs w:val="16"/>
              </w:rPr>
              <w:t>***, **, * indicate statistical significance at 1%, 5%, and 10%, respectively.</w:t>
            </w:r>
          </w:p>
        </w:tc>
      </w:tr>
    </w:tbl>
    <w:p w14:paraId="1B89673D" w14:textId="77777777" w:rsidR="007701DC" w:rsidRDefault="007701DC" w:rsidP="003C3597">
      <w:pPr>
        <w:rPr>
          <w:rFonts w:ascii="Times New Roman" w:hAnsi="Times New Roman" w:cs="Times New Roman"/>
          <w:color w:val="000000"/>
        </w:rPr>
      </w:pPr>
    </w:p>
    <w:p w14:paraId="19F242A9" w14:textId="77777777" w:rsidR="000C78CD" w:rsidRPr="003C3597" w:rsidRDefault="000C78CD" w:rsidP="003C3597">
      <w:pPr>
        <w:rPr>
          <w:rFonts w:ascii="Times New Roman" w:hAnsi="Times New Roman" w:cs="Times New Roman"/>
          <w:color w:val="000000"/>
        </w:rPr>
      </w:pPr>
    </w:p>
    <w:p w14:paraId="014A493C" w14:textId="77777777" w:rsidR="003C3597" w:rsidRPr="007701DC" w:rsidRDefault="003C3597" w:rsidP="00E1100F">
      <w:pPr>
        <w:pStyle w:val="ListParagraph"/>
        <w:numPr>
          <w:ilvl w:val="2"/>
          <w:numId w:val="11"/>
        </w:numPr>
        <w:outlineLvl w:val="2"/>
        <w:rPr>
          <w:rFonts w:ascii="Times New Roman" w:hAnsi="Times New Roman" w:cs="Times New Roman"/>
          <w:b/>
          <w:color w:val="000000"/>
        </w:rPr>
      </w:pPr>
      <w:bookmarkStart w:id="75" w:name="_Toc528650880"/>
      <w:r w:rsidRPr="007701DC">
        <w:rPr>
          <w:rFonts w:ascii="Times New Roman" w:hAnsi="Times New Roman" w:cs="Times New Roman"/>
          <w:b/>
          <w:color w:val="000000"/>
        </w:rPr>
        <w:lastRenderedPageBreak/>
        <w:t>Class specific sub-model</w:t>
      </w:r>
      <w:bookmarkEnd w:id="75"/>
    </w:p>
    <w:p w14:paraId="19E82D82" w14:textId="7F045BC8"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Table </w:t>
      </w:r>
      <w:r w:rsidR="00B957FF">
        <w:rPr>
          <w:rFonts w:ascii="Times New Roman" w:hAnsi="Times New Roman" w:cs="Times New Roman"/>
          <w:color w:val="000000"/>
        </w:rPr>
        <w:t>3.</w:t>
      </w:r>
      <w:r w:rsidRPr="003C3597">
        <w:rPr>
          <w:rFonts w:ascii="Times New Roman" w:hAnsi="Times New Roman" w:cs="Times New Roman"/>
          <w:color w:val="000000"/>
        </w:rPr>
        <w:t>8 presents the results for the class-specific model. In the Atlantic model, it can be seen that respondents in Class 1 (40% of the sample) have a propensity towards conventional vehicles. Members of Class 2 (30% of the sample) are more oriented toward</w:t>
      </w:r>
      <w:r w:rsidR="000D6C5D">
        <w:rPr>
          <w:rFonts w:ascii="Times New Roman" w:hAnsi="Times New Roman" w:cs="Times New Roman"/>
          <w:color w:val="000000"/>
        </w:rPr>
        <w:t>s</w:t>
      </w:r>
      <w:r w:rsidRPr="003C3597">
        <w:rPr>
          <w:rFonts w:ascii="Times New Roman" w:hAnsi="Times New Roman" w:cs="Times New Roman"/>
          <w:color w:val="000000"/>
        </w:rPr>
        <w:t xml:space="preserve"> HEVs, and Class 3 (30% of the sample) exhibits greater interest for PEVs, which include both PHEV and BEV technologies. The plug-in oriented class is the only class for which availability of charging stations and home charging time are significant determinants of vehicle choice. For the Leading sample, a four-latent class model is formed in which 40% are ICE-oriented and 20% are HEV-oriented. The plug-in oriented members are grouped into two distinct latent classes of PHEV-oriented and BEV-oriented, which make</w:t>
      </w:r>
      <w:r w:rsidR="000D6C5D">
        <w:rPr>
          <w:rFonts w:ascii="Times New Roman" w:hAnsi="Times New Roman" w:cs="Times New Roman"/>
          <w:color w:val="000000"/>
        </w:rPr>
        <w:t xml:space="preserve"> up</w:t>
      </w:r>
      <w:r w:rsidRPr="003C3597">
        <w:rPr>
          <w:rFonts w:ascii="Times New Roman" w:hAnsi="Times New Roman" w:cs="Times New Roman"/>
          <w:color w:val="000000"/>
        </w:rPr>
        <w:t xml:space="preserve"> 30% and 10% of the Leading sample, respectively. Clearly, as can be seen in Table </w:t>
      </w:r>
      <w:r w:rsidR="00B957FF">
        <w:rPr>
          <w:rFonts w:ascii="Times New Roman" w:hAnsi="Times New Roman" w:cs="Times New Roman"/>
          <w:color w:val="000000"/>
        </w:rPr>
        <w:t>3.</w:t>
      </w:r>
      <w:r w:rsidRPr="003C3597">
        <w:rPr>
          <w:rFonts w:ascii="Times New Roman" w:hAnsi="Times New Roman" w:cs="Times New Roman"/>
          <w:color w:val="000000"/>
        </w:rPr>
        <w:t>8, the LC modelling approach is statistically preferred to the MNL approach in both models as it has an improved log likelihood and much higher goodness of fit.</w:t>
      </w:r>
    </w:p>
    <w:p w14:paraId="7B269C3B" w14:textId="5557DA62"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Across all classes, most of the parameters have expected signs and most of the alternative specific constants are significant. The coefficient on price is statistically significant and negative in all classes. Purchase price is clearly an important indicator of vehicle choice, as one would expect. Cash incentive is another important predictor of purchasing an EV, which is positive and strongly significant in all classes. Maintenance cost, however, turns out to be insignificant for all three classes of the Atlantic model while it is a significant and negative parameter in the Leading model. </w:t>
      </w:r>
      <w:r w:rsidR="000D6C5D">
        <w:rPr>
          <w:rFonts w:ascii="Times New Roman" w:hAnsi="Times New Roman" w:cs="Times New Roman"/>
          <w:color w:val="000000"/>
        </w:rPr>
        <w:t>This</w:t>
      </w:r>
      <w:r w:rsidR="000D6C5D" w:rsidRPr="003C3597">
        <w:rPr>
          <w:rFonts w:ascii="Times New Roman" w:hAnsi="Times New Roman" w:cs="Times New Roman"/>
          <w:color w:val="000000"/>
        </w:rPr>
        <w:t xml:space="preserve"> </w:t>
      </w:r>
      <w:r w:rsidRPr="003C3597">
        <w:rPr>
          <w:rFonts w:ascii="Times New Roman" w:hAnsi="Times New Roman" w:cs="Times New Roman"/>
          <w:color w:val="000000"/>
        </w:rPr>
        <w:t>difference is most probably due to the unfamiliarity of Atlantic households with different aspects of EVs, including fewer moving parts that lower maintenance cost.</w:t>
      </w:r>
    </w:p>
    <w:p w14:paraId="13447E22"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lastRenderedPageBreak/>
        <w:t>Battery warranty is significant in all classes of the Atlantic model with the expected positive sign. Interestingly, the battery warranty is not significant for the BEV-oriented class of the Leading model. High occupancy vehicle (HOV) lane access is insignificant across all classes in the Atlantic model, while it is significant and positive for the PHEV-oriented class of the Leading model. A similar result is observed for free parking, a parameter that is significant for the PHEV- and BEV-oriented classes of the Leading model, while it is not significant for a comparable class in the Atlantic model (i.e., PEV-oriented).</w:t>
      </w:r>
    </w:p>
    <w:p w14:paraId="45A78F6E"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Gasoline range is significant for all classes except for the BEV-oriented class of the Leading model. Electric range, on the other hand, is insignificant across all classes of the Atlantic model, while it is significant for plug-in oriented classes of the Leading model. This result is another sign indicating that Atlantic households are perhaps less familiar with different attributes of a plug-in electric vehicle, including its range. </w:t>
      </w:r>
    </w:p>
    <w:p w14:paraId="483647D3"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All coefficients for charging time either at home or at public stations have the expected signs. However, only the home charging time is significant for the PEV-oriented class in the Atlantic model. Public charging time, on the other hand, is only significant for the ICE- and HEV-oriented classes of the Atlantic model. This trend is relatively reversed in the Leading model where households of plug-in oriented classes are not much worried about home charging time. This is most likely due to better familiarity of the households of the Leading provinces about EV charging at home and the possibility of charging overnight – a factor that can neutralize the impact of time.</w:t>
      </w:r>
    </w:p>
    <w:p w14:paraId="5492AE40" w14:textId="77777777" w:rsidR="00555F82" w:rsidRDefault="00555F82" w:rsidP="003C3597">
      <w:pPr>
        <w:rPr>
          <w:rFonts w:ascii="Times New Roman" w:hAnsi="Times New Roman" w:cs="Times New Roman"/>
          <w:color w:val="000000"/>
        </w:rPr>
      </w:pPr>
    </w:p>
    <w:p w14:paraId="728FA138" w14:textId="77777777" w:rsidR="00555F82" w:rsidRDefault="00555F82" w:rsidP="007701DC">
      <w:pPr>
        <w:spacing w:after="120" w:line="240" w:lineRule="auto"/>
        <w:rPr>
          <w:rFonts w:ascii="Times New Roman" w:eastAsia="Times New Roman" w:hAnsi="Times New Roman" w:cs="Times New Roman"/>
          <w:color w:val="000000" w:themeColor="text1"/>
        </w:rPr>
        <w:sectPr w:rsidR="00555F82" w:rsidSect="006C5B28">
          <w:pgSz w:w="12240" w:h="15840"/>
          <w:pgMar w:top="2155" w:right="1418" w:bottom="2155" w:left="1418" w:header="709" w:footer="709" w:gutter="0"/>
          <w:cols w:space="708"/>
          <w:docGrid w:linePitch="360"/>
        </w:sectPr>
      </w:pPr>
    </w:p>
    <w:p w14:paraId="0B28D9FB" w14:textId="77777777" w:rsidR="007701DC" w:rsidRPr="00555F82" w:rsidRDefault="00555F82" w:rsidP="00555F82">
      <w:pPr>
        <w:pStyle w:val="Caption"/>
        <w:ind w:firstLine="0"/>
        <w:rPr>
          <w:rFonts w:ascii="Times New Roman" w:hAnsi="Times New Roman" w:cs="Times New Roman"/>
          <w:i w:val="0"/>
          <w:iCs w:val="0"/>
          <w:color w:val="000000"/>
          <w:sz w:val="24"/>
          <w:szCs w:val="24"/>
        </w:rPr>
      </w:pPr>
      <w:bookmarkStart w:id="76" w:name="_Toc528649801"/>
      <w:r>
        <w:rPr>
          <w:rFonts w:ascii="Times New Roman" w:hAnsi="Times New Roman" w:cs="Times New Roman"/>
          <w:i w:val="0"/>
          <w:iCs w:val="0"/>
          <w:color w:val="000000"/>
          <w:sz w:val="24"/>
          <w:szCs w:val="24"/>
        </w:rPr>
        <w:lastRenderedPageBreak/>
        <w:t>Table 3.</w:t>
      </w:r>
      <w:r w:rsidRPr="00555F82">
        <w:rPr>
          <w:rFonts w:ascii="Times New Roman" w:hAnsi="Times New Roman" w:cs="Times New Roman"/>
          <w:i w:val="0"/>
          <w:iCs w:val="0"/>
          <w:color w:val="000000"/>
          <w:sz w:val="24"/>
          <w:szCs w:val="24"/>
        </w:rPr>
        <w:fldChar w:fldCharType="begin"/>
      </w:r>
      <w:r w:rsidRPr="00555F82">
        <w:rPr>
          <w:rFonts w:ascii="Times New Roman" w:hAnsi="Times New Roman" w:cs="Times New Roman"/>
          <w:i w:val="0"/>
          <w:iCs w:val="0"/>
          <w:color w:val="000000"/>
          <w:sz w:val="24"/>
          <w:szCs w:val="24"/>
        </w:rPr>
        <w:instrText xml:space="preserve"> SEQ Table_3. \* ARABIC </w:instrText>
      </w:r>
      <w:r w:rsidRPr="00555F82">
        <w:rPr>
          <w:rFonts w:ascii="Times New Roman" w:hAnsi="Times New Roman" w:cs="Times New Roman"/>
          <w:i w:val="0"/>
          <w:iCs w:val="0"/>
          <w:color w:val="000000"/>
          <w:sz w:val="24"/>
          <w:szCs w:val="24"/>
        </w:rPr>
        <w:fldChar w:fldCharType="separate"/>
      </w:r>
      <w:r w:rsidR="00BC70AE">
        <w:rPr>
          <w:rFonts w:ascii="Times New Roman" w:hAnsi="Times New Roman" w:cs="Times New Roman"/>
          <w:i w:val="0"/>
          <w:iCs w:val="0"/>
          <w:noProof/>
          <w:color w:val="000000"/>
          <w:sz w:val="24"/>
          <w:szCs w:val="24"/>
        </w:rPr>
        <w:t>8</w:t>
      </w:r>
      <w:r w:rsidRPr="00555F82">
        <w:rPr>
          <w:rFonts w:ascii="Times New Roman" w:hAnsi="Times New Roman" w:cs="Times New Roman"/>
          <w:i w:val="0"/>
          <w:iCs w:val="0"/>
          <w:color w:val="000000"/>
          <w:sz w:val="24"/>
          <w:szCs w:val="24"/>
        </w:rPr>
        <w:fldChar w:fldCharType="end"/>
      </w:r>
      <w:r>
        <w:rPr>
          <w:rFonts w:ascii="Times New Roman" w:hAnsi="Times New Roman" w:cs="Times New Roman"/>
          <w:i w:val="0"/>
          <w:iCs w:val="0"/>
          <w:color w:val="000000"/>
          <w:sz w:val="24"/>
          <w:szCs w:val="24"/>
        </w:rPr>
        <w:t xml:space="preserve"> </w:t>
      </w:r>
      <w:r w:rsidR="007701DC" w:rsidRPr="00555F82">
        <w:rPr>
          <w:rFonts w:ascii="Times New Roman" w:hAnsi="Times New Roman" w:cs="Times New Roman"/>
          <w:i w:val="0"/>
          <w:iCs w:val="0"/>
          <w:color w:val="000000"/>
          <w:sz w:val="24"/>
          <w:szCs w:val="24"/>
        </w:rPr>
        <w:t>MNL and latent class-specific choice model results</w:t>
      </w:r>
      <w:bookmarkEnd w:id="76"/>
    </w:p>
    <w:tbl>
      <w:tblPr>
        <w:tblStyle w:val="PlainTable26"/>
        <w:tblW w:w="12821" w:type="dxa"/>
        <w:tblInd w:w="-640" w:type="dxa"/>
        <w:tblLayout w:type="fixed"/>
        <w:tblLook w:val="04A0" w:firstRow="1" w:lastRow="0" w:firstColumn="1" w:lastColumn="0" w:noHBand="0" w:noVBand="1"/>
      </w:tblPr>
      <w:tblGrid>
        <w:gridCol w:w="1678"/>
        <w:gridCol w:w="1534"/>
        <w:gridCol w:w="1134"/>
        <w:gridCol w:w="1134"/>
        <w:gridCol w:w="1140"/>
        <w:gridCol w:w="376"/>
        <w:gridCol w:w="1219"/>
        <w:gridCol w:w="1135"/>
        <w:gridCol w:w="1264"/>
        <w:gridCol w:w="1148"/>
        <w:gridCol w:w="1052"/>
        <w:gridCol w:w="7"/>
      </w:tblGrid>
      <w:tr w:rsidR="007701DC" w:rsidRPr="00BA6F83" w14:paraId="0DE8DCCE" w14:textId="77777777" w:rsidTr="00513E94">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678" w:type="dxa"/>
            <w:vMerge w:val="restart"/>
            <w:tcBorders>
              <w:bottom w:val="none" w:sz="0" w:space="0" w:color="auto"/>
            </w:tcBorders>
          </w:tcPr>
          <w:p w14:paraId="393F36BE" w14:textId="77777777" w:rsidR="007701DC" w:rsidRPr="00BA6F83" w:rsidRDefault="007701DC" w:rsidP="007701DC">
            <w:pPr>
              <w:spacing w:before="60" w:after="60"/>
              <w:rPr>
                <w:rFonts w:ascii="Times New Roman" w:eastAsia="Times New Roman" w:hAnsi="Times New Roman" w:cs="Times New Roman"/>
                <w:b w:val="0"/>
                <w:color w:val="000000" w:themeColor="text1"/>
                <w:sz w:val="18"/>
                <w:szCs w:val="18"/>
              </w:rPr>
            </w:pPr>
          </w:p>
        </w:tc>
        <w:tc>
          <w:tcPr>
            <w:tcW w:w="4942" w:type="dxa"/>
            <w:gridSpan w:val="4"/>
            <w:tcBorders>
              <w:bottom w:val="none" w:sz="0" w:space="0" w:color="auto"/>
            </w:tcBorders>
          </w:tcPr>
          <w:p w14:paraId="4923F894" w14:textId="1DE850B1" w:rsidR="007701DC" w:rsidRPr="00BA6F83" w:rsidRDefault="00D77F9E" w:rsidP="007701D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rPr>
            </w:pPr>
            <w:r>
              <w:rPr>
                <w:rFonts w:ascii="Times New Roman" w:eastAsia="Times New Roman" w:hAnsi="Times New Roman" w:cs="Times New Roman"/>
                <w:b w:val="0"/>
                <w:color w:val="000000" w:themeColor="text1"/>
                <w:sz w:val="18"/>
                <w:szCs w:val="18"/>
              </w:rPr>
              <w:t>Atlantic models</w:t>
            </w:r>
          </w:p>
        </w:tc>
        <w:tc>
          <w:tcPr>
            <w:tcW w:w="376" w:type="dxa"/>
            <w:tcBorders>
              <w:top w:val="single" w:sz="4" w:space="0" w:color="7F7F7F" w:themeColor="text1" w:themeTint="80"/>
              <w:bottom w:val="nil"/>
            </w:tcBorders>
            <w:shd w:val="clear" w:color="auto" w:fill="auto"/>
          </w:tcPr>
          <w:p w14:paraId="040432A4" w14:textId="77777777" w:rsidR="007701DC" w:rsidRPr="00BA6F83" w:rsidRDefault="007701DC" w:rsidP="007701DC">
            <w:pPr>
              <w:spacing w:before="60" w:after="6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rPr>
            </w:pPr>
          </w:p>
        </w:tc>
        <w:tc>
          <w:tcPr>
            <w:tcW w:w="5825" w:type="dxa"/>
            <w:gridSpan w:val="6"/>
            <w:tcBorders>
              <w:bottom w:val="none" w:sz="0" w:space="0" w:color="auto"/>
            </w:tcBorders>
          </w:tcPr>
          <w:p w14:paraId="30176E22" w14:textId="02B6124A" w:rsidR="007701DC" w:rsidRPr="00BA6F83" w:rsidRDefault="00D77F9E" w:rsidP="007701D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rPr>
            </w:pPr>
            <w:r>
              <w:rPr>
                <w:rFonts w:ascii="Times New Roman" w:eastAsia="Times New Roman" w:hAnsi="Times New Roman" w:cs="Times New Roman"/>
                <w:b w:val="0"/>
                <w:color w:val="000000" w:themeColor="text1"/>
                <w:sz w:val="18"/>
                <w:szCs w:val="18"/>
              </w:rPr>
              <w:t>Leading (ON and BC) models</w:t>
            </w:r>
          </w:p>
        </w:tc>
      </w:tr>
      <w:tr w:rsidR="007701DC" w:rsidRPr="00BA6F83" w14:paraId="3B0B2D18" w14:textId="77777777" w:rsidTr="00513E94">
        <w:trPr>
          <w:gridAfter w:val="1"/>
          <w:cnfStyle w:val="000000100000" w:firstRow="0" w:lastRow="0" w:firstColumn="0" w:lastColumn="0" w:oddVBand="0" w:evenVBand="0" w:oddHBand="1" w:evenHBand="0" w:firstRowFirstColumn="0" w:firstRowLastColumn="0" w:lastRowFirstColumn="0" w:lastRowLastColumn="0"/>
          <w:wAfter w:w="7" w:type="dxa"/>
          <w:trHeight w:val="604"/>
        </w:trPr>
        <w:tc>
          <w:tcPr>
            <w:cnfStyle w:val="001000000000" w:firstRow="0" w:lastRow="0" w:firstColumn="1" w:lastColumn="0" w:oddVBand="0" w:evenVBand="0" w:oddHBand="0" w:evenHBand="0" w:firstRowFirstColumn="0" w:firstRowLastColumn="0" w:lastRowFirstColumn="0" w:lastRowLastColumn="0"/>
            <w:tcW w:w="1678" w:type="dxa"/>
            <w:vMerge/>
            <w:tcBorders>
              <w:top w:val="none" w:sz="0" w:space="0" w:color="auto"/>
              <w:bottom w:val="nil"/>
            </w:tcBorders>
          </w:tcPr>
          <w:p w14:paraId="396B8522" w14:textId="77777777" w:rsidR="007701DC" w:rsidRPr="00BA6F83" w:rsidRDefault="007701DC" w:rsidP="007701DC">
            <w:pPr>
              <w:spacing w:after="120"/>
              <w:rPr>
                <w:rFonts w:ascii="Times New Roman" w:eastAsia="Times New Roman" w:hAnsi="Times New Roman" w:cs="Times New Roman"/>
                <w:b w:val="0"/>
                <w:color w:val="000000" w:themeColor="text1"/>
                <w:sz w:val="18"/>
                <w:szCs w:val="18"/>
              </w:rPr>
            </w:pPr>
          </w:p>
        </w:tc>
        <w:tc>
          <w:tcPr>
            <w:tcW w:w="1534" w:type="dxa"/>
            <w:tcBorders>
              <w:top w:val="none" w:sz="0" w:space="0" w:color="auto"/>
              <w:bottom w:val="nil"/>
            </w:tcBorders>
            <w:vAlign w:val="bottom"/>
          </w:tcPr>
          <w:p w14:paraId="6CDF28F7" w14:textId="77777777" w:rsidR="007701DC" w:rsidRPr="00BA6F83" w:rsidRDefault="007701DC" w:rsidP="007701D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MNL</w:t>
            </w:r>
          </w:p>
        </w:tc>
        <w:tc>
          <w:tcPr>
            <w:tcW w:w="1134" w:type="dxa"/>
            <w:tcBorders>
              <w:top w:val="none" w:sz="0" w:space="0" w:color="auto"/>
              <w:bottom w:val="none" w:sz="0" w:space="0" w:color="auto"/>
            </w:tcBorders>
          </w:tcPr>
          <w:p w14:paraId="48336DBD" w14:textId="77777777" w:rsidR="007701DC" w:rsidRPr="00BA6F83" w:rsidRDefault="007701DC" w:rsidP="007701D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Class 1: ICE-oriented</w:t>
            </w:r>
          </w:p>
        </w:tc>
        <w:tc>
          <w:tcPr>
            <w:tcW w:w="1134" w:type="dxa"/>
            <w:tcBorders>
              <w:top w:val="none" w:sz="0" w:space="0" w:color="auto"/>
              <w:bottom w:val="none" w:sz="0" w:space="0" w:color="auto"/>
            </w:tcBorders>
          </w:tcPr>
          <w:p w14:paraId="7805B59C" w14:textId="77777777" w:rsidR="007701DC" w:rsidRPr="00BA6F83" w:rsidRDefault="007701DC" w:rsidP="007701D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Class 2: HEV- oriented</w:t>
            </w:r>
          </w:p>
        </w:tc>
        <w:tc>
          <w:tcPr>
            <w:tcW w:w="1140" w:type="dxa"/>
            <w:tcBorders>
              <w:top w:val="none" w:sz="0" w:space="0" w:color="auto"/>
              <w:bottom w:val="none" w:sz="0" w:space="0" w:color="auto"/>
            </w:tcBorders>
          </w:tcPr>
          <w:p w14:paraId="0E152C98" w14:textId="77777777" w:rsidR="007701DC" w:rsidRPr="00BA6F83" w:rsidRDefault="007701DC" w:rsidP="007701D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Class 3: PEV- oriented</w:t>
            </w:r>
          </w:p>
        </w:tc>
        <w:tc>
          <w:tcPr>
            <w:tcW w:w="376" w:type="dxa"/>
            <w:tcBorders>
              <w:top w:val="nil"/>
              <w:bottom w:val="nil"/>
            </w:tcBorders>
          </w:tcPr>
          <w:p w14:paraId="5D5C6DB4" w14:textId="77777777" w:rsidR="007701DC" w:rsidRPr="00BA6F83" w:rsidRDefault="007701DC" w:rsidP="007701D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p>
        </w:tc>
        <w:tc>
          <w:tcPr>
            <w:tcW w:w="1219" w:type="dxa"/>
            <w:tcBorders>
              <w:top w:val="none" w:sz="0" w:space="0" w:color="auto"/>
              <w:bottom w:val="nil"/>
            </w:tcBorders>
            <w:vAlign w:val="bottom"/>
          </w:tcPr>
          <w:p w14:paraId="3DE96BDB" w14:textId="77777777" w:rsidR="007701DC" w:rsidRPr="00BA6F83" w:rsidRDefault="007701DC" w:rsidP="007701D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MNL</w:t>
            </w:r>
          </w:p>
        </w:tc>
        <w:tc>
          <w:tcPr>
            <w:tcW w:w="1135" w:type="dxa"/>
            <w:tcBorders>
              <w:top w:val="none" w:sz="0" w:space="0" w:color="auto"/>
              <w:bottom w:val="none" w:sz="0" w:space="0" w:color="auto"/>
            </w:tcBorders>
          </w:tcPr>
          <w:p w14:paraId="3EDB85C1" w14:textId="77777777" w:rsidR="007701DC" w:rsidRPr="00BA6F83" w:rsidRDefault="007701DC" w:rsidP="007701D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Class 1: ICE-oriented</w:t>
            </w:r>
          </w:p>
        </w:tc>
        <w:tc>
          <w:tcPr>
            <w:tcW w:w="1264" w:type="dxa"/>
            <w:tcBorders>
              <w:top w:val="none" w:sz="0" w:space="0" w:color="auto"/>
              <w:bottom w:val="none" w:sz="0" w:space="0" w:color="auto"/>
            </w:tcBorders>
          </w:tcPr>
          <w:p w14:paraId="06A704C0" w14:textId="77777777" w:rsidR="007701DC" w:rsidRPr="00BA6F83" w:rsidRDefault="007701DC" w:rsidP="007701D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Class 2: HEV- oriented</w:t>
            </w:r>
          </w:p>
        </w:tc>
        <w:tc>
          <w:tcPr>
            <w:tcW w:w="1148" w:type="dxa"/>
            <w:tcBorders>
              <w:top w:val="none" w:sz="0" w:space="0" w:color="auto"/>
              <w:bottom w:val="none" w:sz="0" w:space="0" w:color="auto"/>
            </w:tcBorders>
          </w:tcPr>
          <w:p w14:paraId="506DDFBD" w14:textId="77777777" w:rsidR="007701DC" w:rsidRPr="00BA6F83" w:rsidRDefault="007701DC" w:rsidP="007701D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Class 3: PHEV-oriented</w:t>
            </w:r>
          </w:p>
        </w:tc>
        <w:tc>
          <w:tcPr>
            <w:tcW w:w="1052" w:type="dxa"/>
            <w:tcBorders>
              <w:top w:val="none" w:sz="0" w:space="0" w:color="auto"/>
              <w:bottom w:val="none" w:sz="0" w:space="0" w:color="auto"/>
            </w:tcBorders>
          </w:tcPr>
          <w:p w14:paraId="222D3306" w14:textId="77777777" w:rsidR="007701DC" w:rsidRPr="00BA6F83" w:rsidRDefault="007701DC" w:rsidP="007701D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Class 4: BEV- oriented</w:t>
            </w:r>
          </w:p>
        </w:tc>
      </w:tr>
      <w:tr w:rsidR="007701DC" w:rsidRPr="00BA6F83" w14:paraId="4FE1FFFB" w14:textId="77777777" w:rsidTr="00513E94">
        <w:trPr>
          <w:gridAfter w:val="1"/>
          <w:wAfter w:w="7" w:type="dxa"/>
          <w:trHeight w:val="222"/>
        </w:trPr>
        <w:tc>
          <w:tcPr>
            <w:cnfStyle w:val="001000000000" w:firstRow="0" w:lastRow="0" w:firstColumn="1" w:lastColumn="0" w:oddVBand="0" w:evenVBand="0" w:oddHBand="0" w:evenHBand="0" w:firstRowFirstColumn="0" w:firstRowLastColumn="0" w:lastRowFirstColumn="0" w:lastRowLastColumn="0"/>
            <w:tcW w:w="1678" w:type="dxa"/>
            <w:tcBorders>
              <w:top w:val="nil"/>
              <w:bottom w:val="single" w:sz="4" w:space="0" w:color="7F7F7F" w:themeColor="text1" w:themeTint="80"/>
            </w:tcBorders>
            <w:vAlign w:val="center"/>
          </w:tcPr>
          <w:p w14:paraId="36CDC93C" w14:textId="77777777" w:rsidR="007701DC" w:rsidRPr="00BA6F83" w:rsidRDefault="007701DC" w:rsidP="007701DC">
            <w:pPr>
              <w:spacing w:after="60"/>
              <w:rPr>
                <w:rFonts w:ascii="Times New Roman" w:eastAsia="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Probability of Membership</w:t>
            </w:r>
          </w:p>
        </w:tc>
        <w:tc>
          <w:tcPr>
            <w:tcW w:w="1534" w:type="dxa"/>
            <w:tcBorders>
              <w:top w:val="nil"/>
              <w:bottom w:val="single" w:sz="4" w:space="0" w:color="7F7F7F" w:themeColor="text1" w:themeTint="80"/>
            </w:tcBorders>
            <w:vAlign w:val="center"/>
          </w:tcPr>
          <w:p w14:paraId="0FADE2A2" w14:textId="77777777" w:rsidR="007701DC" w:rsidRPr="00BA6F83" w:rsidRDefault="007701DC" w:rsidP="007701DC">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p>
        </w:tc>
        <w:tc>
          <w:tcPr>
            <w:tcW w:w="1134" w:type="dxa"/>
            <w:tcBorders>
              <w:top w:val="nil"/>
              <w:bottom w:val="nil"/>
            </w:tcBorders>
            <w:vAlign w:val="center"/>
          </w:tcPr>
          <w:p w14:paraId="1CDC208B" w14:textId="77777777" w:rsidR="007701DC" w:rsidRPr="00BA6F83" w:rsidRDefault="007701DC" w:rsidP="007701DC">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0.4</w:t>
            </w:r>
          </w:p>
        </w:tc>
        <w:tc>
          <w:tcPr>
            <w:tcW w:w="1134" w:type="dxa"/>
            <w:tcBorders>
              <w:top w:val="nil"/>
              <w:bottom w:val="nil"/>
            </w:tcBorders>
            <w:vAlign w:val="center"/>
          </w:tcPr>
          <w:p w14:paraId="43D9371C" w14:textId="77777777" w:rsidR="007701DC" w:rsidRPr="00BA6F83" w:rsidRDefault="007701DC" w:rsidP="007701DC">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0.3</w:t>
            </w:r>
          </w:p>
        </w:tc>
        <w:tc>
          <w:tcPr>
            <w:tcW w:w="1140" w:type="dxa"/>
            <w:tcBorders>
              <w:top w:val="nil"/>
              <w:bottom w:val="nil"/>
            </w:tcBorders>
            <w:vAlign w:val="center"/>
          </w:tcPr>
          <w:p w14:paraId="7F23F300" w14:textId="77777777" w:rsidR="007701DC" w:rsidRPr="00BA6F83" w:rsidRDefault="007701DC" w:rsidP="007701DC">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0.3</w:t>
            </w:r>
          </w:p>
        </w:tc>
        <w:tc>
          <w:tcPr>
            <w:tcW w:w="376" w:type="dxa"/>
            <w:tcBorders>
              <w:top w:val="nil"/>
              <w:bottom w:val="nil"/>
            </w:tcBorders>
            <w:vAlign w:val="center"/>
          </w:tcPr>
          <w:p w14:paraId="212E524B" w14:textId="77777777" w:rsidR="007701DC" w:rsidRPr="00BA6F83" w:rsidRDefault="007701DC" w:rsidP="007701DC">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1219" w:type="dxa"/>
            <w:tcBorders>
              <w:top w:val="nil"/>
              <w:bottom w:val="single" w:sz="4" w:space="0" w:color="7F7F7F" w:themeColor="text1" w:themeTint="80"/>
            </w:tcBorders>
            <w:vAlign w:val="center"/>
          </w:tcPr>
          <w:p w14:paraId="0917D480" w14:textId="77777777" w:rsidR="007701DC" w:rsidRPr="00BA6F83" w:rsidRDefault="007701DC" w:rsidP="007701DC">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1135" w:type="dxa"/>
            <w:tcBorders>
              <w:bottom w:val="nil"/>
            </w:tcBorders>
            <w:vAlign w:val="center"/>
          </w:tcPr>
          <w:p w14:paraId="723FF063" w14:textId="77777777" w:rsidR="007701DC" w:rsidRPr="00BA6F83" w:rsidRDefault="007701DC" w:rsidP="007701DC">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A6F83">
              <w:rPr>
                <w:rFonts w:ascii="Times New Roman" w:eastAsia="Times New Roman" w:hAnsi="Times New Roman" w:cs="Times New Roman"/>
                <w:color w:val="000000" w:themeColor="text1"/>
                <w:sz w:val="18"/>
                <w:szCs w:val="18"/>
              </w:rPr>
              <w:t>0.4</w:t>
            </w:r>
          </w:p>
        </w:tc>
        <w:tc>
          <w:tcPr>
            <w:tcW w:w="1264" w:type="dxa"/>
            <w:tcBorders>
              <w:bottom w:val="nil"/>
            </w:tcBorders>
            <w:vAlign w:val="center"/>
          </w:tcPr>
          <w:p w14:paraId="19F60785" w14:textId="77777777" w:rsidR="007701DC" w:rsidRPr="00BA6F83" w:rsidRDefault="007701DC" w:rsidP="007701DC">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A6F83">
              <w:rPr>
                <w:rFonts w:ascii="Times New Roman" w:eastAsia="Times New Roman" w:hAnsi="Times New Roman" w:cs="Times New Roman"/>
                <w:color w:val="000000" w:themeColor="text1"/>
                <w:sz w:val="18"/>
                <w:szCs w:val="18"/>
              </w:rPr>
              <w:t>0.2</w:t>
            </w:r>
          </w:p>
        </w:tc>
        <w:tc>
          <w:tcPr>
            <w:tcW w:w="1148" w:type="dxa"/>
            <w:tcBorders>
              <w:bottom w:val="nil"/>
            </w:tcBorders>
            <w:vAlign w:val="center"/>
          </w:tcPr>
          <w:p w14:paraId="0E8B2F0B" w14:textId="77777777" w:rsidR="007701DC" w:rsidRPr="00BA6F83" w:rsidRDefault="007701DC" w:rsidP="007701DC">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A6F83">
              <w:rPr>
                <w:rFonts w:ascii="Times New Roman" w:eastAsia="Times New Roman" w:hAnsi="Times New Roman" w:cs="Times New Roman"/>
                <w:color w:val="000000" w:themeColor="text1"/>
                <w:sz w:val="18"/>
                <w:szCs w:val="18"/>
              </w:rPr>
              <w:t>0.3</w:t>
            </w:r>
          </w:p>
        </w:tc>
        <w:tc>
          <w:tcPr>
            <w:tcW w:w="1052" w:type="dxa"/>
            <w:tcBorders>
              <w:bottom w:val="nil"/>
            </w:tcBorders>
            <w:vAlign w:val="center"/>
          </w:tcPr>
          <w:p w14:paraId="0C98758B" w14:textId="77777777" w:rsidR="007701DC" w:rsidRPr="00BA6F83" w:rsidRDefault="007701DC" w:rsidP="007701DC">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A6F83">
              <w:rPr>
                <w:rFonts w:ascii="Times New Roman" w:eastAsia="Times New Roman" w:hAnsi="Times New Roman" w:cs="Times New Roman"/>
                <w:color w:val="000000" w:themeColor="text1"/>
                <w:sz w:val="18"/>
                <w:szCs w:val="18"/>
              </w:rPr>
              <w:t>0.1</w:t>
            </w:r>
          </w:p>
        </w:tc>
      </w:tr>
      <w:tr w:rsidR="007701DC" w:rsidRPr="00BA6F83" w14:paraId="074BAAF2" w14:textId="77777777" w:rsidTr="00513E94">
        <w:trPr>
          <w:gridAfter w:val="1"/>
          <w:cnfStyle w:val="000000100000" w:firstRow="0" w:lastRow="0" w:firstColumn="0" w:lastColumn="0" w:oddVBand="0" w:evenVBand="0" w:oddHBand="1" w:evenHBand="0" w:firstRowFirstColumn="0" w:firstRowLastColumn="0" w:lastRowFirstColumn="0" w:lastRowLastColumn="0"/>
          <w:wAfter w:w="7" w:type="dxa"/>
          <w:trHeight w:val="260"/>
        </w:trPr>
        <w:tc>
          <w:tcPr>
            <w:cnfStyle w:val="001000000000" w:firstRow="0" w:lastRow="0" w:firstColumn="1" w:lastColumn="0" w:oddVBand="0" w:evenVBand="0" w:oddHBand="0" w:evenHBand="0" w:firstRowFirstColumn="0" w:firstRowLastColumn="0" w:lastRowFirstColumn="0" w:lastRowLastColumn="0"/>
            <w:tcW w:w="1678" w:type="dxa"/>
            <w:tcBorders>
              <w:top w:val="none" w:sz="0" w:space="0" w:color="auto"/>
              <w:bottom w:val="nil"/>
            </w:tcBorders>
          </w:tcPr>
          <w:p w14:paraId="2C2619A6" w14:textId="77777777" w:rsidR="007701DC" w:rsidRPr="00BA6F83" w:rsidRDefault="007701DC" w:rsidP="007701DC">
            <w:pPr>
              <w:spacing w:before="60"/>
              <w:rPr>
                <w:rFonts w:ascii="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ICE constant</w:t>
            </w:r>
          </w:p>
        </w:tc>
        <w:tc>
          <w:tcPr>
            <w:tcW w:w="1534" w:type="dxa"/>
            <w:tcBorders>
              <w:top w:val="none" w:sz="0" w:space="0" w:color="auto"/>
              <w:bottom w:val="nil"/>
            </w:tcBorders>
          </w:tcPr>
          <w:p w14:paraId="4CB2CA7F" w14:textId="77777777" w:rsidR="007701DC" w:rsidRPr="00BA6F83" w:rsidRDefault="007701DC" w:rsidP="007701DC">
            <w:pPr>
              <w:tabs>
                <w:tab w:val="decimal" w:pos="362"/>
              </w:tabs>
              <w:spacing w:before="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0.7522***</w:t>
            </w:r>
          </w:p>
        </w:tc>
        <w:tc>
          <w:tcPr>
            <w:tcW w:w="1134" w:type="dxa"/>
            <w:tcBorders>
              <w:top w:val="none" w:sz="0" w:space="0" w:color="auto"/>
              <w:bottom w:val="nil"/>
            </w:tcBorders>
          </w:tcPr>
          <w:p w14:paraId="020F5823" w14:textId="77777777" w:rsidR="007701DC" w:rsidRPr="00BA6F83" w:rsidRDefault="007701DC" w:rsidP="007701DC">
            <w:pPr>
              <w:tabs>
                <w:tab w:val="decimal" w:pos="252"/>
              </w:tabs>
              <w:spacing w:before="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3.27***</w:t>
            </w:r>
          </w:p>
        </w:tc>
        <w:tc>
          <w:tcPr>
            <w:tcW w:w="1134" w:type="dxa"/>
            <w:tcBorders>
              <w:top w:val="none" w:sz="0" w:space="0" w:color="auto"/>
              <w:bottom w:val="nil"/>
            </w:tcBorders>
          </w:tcPr>
          <w:p w14:paraId="21B4DCB5" w14:textId="77777777" w:rsidR="007701DC" w:rsidRPr="00BA6F83" w:rsidRDefault="007701DC" w:rsidP="007701DC">
            <w:pPr>
              <w:tabs>
                <w:tab w:val="decimal" w:pos="255"/>
              </w:tabs>
              <w:spacing w:before="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1.803**</w:t>
            </w:r>
          </w:p>
        </w:tc>
        <w:tc>
          <w:tcPr>
            <w:tcW w:w="1140" w:type="dxa"/>
            <w:tcBorders>
              <w:top w:val="none" w:sz="0" w:space="0" w:color="auto"/>
              <w:bottom w:val="nil"/>
            </w:tcBorders>
          </w:tcPr>
          <w:p w14:paraId="3283C2C1" w14:textId="77777777" w:rsidR="007701DC" w:rsidRPr="00BA6F83" w:rsidRDefault="007701DC" w:rsidP="007701DC">
            <w:pPr>
              <w:tabs>
                <w:tab w:val="decimal" w:pos="259"/>
              </w:tabs>
              <w:spacing w:before="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-1.91***</w:t>
            </w:r>
          </w:p>
        </w:tc>
        <w:tc>
          <w:tcPr>
            <w:tcW w:w="376" w:type="dxa"/>
            <w:tcBorders>
              <w:top w:val="nil"/>
              <w:bottom w:val="nil"/>
            </w:tcBorders>
          </w:tcPr>
          <w:p w14:paraId="03D33D09" w14:textId="77777777" w:rsidR="007701DC" w:rsidRPr="00BA6F83" w:rsidRDefault="007701DC" w:rsidP="007701DC">
            <w:pPr>
              <w:tabs>
                <w:tab w:val="decimal" w:pos="623"/>
              </w:tabs>
              <w:spacing w:before="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p>
        </w:tc>
        <w:tc>
          <w:tcPr>
            <w:tcW w:w="1219" w:type="dxa"/>
            <w:tcBorders>
              <w:top w:val="none" w:sz="0" w:space="0" w:color="auto"/>
              <w:bottom w:val="nil"/>
            </w:tcBorders>
          </w:tcPr>
          <w:p w14:paraId="59D92A5B" w14:textId="77777777" w:rsidR="007701DC" w:rsidRPr="00BA6F83" w:rsidRDefault="007701DC" w:rsidP="007701DC">
            <w:pPr>
              <w:tabs>
                <w:tab w:val="decimal" w:pos="252"/>
              </w:tabs>
              <w:spacing w:before="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0.856***</w:t>
            </w:r>
          </w:p>
        </w:tc>
        <w:tc>
          <w:tcPr>
            <w:tcW w:w="1135" w:type="dxa"/>
            <w:tcBorders>
              <w:top w:val="none" w:sz="0" w:space="0" w:color="auto"/>
              <w:bottom w:val="nil"/>
            </w:tcBorders>
          </w:tcPr>
          <w:p w14:paraId="7B3AC5B6" w14:textId="77777777" w:rsidR="007701DC" w:rsidRPr="00BA6F83" w:rsidRDefault="007701DC" w:rsidP="007701DC">
            <w:pPr>
              <w:tabs>
                <w:tab w:val="decimal" w:pos="262"/>
              </w:tabs>
              <w:spacing w:before="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2.976***</w:t>
            </w:r>
          </w:p>
        </w:tc>
        <w:tc>
          <w:tcPr>
            <w:tcW w:w="1264" w:type="dxa"/>
            <w:tcBorders>
              <w:top w:val="none" w:sz="0" w:space="0" w:color="auto"/>
              <w:bottom w:val="nil"/>
            </w:tcBorders>
          </w:tcPr>
          <w:p w14:paraId="18BFE376" w14:textId="77777777" w:rsidR="007701DC" w:rsidRPr="00BA6F83" w:rsidRDefault="007701DC" w:rsidP="007701DC">
            <w:pPr>
              <w:tabs>
                <w:tab w:val="decimal" w:pos="262"/>
              </w:tabs>
              <w:spacing w:before="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1.129**</w:t>
            </w:r>
          </w:p>
        </w:tc>
        <w:tc>
          <w:tcPr>
            <w:tcW w:w="1148" w:type="dxa"/>
            <w:tcBorders>
              <w:top w:val="none" w:sz="0" w:space="0" w:color="auto"/>
              <w:bottom w:val="nil"/>
            </w:tcBorders>
          </w:tcPr>
          <w:p w14:paraId="1485E197" w14:textId="77777777" w:rsidR="007701DC" w:rsidRPr="00BA6F83" w:rsidRDefault="007701DC" w:rsidP="007701DC">
            <w:pPr>
              <w:tabs>
                <w:tab w:val="decimal" w:pos="232"/>
              </w:tabs>
              <w:spacing w:before="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-0.463**</w:t>
            </w:r>
          </w:p>
        </w:tc>
        <w:tc>
          <w:tcPr>
            <w:tcW w:w="1052" w:type="dxa"/>
            <w:tcBorders>
              <w:top w:val="none" w:sz="0" w:space="0" w:color="auto"/>
              <w:bottom w:val="nil"/>
            </w:tcBorders>
          </w:tcPr>
          <w:p w14:paraId="6F2C086A" w14:textId="77777777" w:rsidR="007701DC" w:rsidRPr="00BA6F83" w:rsidRDefault="007701DC" w:rsidP="007701DC">
            <w:pPr>
              <w:tabs>
                <w:tab w:val="decimal" w:pos="224"/>
              </w:tabs>
              <w:spacing w:before="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-2.79***</w:t>
            </w:r>
          </w:p>
        </w:tc>
      </w:tr>
      <w:tr w:rsidR="007701DC" w:rsidRPr="00BA6F83" w14:paraId="2B8EF4D8" w14:textId="77777777" w:rsidTr="00513E94">
        <w:trPr>
          <w:gridAfter w:val="1"/>
          <w:wAfter w:w="7" w:type="dxa"/>
          <w:trHeight w:val="202"/>
        </w:trPr>
        <w:tc>
          <w:tcPr>
            <w:cnfStyle w:val="001000000000" w:firstRow="0" w:lastRow="0" w:firstColumn="1" w:lastColumn="0" w:oddVBand="0" w:evenVBand="0" w:oddHBand="0" w:evenHBand="0" w:firstRowFirstColumn="0" w:firstRowLastColumn="0" w:lastRowFirstColumn="0" w:lastRowLastColumn="0"/>
            <w:tcW w:w="1678" w:type="dxa"/>
            <w:tcBorders>
              <w:top w:val="nil"/>
              <w:bottom w:val="nil"/>
            </w:tcBorders>
          </w:tcPr>
          <w:p w14:paraId="7CE9B0B2" w14:textId="77777777" w:rsidR="007701DC" w:rsidRPr="00BA6F83" w:rsidRDefault="007701DC" w:rsidP="007701DC">
            <w:pPr>
              <w:rPr>
                <w:rFonts w:ascii="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 xml:space="preserve">HEV constant </w:t>
            </w:r>
          </w:p>
        </w:tc>
        <w:tc>
          <w:tcPr>
            <w:tcW w:w="1534" w:type="dxa"/>
            <w:tcBorders>
              <w:top w:val="nil"/>
              <w:bottom w:val="nil"/>
            </w:tcBorders>
          </w:tcPr>
          <w:p w14:paraId="2C2C9201" w14:textId="77777777" w:rsidR="007701DC" w:rsidRPr="00BA6F83" w:rsidRDefault="007701DC" w:rsidP="007701DC">
            <w:pPr>
              <w:tabs>
                <w:tab w:val="decimal" w:pos="36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0.3764</w:t>
            </w:r>
            <w:r w:rsidRPr="00BA6F83">
              <w:rPr>
                <w:rFonts w:ascii="Times New Roman" w:eastAsia="Times New Roman" w:hAnsi="Times New Roman" w:cs="Times New Roman"/>
                <w:color w:val="000000" w:themeColor="text1"/>
                <w:sz w:val="18"/>
                <w:szCs w:val="18"/>
              </w:rPr>
              <w:t>***</w:t>
            </w:r>
          </w:p>
        </w:tc>
        <w:tc>
          <w:tcPr>
            <w:tcW w:w="1134" w:type="dxa"/>
            <w:tcBorders>
              <w:top w:val="nil"/>
              <w:bottom w:val="nil"/>
            </w:tcBorders>
          </w:tcPr>
          <w:p w14:paraId="44E9F539" w14:textId="77777777" w:rsidR="007701DC" w:rsidRPr="00BA6F83" w:rsidRDefault="007701DC" w:rsidP="007701DC">
            <w:pPr>
              <w:tabs>
                <w:tab w:val="decimal" w:pos="25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 xml:space="preserve">0.932 </w:t>
            </w:r>
          </w:p>
        </w:tc>
        <w:tc>
          <w:tcPr>
            <w:tcW w:w="1134" w:type="dxa"/>
            <w:tcBorders>
              <w:top w:val="nil"/>
              <w:bottom w:val="nil"/>
            </w:tcBorders>
          </w:tcPr>
          <w:p w14:paraId="5E7162C6" w14:textId="77777777" w:rsidR="007701DC" w:rsidRPr="00BA6F83" w:rsidRDefault="007701DC" w:rsidP="007701DC">
            <w:pPr>
              <w:tabs>
                <w:tab w:val="decimal" w:pos="25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3.8***</w:t>
            </w:r>
          </w:p>
        </w:tc>
        <w:tc>
          <w:tcPr>
            <w:tcW w:w="1140" w:type="dxa"/>
            <w:tcBorders>
              <w:top w:val="nil"/>
              <w:bottom w:val="nil"/>
            </w:tcBorders>
          </w:tcPr>
          <w:p w14:paraId="3EE72251" w14:textId="77777777" w:rsidR="007701DC" w:rsidRPr="00BA6F83" w:rsidRDefault="007701DC" w:rsidP="007701DC">
            <w:pPr>
              <w:tabs>
                <w:tab w:val="decimal" w:pos="25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-1.49***</w:t>
            </w:r>
          </w:p>
        </w:tc>
        <w:tc>
          <w:tcPr>
            <w:tcW w:w="376" w:type="dxa"/>
            <w:tcBorders>
              <w:top w:val="nil"/>
              <w:bottom w:val="nil"/>
            </w:tcBorders>
          </w:tcPr>
          <w:p w14:paraId="441C55D7" w14:textId="77777777" w:rsidR="007701DC" w:rsidRPr="00BA6F83" w:rsidRDefault="007701DC" w:rsidP="007701DC">
            <w:pPr>
              <w:tabs>
                <w:tab w:val="decimal" w:pos="62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1219" w:type="dxa"/>
            <w:tcBorders>
              <w:top w:val="nil"/>
              <w:bottom w:val="nil"/>
            </w:tcBorders>
          </w:tcPr>
          <w:p w14:paraId="0E15FFD6" w14:textId="77777777" w:rsidR="007701DC" w:rsidRPr="00BA6F83" w:rsidRDefault="007701DC" w:rsidP="007701DC">
            <w:pPr>
              <w:tabs>
                <w:tab w:val="decimal" w:pos="252"/>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0.583***</w:t>
            </w:r>
          </w:p>
        </w:tc>
        <w:tc>
          <w:tcPr>
            <w:tcW w:w="1135" w:type="dxa"/>
            <w:tcBorders>
              <w:top w:val="nil"/>
              <w:bottom w:val="nil"/>
            </w:tcBorders>
          </w:tcPr>
          <w:p w14:paraId="7D046957" w14:textId="77777777" w:rsidR="007701DC" w:rsidRPr="00BA6F83" w:rsidRDefault="007701DC" w:rsidP="007701DC">
            <w:pPr>
              <w:tabs>
                <w:tab w:val="decimal" w:pos="262"/>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1.073***</w:t>
            </w:r>
          </w:p>
        </w:tc>
        <w:tc>
          <w:tcPr>
            <w:tcW w:w="1264" w:type="dxa"/>
            <w:tcBorders>
              <w:top w:val="nil"/>
              <w:bottom w:val="nil"/>
            </w:tcBorders>
          </w:tcPr>
          <w:p w14:paraId="2D4A1C14" w14:textId="77777777" w:rsidR="007701DC" w:rsidRPr="00BA6F83" w:rsidRDefault="007701DC" w:rsidP="007701DC">
            <w:pPr>
              <w:tabs>
                <w:tab w:val="decimal" w:pos="262"/>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3.176***</w:t>
            </w:r>
          </w:p>
        </w:tc>
        <w:tc>
          <w:tcPr>
            <w:tcW w:w="1148" w:type="dxa"/>
            <w:tcBorders>
              <w:top w:val="nil"/>
              <w:bottom w:val="nil"/>
            </w:tcBorders>
          </w:tcPr>
          <w:p w14:paraId="0F23ED48" w14:textId="77777777" w:rsidR="007701DC" w:rsidRPr="00BA6F83" w:rsidRDefault="007701DC" w:rsidP="007701DC">
            <w:pPr>
              <w:tabs>
                <w:tab w:val="decimal" w:pos="232"/>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0.591***</w:t>
            </w:r>
          </w:p>
        </w:tc>
        <w:tc>
          <w:tcPr>
            <w:tcW w:w="1052" w:type="dxa"/>
            <w:tcBorders>
              <w:top w:val="nil"/>
              <w:bottom w:val="nil"/>
            </w:tcBorders>
          </w:tcPr>
          <w:p w14:paraId="7052979A" w14:textId="77777777" w:rsidR="007701DC" w:rsidRPr="00BA6F83" w:rsidRDefault="007701DC" w:rsidP="007701DC">
            <w:pPr>
              <w:tabs>
                <w:tab w:val="decimal" w:pos="224"/>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-2.53***</w:t>
            </w:r>
          </w:p>
        </w:tc>
      </w:tr>
      <w:tr w:rsidR="007701DC" w:rsidRPr="00BA6F83" w14:paraId="55BFBBC7" w14:textId="77777777" w:rsidTr="00513E94">
        <w:trPr>
          <w:gridAfter w:val="1"/>
          <w:cnfStyle w:val="000000100000" w:firstRow="0" w:lastRow="0" w:firstColumn="0" w:lastColumn="0" w:oddVBand="0" w:evenVBand="0" w:oddHBand="1" w:evenHBand="0" w:firstRowFirstColumn="0" w:firstRowLastColumn="0" w:lastRowFirstColumn="0" w:lastRowLastColumn="0"/>
          <w:wAfter w:w="7" w:type="dxa"/>
          <w:trHeight w:val="202"/>
        </w:trPr>
        <w:tc>
          <w:tcPr>
            <w:cnfStyle w:val="001000000000" w:firstRow="0" w:lastRow="0" w:firstColumn="1" w:lastColumn="0" w:oddVBand="0" w:evenVBand="0" w:oddHBand="0" w:evenHBand="0" w:firstRowFirstColumn="0" w:firstRowLastColumn="0" w:lastRowFirstColumn="0" w:lastRowLastColumn="0"/>
            <w:tcW w:w="1678" w:type="dxa"/>
            <w:tcBorders>
              <w:top w:val="nil"/>
              <w:bottom w:val="nil"/>
            </w:tcBorders>
          </w:tcPr>
          <w:p w14:paraId="2653CCB9" w14:textId="77777777" w:rsidR="007701DC" w:rsidRPr="00BA6F83" w:rsidRDefault="007701DC" w:rsidP="007701DC">
            <w:pPr>
              <w:rPr>
                <w:rFonts w:ascii="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PHEV constant</w:t>
            </w:r>
          </w:p>
        </w:tc>
        <w:tc>
          <w:tcPr>
            <w:tcW w:w="1534" w:type="dxa"/>
            <w:tcBorders>
              <w:top w:val="nil"/>
              <w:bottom w:val="nil"/>
            </w:tcBorders>
          </w:tcPr>
          <w:p w14:paraId="77E1AF45" w14:textId="77777777" w:rsidR="007701DC" w:rsidRPr="00BA6F83" w:rsidRDefault="007701DC" w:rsidP="007701DC">
            <w:pPr>
              <w:tabs>
                <w:tab w:val="decimal" w:pos="36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0.3674</w:t>
            </w:r>
            <w:r w:rsidRPr="00BA6F83">
              <w:rPr>
                <w:rFonts w:ascii="Times New Roman" w:eastAsia="Times New Roman" w:hAnsi="Times New Roman" w:cs="Times New Roman"/>
                <w:color w:val="000000" w:themeColor="text1"/>
                <w:sz w:val="18"/>
                <w:szCs w:val="18"/>
              </w:rPr>
              <w:t>***</w:t>
            </w:r>
          </w:p>
        </w:tc>
        <w:tc>
          <w:tcPr>
            <w:tcW w:w="1134" w:type="dxa"/>
            <w:tcBorders>
              <w:top w:val="nil"/>
              <w:bottom w:val="nil"/>
            </w:tcBorders>
          </w:tcPr>
          <w:p w14:paraId="280DD0A5" w14:textId="77777777" w:rsidR="007701DC" w:rsidRPr="00BA6F83" w:rsidRDefault="007701DC" w:rsidP="007701DC">
            <w:pPr>
              <w:tabs>
                <w:tab w:val="decimal" w:pos="25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0.508</w:t>
            </w:r>
          </w:p>
        </w:tc>
        <w:tc>
          <w:tcPr>
            <w:tcW w:w="1134" w:type="dxa"/>
            <w:tcBorders>
              <w:top w:val="nil"/>
              <w:bottom w:val="nil"/>
            </w:tcBorders>
          </w:tcPr>
          <w:p w14:paraId="350A170B" w14:textId="77777777" w:rsidR="007701DC" w:rsidRPr="00BA6F83" w:rsidRDefault="007701DC" w:rsidP="007701DC">
            <w:pPr>
              <w:tabs>
                <w:tab w:val="decimal" w:pos="25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1.781***</w:t>
            </w:r>
          </w:p>
        </w:tc>
        <w:tc>
          <w:tcPr>
            <w:tcW w:w="1140" w:type="dxa"/>
            <w:tcBorders>
              <w:top w:val="nil"/>
              <w:bottom w:val="nil"/>
            </w:tcBorders>
          </w:tcPr>
          <w:p w14:paraId="5F22D750" w14:textId="77777777" w:rsidR="007701DC" w:rsidRPr="00BA6F83" w:rsidRDefault="007701DC" w:rsidP="007701DC">
            <w:pPr>
              <w:tabs>
                <w:tab w:val="decimal" w:pos="25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0.27*</w:t>
            </w:r>
          </w:p>
        </w:tc>
        <w:tc>
          <w:tcPr>
            <w:tcW w:w="376" w:type="dxa"/>
            <w:tcBorders>
              <w:top w:val="nil"/>
              <w:bottom w:val="nil"/>
            </w:tcBorders>
          </w:tcPr>
          <w:p w14:paraId="56AAFB7E" w14:textId="77777777" w:rsidR="007701DC" w:rsidRPr="00BA6F83" w:rsidRDefault="007701DC" w:rsidP="007701DC">
            <w:pPr>
              <w:tabs>
                <w:tab w:val="decimal" w:pos="62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p>
        </w:tc>
        <w:tc>
          <w:tcPr>
            <w:tcW w:w="1219" w:type="dxa"/>
            <w:tcBorders>
              <w:top w:val="nil"/>
              <w:bottom w:val="nil"/>
            </w:tcBorders>
          </w:tcPr>
          <w:p w14:paraId="787EEC08" w14:textId="77777777" w:rsidR="007701DC" w:rsidRPr="00BA6F83" w:rsidRDefault="007701DC" w:rsidP="007701DC">
            <w:pPr>
              <w:tabs>
                <w:tab w:val="decimal" w:pos="252"/>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0.521***</w:t>
            </w:r>
          </w:p>
        </w:tc>
        <w:tc>
          <w:tcPr>
            <w:tcW w:w="1135" w:type="dxa"/>
            <w:tcBorders>
              <w:top w:val="nil"/>
              <w:bottom w:val="nil"/>
            </w:tcBorders>
          </w:tcPr>
          <w:p w14:paraId="3831F840" w14:textId="77777777" w:rsidR="007701DC" w:rsidRPr="00BA6F83" w:rsidRDefault="007701DC" w:rsidP="007701DC">
            <w:pPr>
              <w:tabs>
                <w:tab w:val="decimal" w:pos="262"/>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0.467**</w:t>
            </w:r>
          </w:p>
        </w:tc>
        <w:tc>
          <w:tcPr>
            <w:tcW w:w="1264" w:type="dxa"/>
            <w:tcBorders>
              <w:top w:val="nil"/>
              <w:bottom w:val="nil"/>
            </w:tcBorders>
          </w:tcPr>
          <w:p w14:paraId="700D8723" w14:textId="77777777" w:rsidR="007701DC" w:rsidRPr="00BA6F83" w:rsidRDefault="007701DC" w:rsidP="007701DC">
            <w:pPr>
              <w:tabs>
                <w:tab w:val="decimal" w:pos="262"/>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1.165***</w:t>
            </w:r>
          </w:p>
        </w:tc>
        <w:tc>
          <w:tcPr>
            <w:tcW w:w="1148" w:type="dxa"/>
            <w:tcBorders>
              <w:top w:val="nil"/>
              <w:bottom w:val="nil"/>
            </w:tcBorders>
          </w:tcPr>
          <w:p w14:paraId="52064C64" w14:textId="77777777" w:rsidR="007701DC" w:rsidRPr="00BA6F83" w:rsidRDefault="007701DC" w:rsidP="007701DC">
            <w:pPr>
              <w:tabs>
                <w:tab w:val="decimal" w:pos="232"/>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1.885***</w:t>
            </w:r>
          </w:p>
        </w:tc>
        <w:tc>
          <w:tcPr>
            <w:tcW w:w="1052" w:type="dxa"/>
            <w:tcBorders>
              <w:top w:val="nil"/>
              <w:bottom w:val="nil"/>
            </w:tcBorders>
          </w:tcPr>
          <w:p w14:paraId="56AD69C6" w14:textId="77777777" w:rsidR="007701DC" w:rsidRPr="00BA6F83" w:rsidRDefault="007701DC" w:rsidP="007701DC">
            <w:pPr>
              <w:tabs>
                <w:tab w:val="decimal" w:pos="224"/>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-1.38***</w:t>
            </w:r>
          </w:p>
        </w:tc>
      </w:tr>
      <w:tr w:rsidR="007701DC" w:rsidRPr="00BA6F83" w14:paraId="4CED5283" w14:textId="77777777" w:rsidTr="00513E94">
        <w:trPr>
          <w:gridAfter w:val="1"/>
          <w:wAfter w:w="7" w:type="dxa"/>
          <w:trHeight w:val="390"/>
        </w:trPr>
        <w:tc>
          <w:tcPr>
            <w:cnfStyle w:val="001000000000" w:firstRow="0" w:lastRow="0" w:firstColumn="1" w:lastColumn="0" w:oddVBand="0" w:evenVBand="0" w:oddHBand="0" w:evenHBand="0" w:firstRowFirstColumn="0" w:firstRowLastColumn="0" w:lastRowFirstColumn="0" w:lastRowLastColumn="0"/>
            <w:tcW w:w="1678" w:type="dxa"/>
            <w:tcBorders>
              <w:top w:val="nil"/>
              <w:bottom w:val="nil"/>
            </w:tcBorders>
          </w:tcPr>
          <w:p w14:paraId="37939BE2" w14:textId="77777777" w:rsidR="007701DC" w:rsidRPr="00BA6F83" w:rsidRDefault="007701DC" w:rsidP="007701DC">
            <w:pPr>
              <w:rPr>
                <w:rFonts w:ascii="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Purchase price (1000 $)</w:t>
            </w:r>
          </w:p>
        </w:tc>
        <w:tc>
          <w:tcPr>
            <w:tcW w:w="1534" w:type="dxa"/>
            <w:tcBorders>
              <w:top w:val="nil"/>
              <w:bottom w:val="nil"/>
            </w:tcBorders>
          </w:tcPr>
          <w:p w14:paraId="34CFF7BB" w14:textId="77777777" w:rsidR="007701DC" w:rsidRPr="00BA6F83" w:rsidRDefault="007701DC" w:rsidP="007701DC">
            <w:pPr>
              <w:tabs>
                <w:tab w:val="decimal" w:pos="362"/>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-0.0364***</w:t>
            </w:r>
          </w:p>
        </w:tc>
        <w:tc>
          <w:tcPr>
            <w:tcW w:w="1134" w:type="dxa"/>
            <w:tcBorders>
              <w:top w:val="nil"/>
              <w:bottom w:val="nil"/>
            </w:tcBorders>
          </w:tcPr>
          <w:p w14:paraId="295F977A" w14:textId="77777777" w:rsidR="007701DC" w:rsidRPr="00BA6F83" w:rsidRDefault="007701DC" w:rsidP="007701DC">
            <w:pPr>
              <w:tabs>
                <w:tab w:val="decimal" w:pos="25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-0.12***</w:t>
            </w:r>
          </w:p>
        </w:tc>
        <w:tc>
          <w:tcPr>
            <w:tcW w:w="1134" w:type="dxa"/>
            <w:tcBorders>
              <w:top w:val="nil"/>
              <w:bottom w:val="nil"/>
            </w:tcBorders>
          </w:tcPr>
          <w:p w14:paraId="5342F54A" w14:textId="77777777" w:rsidR="007701DC" w:rsidRPr="00BA6F83" w:rsidRDefault="007701DC" w:rsidP="007701DC">
            <w:pPr>
              <w:tabs>
                <w:tab w:val="decimal" w:pos="25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-0.06***</w:t>
            </w:r>
          </w:p>
        </w:tc>
        <w:tc>
          <w:tcPr>
            <w:tcW w:w="1140" w:type="dxa"/>
            <w:tcBorders>
              <w:top w:val="nil"/>
              <w:bottom w:val="nil"/>
            </w:tcBorders>
          </w:tcPr>
          <w:p w14:paraId="4AC90D25" w14:textId="77777777" w:rsidR="007701DC" w:rsidRPr="00BA6F83" w:rsidRDefault="007701DC" w:rsidP="007701DC">
            <w:pPr>
              <w:tabs>
                <w:tab w:val="decimal" w:pos="25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-0.04***</w:t>
            </w:r>
          </w:p>
        </w:tc>
        <w:tc>
          <w:tcPr>
            <w:tcW w:w="376" w:type="dxa"/>
            <w:tcBorders>
              <w:top w:val="nil"/>
              <w:bottom w:val="nil"/>
            </w:tcBorders>
          </w:tcPr>
          <w:p w14:paraId="1E0A288C" w14:textId="77777777" w:rsidR="007701DC" w:rsidRPr="00BA6F83" w:rsidRDefault="007701DC" w:rsidP="007701DC">
            <w:pPr>
              <w:tabs>
                <w:tab w:val="decimal" w:pos="62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1219" w:type="dxa"/>
            <w:tcBorders>
              <w:top w:val="nil"/>
              <w:bottom w:val="nil"/>
            </w:tcBorders>
          </w:tcPr>
          <w:p w14:paraId="06C2501D" w14:textId="77777777" w:rsidR="007701DC" w:rsidRPr="00BA6F83" w:rsidRDefault="007701DC" w:rsidP="007701DC">
            <w:pPr>
              <w:tabs>
                <w:tab w:val="decimal" w:pos="252"/>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-0.036***</w:t>
            </w:r>
          </w:p>
        </w:tc>
        <w:tc>
          <w:tcPr>
            <w:tcW w:w="1135" w:type="dxa"/>
            <w:tcBorders>
              <w:top w:val="nil"/>
              <w:bottom w:val="nil"/>
            </w:tcBorders>
          </w:tcPr>
          <w:p w14:paraId="6788266D" w14:textId="77777777" w:rsidR="007701DC" w:rsidRPr="00BA6F83" w:rsidRDefault="007701DC" w:rsidP="007701DC">
            <w:pPr>
              <w:tabs>
                <w:tab w:val="decimal" w:pos="262"/>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-0.118***</w:t>
            </w:r>
          </w:p>
        </w:tc>
        <w:tc>
          <w:tcPr>
            <w:tcW w:w="1264" w:type="dxa"/>
            <w:tcBorders>
              <w:top w:val="nil"/>
              <w:bottom w:val="nil"/>
            </w:tcBorders>
          </w:tcPr>
          <w:p w14:paraId="6D36FEC8" w14:textId="77777777" w:rsidR="007701DC" w:rsidRPr="00BA6F83" w:rsidRDefault="007701DC" w:rsidP="007701DC">
            <w:pPr>
              <w:tabs>
                <w:tab w:val="decimal" w:pos="262"/>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-0.02***</w:t>
            </w:r>
          </w:p>
        </w:tc>
        <w:tc>
          <w:tcPr>
            <w:tcW w:w="1148" w:type="dxa"/>
            <w:tcBorders>
              <w:top w:val="nil"/>
              <w:bottom w:val="nil"/>
            </w:tcBorders>
          </w:tcPr>
          <w:p w14:paraId="71D94107" w14:textId="77777777" w:rsidR="007701DC" w:rsidRPr="00BA6F83" w:rsidRDefault="007701DC" w:rsidP="007701DC">
            <w:pPr>
              <w:tabs>
                <w:tab w:val="decimal" w:pos="232"/>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-0.06***</w:t>
            </w:r>
          </w:p>
        </w:tc>
        <w:tc>
          <w:tcPr>
            <w:tcW w:w="1052" w:type="dxa"/>
            <w:tcBorders>
              <w:top w:val="nil"/>
              <w:bottom w:val="nil"/>
            </w:tcBorders>
          </w:tcPr>
          <w:p w14:paraId="36A0ABD8" w14:textId="77777777" w:rsidR="007701DC" w:rsidRPr="00BA6F83" w:rsidRDefault="007701DC" w:rsidP="007701DC">
            <w:pPr>
              <w:tabs>
                <w:tab w:val="decimal" w:pos="224"/>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-0.03***</w:t>
            </w:r>
          </w:p>
        </w:tc>
      </w:tr>
      <w:tr w:rsidR="007701DC" w:rsidRPr="00BA6F83" w14:paraId="18E293CA" w14:textId="77777777" w:rsidTr="00513E94">
        <w:trPr>
          <w:gridAfter w:val="1"/>
          <w:cnfStyle w:val="000000100000" w:firstRow="0" w:lastRow="0" w:firstColumn="0" w:lastColumn="0" w:oddVBand="0" w:evenVBand="0" w:oddHBand="1" w:evenHBand="0" w:firstRowFirstColumn="0" w:firstRowLastColumn="0" w:lastRowFirstColumn="0" w:lastRowLastColumn="0"/>
          <w:wAfter w:w="7" w:type="dxa"/>
          <w:trHeight w:val="405"/>
        </w:trPr>
        <w:tc>
          <w:tcPr>
            <w:cnfStyle w:val="001000000000" w:firstRow="0" w:lastRow="0" w:firstColumn="1" w:lastColumn="0" w:oddVBand="0" w:evenVBand="0" w:oddHBand="0" w:evenHBand="0" w:firstRowFirstColumn="0" w:firstRowLastColumn="0" w:lastRowFirstColumn="0" w:lastRowLastColumn="0"/>
            <w:tcW w:w="1678" w:type="dxa"/>
            <w:tcBorders>
              <w:top w:val="nil"/>
              <w:bottom w:val="nil"/>
            </w:tcBorders>
          </w:tcPr>
          <w:p w14:paraId="47834BA6" w14:textId="77777777" w:rsidR="007701DC" w:rsidRPr="00BA6F83" w:rsidRDefault="007701DC" w:rsidP="007701DC">
            <w:pPr>
              <w:rPr>
                <w:rFonts w:ascii="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Cash incentive (1000 $)</w:t>
            </w:r>
          </w:p>
        </w:tc>
        <w:tc>
          <w:tcPr>
            <w:tcW w:w="1534" w:type="dxa"/>
            <w:tcBorders>
              <w:top w:val="nil"/>
              <w:bottom w:val="nil"/>
            </w:tcBorders>
          </w:tcPr>
          <w:p w14:paraId="12F9F3E7" w14:textId="77777777" w:rsidR="007701DC" w:rsidRPr="00BA6F83" w:rsidRDefault="007701DC" w:rsidP="007701DC">
            <w:pPr>
              <w:tabs>
                <w:tab w:val="decimal" w:pos="362"/>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0.0247***</w:t>
            </w:r>
          </w:p>
        </w:tc>
        <w:tc>
          <w:tcPr>
            <w:tcW w:w="1134" w:type="dxa"/>
            <w:tcBorders>
              <w:top w:val="nil"/>
              <w:bottom w:val="nil"/>
            </w:tcBorders>
          </w:tcPr>
          <w:p w14:paraId="1A0E9B2B" w14:textId="77777777" w:rsidR="007701DC" w:rsidRPr="00BA6F83" w:rsidRDefault="007701DC" w:rsidP="007701DC">
            <w:pPr>
              <w:tabs>
                <w:tab w:val="decimal" w:pos="25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0.061***</w:t>
            </w:r>
          </w:p>
        </w:tc>
        <w:tc>
          <w:tcPr>
            <w:tcW w:w="1134" w:type="dxa"/>
            <w:tcBorders>
              <w:top w:val="nil"/>
              <w:bottom w:val="nil"/>
            </w:tcBorders>
          </w:tcPr>
          <w:p w14:paraId="3D638794" w14:textId="77777777" w:rsidR="007701DC" w:rsidRPr="00BA6F83" w:rsidRDefault="007701DC" w:rsidP="007701DC">
            <w:pPr>
              <w:tabs>
                <w:tab w:val="decimal" w:pos="25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0.053***</w:t>
            </w:r>
          </w:p>
        </w:tc>
        <w:tc>
          <w:tcPr>
            <w:tcW w:w="1140" w:type="dxa"/>
            <w:tcBorders>
              <w:top w:val="nil"/>
              <w:bottom w:val="nil"/>
            </w:tcBorders>
          </w:tcPr>
          <w:p w14:paraId="2E551321" w14:textId="77777777" w:rsidR="007701DC" w:rsidRPr="00BA6F83" w:rsidRDefault="007701DC" w:rsidP="007701DC">
            <w:pPr>
              <w:tabs>
                <w:tab w:val="decimal" w:pos="25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0.019***</w:t>
            </w:r>
          </w:p>
        </w:tc>
        <w:tc>
          <w:tcPr>
            <w:tcW w:w="376" w:type="dxa"/>
            <w:tcBorders>
              <w:top w:val="nil"/>
              <w:bottom w:val="nil"/>
            </w:tcBorders>
          </w:tcPr>
          <w:p w14:paraId="10CBB514" w14:textId="77777777" w:rsidR="007701DC" w:rsidRPr="00BA6F83" w:rsidRDefault="007701DC" w:rsidP="007701DC">
            <w:pPr>
              <w:tabs>
                <w:tab w:val="decimal" w:pos="62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p>
        </w:tc>
        <w:tc>
          <w:tcPr>
            <w:tcW w:w="1219" w:type="dxa"/>
            <w:tcBorders>
              <w:top w:val="nil"/>
              <w:bottom w:val="nil"/>
            </w:tcBorders>
          </w:tcPr>
          <w:p w14:paraId="71EE7CCE" w14:textId="77777777" w:rsidR="007701DC" w:rsidRPr="00BA6F83" w:rsidRDefault="007701DC" w:rsidP="007701DC">
            <w:pPr>
              <w:tabs>
                <w:tab w:val="decimal" w:pos="252"/>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0.034***</w:t>
            </w:r>
          </w:p>
        </w:tc>
        <w:tc>
          <w:tcPr>
            <w:tcW w:w="1135" w:type="dxa"/>
            <w:tcBorders>
              <w:top w:val="nil"/>
              <w:bottom w:val="nil"/>
            </w:tcBorders>
          </w:tcPr>
          <w:p w14:paraId="6536E20B" w14:textId="77777777" w:rsidR="007701DC" w:rsidRPr="00BA6F83" w:rsidRDefault="007701DC" w:rsidP="007701DC">
            <w:pPr>
              <w:tabs>
                <w:tab w:val="decimal" w:pos="262"/>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0.077***</w:t>
            </w:r>
          </w:p>
        </w:tc>
        <w:tc>
          <w:tcPr>
            <w:tcW w:w="1264" w:type="dxa"/>
            <w:tcBorders>
              <w:top w:val="nil"/>
              <w:bottom w:val="nil"/>
            </w:tcBorders>
          </w:tcPr>
          <w:p w14:paraId="058ABFE7" w14:textId="77777777" w:rsidR="007701DC" w:rsidRPr="00BA6F83" w:rsidRDefault="007701DC" w:rsidP="007701DC">
            <w:pPr>
              <w:tabs>
                <w:tab w:val="decimal" w:pos="262"/>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0.034***</w:t>
            </w:r>
          </w:p>
        </w:tc>
        <w:tc>
          <w:tcPr>
            <w:tcW w:w="1148" w:type="dxa"/>
            <w:tcBorders>
              <w:top w:val="nil"/>
              <w:bottom w:val="nil"/>
            </w:tcBorders>
          </w:tcPr>
          <w:p w14:paraId="36F0B6B8" w14:textId="77777777" w:rsidR="007701DC" w:rsidRPr="00BA6F83" w:rsidRDefault="007701DC" w:rsidP="007701DC">
            <w:pPr>
              <w:tabs>
                <w:tab w:val="decimal" w:pos="232"/>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0.058***</w:t>
            </w:r>
          </w:p>
        </w:tc>
        <w:tc>
          <w:tcPr>
            <w:tcW w:w="1052" w:type="dxa"/>
            <w:tcBorders>
              <w:top w:val="nil"/>
              <w:bottom w:val="nil"/>
            </w:tcBorders>
          </w:tcPr>
          <w:p w14:paraId="4B9E745B" w14:textId="77777777" w:rsidR="007701DC" w:rsidRPr="00BA6F83" w:rsidRDefault="007701DC" w:rsidP="007701DC">
            <w:pPr>
              <w:tabs>
                <w:tab w:val="decimal" w:pos="224"/>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0.036***</w:t>
            </w:r>
          </w:p>
        </w:tc>
      </w:tr>
      <w:tr w:rsidR="007701DC" w:rsidRPr="00BA6F83" w14:paraId="083D1985" w14:textId="77777777" w:rsidTr="00513E94">
        <w:trPr>
          <w:gridAfter w:val="1"/>
          <w:wAfter w:w="7" w:type="dxa"/>
          <w:trHeight w:val="390"/>
        </w:trPr>
        <w:tc>
          <w:tcPr>
            <w:cnfStyle w:val="001000000000" w:firstRow="0" w:lastRow="0" w:firstColumn="1" w:lastColumn="0" w:oddVBand="0" w:evenVBand="0" w:oddHBand="0" w:evenHBand="0" w:firstRowFirstColumn="0" w:firstRowLastColumn="0" w:lastRowFirstColumn="0" w:lastRowLastColumn="0"/>
            <w:tcW w:w="1678" w:type="dxa"/>
            <w:tcBorders>
              <w:top w:val="nil"/>
              <w:bottom w:val="nil"/>
            </w:tcBorders>
          </w:tcPr>
          <w:p w14:paraId="474C5FDC" w14:textId="77777777" w:rsidR="007701DC" w:rsidRPr="00BA6F83" w:rsidRDefault="007701DC" w:rsidP="007701DC">
            <w:pPr>
              <w:rPr>
                <w:rFonts w:ascii="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Maintenance cost ($/year)</w:t>
            </w:r>
          </w:p>
        </w:tc>
        <w:tc>
          <w:tcPr>
            <w:tcW w:w="1534" w:type="dxa"/>
            <w:tcBorders>
              <w:top w:val="nil"/>
              <w:bottom w:val="nil"/>
            </w:tcBorders>
          </w:tcPr>
          <w:p w14:paraId="58064C98" w14:textId="77777777" w:rsidR="007701DC" w:rsidRPr="00BA6F83" w:rsidRDefault="007701DC" w:rsidP="007701DC">
            <w:pPr>
              <w:tabs>
                <w:tab w:val="decimal" w:pos="36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-0.0579</w:t>
            </w:r>
          </w:p>
        </w:tc>
        <w:tc>
          <w:tcPr>
            <w:tcW w:w="1134" w:type="dxa"/>
            <w:tcBorders>
              <w:top w:val="nil"/>
              <w:bottom w:val="nil"/>
            </w:tcBorders>
          </w:tcPr>
          <w:p w14:paraId="04B53C9D" w14:textId="77777777" w:rsidR="007701DC" w:rsidRPr="00BA6F83" w:rsidRDefault="007701DC" w:rsidP="007701DC">
            <w:pPr>
              <w:tabs>
                <w:tab w:val="decimal" w:pos="25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0.154</w:t>
            </w:r>
          </w:p>
        </w:tc>
        <w:tc>
          <w:tcPr>
            <w:tcW w:w="1134" w:type="dxa"/>
            <w:tcBorders>
              <w:top w:val="nil"/>
              <w:bottom w:val="nil"/>
            </w:tcBorders>
          </w:tcPr>
          <w:p w14:paraId="37E2FAE6" w14:textId="77777777" w:rsidR="007701DC" w:rsidRPr="00BA6F83" w:rsidRDefault="007701DC" w:rsidP="007701DC">
            <w:pPr>
              <w:tabs>
                <w:tab w:val="decimal" w:pos="25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-0.038</w:t>
            </w:r>
          </w:p>
        </w:tc>
        <w:tc>
          <w:tcPr>
            <w:tcW w:w="1140" w:type="dxa"/>
            <w:tcBorders>
              <w:top w:val="nil"/>
              <w:bottom w:val="nil"/>
            </w:tcBorders>
          </w:tcPr>
          <w:p w14:paraId="19C0154F" w14:textId="77777777" w:rsidR="007701DC" w:rsidRPr="00BA6F83" w:rsidRDefault="007701DC" w:rsidP="007701DC">
            <w:pPr>
              <w:tabs>
                <w:tab w:val="decimal" w:pos="25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-0.075</w:t>
            </w:r>
          </w:p>
        </w:tc>
        <w:tc>
          <w:tcPr>
            <w:tcW w:w="376" w:type="dxa"/>
            <w:tcBorders>
              <w:top w:val="nil"/>
              <w:bottom w:val="nil"/>
            </w:tcBorders>
          </w:tcPr>
          <w:p w14:paraId="78FE43AC" w14:textId="77777777" w:rsidR="007701DC" w:rsidRPr="00BA6F83" w:rsidRDefault="007701DC" w:rsidP="007701DC">
            <w:pPr>
              <w:tabs>
                <w:tab w:val="decimal" w:pos="62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1219" w:type="dxa"/>
            <w:tcBorders>
              <w:top w:val="nil"/>
              <w:bottom w:val="nil"/>
            </w:tcBorders>
          </w:tcPr>
          <w:p w14:paraId="4D7724BB" w14:textId="77777777" w:rsidR="007701DC" w:rsidRPr="00BA6F83" w:rsidRDefault="007701DC" w:rsidP="007701DC">
            <w:pPr>
              <w:tabs>
                <w:tab w:val="decimal" w:pos="252"/>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-0.002***</w:t>
            </w:r>
          </w:p>
        </w:tc>
        <w:tc>
          <w:tcPr>
            <w:tcW w:w="1135" w:type="dxa"/>
            <w:tcBorders>
              <w:top w:val="nil"/>
              <w:bottom w:val="nil"/>
            </w:tcBorders>
          </w:tcPr>
          <w:p w14:paraId="6EC8EE86" w14:textId="77777777" w:rsidR="007701DC" w:rsidRPr="00BA6F83" w:rsidRDefault="007701DC" w:rsidP="007701DC">
            <w:pPr>
              <w:tabs>
                <w:tab w:val="decimal" w:pos="262"/>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-0.003***</w:t>
            </w:r>
          </w:p>
        </w:tc>
        <w:tc>
          <w:tcPr>
            <w:tcW w:w="1264" w:type="dxa"/>
            <w:tcBorders>
              <w:top w:val="nil"/>
              <w:bottom w:val="nil"/>
            </w:tcBorders>
          </w:tcPr>
          <w:p w14:paraId="2D738DA8" w14:textId="77777777" w:rsidR="007701DC" w:rsidRPr="00BA6F83" w:rsidRDefault="007701DC" w:rsidP="007701DC">
            <w:pPr>
              <w:tabs>
                <w:tab w:val="decimal" w:pos="262"/>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-0.005***</w:t>
            </w:r>
          </w:p>
        </w:tc>
        <w:tc>
          <w:tcPr>
            <w:tcW w:w="1148" w:type="dxa"/>
            <w:tcBorders>
              <w:top w:val="nil"/>
              <w:bottom w:val="nil"/>
            </w:tcBorders>
          </w:tcPr>
          <w:p w14:paraId="450E2CFD" w14:textId="77777777" w:rsidR="007701DC" w:rsidRPr="00BA6F83" w:rsidRDefault="007701DC" w:rsidP="007701DC">
            <w:pPr>
              <w:tabs>
                <w:tab w:val="decimal" w:pos="232"/>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-0.003***</w:t>
            </w:r>
          </w:p>
        </w:tc>
        <w:tc>
          <w:tcPr>
            <w:tcW w:w="1052" w:type="dxa"/>
            <w:tcBorders>
              <w:top w:val="nil"/>
              <w:bottom w:val="nil"/>
            </w:tcBorders>
          </w:tcPr>
          <w:p w14:paraId="4BE0C046" w14:textId="77777777" w:rsidR="007701DC" w:rsidRPr="00BA6F83" w:rsidRDefault="007701DC" w:rsidP="007701DC">
            <w:pPr>
              <w:tabs>
                <w:tab w:val="decimal" w:pos="224"/>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-0.004**</w:t>
            </w:r>
          </w:p>
        </w:tc>
      </w:tr>
      <w:tr w:rsidR="007701DC" w:rsidRPr="00BA6F83" w14:paraId="31C42F07" w14:textId="77777777" w:rsidTr="00513E94">
        <w:trPr>
          <w:gridAfter w:val="1"/>
          <w:cnfStyle w:val="000000100000" w:firstRow="0" w:lastRow="0" w:firstColumn="0" w:lastColumn="0" w:oddVBand="0" w:evenVBand="0" w:oddHBand="1" w:evenHBand="0" w:firstRowFirstColumn="0" w:firstRowLastColumn="0" w:lastRowFirstColumn="0" w:lastRowLastColumn="0"/>
          <w:wAfter w:w="7" w:type="dxa"/>
          <w:trHeight w:val="607"/>
        </w:trPr>
        <w:tc>
          <w:tcPr>
            <w:cnfStyle w:val="001000000000" w:firstRow="0" w:lastRow="0" w:firstColumn="1" w:lastColumn="0" w:oddVBand="0" w:evenVBand="0" w:oddHBand="0" w:evenHBand="0" w:firstRowFirstColumn="0" w:firstRowLastColumn="0" w:lastRowFirstColumn="0" w:lastRowLastColumn="0"/>
            <w:tcW w:w="1678" w:type="dxa"/>
            <w:tcBorders>
              <w:top w:val="nil"/>
              <w:bottom w:val="nil"/>
            </w:tcBorders>
          </w:tcPr>
          <w:p w14:paraId="2B08BFDC" w14:textId="2661CC00" w:rsidR="007701DC" w:rsidRPr="00BA6F83" w:rsidRDefault="007701DC" w:rsidP="007701DC">
            <w:pPr>
              <w:rPr>
                <w:rFonts w:ascii="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Acceleration (sec to reach 100 km/h)</w:t>
            </w:r>
          </w:p>
        </w:tc>
        <w:tc>
          <w:tcPr>
            <w:tcW w:w="1534" w:type="dxa"/>
            <w:tcBorders>
              <w:top w:val="nil"/>
              <w:bottom w:val="nil"/>
            </w:tcBorders>
          </w:tcPr>
          <w:p w14:paraId="09B52BC6" w14:textId="77777777" w:rsidR="007701DC" w:rsidRPr="00BA6F83" w:rsidRDefault="007701DC" w:rsidP="007701DC">
            <w:pPr>
              <w:tabs>
                <w:tab w:val="decimal" w:pos="36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-0.0113</w:t>
            </w:r>
            <w:r w:rsidRPr="00BA6F83">
              <w:rPr>
                <w:rFonts w:ascii="Times New Roman" w:eastAsia="Times New Roman" w:hAnsi="Times New Roman" w:cs="Times New Roman"/>
                <w:color w:val="000000" w:themeColor="text1"/>
                <w:sz w:val="18"/>
                <w:szCs w:val="18"/>
              </w:rPr>
              <w:t>***</w:t>
            </w:r>
          </w:p>
        </w:tc>
        <w:tc>
          <w:tcPr>
            <w:tcW w:w="1134" w:type="dxa"/>
            <w:tcBorders>
              <w:top w:val="nil"/>
              <w:bottom w:val="nil"/>
            </w:tcBorders>
          </w:tcPr>
          <w:p w14:paraId="065CFE09" w14:textId="77777777" w:rsidR="007701DC" w:rsidRPr="00BA6F83" w:rsidRDefault="007701DC" w:rsidP="007701DC">
            <w:pPr>
              <w:tabs>
                <w:tab w:val="decimal" w:pos="25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0.019</w:t>
            </w:r>
          </w:p>
        </w:tc>
        <w:tc>
          <w:tcPr>
            <w:tcW w:w="1134" w:type="dxa"/>
            <w:tcBorders>
              <w:top w:val="nil"/>
              <w:bottom w:val="nil"/>
            </w:tcBorders>
          </w:tcPr>
          <w:p w14:paraId="388A4E1A" w14:textId="77777777" w:rsidR="007701DC" w:rsidRPr="00BA6F83" w:rsidRDefault="007701DC" w:rsidP="007701DC">
            <w:pPr>
              <w:tabs>
                <w:tab w:val="decimal" w:pos="25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-0.01</w:t>
            </w:r>
          </w:p>
        </w:tc>
        <w:tc>
          <w:tcPr>
            <w:tcW w:w="1140" w:type="dxa"/>
            <w:tcBorders>
              <w:top w:val="nil"/>
              <w:bottom w:val="nil"/>
            </w:tcBorders>
          </w:tcPr>
          <w:p w14:paraId="2CE30314" w14:textId="77777777" w:rsidR="007701DC" w:rsidRPr="00BA6F83" w:rsidRDefault="007701DC" w:rsidP="007701DC">
            <w:pPr>
              <w:tabs>
                <w:tab w:val="decimal" w:pos="25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-0.02***</w:t>
            </w:r>
          </w:p>
        </w:tc>
        <w:tc>
          <w:tcPr>
            <w:tcW w:w="376" w:type="dxa"/>
            <w:tcBorders>
              <w:top w:val="nil"/>
              <w:bottom w:val="nil"/>
            </w:tcBorders>
          </w:tcPr>
          <w:p w14:paraId="1BF9E29F" w14:textId="77777777" w:rsidR="007701DC" w:rsidRPr="00BA6F83" w:rsidRDefault="007701DC" w:rsidP="007701DC">
            <w:pPr>
              <w:tabs>
                <w:tab w:val="decimal" w:pos="62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p>
        </w:tc>
        <w:tc>
          <w:tcPr>
            <w:tcW w:w="1219" w:type="dxa"/>
            <w:tcBorders>
              <w:top w:val="nil"/>
              <w:bottom w:val="nil"/>
            </w:tcBorders>
          </w:tcPr>
          <w:p w14:paraId="5C77A4C2" w14:textId="77777777" w:rsidR="007701DC" w:rsidRPr="00BA6F83" w:rsidRDefault="007701DC" w:rsidP="007701DC">
            <w:pPr>
              <w:tabs>
                <w:tab w:val="decimal" w:pos="252"/>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-0.010***</w:t>
            </w:r>
          </w:p>
        </w:tc>
        <w:tc>
          <w:tcPr>
            <w:tcW w:w="1135" w:type="dxa"/>
            <w:tcBorders>
              <w:top w:val="nil"/>
              <w:bottom w:val="nil"/>
            </w:tcBorders>
          </w:tcPr>
          <w:p w14:paraId="74F88CC0" w14:textId="77777777" w:rsidR="007701DC" w:rsidRPr="00BA6F83" w:rsidRDefault="007701DC" w:rsidP="007701DC">
            <w:pPr>
              <w:tabs>
                <w:tab w:val="decimal" w:pos="262"/>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-0.029***</w:t>
            </w:r>
          </w:p>
        </w:tc>
        <w:tc>
          <w:tcPr>
            <w:tcW w:w="1264" w:type="dxa"/>
            <w:tcBorders>
              <w:top w:val="nil"/>
              <w:bottom w:val="nil"/>
            </w:tcBorders>
          </w:tcPr>
          <w:p w14:paraId="7E3C9FA0" w14:textId="77777777" w:rsidR="007701DC" w:rsidRPr="00BA6F83" w:rsidRDefault="007701DC" w:rsidP="007701DC">
            <w:pPr>
              <w:tabs>
                <w:tab w:val="decimal" w:pos="262"/>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0.003</w:t>
            </w:r>
          </w:p>
        </w:tc>
        <w:tc>
          <w:tcPr>
            <w:tcW w:w="1148" w:type="dxa"/>
            <w:tcBorders>
              <w:top w:val="nil"/>
              <w:bottom w:val="nil"/>
            </w:tcBorders>
          </w:tcPr>
          <w:p w14:paraId="76C4C352" w14:textId="77777777" w:rsidR="007701DC" w:rsidRPr="00BA6F83" w:rsidRDefault="007701DC" w:rsidP="007701DC">
            <w:pPr>
              <w:tabs>
                <w:tab w:val="decimal" w:pos="232"/>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-0.01***</w:t>
            </w:r>
          </w:p>
        </w:tc>
        <w:tc>
          <w:tcPr>
            <w:tcW w:w="1052" w:type="dxa"/>
            <w:tcBorders>
              <w:top w:val="nil"/>
              <w:bottom w:val="nil"/>
            </w:tcBorders>
          </w:tcPr>
          <w:p w14:paraId="758606EA" w14:textId="77777777" w:rsidR="007701DC" w:rsidRPr="00BA6F83" w:rsidRDefault="007701DC" w:rsidP="007701DC">
            <w:pPr>
              <w:tabs>
                <w:tab w:val="decimal" w:pos="224"/>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-0.03***</w:t>
            </w:r>
          </w:p>
        </w:tc>
      </w:tr>
      <w:tr w:rsidR="007701DC" w:rsidRPr="00BA6F83" w14:paraId="0CB27DFB" w14:textId="77777777" w:rsidTr="00513E94">
        <w:trPr>
          <w:gridAfter w:val="1"/>
          <w:wAfter w:w="7" w:type="dxa"/>
          <w:trHeight w:val="390"/>
        </w:trPr>
        <w:tc>
          <w:tcPr>
            <w:cnfStyle w:val="001000000000" w:firstRow="0" w:lastRow="0" w:firstColumn="1" w:lastColumn="0" w:oddVBand="0" w:evenVBand="0" w:oddHBand="0" w:evenHBand="0" w:firstRowFirstColumn="0" w:firstRowLastColumn="0" w:lastRowFirstColumn="0" w:lastRowLastColumn="0"/>
            <w:tcW w:w="1678" w:type="dxa"/>
            <w:tcBorders>
              <w:top w:val="nil"/>
              <w:bottom w:val="nil"/>
            </w:tcBorders>
          </w:tcPr>
          <w:p w14:paraId="4E4CE84C" w14:textId="77777777" w:rsidR="007701DC" w:rsidRPr="00BA6F83" w:rsidRDefault="007701DC" w:rsidP="007701DC">
            <w:pPr>
              <w:rPr>
                <w:rFonts w:ascii="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Gasoline range (km)</w:t>
            </w:r>
          </w:p>
        </w:tc>
        <w:tc>
          <w:tcPr>
            <w:tcW w:w="1534" w:type="dxa"/>
            <w:tcBorders>
              <w:top w:val="nil"/>
              <w:bottom w:val="nil"/>
            </w:tcBorders>
          </w:tcPr>
          <w:p w14:paraId="777893C2" w14:textId="77777777" w:rsidR="007701DC" w:rsidRPr="00BA6F83" w:rsidRDefault="007701DC" w:rsidP="007701DC">
            <w:pPr>
              <w:tabs>
                <w:tab w:val="decimal" w:pos="36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0.0004</w:t>
            </w:r>
            <w:r w:rsidRPr="00BA6F83">
              <w:rPr>
                <w:rFonts w:ascii="Times New Roman" w:eastAsia="Times New Roman" w:hAnsi="Times New Roman" w:cs="Times New Roman"/>
                <w:color w:val="000000" w:themeColor="text1"/>
                <w:sz w:val="18"/>
                <w:szCs w:val="18"/>
              </w:rPr>
              <w:t>***</w:t>
            </w:r>
          </w:p>
        </w:tc>
        <w:tc>
          <w:tcPr>
            <w:tcW w:w="1134" w:type="dxa"/>
            <w:tcBorders>
              <w:top w:val="nil"/>
              <w:bottom w:val="nil"/>
            </w:tcBorders>
          </w:tcPr>
          <w:p w14:paraId="67C965BF" w14:textId="77777777" w:rsidR="007701DC" w:rsidRPr="00BA6F83" w:rsidRDefault="007701DC" w:rsidP="007701DC">
            <w:pPr>
              <w:tabs>
                <w:tab w:val="decimal" w:pos="25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0.0004</w:t>
            </w:r>
          </w:p>
        </w:tc>
        <w:tc>
          <w:tcPr>
            <w:tcW w:w="1134" w:type="dxa"/>
            <w:tcBorders>
              <w:top w:val="nil"/>
              <w:bottom w:val="nil"/>
            </w:tcBorders>
          </w:tcPr>
          <w:p w14:paraId="34513C5C" w14:textId="77777777" w:rsidR="007701DC" w:rsidRPr="00BA6F83" w:rsidRDefault="007701DC" w:rsidP="007701DC">
            <w:pPr>
              <w:tabs>
                <w:tab w:val="decimal" w:pos="25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0.001***</w:t>
            </w:r>
          </w:p>
        </w:tc>
        <w:tc>
          <w:tcPr>
            <w:tcW w:w="1140" w:type="dxa"/>
            <w:tcBorders>
              <w:top w:val="nil"/>
              <w:bottom w:val="nil"/>
            </w:tcBorders>
          </w:tcPr>
          <w:p w14:paraId="2B856572" w14:textId="77777777" w:rsidR="007701DC" w:rsidRPr="00BA6F83" w:rsidRDefault="007701DC" w:rsidP="007701DC">
            <w:pPr>
              <w:tabs>
                <w:tab w:val="decimal" w:pos="25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0.001***</w:t>
            </w:r>
          </w:p>
        </w:tc>
        <w:tc>
          <w:tcPr>
            <w:tcW w:w="376" w:type="dxa"/>
            <w:tcBorders>
              <w:top w:val="nil"/>
              <w:bottom w:val="nil"/>
            </w:tcBorders>
          </w:tcPr>
          <w:p w14:paraId="37919FF4" w14:textId="77777777" w:rsidR="007701DC" w:rsidRPr="00BA6F83" w:rsidRDefault="007701DC" w:rsidP="007701DC">
            <w:pPr>
              <w:tabs>
                <w:tab w:val="decimal" w:pos="62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1219" w:type="dxa"/>
            <w:tcBorders>
              <w:top w:val="nil"/>
              <w:bottom w:val="nil"/>
            </w:tcBorders>
          </w:tcPr>
          <w:p w14:paraId="68B22FCD" w14:textId="77777777" w:rsidR="007701DC" w:rsidRPr="00BA6F83" w:rsidRDefault="007701DC" w:rsidP="007701DC">
            <w:pPr>
              <w:tabs>
                <w:tab w:val="decimal" w:pos="252"/>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0.0004***</w:t>
            </w:r>
          </w:p>
        </w:tc>
        <w:tc>
          <w:tcPr>
            <w:tcW w:w="1135" w:type="dxa"/>
            <w:tcBorders>
              <w:top w:val="nil"/>
              <w:bottom w:val="nil"/>
            </w:tcBorders>
          </w:tcPr>
          <w:p w14:paraId="16E0B559" w14:textId="77777777" w:rsidR="007701DC" w:rsidRPr="00BA6F83" w:rsidRDefault="007701DC" w:rsidP="007701DC">
            <w:pPr>
              <w:tabs>
                <w:tab w:val="decimal" w:pos="262"/>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0.001***</w:t>
            </w:r>
          </w:p>
        </w:tc>
        <w:tc>
          <w:tcPr>
            <w:tcW w:w="1264" w:type="dxa"/>
            <w:tcBorders>
              <w:top w:val="nil"/>
              <w:bottom w:val="nil"/>
            </w:tcBorders>
          </w:tcPr>
          <w:p w14:paraId="4599E40F" w14:textId="77777777" w:rsidR="007701DC" w:rsidRPr="00BA6F83" w:rsidRDefault="007701DC" w:rsidP="007701DC">
            <w:pPr>
              <w:tabs>
                <w:tab w:val="decimal" w:pos="262"/>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0.001***</w:t>
            </w:r>
          </w:p>
        </w:tc>
        <w:tc>
          <w:tcPr>
            <w:tcW w:w="1148" w:type="dxa"/>
            <w:tcBorders>
              <w:top w:val="nil"/>
              <w:bottom w:val="nil"/>
            </w:tcBorders>
          </w:tcPr>
          <w:p w14:paraId="3BCEED4A" w14:textId="77777777" w:rsidR="007701DC" w:rsidRPr="00BA6F83" w:rsidRDefault="007701DC" w:rsidP="007701DC">
            <w:pPr>
              <w:tabs>
                <w:tab w:val="decimal" w:pos="232"/>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0.001***</w:t>
            </w:r>
          </w:p>
        </w:tc>
        <w:tc>
          <w:tcPr>
            <w:tcW w:w="1052" w:type="dxa"/>
            <w:tcBorders>
              <w:top w:val="nil"/>
              <w:bottom w:val="nil"/>
            </w:tcBorders>
          </w:tcPr>
          <w:p w14:paraId="0C72018F" w14:textId="77777777" w:rsidR="007701DC" w:rsidRPr="00BA6F83" w:rsidRDefault="007701DC" w:rsidP="007701DC">
            <w:pPr>
              <w:tabs>
                <w:tab w:val="decimal" w:pos="224"/>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0.0002</w:t>
            </w:r>
          </w:p>
        </w:tc>
      </w:tr>
      <w:tr w:rsidR="007701DC" w:rsidRPr="00BA6F83" w14:paraId="0EAA7333" w14:textId="77777777" w:rsidTr="00513E94">
        <w:trPr>
          <w:gridAfter w:val="1"/>
          <w:cnfStyle w:val="000000100000" w:firstRow="0" w:lastRow="0" w:firstColumn="0" w:lastColumn="0" w:oddVBand="0" w:evenVBand="0" w:oddHBand="1" w:evenHBand="0" w:firstRowFirstColumn="0" w:firstRowLastColumn="0" w:lastRowFirstColumn="0" w:lastRowLastColumn="0"/>
          <w:wAfter w:w="7" w:type="dxa"/>
          <w:trHeight w:val="202"/>
        </w:trPr>
        <w:tc>
          <w:tcPr>
            <w:cnfStyle w:val="001000000000" w:firstRow="0" w:lastRow="0" w:firstColumn="1" w:lastColumn="0" w:oddVBand="0" w:evenVBand="0" w:oddHBand="0" w:evenHBand="0" w:firstRowFirstColumn="0" w:firstRowLastColumn="0" w:lastRowFirstColumn="0" w:lastRowLastColumn="0"/>
            <w:tcW w:w="1678" w:type="dxa"/>
            <w:tcBorders>
              <w:top w:val="nil"/>
              <w:bottom w:val="nil"/>
            </w:tcBorders>
          </w:tcPr>
          <w:p w14:paraId="3697AE0C" w14:textId="77777777" w:rsidR="007701DC" w:rsidRPr="00BA6F83" w:rsidRDefault="007701DC" w:rsidP="007701DC">
            <w:pPr>
              <w:rPr>
                <w:rFonts w:ascii="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Battery warranty</w:t>
            </w:r>
          </w:p>
        </w:tc>
        <w:tc>
          <w:tcPr>
            <w:tcW w:w="1534" w:type="dxa"/>
            <w:tcBorders>
              <w:top w:val="nil"/>
              <w:bottom w:val="nil"/>
            </w:tcBorders>
          </w:tcPr>
          <w:p w14:paraId="73FCCE1C" w14:textId="77777777" w:rsidR="007701DC" w:rsidRPr="00BA6F83" w:rsidRDefault="007701DC" w:rsidP="007701DC">
            <w:pPr>
              <w:tabs>
                <w:tab w:val="decimal" w:pos="362"/>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0.0614***</w:t>
            </w:r>
          </w:p>
        </w:tc>
        <w:tc>
          <w:tcPr>
            <w:tcW w:w="1134" w:type="dxa"/>
            <w:tcBorders>
              <w:top w:val="nil"/>
              <w:bottom w:val="nil"/>
            </w:tcBorders>
          </w:tcPr>
          <w:p w14:paraId="447BFA83" w14:textId="77777777" w:rsidR="007701DC" w:rsidRPr="00BA6F83" w:rsidRDefault="007701DC" w:rsidP="007701DC">
            <w:pPr>
              <w:tabs>
                <w:tab w:val="decimal" w:pos="25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0.147**</w:t>
            </w:r>
          </w:p>
        </w:tc>
        <w:tc>
          <w:tcPr>
            <w:tcW w:w="1134" w:type="dxa"/>
            <w:tcBorders>
              <w:top w:val="nil"/>
              <w:bottom w:val="nil"/>
            </w:tcBorders>
          </w:tcPr>
          <w:p w14:paraId="6346549F" w14:textId="77777777" w:rsidR="007701DC" w:rsidRPr="00BA6F83" w:rsidRDefault="007701DC" w:rsidP="007701DC">
            <w:pPr>
              <w:tabs>
                <w:tab w:val="decimal" w:pos="25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0.084*</w:t>
            </w:r>
          </w:p>
        </w:tc>
        <w:tc>
          <w:tcPr>
            <w:tcW w:w="1140" w:type="dxa"/>
            <w:tcBorders>
              <w:top w:val="nil"/>
              <w:bottom w:val="nil"/>
            </w:tcBorders>
          </w:tcPr>
          <w:p w14:paraId="1C293A38" w14:textId="77777777" w:rsidR="007701DC" w:rsidRPr="00BA6F83" w:rsidRDefault="007701DC" w:rsidP="007701DC">
            <w:pPr>
              <w:tabs>
                <w:tab w:val="decimal" w:pos="25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0.064**</w:t>
            </w:r>
          </w:p>
        </w:tc>
        <w:tc>
          <w:tcPr>
            <w:tcW w:w="376" w:type="dxa"/>
            <w:tcBorders>
              <w:top w:val="nil"/>
              <w:bottom w:val="nil"/>
            </w:tcBorders>
          </w:tcPr>
          <w:p w14:paraId="74AB43BE" w14:textId="77777777" w:rsidR="007701DC" w:rsidRPr="00BA6F83" w:rsidRDefault="007701DC" w:rsidP="007701DC">
            <w:pPr>
              <w:tabs>
                <w:tab w:val="decimal" w:pos="62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p>
        </w:tc>
        <w:tc>
          <w:tcPr>
            <w:tcW w:w="1219" w:type="dxa"/>
            <w:tcBorders>
              <w:top w:val="nil"/>
              <w:bottom w:val="nil"/>
            </w:tcBorders>
          </w:tcPr>
          <w:p w14:paraId="6952C236" w14:textId="77777777" w:rsidR="007701DC" w:rsidRPr="00BA6F83" w:rsidRDefault="007701DC" w:rsidP="007701DC">
            <w:pPr>
              <w:tabs>
                <w:tab w:val="decimal" w:pos="252"/>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0.055***</w:t>
            </w:r>
          </w:p>
        </w:tc>
        <w:tc>
          <w:tcPr>
            <w:tcW w:w="1135" w:type="dxa"/>
            <w:tcBorders>
              <w:top w:val="nil"/>
              <w:bottom w:val="nil"/>
            </w:tcBorders>
          </w:tcPr>
          <w:p w14:paraId="26F18AEE" w14:textId="77777777" w:rsidR="007701DC" w:rsidRPr="00BA6F83" w:rsidRDefault="007701DC" w:rsidP="007701DC">
            <w:pPr>
              <w:tabs>
                <w:tab w:val="decimal" w:pos="262"/>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0.120***</w:t>
            </w:r>
          </w:p>
        </w:tc>
        <w:tc>
          <w:tcPr>
            <w:tcW w:w="1264" w:type="dxa"/>
            <w:tcBorders>
              <w:top w:val="nil"/>
              <w:bottom w:val="nil"/>
            </w:tcBorders>
          </w:tcPr>
          <w:p w14:paraId="1B6B82DD" w14:textId="77777777" w:rsidR="007701DC" w:rsidRPr="00BA6F83" w:rsidRDefault="007701DC" w:rsidP="007701DC">
            <w:pPr>
              <w:tabs>
                <w:tab w:val="decimal" w:pos="262"/>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0.094***</w:t>
            </w:r>
          </w:p>
        </w:tc>
        <w:tc>
          <w:tcPr>
            <w:tcW w:w="1148" w:type="dxa"/>
            <w:tcBorders>
              <w:top w:val="nil"/>
              <w:bottom w:val="nil"/>
            </w:tcBorders>
          </w:tcPr>
          <w:p w14:paraId="068806D2" w14:textId="77777777" w:rsidR="007701DC" w:rsidRPr="00BA6F83" w:rsidRDefault="007701DC" w:rsidP="007701DC">
            <w:pPr>
              <w:tabs>
                <w:tab w:val="decimal" w:pos="232"/>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0.125***</w:t>
            </w:r>
          </w:p>
        </w:tc>
        <w:tc>
          <w:tcPr>
            <w:tcW w:w="1052" w:type="dxa"/>
            <w:tcBorders>
              <w:top w:val="nil"/>
              <w:bottom w:val="nil"/>
            </w:tcBorders>
          </w:tcPr>
          <w:p w14:paraId="2B7A520C" w14:textId="77777777" w:rsidR="007701DC" w:rsidRPr="00BA6F83" w:rsidRDefault="007701DC" w:rsidP="007701DC">
            <w:pPr>
              <w:tabs>
                <w:tab w:val="decimal" w:pos="224"/>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0.015</w:t>
            </w:r>
          </w:p>
        </w:tc>
      </w:tr>
      <w:tr w:rsidR="007701DC" w:rsidRPr="00BA6F83" w14:paraId="011658B8" w14:textId="77777777" w:rsidTr="00513E94">
        <w:trPr>
          <w:gridAfter w:val="1"/>
          <w:wAfter w:w="7" w:type="dxa"/>
          <w:trHeight w:val="225"/>
        </w:trPr>
        <w:tc>
          <w:tcPr>
            <w:cnfStyle w:val="001000000000" w:firstRow="0" w:lastRow="0" w:firstColumn="1" w:lastColumn="0" w:oddVBand="0" w:evenVBand="0" w:oddHBand="0" w:evenHBand="0" w:firstRowFirstColumn="0" w:firstRowLastColumn="0" w:lastRowFirstColumn="0" w:lastRowLastColumn="0"/>
            <w:tcW w:w="1678" w:type="dxa"/>
            <w:tcBorders>
              <w:top w:val="nil"/>
              <w:bottom w:val="nil"/>
            </w:tcBorders>
          </w:tcPr>
          <w:p w14:paraId="3C122107" w14:textId="77777777" w:rsidR="007701DC" w:rsidRPr="00BA6F83" w:rsidRDefault="007701DC" w:rsidP="007701DC">
            <w:pPr>
              <w:rPr>
                <w:rFonts w:ascii="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Electric range (km)</w:t>
            </w:r>
          </w:p>
        </w:tc>
        <w:tc>
          <w:tcPr>
            <w:tcW w:w="1534" w:type="dxa"/>
            <w:tcBorders>
              <w:top w:val="nil"/>
              <w:bottom w:val="nil"/>
            </w:tcBorders>
          </w:tcPr>
          <w:p w14:paraId="1E89D78C" w14:textId="77777777" w:rsidR="007701DC" w:rsidRPr="00BA6F83" w:rsidRDefault="007701DC" w:rsidP="007701DC">
            <w:pPr>
              <w:tabs>
                <w:tab w:val="decimal" w:pos="36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0.0003</w:t>
            </w:r>
          </w:p>
        </w:tc>
        <w:tc>
          <w:tcPr>
            <w:tcW w:w="1134" w:type="dxa"/>
            <w:tcBorders>
              <w:top w:val="nil"/>
              <w:bottom w:val="nil"/>
            </w:tcBorders>
          </w:tcPr>
          <w:p w14:paraId="291ECCB5" w14:textId="77777777" w:rsidR="007701DC" w:rsidRPr="00BA6F83" w:rsidRDefault="007701DC" w:rsidP="007701DC">
            <w:pPr>
              <w:tabs>
                <w:tab w:val="decimal" w:pos="25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0.0008</w:t>
            </w:r>
          </w:p>
        </w:tc>
        <w:tc>
          <w:tcPr>
            <w:tcW w:w="1134" w:type="dxa"/>
            <w:tcBorders>
              <w:top w:val="nil"/>
              <w:bottom w:val="nil"/>
            </w:tcBorders>
          </w:tcPr>
          <w:p w14:paraId="1DA01419" w14:textId="77777777" w:rsidR="007701DC" w:rsidRPr="00BA6F83" w:rsidRDefault="007701DC" w:rsidP="007701DC">
            <w:pPr>
              <w:tabs>
                <w:tab w:val="decimal" w:pos="25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0.001</w:t>
            </w:r>
          </w:p>
        </w:tc>
        <w:tc>
          <w:tcPr>
            <w:tcW w:w="1140" w:type="dxa"/>
            <w:tcBorders>
              <w:top w:val="nil"/>
              <w:bottom w:val="nil"/>
            </w:tcBorders>
          </w:tcPr>
          <w:p w14:paraId="212FBC7B" w14:textId="77777777" w:rsidR="007701DC" w:rsidRPr="00BA6F83" w:rsidRDefault="007701DC" w:rsidP="007701DC">
            <w:pPr>
              <w:tabs>
                <w:tab w:val="decimal" w:pos="25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0.0006</w:t>
            </w:r>
          </w:p>
        </w:tc>
        <w:tc>
          <w:tcPr>
            <w:tcW w:w="376" w:type="dxa"/>
            <w:tcBorders>
              <w:top w:val="nil"/>
              <w:bottom w:val="nil"/>
            </w:tcBorders>
          </w:tcPr>
          <w:p w14:paraId="3F5E7368" w14:textId="77777777" w:rsidR="007701DC" w:rsidRPr="00BA6F83" w:rsidRDefault="007701DC" w:rsidP="007701DC">
            <w:pPr>
              <w:tabs>
                <w:tab w:val="decimal" w:pos="62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1219" w:type="dxa"/>
            <w:tcBorders>
              <w:top w:val="nil"/>
              <w:bottom w:val="nil"/>
            </w:tcBorders>
          </w:tcPr>
          <w:p w14:paraId="257E2384" w14:textId="77777777" w:rsidR="007701DC" w:rsidRPr="00BA6F83" w:rsidRDefault="007701DC" w:rsidP="007701DC">
            <w:pPr>
              <w:tabs>
                <w:tab w:val="decimal" w:pos="25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sz w:val="18"/>
                <w:szCs w:val="18"/>
              </w:rPr>
              <w:t>0.001***</w:t>
            </w:r>
          </w:p>
        </w:tc>
        <w:tc>
          <w:tcPr>
            <w:tcW w:w="1135" w:type="dxa"/>
            <w:tcBorders>
              <w:top w:val="nil"/>
              <w:bottom w:val="nil"/>
            </w:tcBorders>
          </w:tcPr>
          <w:p w14:paraId="73254469" w14:textId="77777777" w:rsidR="007701DC" w:rsidRPr="00BA6F83" w:rsidRDefault="007701DC" w:rsidP="007701DC">
            <w:pPr>
              <w:tabs>
                <w:tab w:val="decimal" w:pos="26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sz w:val="18"/>
                <w:szCs w:val="18"/>
              </w:rPr>
              <w:t>0.002**</w:t>
            </w:r>
          </w:p>
        </w:tc>
        <w:tc>
          <w:tcPr>
            <w:tcW w:w="1264" w:type="dxa"/>
            <w:tcBorders>
              <w:top w:val="nil"/>
              <w:bottom w:val="nil"/>
            </w:tcBorders>
          </w:tcPr>
          <w:p w14:paraId="77BE5897" w14:textId="77777777" w:rsidR="007701DC" w:rsidRPr="00BA6F83" w:rsidRDefault="007701DC" w:rsidP="007701DC">
            <w:pPr>
              <w:tabs>
                <w:tab w:val="decimal" w:pos="26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sz w:val="18"/>
                <w:szCs w:val="18"/>
              </w:rPr>
              <w:t>0.001</w:t>
            </w:r>
          </w:p>
        </w:tc>
        <w:tc>
          <w:tcPr>
            <w:tcW w:w="1148" w:type="dxa"/>
            <w:tcBorders>
              <w:top w:val="nil"/>
              <w:bottom w:val="nil"/>
            </w:tcBorders>
          </w:tcPr>
          <w:p w14:paraId="5C59A126" w14:textId="77777777" w:rsidR="007701DC" w:rsidRPr="00BA6F83" w:rsidRDefault="007701DC" w:rsidP="007701DC">
            <w:pPr>
              <w:tabs>
                <w:tab w:val="decimal" w:pos="23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sz w:val="18"/>
                <w:szCs w:val="18"/>
              </w:rPr>
              <w:t>0.002***</w:t>
            </w:r>
          </w:p>
        </w:tc>
        <w:tc>
          <w:tcPr>
            <w:tcW w:w="1052" w:type="dxa"/>
            <w:tcBorders>
              <w:top w:val="nil"/>
              <w:bottom w:val="nil"/>
            </w:tcBorders>
          </w:tcPr>
          <w:p w14:paraId="7588183A" w14:textId="77777777" w:rsidR="007701DC" w:rsidRPr="00BA6F83" w:rsidRDefault="007701DC" w:rsidP="007701DC">
            <w:pPr>
              <w:tabs>
                <w:tab w:val="decimal" w:pos="22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sz w:val="18"/>
                <w:szCs w:val="18"/>
              </w:rPr>
              <w:t>0.001*</w:t>
            </w:r>
          </w:p>
        </w:tc>
      </w:tr>
      <w:tr w:rsidR="007701DC" w:rsidRPr="00BA6F83" w14:paraId="5156951C" w14:textId="77777777" w:rsidTr="00513E94">
        <w:trPr>
          <w:gridAfter w:val="1"/>
          <w:cnfStyle w:val="000000100000" w:firstRow="0" w:lastRow="0" w:firstColumn="0" w:lastColumn="0" w:oddVBand="0" w:evenVBand="0" w:oddHBand="1" w:evenHBand="0" w:firstRowFirstColumn="0" w:firstRowLastColumn="0" w:lastRowFirstColumn="0" w:lastRowLastColumn="0"/>
          <w:wAfter w:w="7" w:type="dxa"/>
          <w:trHeight w:val="202"/>
        </w:trPr>
        <w:tc>
          <w:tcPr>
            <w:cnfStyle w:val="001000000000" w:firstRow="0" w:lastRow="0" w:firstColumn="1" w:lastColumn="0" w:oddVBand="0" w:evenVBand="0" w:oddHBand="0" w:evenHBand="0" w:firstRowFirstColumn="0" w:firstRowLastColumn="0" w:lastRowFirstColumn="0" w:lastRowLastColumn="0"/>
            <w:tcW w:w="1678" w:type="dxa"/>
            <w:tcBorders>
              <w:top w:val="nil"/>
              <w:bottom w:val="nil"/>
            </w:tcBorders>
          </w:tcPr>
          <w:p w14:paraId="515630D5" w14:textId="77777777" w:rsidR="007701DC" w:rsidRPr="00BA6F83" w:rsidRDefault="007701DC" w:rsidP="007701DC">
            <w:pPr>
              <w:rPr>
                <w:rFonts w:ascii="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Free parking</w:t>
            </w:r>
          </w:p>
        </w:tc>
        <w:tc>
          <w:tcPr>
            <w:tcW w:w="1534" w:type="dxa"/>
            <w:tcBorders>
              <w:top w:val="nil"/>
              <w:bottom w:val="nil"/>
            </w:tcBorders>
          </w:tcPr>
          <w:p w14:paraId="729C38BD" w14:textId="77777777" w:rsidR="007701DC" w:rsidRPr="00BA6F83" w:rsidRDefault="007701DC" w:rsidP="007701DC">
            <w:pPr>
              <w:tabs>
                <w:tab w:val="decimal" w:pos="362"/>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0.0124</w:t>
            </w:r>
          </w:p>
        </w:tc>
        <w:tc>
          <w:tcPr>
            <w:tcW w:w="1134" w:type="dxa"/>
            <w:tcBorders>
              <w:top w:val="nil"/>
              <w:bottom w:val="nil"/>
            </w:tcBorders>
          </w:tcPr>
          <w:p w14:paraId="6E399C66" w14:textId="77777777" w:rsidR="007701DC" w:rsidRPr="00BA6F83" w:rsidRDefault="007701DC" w:rsidP="007701DC">
            <w:pPr>
              <w:tabs>
                <w:tab w:val="decimal" w:pos="25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0.292*</w:t>
            </w:r>
          </w:p>
        </w:tc>
        <w:tc>
          <w:tcPr>
            <w:tcW w:w="1134" w:type="dxa"/>
            <w:tcBorders>
              <w:top w:val="nil"/>
              <w:bottom w:val="nil"/>
            </w:tcBorders>
          </w:tcPr>
          <w:p w14:paraId="3331EB11" w14:textId="77777777" w:rsidR="007701DC" w:rsidRPr="00BA6F83" w:rsidRDefault="007701DC" w:rsidP="007701DC">
            <w:pPr>
              <w:tabs>
                <w:tab w:val="decimal" w:pos="25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-0.189</w:t>
            </w:r>
          </w:p>
        </w:tc>
        <w:tc>
          <w:tcPr>
            <w:tcW w:w="1140" w:type="dxa"/>
            <w:tcBorders>
              <w:top w:val="nil"/>
              <w:bottom w:val="nil"/>
            </w:tcBorders>
          </w:tcPr>
          <w:p w14:paraId="1D13C850" w14:textId="77777777" w:rsidR="007701DC" w:rsidRPr="00BA6F83" w:rsidRDefault="007701DC" w:rsidP="007701DC">
            <w:pPr>
              <w:tabs>
                <w:tab w:val="decimal" w:pos="25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0.013</w:t>
            </w:r>
          </w:p>
        </w:tc>
        <w:tc>
          <w:tcPr>
            <w:tcW w:w="376" w:type="dxa"/>
            <w:tcBorders>
              <w:top w:val="nil"/>
              <w:bottom w:val="nil"/>
            </w:tcBorders>
          </w:tcPr>
          <w:p w14:paraId="1AF87670" w14:textId="77777777" w:rsidR="007701DC" w:rsidRPr="00BA6F83" w:rsidRDefault="007701DC" w:rsidP="007701DC">
            <w:pPr>
              <w:tabs>
                <w:tab w:val="decimal" w:pos="62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p>
        </w:tc>
        <w:tc>
          <w:tcPr>
            <w:tcW w:w="1219" w:type="dxa"/>
            <w:tcBorders>
              <w:top w:val="nil"/>
              <w:bottom w:val="nil"/>
            </w:tcBorders>
          </w:tcPr>
          <w:p w14:paraId="48E46434" w14:textId="77777777" w:rsidR="007701DC" w:rsidRPr="00BA6F83" w:rsidRDefault="007701DC" w:rsidP="007701DC">
            <w:pPr>
              <w:tabs>
                <w:tab w:val="decimal" w:pos="25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sz w:val="18"/>
                <w:szCs w:val="18"/>
              </w:rPr>
              <w:t>0.078***</w:t>
            </w:r>
          </w:p>
        </w:tc>
        <w:tc>
          <w:tcPr>
            <w:tcW w:w="1135" w:type="dxa"/>
            <w:tcBorders>
              <w:top w:val="nil"/>
              <w:bottom w:val="nil"/>
            </w:tcBorders>
          </w:tcPr>
          <w:p w14:paraId="7CE4FD99" w14:textId="77777777" w:rsidR="007701DC" w:rsidRPr="00BA6F83" w:rsidRDefault="007701DC" w:rsidP="007701DC">
            <w:pPr>
              <w:tabs>
                <w:tab w:val="decimal" w:pos="26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sz w:val="18"/>
                <w:szCs w:val="18"/>
              </w:rPr>
              <w:t>0.043</w:t>
            </w:r>
          </w:p>
        </w:tc>
        <w:tc>
          <w:tcPr>
            <w:tcW w:w="1264" w:type="dxa"/>
            <w:tcBorders>
              <w:top w:val="nil"/>
              <w:bottom w:val="nil"/>
            </w:tcBorders>
          </w:tcPr>
          <w:p w14:paraId="77E1C732" w14:textId="77777777" w:rsidR="007701DC" w:rsidRPr="00BA6F83" w:rsidRDefault="007701DC" w:rsidP="007701DC">
            <w:pPr>
              <w:tabs>
                <w:tab w:val="decimal" w:pos="26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sz w:val="18"/>
                <w:szCs w:val="18"/>
              </w:rPr>
              <w:t>0.096</w:t>
            </w:r>
          </w:p>
        </w:tc>
        <w:tc>
          <w:tcPr>
            <w:tcW w:w="1148" w:type="dxa"/>
            <w:tcBorders>
              <w:top w:val="nil"/>
              <w:bottom w:val="nil"/>
            </w:tcBorders>
          </w:tcPr>
          <w:p w14:paraId="2BA3C9AB" w14:textId="77777777" w:rsidR="007701DC" w:rsidRPr="00BA6F83" w:rsidRDefault="007701DC" w:rsidP="007701DC">
            <w:pPr>
              <w:tabs>
                <w:tab w:val="decimal" w:pos="23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sz w:val="18"/>
                <w:szCs w:val="18"/>
              </w:rPr>
              <w:t>0.128***</w:t>
            </w:r>
          </w:p>
        </w:tc>
        <w:tc>
          <w:tcPr>
            <w:tcW w:w="1052" w:type="dxa"/>
            <w:tcBorders>
              <w:top w:val="nil"/>
              <w:bottom w:val="nil"/>
            </w:tcBorders>
          </w:tcPr>
          <w:p w14:paraId="457C6C61" w14:textId="77777777" w:rsidR="007701DC" w:rsidRPr="00BA6F83" w:rsidRDefault="007701DC" w:rsidP="007701DC">
            <w:pPr>
              <w:tabs>
                <w:tab w:val="decimal" w:pos="22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sz w:val="18"/>
                <w:szCs w:val="18"/>
              </w:rPr>
              <w:t>0.132**</w:t>
            </w:r>
          </w:p>
        </w:tc>
      </w:tr>
      <w:tr w:rsidR="007701DC" w:rsidRPr="00BA6F83" w14:paraId="044595F1" w14:textId="77777777" w:rsidTr="00513E94">
        <w:trPr>
          <w:gridAfter w:val="1"/>
          <w:wAfter w:w="7" w:type="dxa"/>
          <w:trHeight w:val="188"/>
        </w:trPr>
        <w:tc>
          <w:tcPr>
            <w:cnfStyle w:val="001000000000" w:firstRow="0" w:lastRow="0" w:firstColumn="1" w:lastColumn="0" w:oddVBand="0" w:evenVBand="0" w:oddHBand="0" w:evenHBand="0" w:firstRowFirstColumn="0" w:firstRowLastColumn="0" w:lastRowFirstColumn="0" w:lastRowLastColumn="0"/>
            <w:tcW w:w="1678" w:type="dxa"/>
            <w:tcBorders>
              <w:top w:val="nil"/>
              <w:bottom w:val="nil"/>
            </w:tcBorders>
          </w:tcPr>
          <w:p w14:paraId="01A34524" w14:textId="77777777" w:rsidR="007701DC" w:rsidRPr="00BA6F83" w:rsidRDefault="007701DC" w:rsidP="007701DC">
            <w:pPr>
              <w:rPr>
                <w:rFonts w:ascii="Times New Roman" w:eastAsia="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HOV lane access</w:t>
            </w:r>
          </w:p>
        </w:tc>
        <w:tc>
          <w:tcPr>
            <w:tcW w:w="1534" w:type="dxa"/>
            <w:tcBorders>
              <w:top w:val="nil"/>
              <w:bottom w:val="nil"/>
            </w:tcBorders>
          </w:tcPr>
          <w:p w14:paraId="6FA0341E" w14:textId="77777777" w:rsidR="007701DC" w:rsidRPr="00BA6F83" w:rsidRDefault="007701DC" w:rsidP="007701DC">
            <w:pPr>
              <w:tabs>
                <w:tab w:val="decimal" w:pos="362"/>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0.03</w:t>
            </w:r>
          </w:p>
        </w:tc>
        <w:tc>
          <w:tcPr>
            <w:tcW w:w="1134" w:type="dxa"/>
            <w:tcBorders>
              <w:top w:val="nil"/>
              <w:bottom w:val="nil"/>
            </w:tcBorders>
          </w:tcPr>
          <w:p w14:paraId="6FFC4C05" w14:textId="77777777" w:rsidR="007701DC" w:rsidRPr="00BA6F83" w:rsidRDefault="007701DC" w:rsidP="007701DC">
            <w:pPr>
              <w:tabs>
                <w:tab w:val="decimal" w:pos="252"/>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0.227</w:t>
            </w:r>
          </w:p>
        </w:tc>
        <w:tc>
          <w:tcPr>
            <w:tcW w:w="1134" w:type="dxa"/>
            <w:tcBorders>
              <w:top w:val="nil"/>
              <w:bottom w:val="nil"/>
            </w:tcBorders>
          </w:tcPr>
          <w:p w14:paraId="3CFD6190" w14:textId="77777777" w:rsidR="007701DC" w:rsidRPr="00BA6F83" w:rsidRDefault="007701DC" w:rsidP="007701DC">
            <w:pPr>
              <w:tabs>
                <w:tab w:val="decimal" w:pos="25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0.079</w:t>
            </w:r>
          </w:p>
        </w:tc>
        <w:tc>
          <w:tcPr>
            <w:tcW w:w="1140" w:type="dxa"/>
            <w:tcBorders>
              <w:top w:val="nil"/>
              <w:bottom w:val="nil"/>
            </w:tcBorders>
          </w:tcPr>
          <w:p w14:paraId="5F94B3FE" w14:textId="77777777" w:rsidR="007701DC" w:rsidRPr="00BA6F83" w:rsidRDefault="007701DC" w:rsidP="007701DC">
            <w:pPr>
              <w:tabs>
                <w:tab w:val="decimal" w:pos="25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0.001</w:t>
            </w:r>
          </w:p>
        </w:tc>
        <w:tc>
          <w:tcPr>
            <w:tcW w:w="376" w:type="dxa"/>
            <w:tcBorders>
              <w:top w:val="nil"/>
              <w:bottom w:val="nil"/>
            </w:tcBorders>
          </w:tcPr>
          <w:p w14:paraId="66C9F994" w14:textId="77777777" w:rsidR="007701DC" w:rsidRPr="00BA6F83" w:rsidRDefault="007701DC" w:rsidP="007701DC">
            <w:pPr>
              <w:tabs>
                <w:tab w:val="decimal" w:pos="62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1219" w:type="dxa"/>
            <w:tcBorders>
              <w:top w:val="nil"/>
              <w:bottom w:val="nil"/>
            </w:tcBorders>
          </w:tcPr>
          <w:p w14:paraId="6D788897" w14:textId="77777777" w:rsidR="007701DC" w:rsidRPr="00BA6F83" w:rsidRDefault="007701DC" w:rsidP="007701DC">
            <w:pPr>
              <w:tabs>
                <w:tab w:val="decimal" w:pos="25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sz w:val="18"/>
                <w:szCs w:val="18"/>
              </w:rPr>
              <w:t>0.043**</w:t>
            </w:r>
          </w:p>
        </w:tc>
        <w:tc>
          <w:tcPr>
            <w:tcW w:w="1135" w:type="dxa"/>
            <w:tcBorders>
              <w:top w:val="nil"/>
              <w:bottom w:val="nil"/>
            </w:tcBorders>
          </w:tcPr>
          <w:p w14:paraId="441D034A" w14:textId="77777777" w:rsidR="007701DC" w:rsidRPr="00BA6F83" w:rsidRDefault="007701DC" w:rsidP="007701DC">
            <w:pPr>
              <w:tabs>
                <w:tab w:val="decimal" w:pos="26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sz w:val="18"/>
                <w:szCs w:val="18"/>
              </w:rPr>
              <w:t>-0.045</w:t>
            </w:r>
          </w:p>
        </w:tc>
        <w:tc>
          <w:tcPr>
            <w:tcW w:w="1264" w:type="dxa"/>
            <w:tcBorders>
              <w:top w:val="nil"/>
              <w:bottom w:val="nil"/>
            </w:tcBorders>
          </w:tcPr>
          <w:p w14:paraId="2814003B" w14:textId="77777777" w:rsidR="007701DC" w:rsidRPr="00BA6F83" w:rsidRDefault="007701DC" w:rsidP="007701DC">
            <w:pPr>
              <w:tabs>
                <w:tab w:val="decimal" w:pos="26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sz w:val="18"/>
                <w:szCs w:val="18"/>
              </w:rPr>
              <w:t>-0.223**</w:t>
            </w:r>
          </w:p>
        </w:tc>
        <w:tc>
          <w:tcPr>
            <w:tcW w:w="1148" w:type="dxa"/>
            <w:tcBorders>
              <w:top w:val="nil"/>
              <w:bottom w:val="nil"/>
            </w:tcBorders>
          </w:tcPr>
          <w:p w14:paraId="2259A2D0" w14:textId="77777777" w:rsidR="007701DC" w:rsidRPr="00BA6F83" w:rsidRDefault="007701DC" w:rsidP="007701DC">
            <w:pPr>
              <w:tabs>
                <w:tab w:val="decimal" w:pos="23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sz w:val="18"/>
                <w:szCs w:val="18"/>
              </w:rPr>
              <w:t>0.085**</w:t>
            </w:r>
          </w:p>
        </w:tc>
        <w:tc>
          <w:tcPr>
            <w:tcW w:w="1052" w:type="dxa"/>
            <w:tcBorders>
              <w:top w:val="nil"/>
              <w:bottom w:val="nil"/>
            </w:tcBorders>
          </w:tcPr>
          <w:p w14:paraId="63C7D50F" w14:textId="77777777" w:rsidR="007701DC" w:rsidRPr="00BA6F83" w:rsidRDefault="007701DC" w:rsidP="007701DC">
            <w:pPr>
              <w:tabs>
                <w:tab w:val="decimal" w:pos="22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sz w:val="18"/>
                <w:szCs w:val="18"/>
              </w:rPr>
              <w:t>0.052</w:t>
            </w:r>
          </w:p>
        </w:tc>
      </w:tr>
      <w:tr w:rsidR="007701DC" w:rsidRPr="00BA6F83" w14:paraId="1497D84A" w14:textId="77777777" w:rsidTr="00513E94">
        <w:trPr>
          <w:gridAfter w:val="1"/>
          <w:cnfStyle w:val="000000100000" w:firstRow="0" w:lastRow="0" w:firstColumn="0" w:lastColumn="0" w:oddVBand="0" w:evenVBand="0" w:oddHBand="1" w:evenHBand="0" w:firstRowFirstColumn="0" w:firstRowLastColumn="0" w:lastRowFirstColumn="0" w:lastRowLastColumn="0"/>
          <w:wAfter w:w="7" w:type="dxa"/>
          <w:trHeight w:val="405"/>
        </w:trPr>
        <w:tc>
          <w:tcPr>
            <w:cnfStyle w:val="001000000000" w:firstRow="0" w:lastRow="0" w:firstColumn="1" w:lastColumn="0" w:oddVBand="0" w:evenVBand="0" w:oddHBand="0" w:evenHBand="0" w:firstRowFirstColumn="0" w:firstRowLastColumn="0" w:lastRowFirstColumn="0" w:lastRowLastColumn="0"/>
            <w:tcW w:w="1678" w:type="dxa"/>
            <w:tcBorders>
              <w:top w:val="nil"/>
              <w:bottom w:val="nil"/>
            </w:tcBorders>
          </w:tcPr>
          <w:p w14:paraId="7C95EAD4" w14:textId="77777777" w:rsidR="007701DC" w:rsidRPr="00BA6F83" w:rsidRDefault="007701DC" w:rsidP="007701DC">
            <w:pPr>
              <w:rPr>
                <w:rFonts w:ascii="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 xml:space="preserve">Fueling/charging station availability </w:t>
            </w:r>
          </w:p>
        </w:tc>
        <w:tc>
          <w:tcPr>
            <w:tcW w:w="1534" w:type="dxa"/>
            <w:tcBorders>
              <w:top w:val="nil"/>
              <w:bottom w:val="nil"/>
            </w:tcBorders>
          </w:tcPr>
          <w:p w14:paraId="1E5ED4A2" w14:textId="77777777" w:rsidR="007701DC" w:rsidRPr="00BA6F83" w:rsidRDefault="007701DC" w:rsidP="007701DC">
            <w:pPr>
              <w:tabs>
                <w:tab w:val="decimal" w:pos="36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0.0414</w:t>
            </w:r>
            <w:r w:rsidRPr="00BA6F83">
              <w:rPr>
                <w:rFonts w:ascii="Times New Roman" w:eastAsia="Times New Roman" w:hAnsi="Times New Roman" w:cs="Times New Roman"/>
                <w:color w:val="000000" w:themeColor="text1"/>
                <w:sz w:val="18"/>
                <w:szCs w:val="18"/>
              </w:rPr>
              <w:t>*</w:t>
            </w:r>
          </w:p>
        </w:tc>
        <w:tc>
          <w:tcPr>
            <w:tcW w:w="1134" w:type="dxa"/>
            <w:tcBorders>
              <w:top w:val="nil"/>
              <w:bottom w:val="nil"/>
            </w:tcBorders>
          </w:tcPr>
          <w:p w14:paraId="37100A04" w14:textId="77777777" w:rsidR="007701DC" w:rsidRPr="00BA6F83" w:rsidRDefault="007701DC" w:rsidP="007701DC">
            <w:pPr>
              <w:tabs>
                <w:tab w:val="decimal" w:pos="25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hAnsi="Times New Roman" w:cs="Times New Roman"/>
                <w:color w:val="000000" w:themeColor="text1"/>
                <w:sz w:val="18"/>
                <w:szCs w:val="18"/>
              </w:rPr>
              <w:t>0.092</w:t>
            </w:r>
          </w:p>
        </w:tc>
        <w:tc>
          <w:tcPr>
            <w:tcW w:w="1134" w:type="dxa"/>
            <w:tcBorders>
              <w:top w:val="nil"/>
              <w:bottom w:val="nil"/>
            </w:tcBorders>
          </w:tcPr>
          <w:p w14:paraId="7D5D1A02" w14:textId="77777777" w:rsidR="007701DC" w:rsidRPr="00BA6F83" w:rsidRDefault="007701DC" w:rsidP="007701DC">
            <w:pPr>
              <w:tabs>
                <w:tab w:val="decimal" w:pos="25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-0.006</w:t>
            </w:r>
          </w:p>
        </w:tc>
        <w:tc>
          <w:tcPr>
            <w:tcW w:w="1140" w:type="dxa"/>
            <w:tcBorders>
              <w:top w:val="nil"/>
              <w:bottom w:val="nil"/>
            </w:tcBorders>
          </w:tcPr>
          <w:p w14:paraId="77BBC7C4" w14:textId="77777777" w:rsidR="007701DC" w:rsidRPr="00BA6F83" w:rsidRDefault="007701DC" w:rsidP="007701DC">
            <w:pPr>
              <w:tabs>
                <w:tab w:val="decimal" w:pos="25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0.047*</w:t>
            </w:r>
          </w:p>
        </w:tc>
        <w:tc>
          <w:tcPr>
            <w:tcW w:w="376" w:type="dxa"/>
            <w:tcBorders>
              <w:top w:val="nil"/>
              <w:bottom w:val="nil"/>
            </w:tcBorders>
          </w:tcPr>
          <w:p w14:paraId="79EBB2F2" w14:textId="77777777" w:rsidR="007701DC" w:rsidRPr="00BA6F83" w:rsidRDefault="007701DC" w:rsidP="007701DC">
            <w:pPr>
              <w:tabs>
                <w:tab w:val="decimal" w:pos="62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p>
        </w:tc>
        <w:tc>
          <w:tcPr>
            <w:tcW w:w="1219" w:type="dxa"/>
            <w:tcBorders>
              <w:top w:val="nil"/>
              <w:bottom w:val="nil"/>
            </w:tcBorders>
          </w:tcPr>
          <w:p w14:paraId="623CDAC8" w14:textId="77777777" w:rsidR="007701DC" w:rsidRPr="00BA6F83" w:rsidRDefault="007701DC" w:rsidP="007701DC">
            <w:pPr>
              <w:tabs>
                <w:tab w:val="decimal" w:pos="252"/>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0.024**</w:t>
            </w:r>
          </w:p>
        </w:tc>
        <w:tc>
          <w:tcPr>
            <w:tcW w:w="1135" w:type="dxa"/>
            <w:tcBorders>
              <w:top w:val="nil"/>
              <w:bottom w:val="nil"/>
            </w:tcBorders>
          </w:tcPr>
          <w:p w14:paraId="53A22803" w14:textId="77777777" w:rsidR="007701DC" w:rsidRPr="00BA6F83" w:rsidRDefault="007701DC" w:rsidP="007701DC">
            <w:pPr>
              <w:tabs>
                <w:tab w:val="decimal" w:pos="262"/>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-0.011</w:t>
            </w:r>
          </w:p>
        </w:tc>
        <w:tc>
          <w:tcPr>
            <w:tcW w:w="1264" w:type="dxa"/>
            <w:tcBorders>
              <w:top w:val="nil"/>
              <w:bottom w:val="nil"/>
            </w:tcBorders>
          </w:tcPr>
          <w:p w14:paraId="0EE5D083" w14:textId="77777777" w:rsidR="007701DC" w:rsidRPr="00BA6F83" w:rsidRDefault="007701DC" w:rsidP="007701DC">
            <w:pPr>
              <w:tabs>
                <w:tab w:val="decimal" w:pos="262"/>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0.015</w:t>
            </w:r>
          </w:p>
        </w:tc>
        <w:tc>
          <w:tcPr>
            <w:tcW w:w="1148" w:type="dxa"/>
            <w:tcBorders>
              <w:top w:val="nil"/>
              <w:bottom w:val="nil"/>
            </w:tcBorders>
          </w:tcPr>
          <w:p w14:paraId="217CE7C4" w14:textId="77777777" w:rsidR="007701DC" w:rsidRPr="00BA6F83" w:rsidRDefault="007701DC" w:rsidP="007701DC">
            <w:pPr>
              <w:tabs>
                <w:tab w:val="decimal" w:pos="232"/>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0.029</w:t>
            </w:r>
          </w:p>
        </w:tc>
        <w:tc>
          <w:tcPr>
            <w:tcW w:w="1052" w:type="dxa"/>
            <w:tcBorders>
              <w:top w:val="nil"/>
              <w:bottom w:val="nil"/>
            </w:tcBorders>
          </w:tcPr>
          <w:p w14:paraId="4FD40A31" w14:textId="77777777" w:rsidR="007701DC" w:rsidRPr="00BA6F83" w:rsidRDefault="007701DC" w:rsidP="007701DC">
            <w:pPr>
              <w:tabs>
                <w:tab w:val="decimal" w:pos="224"/>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0.030</w:t>
            </w:r>
          </w:p>
        </w:tc>
      </w:tr>
      <w:tr w:rsidR="007701DC" w:rsidRPr="00BA6F83" w14:paraId="4BA2C9DB" w14:textId="77777777" w:rsidTr="00513E94">
        <w:trPr>
          <w:gridAfter w:val="1"/>
          <w:wAfter w:w="7" w:type="dxa"/>
          <w:trHeight w:val="390"/>
        </w:trPr>
        <w:tc>
          <w:tcPr>
            <w:cnfStyle w:val="001000000000" w:firstRow="0" w:lastRow="0" w:firstColumn="1" w:lastColumn="0" w:oddVBand="0" w:evenVBand="0" w:oddHBand="0" w:evenHBand="0" w:firstRowFirstColumn="0" w:firstRowLastColumn="0" w:lastRowFirstColumn="0" w:lastRowLastColumn="0"/>
            <w:tcW w:w="1678" w:type="dxa"/>
            <w:tcBorders>
              <w:top w:val="nil"/>
              <w:bottom w:val="nil"/>
            </w:tcBorders>
          </w:tcPr>
          <w:p w14:paraId="2051443C" w14:textId="77777777" w:rsidR="007701DC" w:rsidRPr="00BA6F83" w:rsidRDefault="007701DC" w:rsidP="007701DC">
            <w:pPr>
              <w:rPr>
                <w:rFonts w:ascii="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Public charging time (hr)</w:t>
            </w:r>
          </w:p>
        </w:tc>
        <w:tc>
          <w:tcPr>
            <w:tcW w:w="1534" w:type="dxa"/>
            <w:tcBorders>
              <w:top w:val="nil"/>
              <w:bottom w:val="nil"/>
            </w:tcBorders>
          </w:tcPr>
          <w:p w14:paraId="68B371DC" w14:textId="77777777" w:rsidR="007701DC" w:rsidRPr="00BA6F83" w:rsidRDefault="007701DC" w:rsidP="007701DC">
            <w:pPr>
              <w:tabs>
                <w:tab w:val="decimal" w:pos="362"/>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-0.027***</w:t>
            </w:r>
          </w:p>
        </w:tc>
        <w:tc>
          <w:tcPr>
            <w:tcW w:w="1134" w:type="dxa"/>
            <w:tcBorders>
              <w:top w:val="nil"/>
              <w:bottom w:val="nil"/>
            </w:tcBorders>
          </w:tcPr>
          <w:p w14:paraId="4723EA60" w14:textId="77777777" w:rsidR="007701DC" w:rsidRPr="00BA6F83" w:rsidRDefault="007701DC" w:rsidP="007701DC">
            <w:pPr>
              <w:tabs>
                <w:tab w:val="decimal" w:pos="252"/>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-0.0756*</w:t>
            </w:r>
          </w:p>
        </w:tc>
        <w:tc>
          <w:tcPr>
            <w:tcW w:w="1134" w:type="dxa"/>
            <w:tcBorders>
              <w:top w:val="nil"/>
              <w:bottom w:val="nil"/>
            </w:tcBorders>
          </w:tcPr>
          <w:p w14:paraId="47E33C77" w14:textId="77777777" w:rsidR="007701DC" w:rsidRPr="00BA6F83" w:rsidRDefault="007701DC" w:rsidP="007701DC">
            <w:pPr>
              <w:tabs>
                <w:tab w:val="decimal" w:pos="25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-0.0732*</w:t>
            </w:r>
          </w:p>
        </w:tc>
        <w:tc>
          <w:tcPr>
            <w:tcW w:w="1140" w:type="dxa"/>
            <w:tcBorders>
              <w:top w:val="nil"/>
              <w:bottom w:val="nil"/>
            </w:tcBorders>
          </w:tcPr>
          <w:p w14:paraId="73938807" w14:textId="77777777" w:rsidR="007701DC" w:rsidRPr="00BA6F83" w:rsidRDefault="007701DC" w:rsidP="007701DC">
            <w:pPr>
              <w:tabs>
                <w:tab w:val="decimal" w:pos="25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-0.0096</w:t>
            </w:r>
          </w:p>
        </w:tc>
        <w:tc>
          <w:tcPr>
            <w:tcW w:w="376" w:type="dxa"/>
            <w:tcBorders>
              <w:top w:val="nil"/>
              <w:bottom w:val="nil"/>
            </w:tcBorders>
          </w:tcPr>
          <w:p w14:paraId="7DD67CD6" w14:textId="77777777" w:rsidR="007701DC" w:rsidRPr="00BA6F83" w:rsidRDefault="007701DC" w:rsidP="007701DC">
            <w:pPr>
              <w:tabs>
                <w:tab w:val="decimal" w:pos="623"/>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1219" w:type="dxa"/>
            <w:tcBorders>
              <w:top w:val="nil"/>
              <w:bottom w:val="nil"/>
            </w:tcBorders>
          </w:tcPr>
          <w:p w14:paraId="2880072B" w14:textId="77777777" w:rsidR="007701DC" w:rsidRPr="00BA6F83" w:rsidRDefault="007701DC" w:rsidP="007701DC">
            <w:pPr>
              <w:tabs>
                <w:tab w:val="decimal" w:pos="252"/>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-0.031***</w:t>
            </w:r>
          </w:p>
        </w:tc>
        <w:tc>
          <w:tcPr>
            <w:tcW w:w="1135" w:type="dxa"/>
            <w:tcBorders>
              <w:top w:val="nil"/>
              <w:bottom w:val="nil"/>
            </w:tcBorders>
          </w:tcPr>
          <w:p w14:paraId="529FC5FA" w14:textId="77777777" w:rsidR="007701DC" w:rsidRPr="00BA6F83" w:rsidRDefault="007701DC" w:rsidP="007701DC">
            <w:pPr>
              <w:tabs>
                <w:tab w:val="decimal" w:pos="262"/>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-0.08***</w:t>
            </w:r>
          </w:p>
        </w:tc>
        <w:tc>
          <w:tcPr>
            <w:tcW w:w="1264" w:type="dxa"/>
            <w:tcBorders>
              <w:top w:val="nil"/>
              <w:bottom w:val="nil"/>
            </w:tcBorders>
          </w:tcPr>
          <w:p w14:paraId="567ADAFD" w14:textId="77777777" w:rsidR="007701DC" w:rsidRPr="00BA6F83" w:rsidRDefault="007701DC" w:rsidP="007701DC">
            <w:pPr>
              <w:tabs>
                <w:tab w:val="decimal" w:pos="262"/>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-0.096***</w:t>
            </w:r>
          </w:p>
        </w:tc>
        <w:tc>
          <w:tcPr>
            <w:tcW w:w="1148" w:type="dxa"/>
            <w:tcBorders>
              <w:top w:val="nil"/>
              <w:bottom w:val="nil"/>
            </w:tcBorders>
          </w:tcPr>
          <w:p w14:paraId="42300D94" w14:textId="77777777" w:rsidR="007701DC" w:rsidRPr="00BA6F83" w:rsidRDefault="007701DC" w:rsidP="007701DC">
            <w:pPr>
              <w:tabs>
                <w:tab w:val="decimal" w:pos="232"/>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-0.034***</w:t>
            </w:r>
          </w:p>
        </w:tc>
        <w:tc>
          <w:tcPr>
            <w:tcW w:w="1052" w:type="dxa"/>
            <w:tcBorders>
              <w:top w:val="nil"/>
              <w:bottom w:val="nil"/>
            </w:tcBorders>
          </w:tcPr>
          <w:p w14:paraId="4885AF4C" w14:textId="77777777" w:rsidR="007701DC" w:rsidRPr="00BA6F83" w:rsidRDefault="007701DC" w:rsidP="007701DC">
            <w:pPr>
              <w:tabs>
                <w:tab w:val="decimal" w:pos="224"/>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-0.053***</w:t>
            </w:r>
          </w:p>
        </w:tc>
      </w:tr>
      <w:tr w:rsidR="007701DC" w:rsidRPr="00BA6F83" w14:paraId="0AAC4954" w14:textId="77777777" w:rsidTr="00513E94">
        <w:trPr>
          <w:gridAfter w:val="1"/>
          <w:cnfStyle w:val="000000100000" w:firstRow="0" w:lastRow="0" w:firstColumn="0" w:lastColumn="0" w:oddVBand="0" w:evenVBand="0" w:oddHBand="1" w:evenHBand="0" w:firstRowFirstColumn="0" w:firstRowLastColumn="0" w:lastRowFirstColumn="0" w:lastRowLastColumn="0"/>
          <w:wAfter w:w="7" w:type="dxa"/>
          <w:trHeight w:val="463"/>
        </w:trPr>
        <w:tc>
          <w:tcPr>
            <w:cnfStyle w:val="001000000000" w:firstRow="0" w:lastRow="0" w:firstColumn="1" w:lastColumn="0" w:oddVBand="0" w:evenVBand="0" w:oddHBand="0" w:evenHBand="0" w:firstRowFirstColumn="0" w:firstRowLastColumn="0" w:lastRowFirstColumn="0" w:lastRowLastColumn="0"/>
            <w:tcW w:w="1678" w:type="dxa"/>
            <w:tcBorders>
              <w:top w:val="nil"/>
              <w:bottom w:val="none" w:sz="0" w:space="0" w:color="auto"/>
            </w:tcBorders>
          </w:tcPr>
          <w:p w14:paraId="3F26A8D5" w14:textId="77777777" w:rsidR="007701DC" w:rsidRPr="00BA6F83" w:rsidRDefault="007701DC" w:rsidP="007701DC">
            <w:pPr>
              <w:spacing w:after="60"/>
              <w:rPr>
                <w:rFonts w:ascii="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Home/work charging time (hr)</w:t>
            </w:r>
          </w:p>
        </w:tc>
        <w:tc>
          <w:tcPr>
            <w:tcW w:w="1534" w:type="dxa"/>
            <w:tcBorders>
              <w:top w:val="nil"/>
              <w:bottom w:val="none" w:sz="0" w:space="0" w:color="auto"/>
            </w:tcBorders>
          </w:tcPr>
          <w:p w14:paraId="4927B7CA" w14:textId="77777777" w:rsidR="007701DC" w:rsidRPr="00BA6F83" w:rsidRDefault="007701DC" w:rsidP="007701DC">
            <w:pPr>
              <w:tabs>
                <w:tab w:val="decimal" w:pos="362"/>
              </w:tabs>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-0.0461***</w:t>
            </w:r>
          </w:p>
        </w:tc>
        <w:tc>
          <w:tcPr>
            <w:tcW w:w="1134" w:type="dxa"/>
            <w:tcBorders>
              <w:top w:val="nil"/>
              <w:bottom w:val="none" w:sz="0" w:space="0" w:color="auto"/>
            </w:tcBorders>
          </w:tcPr>
          <w:p w14:paraId="13C29401" w14:textId="77777777" w:rsidR="007701DC" w:rsidRPr="00BA6F83" w:rsidRDefault="007701DC" w:rsidP="007701DC">
            <w:pPr>
              <w:tabs>
                <w:tab w:val="decimal" w:pos="252"/>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-0.028</w:t>
            </w:r>
          </w:p>
        </w:tc>
        <w:tc>
          <w:tcPr>
            <w:tcW w:w="1134" w:type="dxa"/>
            <w:tcBorders>
              <w:top w:val="nil"/>
              <w:bottom w:val="none" w:sz="0" w:space="0" w:color="auto"/>
            </w:tcBorders>
          </w:tcPr>
          <w:p w14:paraId="2AB4B91D" w14:textId="77777777" w:rsidR="007701DC" w:rsidRPr="00BA6F83" w:rsidRDefault="007701DC" w:rsidP="007701DC">
            <w:pPr>
              <w:tabs>
                <w:tab w:val="decimal" w:pos="255"/>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-0.009</w:t>
            </w:r>
          </w:p>
        </w:tc>
        <w:tc>
          <w:tcPr>
            <w:tcW w:w="1140" w:type="dxa"/>
            <w:tcBorders>
              <w:top w:val="nil"/>
              <w:bottom w:val="none" w:sz="0" w:space="0" w:color="auto"/>
            </w:tcBorders>
          </w:tcPr>
          <w:p w14:paraId="722E63B3" w14:textId="77777777" w:rsidR="007701DC" w:rsidRPr="00BA6F83" w:rsidRDefault="007701DC" w:rsidP="007701DC">
            <w:pPr>
              <w:tabs>
                <w:tab w:val="decimal" w:pos="259"/>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-0.036*</w:t>
            </w:r>
          </w:p>
        </w:tc>
        <w:tc>
          <w:tcPr>
            <w:tcW w:w="376" w:type="dxa"/>
            <w:tcBorders>
              <w:top w:val="nil"/>
              <w:bottom w:val="none" w:sz="0" w:space="0" w:color="auto"/>
            </w:tcBorders>
          </w:tcPr>
          <w:p w14:paraId="78B3C5E1" w14:textId="77777777" w:rsidR="007701DC" w:rsidRPr="00BA6F83" w:rsidRDefault="007701DC" w:rsidP="007701DC">
            <w:pPr>
              <w:tabs>
                <w:tab w:val="decimal" w:pos="623"/>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p>
        </w:tc>
        <w:tc>
          <w:tcPr>
            <w:tcW w:w="1219" w:type="dxa"/>
            <w:tcBorders>
              <w:top w:val="nil"/>
              <w:bottom w:val="none" w:sz="0" w:space="0" w:color="auto"/>
            </w:tcBorders>
          </w:tcPr>
          <w:p w14:paraId="23BB52AF" w14:textId="77777777" w:rsidR="007701DC" w:rsidRPr="00BA6F83" w:rsidRDefault="007701DC" w:rsidP="007701DC">
            <w:pPr>
              <w:tabs>
                <w:tab w:val="decimal" w:pos="252"/>
              </w:tabs>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-0.021***</w:t>
            </w:r>
          </w:p>
        </w:tc>
        <w:tc>
          <w:tcPr>
            <w:tcW w:w="1135" w:type="dxa"/>
            <w:tcBorders>
              <w:top w:val="nil"/>
              <w:bottom w:val="none" w:sz="0" w:space="0" w:color="auto"/>
            </w:tcBorders>
          </w:tcPr>
          <w:p w14:paraId="645FC67C" w14:textId="77777777" w:rsidR="007701DC" w:rsidRPr="00BA6F83" w:rsidRDefault="007701DC" w:rsidP="007701DC">
            <w:pPr>
              <w:tabs>
                <w:tab w:val="decimal" w:pos="262"/>
              </w:tabs>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-0.003</w:t>
            </w:r>
          </w:p>
        </w:tc>
        <w:tc>
          <w:tcPr>
            <w:tcW w:w="1264" w:type="dxa"/>
            <w:tcBorders>
              <w:top w:val="nil"/>
              <w:bottom w:val="none" w:sz="0" w:space="0" w:color="auto"/>
            </w:tcBorders>
          </w:tcPr>
          <w:p w14:paraId="494E64C1" w14:textId="77777777" w:rsidR="007701DC" w:rsidRPr="00BA6F83" w:rsidRDefault="007701DC" w:rsidP="007701DC">
            <w:pPr>
              <w:tabs>
                <w:tab w:val="decimal" w:pos="262"/>
              </w:tabs>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-0.092**</w:t>
            </w:r>
          </w:p>
        </w:tc>
        <w:tc>
          <w:tcPr>
            <w:tcW w:w="1148" w:type="dxa"/>
            <w:tcBorders>
              <w:top w:val="nil"/>
              <w:bottom w:val="none" w:sz="0" w:space="0" w:color="auto"/>
            </w:tcBorders>
          </w:tcPr>
          <w:p w14:paraId="5F7C148E" w14:textId="77777777" w:rsidR="007701DC" w:rsidRPr="00BA6F83" w:rsidRDefault="007701DC" w:rsidP="007701DC">
            <w:pPr>
              <w:tabs>
                <w:tab w:val="decimal" w:pos="232"/>
              </w:tabs>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-0.020</w:t>
            </w:r>
          </w:p>
        </w:tc>
        <w:tc>
          <w:tcPr>
            <w:tcW w:w="1052" w:type="dxa"/>
            <w:tcBorders>
              <w:top w:val="nil"/>
              <w:bottom w:val="none" w:sz="0" w:space="0" w:color="auto"/>
            </w:tcBorders>
          </w:tcPr>
          <w:p w14:paraId="362D80A0" w14:textId="77777777" w:rsidR="007701DC" w:rsidRPr="00BA6F83" w:rsidRDefault="007701DC" w:rsidP="007701DC">
            <w:pPr>
              <w:tabs>
                <w:tab w:val="decimal" w:pos="224"/>
              </w:tabs>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-0.030</w:t>
            </w:r>
          </w:p>
        </w:tc>
      </w:tr>
      <w:tr w:rsidR="007701DC" w:rsidRPr="00BA6F83" w14:paraId="5ED7175E" w14:textId="77777777" w:rsidTr="00513E94">
        <w:trPr>
          <w:gridAfter w:val="1"/>
          <w:wAfter w:w="7" w:type="dxa"/>
          <w:trHeight w:val="289"/>
        </w:trPr>
        <w:tc>
          <w:tcPr>
            <w:cnfStyle w:val="001000000000" w:firstRow="0" w:lastRow="0" w:firstColumn="1" w:lastColumn="0" w:oddVBand="0" w:evenVBand="0" w:oddHBand="0" w:evenHBand="0" w:firstRowFirstColumn="0" w:firstRowLastColumn="0" w:lastRowFirstColumn="0" w:lastRowLastColumn="0"/>
            <w:tcW w:w="1678" w:type="dxa"/>
            <w:tcBorders>
              <w:bottom w:val="nil"/>
            </w:tcBorders>
          </w:tcPr>
          <w:p w14:paraId="0E85CEC5" w14:textId="77777777" w:rsidR="007701DC" w:rsidRPr="00BA6F83" w:rsidRDefault="007701DC" w:rsidP="007701DC">
            <w:pPr>
              <w:spacing w:before="60"/>
              <w:rPr>
                <w:rFonts w:ascii="Times New Roman" w:eastAsia="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 xml:space="preserve">Log likelihood </w:t>
            </w:r>
          </w:p>
        </w:tc>
        <w:tc>
          <w:tcPr>
            <w:tcW w:w="1534" w:type="dxa"/>
            <w:tcBorders>
              <w:bottom w:val="nil"/>
            </w:tcBorders>
          </w:tcPr>
          <w:p w14:paraId="3E5A1855" w14:textId="77777777" w:rsidR="007701DC" w:rsidRPr="00BA6F83" w:rsidRDefault="007701DC" w:rsidP="007701DC">
            <w:pPr>
              <w:spacing w:before="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-13,072</w:t>
            </w:r>
          </w:p>
        </w:tc>
        <w:tc>
          <w:tcPr>
            <w:tcW w:w="1134" w:type="dxa"/>
            <w:tcBorders>
              <w:bottom w:val="nil"/>
            </w:tcBorders>
          </w:tcPr>
          <w:p w14:paraId="21645AA2" w14:textId="77777777" w:rsidR="007701DC" w:rsidRPr="00BA6F83" w:rsidRDefault="007701DC" w:rsidP="007701DC">
            <w:pPr>
              <w:spacing w:before="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p>
        </w:tc>
        <w:tc>
          <w:tcPr>
            <w:tcW w:w="1134" w:type="dxa"/>
            <w:tcBorders>
              <w:bottom w:val="nil"/>
            </w:tcBorders>
          </w:tcPr>
          <w:p w14:paraId="21F5C5F4" w14:textId="77777777" w:rsidR="007701DC" w:rsidRPr="00BA6F83" w:rsidRDefault="007701DC" w:rsidP="007701DC">
            <w:pPr>
              <w:spacing w:before="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-9,506</w:t>
            </w:r>
          </w:p>
        </w:tc>
        <w:tc>
          <w:tcPr>
            <w:tcW w:w="1140" w:type="dxa"/>
            <w:tcBorders>
              <w:bottom w:val="nil"/>
            </w:tcBorders>
          </w:tcPr>
          <w:p w14:paraId="6CB7F7F5" w14:textId="77777777" w:rsidR="007701DC" w:rsidRPr="00BA6F83" w:rsidRDefault="007701DC" w:rsidP="007701DC">
            <w:pPr>
              <w:tabs>
                <w:tab w:val="decimal" w:pos="623"/>
              </w:tabs>
              <w:spacing w:before="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p>
        </w:tc>
        <w:tc>
          <w:tcPr>
            <w:tcW w:w="376" w:type="dxa"/>
            <w:tcBorders>
              <w:bottom w:val="nil"/>
            </w:tcBorders>
          </w:tcPr>
          <w:p w14:paraId="68B0556E" w14:textId="77777777" w:rsidR="007701DC" w:rsidRPr="00BA6F83" w:rsidRDefault="007701DC" w:rsidP="007701DC">
            <w:pPr>
              <w:tabs>
                <w:tab w:val="decimal" w:pos="623"/>
              </w:tabs>
              <w:spacing w:before="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p>
        </w:tc>
        <w:tc>
          <w:tcPr>
            <w:tcW w:w="1219" w:type="dxa"/>
            <w:tcBorders>
              <w:bottom w:val="nil"/>
            </w:tcBorders>
          </w:tcPr>
          <w:p w14:paraId="4FCA5EA9" w14:textId="77777777" w:rsidR="007701DC" w:rsidRPr="00BA6F83" w:rsidRDefault="007701DC" w:rsidP="007701DC">
            <w:pPr>
              <w:spacing w:before="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-46,662</w:t>
            </w:r>
          </w:p>
        </w:tc>
        <w:tc>
          <w:tcPr>
            <w:tcW w:w="1135" w:type="dxa"/>
            <w:tcBorders>
              <w:bottom w:val="nil"/>
            </w:tcBorders>
          </w:tcPr>
          <w:p w14:paraId="219E6358" w14:textId="77777777" w:rsidR="007701DC" w:rsidRPr="00BA6F83" w:rsidRDefault="007701DC" w:rsidP="007701DC">
            <w:pPr>
              <w:spacing w:before="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p>
        </w:tc>
        <w:tc>
          <w:tcPr>
            <w:tcW w:w="2412" w:type="dxa"/>
            <w:gridSpan w:val="2"/>
            <w:tcBorders>
              <w:bottom w:val="nil"/>
            </w:tcBorders>
          </w:tcPr>
          <w:p w14:paraId="5455FAAA" w14:textId="77777777" w:rsidR="007701DC" w:rsidRPr="00BA6F83" w:rsidRDefault="007701DC" w:rsidP="007701DC">
            <w:pPr>
              <w:spacing w:before="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-33,517</w:t>
            </w:r>
          </w:p>
        </w:tc>
        <w:tc>
          <w:tcPr>
            <w:tcW w:w="1052" w:type="dxa"/>
            <w:tcBorders>
              <w:bottom w:val="nil"/>
            </w:tcBorders>
          </w:tcPr>
          <w:p w14:paraId="017E217B" w14:textId="77777777" w:rsidR="007701DC" w:rsidRPr="00BA6F83" w:rsidRDefault="007701DC" w:rsidP="007701DC">
            <w:pPr>
              <w:tabs>
                <w:tab w:val="decimal" w:pos="623"/>
              </w:tabs>
              <w:spacing w:before="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p>
        </w:tc>
      </w:tr>
      <w:tr w:rsidR="007701DC" w:rsidRPr="00BA6F83" w14:paraId="7C129A64" w14:textId="77777777" w:rsidTr="00513E94">
        <w:trPr>
          <w:gridAfter w:val="1"/>
          <w:cnfStyle w:val="000000100000" w:firstRow="0" w:lastRow="0" w:firstColumn="0" w:lastColumn="0" w:oddVBand="0" w:evenVBand="0" w:oddHBand="1" w:evenHBand="0" w:firstRowFirstColumn="0" w:firstRowLastColumn="0" w:lastRowFirstColumn="0" w:lastRowLastColumn="0"/>
          <w:wAfter w:w="7" w:type="dxa"/>
          <w:trHeight w:val="303"/>
        </w:trPr>
        <w:tc>
          <w:tcPr>
            <w:cnfStyle w:val="001000000000" w:firstRow="0" w:lastRow="0" w:firstColumn="1" w:lastColumn="0" w:oddVBand="0" w:evenVBand="0" w:oddHBand="0" w:evenHBand="0" w:firstRowFirstColumn="0" w:firstRowLastColumn="0" w:lastRowFirstColumn="0" w:lastRowLastColumn="0"/>
            <w:tcW w:w="1678" w:type="dxa"/>
            <w:tcBorders>
              <w:top w:val="nil"/>
              <w:bottom w:val="single" w:sz="4" w:space="0" w:color="auto"/>
            </w:tcBorders>
          </w:tcPr>
          <w:p w14:paraId="7CA84704" w14:textId="77777777" w:rsidR="007701DC" w:rsidRPr="00BA6F83" w:rsidRDefault="007701DC" w:rsidP="007701DC">
            <w:pPr>
              <w:spacing w:after="60"/>
              <w:rPr>
                <w:rFonts w:ascii="Times New Roman" w:eastAsia="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McFadden R</w:t>
            </w:r>
            <w:r w:rsidRPr="00BA6F83">
              <w:rPr>
                <w:rFonts w:ascii="Times New Roman" w:eastAsia="Times New Roman" w:hAnsi="Times New Roman" w:cs="Times New Roman"/>
                <w:b w:val="0"/>
                <w:color w:val="000000" w:themeColor="text1"/>
                <w:sz w:val="18"/>
                <w:szCs w:val="18"/>
                <w:vertAlign w:val="superscript"/>
              </w:rPr>
              <w:t>2</w:t>
            </w:r>
          </w:p>
        </w:tc>
        <w:tc>
          <w:tcPr>
            <w:tcW w:w="1534" w:type="dxa"/>
            <w:tcBorders>
              <w:top w:val="nil"/>
              <w:bottom w:val="single" w:sz="4" w:space="0" w:color="auto"/>
            </w:tcBorders>
          </w:tcPr>
          <w:p w14:paraId="5EB94FE6" w14:textId="77777777" w:rsidR="007701DC" w:rsidRPr="00BA6F83" w:rsidRDefault="007701DC" w:rsidP="007701DC">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0.03</w:t>
            </w:r>
          </w:p>
        </w:tc>
        <w:tc>
          <w:tcPr>
            <w:tcW w:w="1134" w:type="dxa"/>
            <w:tcBorders>
              <w:top w:val="nil"/>
              <w:bottom w:val="single" w:sz="4" w:space="0" w:color="auto"/>
            </w:tcBorders>
          </w:tcPr>
          <w:p w14:paraId="063B16AE" w14:textId="77777777" w:rsidR="007701DC" w:rsidRPr="00BA6F83" w:rsidRDefault="007701DC" w:rsidP="007701DC">
            <w:pPr>
              <w:spacing w:after="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p>
        </w:tc>
        <w:tc>
          <w:tcPr>
            <w:tcW w:w="1134" w:type="dxa"/>
            <w:tcBorders>
              <w:top w:val="nil"/>
              <w:bottom w:val="single" w:sz="4" w:space="0" w:color="auto"/>
            </w:tcBorders>
          </w:tcPr>
          <w:p w14:paraId="23E1C8CF" w14:textId="77777777" w:rsidR="007701DC" w:rsidRPr="00BA6F83" w:rsidRDefault="007701DC" w:rsidP="007701DC">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0.375</w:t>
            </w:r>
          </w:p>
        </w:tc>
        <w:tc>
          <w:tcPr>
            <w:tcW w:w="1140" w:type="dxa"/>
            <w:tcBorders>
              <w:top w:val="nil"/>
              <w:bottom w:val="single" w:sz="4" w:space="0" w:color="auto"/>
            </w:tcBorders>
          </w:tcPr>
          <w:p w14:paraId="27E17E80" w14:textId="77777777" w:rsidR="007701DC" w:rsidRPr="00BA6F83" w:rsidRDefault="007701DC" w:rsidP="007701DC">
            <w:pPr>
              <w:tabs>
                <w:tab w:val="decimal" w:pos="623"/>
              </w:tabs>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p>
        </w:tc>
        <w:tc>
          <w:tcPr>
            <w:tcW w:w="376" w:type="dxa"/>
            <w:tcBorders>
              <w:top w:val="nil"/>
              <w:bottom w:val="single" w:sz="4" w:space="0" w:color="auto"/>
            </w:tcBorders>
          </w:tcPr>
          <w:p w14:paraId="10BEAB0D" w14:textId="77777777" w:rsidR="007701DC" w:rsidRPr="00BA6F83" w:rsidRDefault="007701DC" w:rsidP="007701DC">
            <w:pPr>
              <w:tabs>
                <w:tab w:val="decimal" w:pos="623"/>
              </w:tabs>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p>
        </w:tc>
        <w:tc>
          <w:tcPr>
            <w:tcW w:w="1219" w:type="dxa"/>
            <w:tcBorders>
              <w:top w:val="nil"/>
              <w:bottom w:val="single" w:sz="4" w:space="0" w:color="auto"/>
            </w:tcBorders>
          </w:tcPr>
          <w:p w14:paraId="7DB4CE30" w14:textId="77777777" w:rsidR="007701DC" w:rsidRPr="00BA6F83" w:rsidRDefault="007701DC" w:rsidP="007701DC">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0.03</w:t>
            </w:r>
          </w:p>
        </w:tc>
        <w:tc>
          <w:tcPr>
            <w:tcW w:w="1135" w:type="dxa"/>
            <w:tcBorders>
              <w:top w:val="nil"/>
              <w:bottom w:val="single" w:sz="4" w:space="0" w:color="auto"/>
            </w:tcBorders>
          </w:tcPr>
          <w:p w14:paraId="1C56F7AF" w14:textId="77777777" w:rsidR="007701DC" w:rsidRPr="00BA6F83" w:rsidRDefault="007701DC" w:rsidP="007701DC">
            <w:pPr>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p>
        </w:tc>
        <w:tc>
          <w:tcPr>
            <w:tcW w:w="2412" w:type="dxa"/>
            <w:gridSpan w:val="2"/>
            <w:tcBorders>
              <w:top w:val="nil"/>
              <w:bottom w:val="single" w:sz="4" w:space="0" w:color="auto"/>
            </w:tcBorders>
          </w:tcPr>
          <w:p w14:paraId="4F68ABF2" w14:textId="77777777" w:rsidR="007701DC" w:rsidRPr="00BA6F83" w:rsidRDefault="007701DC" w:rsidP="007701DC">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0.357</w:t>
            </w:r>
          </w:p>
        </w:tc>
        <w:tc>
          <w:tcPr>
            <w:tcW w:w="1052" w:type="dxa"/>
            <w:tcBorders>
              <w:top w:val="nil"/>
              <w:bottom w:val="single" w:sz="4" w:space="0" w:color="auto"/>
            </w:tcBorders>
          </w:tcPr>
          <w:p w14:paraId="7D9945AB" w14:textId="77777777" w:rsidR="007701DC" w:rsidRPr="00BA6F83" w:rsidRDefault="007701DC" w:rsidP="007701DC">
            <w:pPr>
              <w:tabs>
                <w:tab w:val="decimal" w:pos="623"/>
              </w:tabs>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p>
        </w:tc>
      </w:tr>
      <w:tr w:rsidR="007701DC" w:rsidRPr="00BA6F83" w14:paraId="29315B72" w14:textId="77777777" w:rsidTr="00513E94">
        <w:trPr>
          <w:trHeight w:val="460"/>
        </w:trPr>
        <w:tc>
          <w:tcPr>
            <w:cnfStyle w:val="001000000000" w:firstRow="0" w:lastRow="0" w:firstColumn="1" w:lastColumn="0" w:oddVBand="0" w:evenVBand="0" w:oddHBand="0" w:evenHBand="0" w:firstRowFirstColumn="0" w:firstRowLastColumn="0" w:lastRowFirstColumn="0" w:lastRowLastColumn="0"/>
            <w:tcW w:w="12821" w:type="dxa"/>
            <w:gridSpan w:val="12"/>
            <w:tcBorders>
              <w:top w:val="single" w:sz="4" w:space="0" w:color="auto"/>
              <w:bottom w:val="nil"/>
            </w:tcBorders>
          </w:tcPr>
          <w:p w14:paraId="70B9F678" w14:textId="77777777" w:rsidR="007701DC" w:rsidRPr="00BA6F83" w:rsidRDefault="007701DC" w:rsidP="007701DC">
            <w:pPr>
              <w:spacing w:before="60"/>
              <w:rPr>
                <w:rFonts w:ascii="Times New Roman" w:eastAsia="Times New Roman" w:hAnsi="Times New Roman" w:cs="Times New Roman"/>
                <w:b w:val="0"/>
                <w:color w:val="000000" w:themeColor="text1"/>
                <w:sz w:val="16"/>
                <w:szCs w:val="16"/>
              </w:rPr>
            </w:pPr>
            <w:r w:rsidRPr="00BA6F83">
              <w:rPr>
                <w:rFonts w:ascii="Times New Roman" w:eastAsia="Times New Roman" w:hAnsi="Times New Roman" w:cs="Times New Roman"/>
                <w:b w:val="0"/>
                <w:color w:val="000000" w:themeColor="text1"/>
                <w:sz w:val="16"/>
                <w:szCs w:val="16"/>
              </w:rPr>
              <w:t>***, **, * indicate statistical significance at 1%, 5%, and 10%, respectively.</w:t>
            </w:r>
            <w:r w:rsidR="00555F82">
              <w:rPr>
                <w:rFonts w:ascii="Times New Roman" w:eastAsia="Times New Roman" w:hAnsi="Times New Roman" w:cs="Times New Roman"/>
                <w:b w:val="0"/>
                <w:color w:val="000000" w:themeColor="text1"/>
                <w:sz w:val="16"/>
                <w:szCs w:val="16"/>
              </w:rPr>
              <w:t xml:space="preserve"> </w:t>
            </w:r>
            <w:r w:rsidRPr="00BA6F83">
              <w:rPr>
                <w:rFonts w:ascii="Times New Roman" w:eastAsia="Times New Roman" w:hAnsi="Times New Roman" w:cs="Times New Roman"/>
                <w:b w:val="0"/>
                <w:color w:val="000000" w:themeColor="text1"/>
                <w:sz w:val="16"/>
                <w:szCs w:val="16"/>
              </w:rPr>
              <w:t>Note: BEV is the reference for the alternative specific constants.</w:t>
            </w:r>
          </w:p>
        </w:tc>
      </w:tr>
    </w:tbl>
    <w:p w14:paraId="658DF602" w14:textId="77777777" w:rsidR="00555F82" w:rsidRDefault="00555F82" w:rsidP="00513E94">
      <w:pPr>
        <w:spacing w:after="120" w:line="240" w:lineRule="auto"/>
        <w:ind w:firstLine="0"/>
        <w:rPr>
          <w:rFonts w:ascii="Times New Roman" w:eastAsia="Times New Roman" w:hAnsi="Times New Roman" w:cs="Times New Roman"/>
          <w:color w:val="000000" w:themeColor="text1"/>
        </w:rPr>
        <w:sectPr w:rsidR="00555F82" w:rsidSect="006C5B28">
          <w:pgSz w:w="15840" w:h="12240" w:orient="landscape"/>
          <w:pgMar w:top="1418" w:right="2155" w:bottom="1418" w:left="2155" w:header="709" w:footer="709" w:gutter="0"/>
          <w:cols w:space="708"/>
          <w:docGrid w:linePitch="360"/>
        </w:sectPr>
      </w:pPr>
    </w:p>
    <w:p w14:paraId="3BECCC9C" w14:textId="77777777" w:rsidR="006777C1" w:rsidRDefault="006777C1" w:rsidP="006777C1">
      <w:pPr>
        <w:rPr>
          <w:rFonts w:ascii="Times New Roman" w:hAnsi="Times New Roman" w:cs="Times New Roman"/>
          <w:color w:val="000000"/>
        </w:rPr>
      </w:pPr>
      <w:r w:rsidRPr="003C3597">
        <w:rPr>
          <w:rFonts w:ascii="Times New Roman" w:hAnsi="Times New Roman" w:cs="Times New Roman"/>
          <w:color w:val="000000"/>
        </w:rPr>
        <w:lastRenderedPageBreak/>
        <w:t>While charging station availability is significant for the PEV-oriented class in the Atlantic model, it is not a point of concern for any classes of the Leading model. The reason may lie behind the fact that these stations are already widespread in the Leading provinces while this is not the case for Atlantic Canada.</w:t>
      </w:r>
    </w:p>
    <w:p w14:paraId="1223A384" w14:textId="77777777" w:rsidR="003C3597" w:rsidRPr="003C3597" w:rsidRDefault="003C3597" w:rsidP="00513E94">
      <w:pPr>
        <w:rPr>
          <w:rFonts w:ascii="Times New Roman" w:hAnsi="Times New Roman" w:cs="Times New Roman"/>
          <w:color w:val="000000"/>
        </w:rPr>
      </w:pPr>
      <w:r w:rsidRPr="003C3597">
        <w:rPr>
          <w:rFonts w:ascii="Times New Roman" w:hAnsi="Times New Roman" w:cs="Times New Roman"/>
          <w:color w:val="000000"/>
        </w:rPr>
        <w:t>To summarize the Atlantic class assignment model, the main defining characteristics of the ICE-oriented class is high purchase price sensitivity and a general interest in monetary attributes including cash incentive, free parking, and battery warranty. The members of this group show the signs of “conservancy or reluctance to change” in their attitudes. The ICE-oriented members of the Leading model are also sensitive about higher electric range, rapid acceleration, and lower maintenance costs of EVs. This shows “a bit of enthusiasm” towards EV technologies among ICE-oriented households of the Leading provinces compared to their counterparts in Atlantic Canada.</w:t>
      </w:r>
    </w:p>
    <w:p w14:paraId="7C44AAEF"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The socioeconomics of the PEV-oriented group in the Atlantic model are mostly the opposite of its ICE-oriented class. The members of the plug-in group are younger, better educated, and possess progressive attitudes. The prominent characteristic of the plug-in class is much less sensitivity to vehicle purchase price. They are people who are “thinking bigger” when it comes to the future purchase of a vehicle even though they may not be in a position to afford it yet. This class is more pre-occupied with performance aspects of a vehicle (e.g., rapid acceleration) and the convenience afforded by charging at home. They are, however, less worried about whether public charging might work out for them if they owned an EV. In contrast the HEV-oriented class of the Atlantic model is not performance-oriented and they are much more pre-occupied with losing time </w:t>
      </w:r>
      <w:r w:rsidRPr="003C3597">
        <w:rPr>
          <w:rFonts w:ascii="Times New Roman" w:hAnsi="Times New Roman" w:cs="Times New Roman"/>
          <w:color w:val="000000"/>
        </w:rPr>
        <w:lastRenderedPageBreak/>
        <w:t>to public charging. The HEV group contains 30% of the Atlantic sample which suggests a large share of “green-thinking” people in Atlantic Canada.</w:t>
      </w:r>
    </w:p>
    <w:p w14:paraId="715E8490"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In summary, it can be seen from the coefficients of some important attributes such as purchase price and acceleration that the PEV-oriented class of the Atlantic model hovers somewhere in between the two plug-in oriented classes of the Leading model. In other words, Atlantic PEV-oriented members possess some characteristics that are ahead of the PHEV-oriented class of the Leading model in terms of plug-in electric vehicle acceptance, while they do not appear as enthusiastic about BEV technologies as the BEV class of the Leading model. The lack of a BEV-oriented class is an important characteristic that makes Atlantic Canada distinct from the leading adoption provinces.</w:t>
      </w:r>
    </w:p>
    <w:p w14:paraId="52107E53" w14:textId="77777777" w:rsidR="003C3597" w:rsidRPr="007701DC" w:rsidRDefault="003C3597" w:rsidP="00E1100F">
      <w:pPr>
        <w:pStyle w:val="ListParagraph"/>
        <w:numPr>
          <w:ilvl w:val="2"/>
          <w:numId w:val="11"/>
        </w:numPr>
        <w:outlineLvl w:val="2"/>
        <w:rPr>
          <w:rFonts w:ascii="Times New Roman" w:hAnsi="Times New Roman" w:cs="Times New Roman"/>
          <w:b/>
          <w:color w:val="000000"/>
        </w:rPr>
      </w:pPr>
      <w:bookmarkStart w:id="77" w:name="_Toc528650881"/>
      <w:r w:rsidRPr="007701DC">
        <w:rPr>
          <w:rFonts w:ascii="Times New Roman" w:hAnsi="Times New Roman" w:cs="Times New Roman"/>
          <w:b/>
          <w:color w:val="000000"/>
        </w:rPr>
        <w:t>Willingness-to-pay</w:t>
      </w:r>
      <w:bookmarkEnd w:id="77"/>
    </w:p>
    <w:p w14:paraId="5DCB1349"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Table </w:t>
      </w:r>
      <w:r w:rsidR="00B957FF">
        <w:rPr>
          <w:rFonts w:ascii="Times New Roman" w:hAnsi="Times New Roman" w:cs="Times New Roman"/>
          <w:color w:val="000000"/>
        </w:rPr>
        <w:t>3.</w:t>
      </w:r>
      <w:r w:rsidRPr="003C3597">
        <w:rPr>
          <w:rFonts w:ascii="Times New Roman" w:hAnsi="Times New Roman" w:cs="Times New Roman"/>
          <w:color w:val="000000"/>
        </w:rPr>
        <w:t xml:space="preserve">9 shows respondents’ willingness to pay (WTP) for vehicle attributes, which is what consumers (members of each latent class) are willing to pay for a one-unit improvement in an attribute. For each latent class, WTP is calculated by dividing an attribute’s coefficient by the absolute value of the coefficient of a vehicle’s purchase price and multiplying the result by 1000 since purchase price is expressed in thousands of dollars. Constants of latent classes are converted into WTP terms because they are indicative of the base level of attractiveness that each class associates with the four powertrain alternatives. In both models, the ICE- and HEV-oriented classes are the least interested in BEVs. The PEV-oriented class of the Atlantic model, which includes enthusiasts of both plug-in electric vehicle technologies (i.e., PHEV and BEV), appears more </w:t>
      </w:r>
      <w:r w:rsidRPr="003C3597">
        <w:rPr>
          <w:rFonts w:ascii="Times New Roman" w:hAnsi="Times New Roman" w:cs="Times New Roman"/>
          <w:color w:val="000000"/>
        </w:rPr>
        <w:lastRenderedPageBreak/>
        <w:t>interested in PHEVs than BEVs. The PEV class of the Atlantic model, however, shows similar negativity towards both ICEs and HEVs. The PHEV-oriented class in the Leading model prefers HEVs to BEVs, while its BEV-oriented class is strongly attracted to BEVs.</w:t>
      </w:r>
    </w:p>
    <w:p w14:paraId="52AFCF41"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As one would expect, respondents in all classes have a positive WTP associated with cash incentive and battery warranty. However, the classes vary in their sensitivity to these attributes. For instance, people in the Atlantic HEV-oriented class place a higher value on cash incentive and the PEV-oriented class is willing to pay more per level increase in the battery warranty. The members of the Atlantic plug-in class are less pre-occupied with public charging time and more concerned with acceleration and home charging time, while the HEV-oriented group is more worried about charging time at stations.</w:t>
      </w:r>
    </w:p>
    <w:p w14:paraId="3DAED47E" w14:textId="77777777" w:rsidR="003C3597" w:rsidRDefault="003C3597" w:rsidP="003C3597">
      <w:pPr>
        <w:rPr>
          <w:rFonts w:ascii="Times New Roman" w:hAnsi="Times New Roman" w:cs="Times New Roman"/>
          <w:color w:val="000000"/>
        </w:rPr>
      </w:pPr>
      <w:r w:rsidRPr="003C3597">
        <w:rPr>
          <w:rFonts w:ascii="Times New Roman" w:hAnsi="Times New Roman" w:cs="Times New Roman"/>
          <w:color w:val="000000"/>
        </w:rPr>
        <w:t>With regard to charging availability, members of the Atlantic PEV-oriented class place higher value on charging station availability, while in the Leading model, members of both PHEV- and BEV-oriented classes are less worried about access to charging stations. PHEV- and BEV-oriented classes of the Leading model are also more concerned with free parking as opposed to their counterparts in the Atlantic model.</w:t>
      </w:r>
    </w:p>
    <w:p w14:paraId="771AC47B" w14:textId="77777777" w:rsidR="00E349C8" w:rsidRDefault="00E349C8" w:rsidP="003C3597">
      <w:pPr>
        <w:rPr>
          <w:rFonts w:ascii="Times New Roman" w:hAnsi="Times New Roman" w:cs="Times New Roman"/>
          <w:color w:val="000000"/>
        </w:rPr>
      </w:pPr>
    </w:p>
    <w:p w14:paraId="58F0934D" w14:textId="77777777" w:rsidR="00E349C8" w:rsidRDefault="00E349C8" w:rsidP="003C3597">
      <w:pPr>
        <w:rPr>
          <w:rFonts w:ascii="Times New Roman" w:hAnsi="Times New Roman" w:cs="Times New Roman"/>
          <w:color w:val="000000"/>
        </w:rPr>
      </w:pPr>
    </w:p>
    <w:p w14:paraId="204FCB1D" w14:textId="77777777" w:rsidR="00E349C8" w:rsidRDefault="00E349C8" w:rsidP="003C3597">
      <w:pPr>
        <w:rPr>
          <w:rFonts w:ascii="Times New Roman" w:hAnsi="Times New Roman" w:cs="Times New Roman"/>
          <w:color w:val="000000"/>
        </w:rPr>
      </w:pPr>
    </w:p>
    <w:p w14:paraId="44CFF279" w14:textId="77777777" w:rsidR="00E349C8" w:rsidRPr="003C3597" w:rsidRDefault="00E349C8" w:rsidP="003C3597">
      <w:pPr>
        <w:rPr>
          <w:rFonts w:ascii="Times New Roman" w:hAnsi="Times New Roman" w:cs="Times New Roman"/>
          <w:color w:val="000000"/>
        </w:rPr>
      </w:pPr>
    </w:p>
    <w:p w14:paraId="7895EFFC" w14:textId="77777777" w:rsidR="007701DC" w:rsidRPr="00513E94" w:rsidRDefault="00513E94" w:rsidP="00513E94">
      <w:pPr>
        <w:pStyle w:val="Caption"/>
        <w:ind w:firstLine="0"/>
        <w:rPr>
          <w:rFonts w:ascii="Times New Roman" w:hAnsi="Times New Roman" w:cs="Times New Roman"/>
          <w:i w:val="0"/>
          <w:iCs w:val="0"/>
          <w:color w:val="000000"/>
          <w:sz w:val="24"/>
          <w:szCs w:val="24"/>
        </w:rPr>
      </w:pPr>
      <w:bookmarkStart w:id="78" w:name="_Toc528649802"/>
      <w:r>
        <w:rPr>
          <w:rFonts w:ascii="Times New Roman" w:hAnsi="Times New Roman" w:cs="Times New Roman"/>
          <w:i w:val="0"/>
          <w:iCs w:val="0"/>
          <w:color w:val="000000"/>
          <w:sz w:val="24"/>
          <w:szCs w:val="24"/>
        </w:rPr>
        <w:lastRenderedPageBreak/>
        <w:t>Table 3.</w:t>
      </w:r>
      <w:r w:rsidRPr="00513E94">
        <w:rPr>
          <w:rFonts w:ascii="Times New Roman" w:hAnsi="Times New Roman" w:cs="Times New Roman"/>
          <w:i w:val="0"/>
          <w:iCs w:val="0"/>
          <w:color w:val="000000"/>
          <w:sz w:val="24"/>
          <w:szCs w:val="24"/>
        </w:rPr>
        <w:fldChar w:fldCharType="begin"/>
      </w:r>
      <w:r w:rsidRPr="00513E94">
        <w:rPr>
          <w:rFonts w:ascii="Times New Roman" w:hAnsi="Times New Roman" w:cs="Times New Roman"/>
          <w:i w:val="0"/>
          <w:iCs w:val="0"/>
          <w:color w:val="000000"/>
          <w:sz w:val="24"/>
          <w:szCs w:val="24"/>
        </w:rPr>
        <w:instrText xml:space="preserve"> SEQ Table_3. \* ARABIC </w:instrText>
      </w:r>
      <w:r w:rsidRPr="00513E94">
        <w:rPr>
          <w:rFonts w:ascii="Times New Roman" w:hAnsi="Times New Roman" w:cs="Times New Roman"/>
          <w:i w:val="0"/>
          <w:iCs w:val="0"/>
          <w:color w:val="000000"/>
          <w:sz w:val="24"/>
          <w:szCs w:val="24"/>
        </w:rPr>
        <w:fldChar w:fldCharType="separate"/>
      </w:r>
      <w:r w:rsidR="00BC70AE">
        <w:rPr>
          <w:rFonts w:ascii="Times New Roman" w:hAnsi="Times New Roman" w:cs="Times New Roman"/>
          <w:i w:val="0"/>
          <w:iCs w:val="0"/>
          <w:noProof/>
          <w:color w:val="000000"/>
          <w:sz w:val="24"/>
          <w:szCs w:val="24"/>
        </w:rPr>
        <w:t>9</w:t>
      </w:r>
      <w:r w:rsidRPr="00513E94">
        <w:rPr>
          <w:rFonts w:ascii="Times New Roman" w:hAnsi="Times New Roman" w:cs="Times New Roman"/>
          <w:i w:val="0"/>
          <w:iCs w:val="0"/>
          <w:color w:val="000000"/>
          <w:sz w:val="24"/>
          <w:szCs w:val="24"/>
        </w:rPr>
        <w:fldChar w:fldCharType="end"/>
      </w:r>
      <w:r w:rsidRPr="00513E94">
        <w:rPr>
          <w:rFonts w:ascii="Times New Roman" w:hAnsi="Times New Roman" w:cs="Times New Roman"/>
          <w:i w:val="0"/>
          <w:iCs w:val="0"/>
          <w:color w:val="000000"/>
          <w:sz w:val="24"/>
          <w:szCs w:val="24"/>
        </w:rPr>
        <w:t xml:space="preserve"> </w:t>
      </w:r>
      <w:r w:rsidR="007701DC" w:rsidRPr="00513E94">
        <w:rPr>
          <w:rFonts w:ascii="Times New Roman" w:hAnsi="Times New Roman" w:cs="Times New Roman"/>
          <w:i w:val="0"/>
          <w:iCs w:val="0"/>
          <w:color w:val="000000"/>
          <w:sz w:val="24"/>
          <w:szCs w:val="24"/>
        </w:rPr>
        <w:t>Willingness to pay</w:t>
      </w:r>
      <w:bookmarkEnd w:id="78"/>
    </w:p>
    <w:tbl>
      <w:tblPr>
        <w:tblStyle w:val="PlainTable27"/>
        <w:tblW w:w="9345" w:type="dxa"/>
        <w:tblLayout w:type="fixed"/>
        <w:tblLook w:val="04A0" w:firstRow="1" w:lastRow="0" w:firstColumn="1" w:lastColumn="0" w:noHBand="0" w:noVBand="1"/>
      </w:tblPr>
      <w:tblGrid>
        <w:gridCol w:w="1659"/>
        <w:gridCol w:w="1048"/>
        <w:gridCol w:w="960"/>
        <w:gridCol w:w="961"/>
        <w:gridCol w:w="460"/>
        <w:gridCol w:w="1100"/>
        <w:gridCol w:w="1146"/>
        <w:gridCol w:w="960"/>
        <w:gridCol w:w="1051"/>
      </w:tblGrid>
      <w:tr w:rsidR="007701DC" w:rsidRPr="007701DC" w14:paraId="0E77AE8D" w14:textId="77777777" w:rsidTr="00E349C8">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659" w:type="dxa"/>
            <w:tcBorders>
              <w:top w:val="single" w:sz="4" w:space="0" w:color="7F7F7F" w:themeColor="text1" w:themeTint="80"/>
              <w:bottom w:val="nil"/>
            </w:tcBorders>
          </w:tcPr>
          <w:p w14:paraId="2B248332" w14:textId="77777777" w:rsidR="007701DC" w:rsidRPr="00BA6F83" w:rsidRDefault="007701DC" w:rsidP="007701DC">
            <w:pPr>
              <w:spacing w:before="60" w:after="60"/>
              <w:rPr>
                <w:rFonts w:ascii="Times New Roman" w:eastAsia="Times New Roman" w:hAnsi="Times New Roman" w:cs="Times New Roman"/>
                <w:b w:val="0"/>
                <w:color w:val="000000" w:themeColor="text1"/>
                <w:sz w:val="18"/>
                <w:szCs w:val="18"/>
              </w:rPr>
            </w:pPr>
            <w:bookmarkStart w:id="79" w:name="OLE_LINK3"/>
          </w:p>
        </w:tc>
        <w:tc>
          <w:tcPr>
            <w:tcW w:w="2969" w:type="dxa"/>
            <w:gridSpan w:val="3"/>
            <w:tcBorders>
              <w:bottom w:val="none" w:sz="0" w:space="0" w:color="auto"/>
            </w:tcBorders>
          </w:tcPr>
          <w:p w14:paraId="32C9D754" w14:textId="78B08777" w:rsidR="007701DC" w:rsidRPr="00BA6F83" w:rsidRDefault="00D77F9E" w:rsidP="007701D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rPr>
            </w:pPr>
            <w:r>
              <w:rPr>
                <w:rFonts w:ascii="Times New Roman" w:eastAsia="Times New Roman" w:hAnsi="Times New Roman" w:cs="Times New Roman"/>
                <w:b w:val="0"/>
                <w:color w:val="000000" w:themeColor="text1"/>
                <w:sz w:val="18"/>
                <w:szCs w:val="18"/>
              </w:rPr>
              <w:t>Atlantic m</w:t>
            </w:r>
            <w:r w:rsidR="007701DC" w:rsidRPr="00BA6F83">
              <w:rPr>
                <w:rFonts w:ascii="Times New Roman" w:eastAsia="Times New Roman" w:hAnsi="Times New Roman" w:cs="Times New Roman"/>
                <w:b w:val="0"/>
                <w:color w:val="000000" w:themeColor="text1"/>
                <w:sz w:val="18"/>
                <w:szCs w:val="18"/>
              </w:rPr>
              <w:t>odel</w:t>
            </w:r>
          </w:p>
        </w:tc>
        <w:tc>
          <w:tcPr>
            <w:tcW w:w="460" w:type="dxa"/>
            <w:tcBorders>
              <w:top w:val="single" w:sz="4" w:space="0" w:color="7F7F7F" w:themeColor="text1" w:themeTint="80"/>
              <w:bottom w:val="nil"/>
            </w:tcBorders>
          </w:tcPr>
          <w:p w14:paraId="045673E8" w14:textId="77777777" w:rsidR="007701DC" w:rsidRPr="00BA6F83" w:rsidRDefault="007701DC" w:rsidP="007701D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rPr>
            </w:pPr>
          </w:p>
        </w:tc>
        <w:tc>
          <w:tcPr>
            <w:tcW w:w="4255" w:type="dxa"/>
            <w:gridSpan w:val="4"/>
            <w:tcBorders>
              <w:bottom w:val="none" w:sz="0" w:space="0" w:color="auto"/>
            </w:tcBorders>
          </w:tcPr>
          <w:p w14:paraId="03A93C37" w14:textId="652847C5" w:rsidR="007701DC" w:rsidRPr="00BA6F83" w:rsidRDefault="00D77F9E" w:rsidP="007701D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18"/>
                <w:szCs w:val="18"/>
              </w:rPr>
            </w:pPr>
            <w:r>
              <w:rPr>
                <w:rFonts w:ascii="Times New Roman" w:eastAsia="Times New Roman" w:hAnsi="Times New Roman" w:cs="Times New Roman"/>
                <w:b w:val="0"/>
                <w:color w:val="000000" w:themeColor="text1"/>
                <w:sz w:val="18"/>
                <w:szCs w:val="18"/>
              </w:rPr>
              <w:t>Leading (ON and BC) m</w:t>
            </w:r>
            <w:r w:rsidR="007701DC" w:rsidRPr="00BA6F83">
              <w:rPr>
                <w:rFonts w:ascii="Times New Roman" w:eastAsia="Times New Roman" w:hAnsi="Times New Roman" w:cs="Times New Roman"/>
                <w:b w:val="0"/>
                <w:color w:val="000000" w:themeColor="text1"/>
                <w:sz w:val="18"/>
                <w:szCs w:val="18"/>
              </w:rPr>
              <w:t>odel</w:t>
            </w:r>
          </w:p>
        </w:tc>
      </w:tr>
      <w:tr w:rsidR="007701DC" w:rsidRPr="007701DC" w14:paraId="6EC61AE1" w14:textId="77777777" w:rsidTr="00E349C8">
        <w:trPr>
          <w:cnfStyle w:val="000000100000" w:firstRow="0" w:lastRow="0" w:firstColumn="0" w:lastColumn="0" w:oddVBand="0" w:evenVBand="0" w:oddHBand="1"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1659" w:type="dxa"/>
            <w:tcBorders>
              <w:top w:val="nil"/>
              <w:bottom w:val="none" w:sz="0" w:space="0" w:color="auto"/>
            </w:tcBorders>
          </w:tcPr>
          <w:p w14:paraId="206FFCEA" w14:textId="77777777" w:rsidR="007701DC" w:rsidRPr="00BA6F83" w:rsidRDefault="007701DC" w:rsidP="007701DC">
            <w:pPr>
              <w:spacing w:before="60" w:after="60"/>
              <w:rPr>
                <w:rFonts w:ascii="Times New Roman" w:eastAsia="Times New Roman" w:hAnsi="Times New Roman" w:cs="Times New Roman"/>
                <w:b w:val="0"/>
                <w:color w:val="000000" w:themeColor="text1"/>
                <w:sz w:val="18"/>
                <w:szCs w:val="18"/>
              </w:rPr>
            </w:pPr>
          </w:p>
        </w:tc>
        <w:tc>
          <w:tcPr>
            <w:tcW w:w="1048" w:type="dxa"/>
            <w:tcBorders>
              <w:top w:val="none" w:sz="0" w:space="0" w:color="auto"/>
              <w:bottom w:val="none" w:sz="0" w:space="0" w:color="auto"/>
            </w:tcBorders>
          </w:tcPr>
          <w:p w14:paraId="03465E80" w14:textId="77777777" w:rsidR="007701DC" w:rsidRPr="00BA6F83" w:rsidRDefault="007701DC" w:rsidP="007701D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Class 1: ICE-oriented</w:t>
            </w:r>
          </w:p>
        </w:tc>
        <w:tc>
          <w:tcPr>
            <w:tcW w:w="960" w:type="dxa"/>
            <w:tcBorders>
              <w:top w:val="none" w:sz="0" w:space="0" w:color="auto"/>
              <w:bottom w:val="none" w:sz="0" w:space="0" w:color="auto"/>
            </w:tcBorders>
          </w:tcPr>
          <w:p w14:paraId="3DA3FE89" w14:textId="77777777" w:rsidR="007701DC" w:rsidRPr="00BA6F83" w:rsidRDefault="007701DC" w:rsidP="007701D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Class 2: HEV- oriented</w:t>
            </w:r>
          </w:p>
        </w:tc>
        <w:tc>
          <w:tcPr>
            <w:tcW w:w="960" w:type="dxa"/>
            <w:tcBorders>
              <w:top w:val="none" w:sz="0" w:space="0" w:color="auto"/>
              <w:bottom w:val="none" w:sz="0" w:space="0" w:color="auto"/>
            </w:tcBorders>
          </w:tcPr>
          <w:p w14:paraId="5768A3CA" w14:textId="77777777" w:rsidR="007701DC" w:rsidRPr="00BA6F83" w:rsidRDefault="007701DC" w:rsidP="007701D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Class 3: PEV- oriented</w:t>
            </w:r>
          </w:p>
        </w:tc>
        <w:tc>
          <w:tcPr>
            <w:tcW w:w="460" w:type="dxa"/>
            <w:tcBorders>
              <w:top w:val="nil"/>
              <w:bottom w:val="none" w:sz="0" w:space="0" w:color="auto"/>
            </w:tcBorders>
          </w:tcPr>
          <w:p w14:paraId="64605AF1" w14:textId="77777777" w:rsidR="007701DC" w:rsidRPr="00BA6F83" w:rsidRDefault="007701DC" w:rsidP="007701D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p>
        </w:tc>
        <w:tc>
          <w:tcPr>
            <w:tcW w:w="1100" w:type="dxa"/>
            <w:tcBorders>
              <w:top w:val="none" w:sz="0" w:space="0" w:color="auto"/>
              <w:bottom w:val="none" w:sz="0" w:space="0" w:color="auto"/>
            </w:tcBorders>
          </w:tcPr>
          <w:p w14:paraId="5F8DB23B" w14:textId="77777777" w:rsidR="007701DC" w:rsidRPr="00BA6F83" w:rsidRDefault="007701DC" w:rsidP="007701D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Class 1: ICE-oriented</w:t>
            </w:r>
          </w:p>
        </w:tc>
        <w:tc>
          <w:tcPr>
            <w:tcW w:w="1146" w:type="dxa"/>
            <w:tcBorders>
              <w:top w:val="none" w:sz="0" w:space="0" w:color="auto"/>
              <w:bottom w:val="none" w:sz="0" w:space="0" w:color="auto"/>
            </w:tcBorders>
          </w:tcPr>
          <w:p w14:paraId="59FB63BD" w14:textId="77777777" w:rsidR="007701DC" w:rsidRPr="00BA6F83" w:rsidRDefault="007701DC" w:rsidP="007701D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Class 2: HEV- oriented</w:t>
            </w:r>
          </w:p>
        </w:tc>
        <w:tc>
          <w:tcPr>
            <w:tcW w:w="960" w:type="dxa"/>
            <w:tcBorders>
              <w:top w:val="none" w:sz="0" w:space="0" w:color="auto"/>
              <w:bottom w:val="none" w:sz="0" w:space="0" w:color="auto"/>
            </w:tcBorders>
          </w:tcPr>
          <w:p w14:paraId="1C2E2F7D" w14:textId="77777777" w:rsidR="007701DC" w:rsidRPr="00BA6F83" w:rsidRDefault="007701DC" w:rsidP="007701D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Class 3: PHEV-oriented</w:t>
            </w:r>
          </w:p>
        </w:tc>
        <w:tc>
          <w:tcPr>
            <w:tcW w:w="1048" w:type="dxa"/>
            <w:tcBorders>
              <w:top w:val="none" w:sz="0" w:space="0" w:color="auto"/>
              <w:bottom w:val="none" w:sz="0" w:space="0" w:color="auto"/>
            </w:tcBorders>
          </w:tcPr>
          <w:p w14:paraId="32E0A27B" w14:textId="77777777" w:rsidR="007701DC" w:rsidRPr="007701DC" w:rsidRDefault="007701DC" w:rsidP="007701D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7701DC">
              <w:rPr>
                <w:rFonts w:ascii="Times New Roman" w:eastAsia="Times New Roman" w:hAnsi="Times New Roman" w:cs="Times New Roman"/>
                <w:color w:val="000000" w:themeColor="text1"/>
                <w:sz w:val="18"/>
                <w:szCs w:val="18"/>
              </w:rPr>
              <w:t>Class 4: BEV- oriented</w:t>
            </w:r>
          </w:p>
        </w:tc>
      </w:tr>
      <w:tr w:rsidR="007701DC" w:rsidRPr="007701DC" w14:paraId="09C72F2D" w14:textId="77777777" w:rsidTr="00E349C8">
        <w:trPr>
          <w:trHeight w:val="267"/>
        </w:trPr>
        <w:tc>
          <w:tcPr>
            <w:cnfStyle w:val="001000000000" w:firstRow="0" w:lastRow="0" w:firstColumn="1" w:lastColumn="0" w:oddVBand="0" w:evenVBand="0" w:oddHBand="0" w:evenHBand="0" w:firstRowFirstColumn="0" w:firstRowLastColumn="0" w:lastRowFirstColumn="0" w:lastRowLastColumn="0"/>
            <w:tcW w:w="1659" w:type="dxa"/>
            <w:tcBorders>
              <w:bottom w:val="nil"/>
            </w:tcBorders>
          </w:tcPr>
          <w:p w14:paraId="41020D8B" w14:textId="77777777" w:rsidR="007701DC" w:rsidRPr="00BA6F83" w:rsidRDefault="007701DC" w:rsidP="007701DC">
            <w:pPr>
              <w:spacing w:before="60"/>
              <w:rPr>
                <w:rFonts w:ascii="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ICE constant</w:t>
            </w:r>
          </w:p>
        </w:tc>
        <w:tc>
          <w:tcPr>
            <w:tcW w:w="1048" w:type="dxa"/>
            <w:tcBorders>
              <w:bottom w:val="nil"/>
            </w:tcBorders>
          </w:tcPr>
          <w:p w14:paraId="06CE653E" w14:textId="77777777" w:rsidR="007701DC" w:rsidRPr="00BA6F83" w:rsidRDefault="007701DC" w:rsidP="007701DC">
            <w:pPr>
              <w:spacing w:before="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$27,337</w:t>
            </w:r>
          </w:p>
        </w:tc>
        <w:tc>
          <w:tcPr>
            <w:tcW w:w="960" w:type="dxa"/>
            <w:tcBorders>
              <w:bottom w:val="nil"/>
            </w:tcBorders>
          </w:tcPr>
          <w:p w14:paraId="370EA389" w14:textId="77777777" w:rsidR="007701DC" w:rsidRPr="00BA6F83" w:rsidRDefault="007701DC" w:rsidP="007701DC">
            <w:pPr>
              <w:spacing w:before="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$30,211</w:t>
            </w:r>
          </w:p>
        </w:tc>
        <w:tc>
          <w:tcPr>
            <w:tcW w:w="960" w:type="dxa"/>
            <w:tcBorders>
              <w:bottom w:val="nil"/>
            </w:tcBorders>
          </w:tcPr>
          <w:p w14:paraId="47A49875" w14:textId="77777777" w:rsidR="007701DC" w:rsidRPr="00BA6F83" w:rsidRDefault="007701DC" w:rsidP="007701DC">
            <w:pPr>
              <w:spacing w:before="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-$51,555</w:t>
            </w:r>
          </w:p>
        </w:tc>
        <w:tc>
          <w:tcPr>
            <w:tcW w:w="460" w:type="dxa"/>
            <w:tcBorders>
              <w:bottom w:val="nil"/>
            </w:tcBorders>
          </w:tcPr>
          <w:p w14:paraId="1079AA9B" w14:textId="77777777" w:rsidR="007701DC" w:rsidRPr="00BA6F83" w:rsidRDefault="007701DC" w:rsidP="007701DC">
            <w:pPr>
              <w:spacing w:before="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1100" w:type="dxa"/>
            <w:tcBorders>
              <w:bottom w:val="nil"/>
            </w:tcBorders>
          </w:tcPr>
          <w:p w14:paraId="2692B794" w14:textId="77777777" w:rsidR="007701DC" w:rsidRPr="00BA6F83" w:rsidRDefault="007701DC" w:rsidP="007701DC">
            <w:pPr>
              <w:spacing w:before="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$25,116</w:t>
            </w:r>
          </w:p>
        </w:tc>
        <w:tc>
          <w:tcPr>
            <w:tcW w:w="1146" w:type="dxa"/>
            <w:tcBorders>
              <w:bottom w:val="nil"/>
            </w:tcBorders>
          </w:tcPr>
          <w:p w14:paraId="6599763D" w14:textId="77777777" w:rsidR="007701DC" w:rsidRPr="00BA6F83" w:rsidRDefault="007701DC" w:rsidP="007701DC">
            <w:pPr>
              <w:spacing w:before="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$47,340</w:t>
            </w:r>
          </w:p>
        </w:tc>
        <w:tc>
          <w:tcPr>
            <w:tcW w:w="960" w:type="dxa"/>
            <w:tcBorders>
              <w:bottom w:val="nil"/>
            </w:tcBorders>
          </w:tcPr>
          <w:p w14:paraId="4B59FB52" w14:textId="77777777" w:rsidR="007701DC" w:rsidRPr="00BA6F83" w:rsidRDefault="007701DC" w:rsidP="007701DC">
            <w:pPr>
              <w:spacing w:before="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-$7,863</w:t>
            </w:r>
          </w:p>
        </w:tc>
        <w:tc>
          <w:tcPr>
            <w:tcW w:w="1048" w:type="dxa"/>
            <w:tcBorders>
              <w:bottom w:val="nil"/>
            </w:tcBorders>
          </w:tcPr>
          <w:p w14:paraId="560B479D" w14:textId="77777777" w:rsidR="007701DC" w:rsidRPr="007701DC" w:rsidRDefault="007701DC" w:rsidP="007701DC">
            <w:pPr>
              <w:spacing w:before="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7701DC">
              <w:rPr>
                <w:rFonts w:ascii="Times New Roman" w:hAnsi="Times New Roman" w:cs="Times New Roman"/>
                <w:color w:val="000000"/>
                <w:sz w:val="18"/>
                <w:szCs w:val="18"/>
              </w:rPr>
              <w:t>-$83,093</w:t>
            </w:r>
          </w:p>
        </w:tc>
      </w:tr>
      <w:tr w:rsidR="007701DC" w:rsidRPr="007701DC" w14:paraId="57CD35FB" w14:textId="77777777" w:rsidTr="00E349C8">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659" w:type="dxa"/>
            <w:tcBorders>
              <w:top w:val="nil"/>
              <w:bottom w:val="nil"/>
            </w:tcBorders>
          </w:tcPr>
          <w:p w14:paraId="39697C5B" w14:textId="77777777" w:rsidR="007701DC" w:rsidRPr="00BA6F83" w:rsidRDefault="007701DC" w:rsidP="007701DC">
            <w:pPr>
              <w:rPr>
                <w:rFonts w:ascii="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HEV constant</w:t>
            </w:r>
          </w:p>
        </w:tc>
        <w:tc>
          <w:tcPr>
            <w:tcW w:w="1048" w:type="dxa"/>
            <w:tcBorders>
              <w:top w:val="nil"/>
              <w:bottom w:val="nil"/>
            </w:tcBorders>
          </w:tcPr>
          <w:p w14:paraId="1ED492F1"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$7,791</w:t>
            </w:r>
          </w:p>
        </w:tc>
        <w:tc>
          <w:tcPr>
            <w:tcW w:w="960" w:type="dxa"/>
            <w:tcBorders>
              <w:top w:val="nil"/>
              <w:bottom w:val="nil"/>
            </w:tcBorders>
          </w:tcPr>
          <w:p w14:paraId="5C15DFE5"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$63,691</w:t>
            </w:r>
          </w:p>
        </w:tc>
        <w:tc>
          <w:tcPr>
            <w:tcW w:w="960" w:type="dxa"/>
            <w:tcBorders>
              <w:top w:val="nil"/>
              <w:bottom w:val="nil"/>
            </w:tcBorders>
          </w:tcPr>
          <w:p w14:paraId="4E3B44CF"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-$40,317</w:t>
            </w:r>
          </w:p>
        </w:tc>
        <w:tc>
          <w:tcPr>
            <w:tcW w:w="460" w:type="dxa"/>
            <w:tcBorders>
              <w:top w:val="nil"/>
              <w:bottom w:val="nil"/>
            </w:tcBorders>
          </w:tcPr>
          <w:p w14:paraId="52CB9343"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p>
        </w:tc>
        <w:tc>
          <w:tcPr>
            <w:tcW w:w="1100" w:type="dxa"/>
            <w:tcBorders>
              <w:top w:val="nil"/>
              <w:bottom w:val="nil"/>
            </w:tcBorders>
          </w:tcPr>
          <w:p w14:paraId="66DD57EA"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$9,060</w:t>
            </w:r>
          </w:p>
        </w:tc>
        <w:tc>
          <w:tcPr>
            <w:tcW w:w="1146" w:type="dxa"/>
            <w:tcBorders>
              <w:top w:val="nil"/>
              <w:bottom w:val="nil"/>
            </w:tcBorders>
          </w:tcPr>
          <w:p w14:paraId="54829F65"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$133,163</w:t>
            </w:r>
          </w:p>
        </w:tc>
        <w:tc>
          <w:tcPr>
            <w:tcW w:w="960" w:type="dxa"/>
            <w:tcBorders>
              <w:top w:val="nil"/>
              <w:bottom w:val="nil"/>
            </w:tcBorders>
          </w:tcPr>
          <w:p w14:paraId="3229DB68"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$10,050</w:t>
            </w:r>
          </w:p>
        </w:tc>
        <w:tc>
          <w:tcPr>
            <w:tcW w:w="1048" w:type="dxa"/>
            <w:tcBorders>
              <w:top w:val="nil"/>
              <w:bottom w:val="nil"/>
            </w:tcBorders>
          </w:tcPr>
          <w:p w14:paraId="0AD2E5F9" w14:textId="77777777" w:rsidR="007701DC" w:rsidRPr="007701DC"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7701DC">
              <w:rPr>
                <w:rFonts w:ascii="Times New Roman" w:hAnsi="Times New Roman" w:cs="Times New Roman"/>
                <w:color w:val="000000"/>
                <w:sz w:val="18"/>
                <w:szCs w:val="18"/>
              </w:rPr>
              <w:t>-$75,206</w:t>
            </w:r>
          </w:p>
        </w:tc>
      </w:tr>
      <w:tr w:rsidR="007701DC" w:rsidRPr="007701DC" w14:paraId="5AE82907" w14:textId="77777777" w:rsidTr="00E349C8">
        <w:trPr>
          <w:trHeight w:val="200"/>
        </w:trPr>
        <w:tc>
          <w:tcPr>
            <w:cnfStyle w:val="001000000000" w:firstRow="0" w:lastRow="0" w:firstColumn="1" w:lastColumn="0" w:oddVBand="0" w:evenVBand="0" w:oddHBand="0" w:evenHBand="0" w:firstRowFirstColumn="0" w:firstRowLastColumn="0" w:lastRowFirstColumn="0" w:lastRowLastColumn="0"/>
            <w:tcW w:w="1659" w:type="dxa"/>
            <w:tcBorders>
              <w:top w:val="nil"/>
              <w:bottom w:val="nil"/>
            </w:tcBorders>
          </w:tcPr>
          <w:p w14:paraId="769CC4AF" w14:textId="77777777" w:rsidR="007701DC" w:rsidRPr="00BA6F83" w:rsidRDefault="007701DC" w:rsidP="007701DC">
            <w:pPr>
              <w:rPr>
                <w:rFonts w:ascii="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PHEV constant</w:t>
            </w:r>
          </w:p>
        </w:tc>
        <w:tc>
          <w:tcPr>
            <w:tcW w:w="1048" w:type="dxa"/>
            <w:tcBorders>
              <w:top w:val="nil"/>
              <w:bottom w:val="nil"/>
            </w:tcBorders>
          </w:tcPr>
          <w:p w14:paraId="773259FE"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$4,240</w:t>
            </w:r>
          </w:p>
        </w:tc>
        <w:tc>
          <w:tcPr>
            <w:tcW w:w="960" w:type="dxa"/>
            <w:tcBorders>
              <w:top w:val="nil"/>
              <w:bottom w:val="nil"/>
            </w:tcBorders>
          </w:tcPr>
          <w:p w14:paraId="61B35F2E"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$29,855</w:t>
            </w:r>
          </w:p>
        </w:tc>
        <w:tc>
          <w:tcPr>
            <w:tcW w:w="960" w:type="dxa"/>
            <w:tcBorders>
              <w:top w:val="nil"/>
              <w:bottom w:val="nil"/>
            </w:tcBorders>
          </w:tcPr>
          <w:p w14:paraId="395755EE"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$7,295</w:t>
            </w:r>
          </w:p>
        </w:tc>
        <w:tc>
          <w:tcPr>
            <w:tcW w:w="460" w:type="dxa"/>
            <w:tcBorders>
              <w:top w:val="nil"/>
              <w:bottom w:val="nil"/>
            </w:tcBorders>
          </w:tcPr>
          <w:p w14:paraId="66886CB7"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1100" w:type="dxa"/>
            <w:tcBorders>
              <w:top w:val="nil"/>
              <w:bottom w:val="nil"/>
            </w:tcBorders>
          </w:tcPr>
          <w:p w14:paraId="1ABF9FD8"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$3,946</w:t>
            </w:r>
          </w:p>
        </w:tc>
        <w:tc>
          <w:tcPr>
            <w:tcW w:w="1146" w:type="dxa"/>
            <w:tcBorders>
              <w:top w:val="nil"/>
              <w:bottom w:val="nil"/>
            </w:tcBorders>
          </w:tcPr>
          <w:p w14:paraId="4463E282"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$48,847</w:t>
            </w:r>
          </w:p>
        </w:tc>
        <w:tc>
          <w:tcPr>
            <w:tcW w:w="960" w:type="dxa"/>
            <w:tcBorders>
              <w:top w:val="nil"/>
              <w:bottom w:val="nil"/>
            </w:tcBorders>
          </w:tcPr>
          <w:p w14:paraId="46F5622E"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$32,028</w:t>
            </w:r>
          </w:p>
        </w:tc>
        <w:tc>
          <w:tcPr>
            <w:tcW w:w="1048" w:type="dxa"/>
            <w:tcBorders>
              <w:top w:val="nil"/>
              <w:bottom w:val="nil"/>
            </w:tcBorders>
          </w:tcPr>
          <w:p w14:paraId="4EC44717" w14:textId="77777777" w:rsidR="007701DC" w:rsidRPr="007701DC"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7701DC">
              <w:rPr>
                <w:rFonts w:ascii="Times New Roman" w:hAnsi="Times New Roman" w:cs="Times New Roman"/>
                <w:color w:val="000000"/>
                <w:sz w:val="18"/>
                <w:szCs w:val="18"/>
              </w:rPr>
              <w:t>-$40,965</w:t>
            </w:r>
          </w:p>
        </w:tc>
      </w:tr>
      <w:tr w:rsidR="007701DC" w:rsidRPr="007701DC" w14:paraId="1FF2B09B" w14:textId="77777777" w:rsidTr="00E349C8">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659" w:type="dxa"/>
            <w:tcBorders>
              <w:top w:val="nil"/>
              <w:bottom w:val="nil"/>
            </w:tcBorders>
          </w:tcPr>
          <w:p w14:paraId="177ACC0F" w14:textId="77777777" w:rsidR="007701DC" w:rsidRPr="00BA6F83" w:rsidRDefault="007701DC" w:rsidP="007701DC">
            <w:pPr>
              <w:rPr>
                <w:rFonts w:ascii="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Purchase price (1000 $)</w:t>
            </w:r>
          </w:p>
        </w:tc>
        <w:tc>
          <w:tcPr>
            <w:tcW w:w="1048" w:type="dxa"/>
            <w:tcBorders>
              <w:top w:val="nil"/>
              <w:bottom w:val="nil"/>
            </w:tcBorders>
          </w:tcPr>
          <w:p w14:paraId="5CF31F1C"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$1,000</w:t>
            </w:r>
          </w:p>
        </w:tc>
        <w:tc>
          <w:tcPr>
            <w:tcW w:w="960" w:type="dxa"/>
            <w:tcBorders>
              <w:top w:val="nil"/>
              <w:bottom w:val="nil"/>
            </w:tcBorders>
          </w:tcPr>
          <w:p w14:paraId="75FD4FD5"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$1,000</w:t>
            </w:r>
          </w:p>
        </w:tc>
        <w:tc>
          <w:tcPr>
            <w:tcW w:w="960" w:type="dxa"/>
            <w:tcBorders>
              <w:top w:val="nil"/>
              <w:bottom w:val="nil"/>
            </w:tcBorders>
          </w:tcPr>
          <w:p w14:paraId="11EC9658"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$1,000</w:t>
            </w:r>
          </w:p>
        </w:tc>
        <w:tc>
          <w:tcPr>
            <w:tcW w:w="460" w:type="dxa"/>
            <w:tcBorders>
              <w:top w:val="nil"/>
              <w:bottom w:val="nil"/>
            </w:tcBorders>
          </w:tcPr>
          <w:p w14:paraId="3C505A1A"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p>
        </w:tc>
        <w:tc>
          <w:tcPr>
            <w:tcW w:w="1100" w:type="dxa"/>
            <w:tcBorders>
              <w:top w:val="nil"/>
              <w:bottom w:val="nil"/>
            </w:tcBorders>
          </w:tcPr>
          <w:p w14:paraId="719D70C2"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$1,000</w:t>
            </w:r>
          </w:p>
        </w:tc>
        <w:tc>
          <w:tcPr>
            <w:tcW w:w="1146" w:type="dxa"/>
            <w:tcBorders>
              <w:top w:val="nil"/>
              <w:bottom w:val="nil"/>
            </w:tcBorders>
          </w:tcPr>
          <w:p w14:paraId="3FFBB019"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$1,000</w:t>
            </w:r>
          </w:p>
        </w:tc>
        <w:tc>
          <w:tcPr>
            <w:tcW w:w="960" w:type="dxa"/>
            <w:tcBorders>
              <w:top w:val="nil"/>
              <w:bottom w:val="nil"/>
            </w:tcBorders>
          </w:tcPr>
          <w:p w14:paraId="359F7F08"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$1,000</w:t>
            </w:r>
          </w:p>
        </w:tc>
        <w:tc>
          <w:tcPr>
            <w:tcW w:w="1048" w:type="dxa"/>
            <w:tcBorders>
              <w:top w:val="nil"/>
              <w:bottom w:val="nil"/>
            </w:tcBorders>
          </w:tcPr>
          <w:p w14:paraId="42D9287A" w14:textId="77777777" w:rsidR="007701DC" w:rsidRPr="007701DC"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bookmarkStart w:id="80" w:name="_GoBack"/>
            <w:bookmarkEnd w:id="80"/>
            <w:r w:rsidRPr="007701DC">
              <w:rPr>
                <w:rFonts w:ascii="Times New Roman" w:eastAsia="Times New Roman" w:hAnsi="Times New Roman" w:cs="Times New Roman"/>
                <w:color w:val="000000" w:themeColor="text1"/>
                <w:sz w:val="18"/>
                <w:szCs w:val="18"/>
              </w:rPr>
              <w:t>$1,000</w:t>
            </w:r>
          </w:p>
        </w:tc>
      </w:tr>
      <w:tr w:rsidR="007701DC" w:rsidRPr="007701DC" w14:paraId="5147E72E" w14:textId="77777777" w:rsidTr="00E349C8">
        <w:trPr>
          <w:trHeight w:val="400"/>
        </w:trPr>
        <w:tc>
          <w:tcPr>
            <w:cnfStyle w:val="001000000000" w:firstRow="0" w:lastRow="0" w:firstColumn="1" w:lastColumn="0" w:oddVBand="0" w:evenVBand="0" w:oddHBand="0" w:evenHBand="0" w:firstRowFirstColumn="0" w:firstRowLastColumn="0" w:lastRowFirstColumn="0" w:lastRowLastColumn="0"/>
            <w:tcW w:w="1659" w:type="dxa"/>
            <w:tcBorders>
              <w:top w:val="nil"/>
              <w:bottom w:val="nil"/>
            </w:tcBorders>
          </w:tcPr>
          <w:p w14:paraId="3C6DED72" w14:textId="77777777" w:rsidR="007701DC" w:rsidRPr="00BA6F83" w:rsidRDefault="007701DC" w:rsidP="007701DC">
            <w:pPr>
              <w:rPr>
                <w:rFonts w:ascii="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Cash incentive (1000 $)</w:t>
            </w:r>
          </w:p>
        </w:tc>
        <w:tc>
          <w:tcPr>
            <w:tcW w:w="1048" w:type="dxa"/>
            <w:tcBorders>
              <w:top w:val="nil"/>
              <w:bottom w:val="nil"/>
            </w:tcBorders>
          </w:tcPr>
          <w:p w14:paraId="603AFEA9"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$512</w:t>
            </w:r>
          </w:p>
        </w:tc>
        <w:tc>
          <w:tcPr>
            <w:tcW w:w="960" w:type="dxa"/>
            <w:tcBorders>
              <w:top w:val="nil"/>
              <w:bottom w:val="nil"/>
            </w:tcBorders>
          </w:tcPr>
          <w:p w14:paraId="524887D7"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$891</w:t>
            </w:r>
          </w:p>
        </w:tc>
        <w:tc>
          <w:tcPr>
            <w:tcW w:w="960" w:type="dxa"/>
            <w:tcBorders>
              <w:top w:val="nil"/>
              <w:bottom w:val="nil"/>
            </w:tcBorders>
          </w:tcPr>
          <w:p w14:paraId="439012E7"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$510</w:t>
            </w:r>
          </w:p>
        </w:tc>
        <w:tc>
          <w:tcPr>
            <w:tcW w:w="460" w:type="dxa"/>
            <w:tcBorders>
              <w:top w:val="nil"/>
              <w:bottom w:val="nil"/>
            </w:tcBorders>
          </w:tcPr>
          <w:p w14:paraId="093212EB"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1100" w:type="dxa"/>
            <w:tcBorders>
              <w:top w:val="nil"/>
              <w:bottom w:val="nil"/>
            </w:tcBorders>
          </w:tcPr>
          <w:p w14:paraId="610C8388"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$647</w:t>
            </w:r>
          </w:p>
        </w:tc>
        <w:tc>
          <w:tcPr>
            <w:tcW w:w="1146" w:type="dxa"/>
            <w:tcBorders>
              <w:top w:val="nil"/>
              <w:bottom w:val="nil"/>
            </w:tcBorders>
          </w:tcPr>
          <w:p w14:paraId="381EE128"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$1,423</w:t>
            </w:r>
          </w:p>
        </w:tc>
        <w:tc>
          <w:tcPr>
            <w:tcW w:w="960" w:type="dxa"/>
            <w:tcBorders>
              <w:top w:val="nil"/>
              <w:bottom w:val="nil"/>
            </w:tcBorders>
          </w:tcPr>
          <w:p w14:paraId="13B092D3"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$980</w:t>
            </w:r>
          </w:p>
        </w:tc>
        <w:tc>
          <w:tcPr>
            <w:tcW w:w="1048" w:type="dxa"/>
            <w:tcBorders>
              <w:top w:val="nil"/>
              <w:bottom w:val="nil"/>
            </w:tcBorders>
          </w:tcPr>
          <w:p w14:paraId="77FD7394" w14:textId="77777777" w:rsidR="007701DC" w:rsidRPr="007701DC"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7701DC">
              <w:rPr>
                <w:rFonts w:ascii="Times New Roman" w:hAnsi="Times New Roman" w:cs="Times New Roman"/>
                <w:color w:val="000000"/>
                <w:sz w:val="18"/>
                <w:szCs w:val="18"/>
              </w:rPr>
              <w:t>$1,067</w:t>
            </w:r>
          </w:p>
        </w:tc>
      </w:tr>
      <w:tr w:rsidR="007701DC" w:rsidRPr="007701DC" w14:paraId="32E1FFE7" w14:textId="77777777" w:rsidTr="00E349C8">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659" w:type="dxa"/>
            <w:tcBorders>
              <w:top w:val="nil"/>
              <w:bottom w:val="nil"/>
            </w:tcBorders>
          </w:tcPr>
          <w:p w14:paraId="4E7CB7A3" w14:textId="77777777" w:rsidR="007701DC" w:rsidRPr="00BA6F83" w:rsidRDefault="007701DC" w:rsidP="007701DC">
            <w:pPr>
              <w:rPr>
                <w:rFonts w:ascii="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Maintenance cost ($/year)</w:t>
            </w:r>
          </w:p>
        </w:tc>
        <w:tc>
          <w:tcPr>
            <w:tcW w:w="1048" w:type="dxa"/>
            <w:tcBorders>
              <w:top w:val="nil"/>
              <w:bottom w:val="nil"/>
            </w:tcBorders>
          </w:tcPr>
          <w:p w14:paraId="219DBF95"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w:t>
            </w:r>
          </w:p>
        </w:tc>
        <w:tc>
          <w:tcPr>
            <w:tcW w:w="960" w:type="dxa"/>
            <w:tcBorders>
              <w:top w:val="nil"/>
              <w:bottom w:val="nil"/>
            </w:tcBorders>
          </w:tcPr>
          <w:p w14:paraId="3BCB8907"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-$631</w:t>
            </w:r>
          </w:p>
        </w:tc>
        <w:tc>
          <w:tcPr>
            <w:tcW w:w="960" w:type="dxa"/>
            <w:tcBorders>
              <w:top w:val="nil"/>
              <w:bottom w:val="nil"/>
            </w:tcBorders>
          </w:tcPr>
          <w:p w14:paraId="0A54997A"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-$2,016</w:t>
            </w:r>
          </w:p>
        </w:tc>
        <w:tc>
          <w:tcPr>
            <w:tcW w:w="460" w:type="dxa"/>
            <w:tcBorders>
              <w:top w:val="nil"/>
              <w:bottom w:val="nil"/>
            </w:tcBorders>
          </w:tcPr>
          <w:p w14:paraId="6A909F2E"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p>
        </w:tc>
        <w:tc>
          <w:tcPr>
            <w:tcW w:w="1100" w:type="dxa"/>
            <w:tcBorders>
              <w:top w:val="nil"/>
              <w:bottom w:val="nil"/>
            </w:tcBorders>
          </w:tcPr>
          <w:p w14:paraId="49379AF3"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-$24</w:t>
            </w:r>
          </w:p>
        </w:tc>
        <w:tc>
          <w:tcPr>
            <w:tcW w:w="1146" w:type="dxa"/>
            <w:tcBorders>
              <w:top w:val="nil"/>
              <w:bottom w:val="nil"/>
            </w:tcBorders>
          </w:tcPr>
          <w:p w14:paraId="7540440D"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-$195</w:t>
            </w:r>
          </w:p>
        </w:tc>
        <w:tc>
          <w:tcPr>
            <w:tcW w:w="960" w:type="dxa"/>
            <w:tcBorders>
              <w:top w:val="nil"/>
              <w:bottom w:val="nil"/>
            </w:tcBorders>
          </w:tcPr>
          <w:p w14:paraId="3D7F9684"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-$46</w:t>
            </w:r>
          </w:p>
        </w:tc>
        <w:tc>
          <w:tcPr>
            <w:tcW w:w="1048" w:type="dxa"/>
            <w:tcBorders>
              <w:top w:val="nil"/>
              <w:bottom w:val="nil"/>
            </w:tcBorders>
          </w:tcPr>
          <w:p w14:paraId="62BE2017" w14:textId="77777777" w:rsidR="007701DC" w:rsidRPr="007701DC"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7701DC">
              <w:rPr>
                <w:rFonts w:ascii="Times New Roman" w:hAnsi="Times New Roman" w:cs="Times New Roman"/>
                <w:color w:val="000000"/>
                <w:sz w:val="18"/>
                <w:szCs w:val="18"/>
              </w:rPr>
              <w:t>-$126</w:t>
            </w:r>
          </w:p>
        </w:tc>
      </w:tr>
      <w:tr w:rsidR="007701DC" w:rsidRPr="007701DC" w14:paraId="6FF6D1B3" w14:textId="77777777" w:rsidTr="00E349C8">
        <w:trPr>
          <w:trHeight w:val="417"/>
        </w:trPr>
        <w:tc>
          <w:tcPr>
            <w:cnfStyle w:val="001000000000" w:firstRow="0" w:lastRow="0" w:firstColumn="1" w:lastColumn="0" w:oddVBand="0" w:evenVBand="0" w:oddHBand="0" w:evenHBand="0" w:firstRowFirstColumn="0" w:firstRowLastColumn="0" w:lastRowFirstColumn="0" w:lastRowLastColumn="0"/>
            <w:tcW w:w="1659" w:type="dxa"/>
            <w:tcBorders>
              <w:top w:val="nil"/>
              <w:bottom w:val="nil"/>
            </w:tcBorders>
          </w:tcPr>
          <w:p w14:paraId="232309D3" w14:textId="10DBF325" w:rsidR="007701DC" w:rsidRPr="00BA6F83" w:rsidRDefault="007701DC" w:rsidP="007701DC">
            <w:pPr>
              <w:rPr>
                <w:rFonts w:ascii="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Acceleration (sec to reach 100 km/h)</w:t>
            </w:r>
          </w:p>
        </w:tc>
        <w:tc>
          <w:tcPr>
            <w:tcW w:w="1048" w:type="dxa"/>
            <w:tcBorders>
              <w:top w:val="nil"/>
              <w:bottom w:val="nil"/>
            </w:tcBorders>
          </w:tcPr>
          <w:p w14:paraId="123CB361"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w:t>
            </w:r>
          </w:p>
        </w:tc>
        <w:tc>
          <w:tcPr>
            <w:tcW w:w="960" w:type="dxa"/>
            <w:tcBorders>
              <w:top w:val="nil"/>
              <w:bottom w:val="nil"/>
            </w:tcBorders>
          </w:tcPr>
          <w:p w14:paraId="3DBA4DE8"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-$175</w:t>
            </w:r>
          </w:p>
        </w:tc>
        <w:tc>
          <w:tcPr>
            <w:tcW w:w="960" w:type="dxa"/>
            <w:tcBorders>
              <w:top w:val="nil"/>
              <w:bottom w:val="nil"/>
            </w:tcBorders>
          </w:tcPr>
          <w:p w14:paraId="2F4B8391"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-$572</w:t>
            </w:r>
          </w:p>
        </w:tc>
        <w:tc>
          <w:tcPr>
            <w:tcW w:w="460" w:type="dxa"/>
            <w:tcBorders>
              <w:top w:val="nil"/>
              <w:bottom w:val="nil"/>
            </w:tcBorders>
          </w:tcPr>
          <w:p w14:paraId="7F0313AF"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1100" w:type="dxa"/>
            <w:tcBorders>
              <w:top w:val="nil"/>
              <w:bottom w:val="nil"/>
            </w:tcBorders>
          </w:tcPr>
          <w:p w14:paraId="341721C0"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-$242</w:t>
            </w:r>
          </w:p>
        </w:tc>
        <w:tc>
          <w:tcPr>
            <w:tcW w:w="1146" w:type="dxa"/>
            <w:tcBorders>
              <w:top w:val="nil"/>
              <w:bottom w:val="nil"/>
            </w:tcBorders>
          </w:tcPr>
          <w:p w14:paraId="7676A248"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w:t>
            </w:r>
          </w:p>
        </w:tc>
        <w:tc>
          <w:tcPr>
            <w:tcW w:w="960" w:type="dxa"/>
            <w:tcBorders>
              <w:top w:val="nil"/>
              <w:bottom w:val="nil"/>
            </w:tcBorders>
          </w:tcPr>
          <w:p w14:paraId="403C94B3"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-$242</w:t>
            </w:r>
          </w:p>
        </w:tc>
        <w:tc>
          <w:tcPr>
            <w:tcW w:w="1048" w:type="dxa"/>
            <w:tcBorders>
              <w:top w:val="nil"/>
              <w:bottom w:val="nil"/>
            </w:tcBorders>
          </w:tcPr>
          <w:p w14:paraId="6F216A45" w14:textId="77777777" w:rsidR="007701DC" w:rsidRPr="007701DC"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7701DC">
              <w:rPr>
                <w:rFonts w:ascii="Times New Roman" w:hAnsi="Times New Roman" w:cs="Times New Roman"/>
                <w:color w:val="000000"/>
                <w:sz w:val="18"/>
                <w:szCs w:val="18"/>
              </w:rPr>
              <w:t>-$743</w:t>
            </w:r>
          </w:p>
        </w:tc>
      </w:tr>
      <w:tr w:rsidR="007701DC" w:rsidRPr="007701DC" w14:paraId="300E2C95" w14:textId="77777777" w:rsidTr="00E349C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659" w:type="dxa"/>
            <w:tcBorders>
              <w:top w:val="nil"/>
              <w:bottom w:val="nil"/>
            </w:tcBorders>
          </w:tcPr>
          <w:p w14:paraId="6AD7AAF3" w14:textId="77777777" w:rsidR="007701DC" w:rsidRPr="00BA6F83" w:rsidRDefault="007701DC" w:rsidP="007701DC">
            <w:pPr>
              <w:rPr>
                <w:rFonts w:ascii="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 xml:space="preserve">Gasoline range (km) </w:t>
            </w:r>
          </w:p>
        </w:tc>
        <w:tc>
          <w:tcPr>
            <w:tcW w:w="1048" w:type="dxa"/>
            <w:tcBorders>
              <w:top w:val="nil"/>
              <w:bottom w:val="nil"/>
            </w:tcBorders>
          </w:tcPr>
          <w:p w14:paraId="6EC60DE8"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$4</w:t>
            </w:r>
          </w:p>
        </w:tc>
        <w:tc>
          <w:tcPr>
            <w:tcW w:w="960" w:type="dxa"/>
            <w:tcBorders>
              <w:top w:val="nil"/>
              <w:bottom w:val="nil"/>
            </w:tcBorders>
          </w:tcPr>
          <w:p w14:paraId="3F107132"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$9</w:t>
            </w:r>
          </w:p>
        </w:tc>
        <w:tc>
          <w:tcPr>
            <w:tcW w:w="960" w:type="dxa"/>
            <w:tcBorders>
              <w:top w:val="nil"/>
              <w:bottom w:val="nil"/>
            </w:tcBorders>
          </w:tcPr>
          <w:p w14:paraId="74D36500"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$12</w:t>
            </w:r>
          </w:p>
        </w:tc>
        <w:tc>
          <w:tcPr>
            <w:tcW w:w="460" w:type="dxa"/>
            <w:tcBorders>
              <w:top w:val="nil"/>
              <w:bottom w:val="nil"/>
            </w:tcBorders>
          </w:tcPr>
          <w:p w14:paraId="6CD6A908"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p>
        </w:tc>
        <w:tc>
          <w:tcPr>
            <w:tcW w:w="1100" w:type="dxa"/>
            <w:tcBorders>
              <w:top w:val="nil"/>
              <w:bottom w:val="nil"/>
            </w:tcBorders>
          </w:tcPr>
          <w:p w14:paraId="021F97D0"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$7</w:t>
            </w:r>
          </w:p>
        </w:tc>
        <w:tc>
          <w:tcPr>
            <w:tcW w:w="1146" w:type="dxa"/>
            <w:tcBorders>
              <w:top w:val="nil"/>
              <w:bottom w:val="nil"/>
            </w:tcBorders>
          </w:tcPr>
          <w:p w14:paraId="110FBC70"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$23</w:t>
            </w:r>
          </w:p>
        </w:tc>
        <w:tc>
          <w:tcPr>
            <w:tcW w:w="960" w:type="dxa"/>
            <w:tcBorders>
              <w:top w:val="nil"/>
              <w:bottom w:val="nil"/>
            </w:tcBorders>
          </w:tcPr>
          <w:p w14:paraId="23BCDF2C"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$9</w:t>
            </w:r>
          </w:p>
        </w:tc>
        <w:tc>
          <w:tcPr>
            <w:tcW w:w="1048" w:type="dxa"/>
            <w:tcBorders>
              <w:top w:val="nil"/>
              <w:bottom w:val="nil"/>
            </w:tcBorders>
          </w:tcPr>
          <w:p w14:paraId="1FCA543B" w14:textId="77777777" w:rsidR="007701DC" w:rsidRPr="007701DC"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7701DC">
              <w:rPr>
                <w:rFonts w:ascii="Times New Roman" w:hAnsi="Times New Roman" w:cs="Times New Roman"/>
                <w:color w:val="000000"/>
                <w:sz w:val="18"/>
                <w:szCs w:val="18"/>
              </w:rPr>
              <w:t>$7</w:t>
            </w:r>
          </w:p>
        </w:tc>
      </w:tr>
      <w:tr w:rsidR="007701DC" w:rsidRPr="007701DC" w14:paraId="07E240DB" w14:textId="77777777" w:rsidTr="00E349C8">
        <w:trPr>
          <w:trHeight w:val="217"/>
        </w:trPr>
        <w:tc>
          <w:tcPr>
            <w:cnfStyle w:val="001000000000" w:firstRow="0" w:lastRow="0" w:firstColumn="1" w:lastColumn="0" w:oddVBand="0" w:evenVBand="0" w:oddHBand="0" w:evenHBand="0" w:firstRowFirstColumn="0" w:firstRowLastColumn="0" w:lastRowFirstColumn="0" w:lastRowLastColumn="0"/>
            <w:tcW w:w="1659" w:type="dxa"/>
            <w:tcBorders>
              <w:top w:val="nil"/>
              <w:bottom w:val="nil"/>
            </w:tcBorders>
          </w:tcPr>
          <w:p w14:paraId="2AD11F1B" w14:textId="77777777" w:rsidR="007701DC" w:rsidRPr="00BA6F83" w:rsidRDefault="007701DC" w:rsidP="007701DC">
            <w:pPr>
              <w:rPr>
                <w:rFonts w:ascii="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Battery warranty</w:t>
            </w:r>
          </w:p>
        </w:tc>
        <w:tc>
          <w:tcPr>
            <w:tcW w:w="1048" w:type="dxa"/>
            <w:tcBorders>
              <w:top w:val="nil"/>
              <w:bottom w:val="nil"/>
            </w:tcBorders>
          </w:tcPr>
          <w:p w14:paraId="33A31385"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$1,225</w:t>
            </w:r>
          </w:p>
        </w:tc>
        <w:tc>
          <w:tcPr>
            <w:tcW w:w="960" w:type="dxa"/>
            <w:tcBorders>
              <w:top w:val="nil"/>
              <w:bottom w:val="nil"/>
            </w:tcBorders>
          </w:tcPr>
          <w:p w14:paraId="12309E73"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$1,412</w:t>
            </w:r>
          </w:p>
        </w:tc>
        <w:tc>
          <w:tcPr>
            <w:tcW w:w="960" w:type="dxa"/>
            <w:tcBorders>
              <w:top w:val="nil"/>
              <w:bottom w:val="nil"/>
            </w:tcBorders>
          </w:tcPr>
          <w:p w14:paraId="6E3B600A"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$1,726</w:t>
            </w:r>
          </w:p>
        </w:tc>
        <w:tc>
          <w:tcPr>
            <w:tcW w:w="460" w:type="dxa"/>
            <w:tcBorders>
              <w:top w:val="nil"/>
              <w:bottom w:val="nil"/>
            </w:tcBorders>
          </w:tcPr>
          <w:p w14:paraId="76E05DA9"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1100" w:type="dxa"/>
            <w:tcBorders>
              <w:top w:val="nil"/>
              <w:bottom w:val="nil"/>
            </w:tcBorders>
          </w:tcPr>
          <w:p w14:paraId="18760A51"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$1,011</w:t>
            </w:r>
          </w:p>
        </w:tc>
        <w:tc>
          <w:tcPr>
            <w:tcW w:w="1146" w:type="dxa"/>
            <w:tcBorders>
              <w:top w:val="nil"/>
              <w:bottom w:val="nil"/>
            </w:tcBorders>
          </w:tcPr>
          <w:p w14:paraId="03768AE3"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$3,937</w:t>
            </w:r>
          </w:p>
        </w:tc>
        <w:tc>
          <w:tcPr>
            <w:tcW w:w="960" w:type="dxa"/>
            <w:tcBorders>
              <w:top w:val="nil"/>
              <w:bottom w:val="nil"/>
            </w:tcBorders>
          </w:tcPr>
          <w:p w14:paraId="75BAE88C"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$2,127</w:t>
            </w:r>
          </w:p>
        </w:tc>
        <w:tc>
          <w:tcPr>
            <w:tcW w:w="1048" w:type="dxa"/>
            <w:tcBorders>
              <w:top w:val="nil"/>
              <w:bottom w:val="nil"/>
            </w:tcBorders>
          </w:tcPr>
          <w:p w14:paraId="1E784B02" w14:textId="77777777" w:rsidR="007701DC" w:rsidRPr="007701DC"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7701DC">
              <w:rPr>
                <w:rFonts w:ascii="Times New Roman" w:hAnsi="Times New Roman" w:cs="Times New Roman"/>
                <w:color w:val="000000"/>
                <w:sz w:val="18"/>
                <w:szCs w:val="18"/>
              </w:rPr>
              <w:t>$433</w:t>
            </w:r>
          </w:p>
        </w:tc>
      </w:tr>
      <w:tr w:rsidR="007701DC" w:rsidRPr="007701DC" w14:paraId="6BB7394C" w14:textId="77777777" w:rsidTr="00E349C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659" w:type="dxa"/>
            <w:tcBorders>
              <w:top w:val="nil"/>
              <w:bottom w:val="nil"/>
            </w:tcBorders>
          </w:tcPr>
          <w:p w14:paraId="0DDEBCB8" w14:textId="77777777" w:rsidR="007701DC" w:rsidRPr="00BA6F83" w:rsidRDefault="007701DC" w:rsidP="007701DC">
            <w:pPr>
              <w:rPr>
                <w:rFonts w:ascii="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Electric range (km)</w:t>
            </w:r>
          </w:p>
        </w:tc>
        <w:tc>
          <w:tcPr>
            <w:tcW w:w="1048" w:type="dxa"/>
            <w:tcBorders>
              <w:top w:val="nil"/>
              <w:bottom w:val="nil"/>
            </w:tcBorders>
          </w:tcPr>
          <w:p w14:paraId="34FAAA4C"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$7</w:t>
            </w:r>
          </w:p>
        </w:tc>
        <w:tc>
          <w:tcPr>
            <w:tcW w:w="960" w:type="dxa"/>
            <w:tcBorders>
              <w:top w:val="nil"/>
              <w:bottom w:val="nil"/>
            </w:tcBorders>
          </w:tcPr>
          <w:p w14:paraId="0F63FC14"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$16</w:t>
            </w:r>
          </w:p>
        </w:tc>
        <w:tc>
          <w:tcPr>
            <w:tcW w:w="960" w:type="dxa"/>
            <w:tcBorders>
              <w:top w:val="nil"/>
              <w:bottom w:val="nil"/>
            </w:tcBorders>
          </w:tcPr>
          <w:p w14:paraId="09CA5646"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$15</w:t>
            </w:r>
          </w:p>
        </w:tc>
        <w:tc>
          <w:tcPr>
            <w:tcW w:w="460" w:type="dxa"/>
            <w:tcBorders>
              <w:top w:val="nil"/>
              <w:bottom w:val="nil"/>
            </w:tcBorders>
          </w:tcPr>
          <w:p w14:paraId="325C6817"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p>
        </w:tc>
        <w:tc>
          <w:tcPr>
            <w:tcW w:w="1100" w:type="dxa"/>
            <w:tcBorders>
              <w:top w:val="nil"/>
              <w:bottom w:val="nil"/>
            </w:tcBorders>
          </w:tcPr>
          <w:p w14:paraId="1E11F7B9"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$15</w:t>
            </w:r>
          </w:p>
        </w:tc>
        <w:tc>
          <w:tcPr>
            <w:tcW w:w="1146" w:type="dxa"/>
            <w:tcBorders>
              <w:top w:val="nil"/>
              <w:bottom w:val="nil"/>
            </w:tcBorders>
          </w:tcPr>
          <w:p w14:paraId="325944FB"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$19</w:t>
            </w:r>
          </w:p>
        </w:tc>
        <w:tc>
          <w:tcPr>
            <w:tcW w:w="960" w:type="dxa"/>
            <w:tcBorders>
              <w:top w:val="nil"/>
              <w:bottom w:val="nil"/>
            </w:tcBorders>
          </w:tcPr>
          <w:p w14:paraId="25B823AE"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$31</w:t>
            </w:r>
          </w:p>
        </w:tc>
        <w:tc>
          <w:tcPr>
            <w:tcW w:w="1048" w:type="dxa"/>
            <w:tcBorders>
              <w:top w:val="nil"/>
              <w:bottom w:val="nil"/>
            </w:tcBorders>
          </w:tcPr>
          <w:p w14:paraId="243DA387" w14:textId="77777777" w:rsidR="007701DC" w:rsidRPr="007701DC"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7701DC">
              <w:rPr>
                <w:rFonts w:ascii="Times New Roman" w:hAnsi="Times New Roman" w:cs="Times New Roman"/>
                <w:color w:val="000000"/>
                <w:sz w:val="18"/>
                <w:szCs w:val="18"/>
              </w:rPr>
              <w:t>$32</w:t>
            </w:r>
          </w:p>
        </w:tc>
      </w:tr>
      <w:tr w:rsidR="007701DC" w:rsidRPr="007701DC" w14:paraId="24753FE3" w14:textId="77777777" w:rsidTr="00E349C8">
        <w:trPr>
          <w:trHeight w:val="200"/>
        </w:trPr>
        <w:tc>
          <w:tcPr>
            <w:cnfStyle w:val="001000000000" w:firstRow="0" w:lastRow="0" w:firstColumn="1" w:lastColumn="0" w:oddVBand="0" w:evenVBand="0" w:oddHBand="0" w:evenHBand="0" w:firstRowFirstColumn="0" w:firstRowLastColumn="0" w:lastRowFirstColumn="0" w:lastRowLastColumn="0"/>
            <w:tcW w:w="1659" w:type="dxa"/>
            <w:tcBorders>
              <w:top w:val="nil"/>
              <w:bottom w:val="nil"/>
            </w:tcBorders>
          </w:tcPr>
          <w:p w14:paraId="6F1E0ED8" w14:textId="77777777" w:rsidR="007701DC" w:rsidRPr="00BA6F83" w:rsidRDefault="007701DC" w:rsidP="007701DC">
            <w:pPr>
              <w:rPr>
                <w:rFonts w:ascii="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Free parking</w:t>
            </w:r>
          </w:p>
        </w:tc>
        <w:tc>
          <w:tcPr>
            <w:tcW w:w="1048" w:type="dxa"/>
            <w:tcBorders>
              <w:top w:val="nil"/>
              <w:bottom w:val="nil"/>
            </w:tcBorders>
          </w:tcPr>
          <w:p w14:paraId="6F2C6695"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$2,440</w:t>
            </w:r>
          </w:p>
        </w:tc>
        <w:tc>
          <w:tcPr>
            <w:tcW w:w="960" w:type="dxa"/>
            <w:tcBorders>
              <w:top w:val="nil"/>
              <w:bottom w:val="nil"/>
            </w:tcBorders>
          </w:tcPr>
          <w:p w14:paraId="1568548C"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w:t>
            </w:r>
          </w:p>
        </w:tc>
        <w:tc>
          <w:tcPr>
            <w:tcW w:w="960" w:type="dxa"/>
            <w:tcBorders>
              <w:top w:val="nil"/>
              <w:bottom w:val="nil"/>
            </w:tcBorders>
          </w:tcPr>
          <w:p w14:paraId="5E80406C"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$346</w:t>
            </w:r>
          </w:p>
        </w:tc>
        <w:tc>
          <w:tcPr>
            <w:tcW w:w="460" w:type="dxa"/>
            <w:tcBorders>
              <w:top w:val="nil"/>
              <w:bottom w:val="nil"/>
            </w:tcBorders>
          </w:tcPr>
          <w:p w14:paraId="79344699"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1100" w:type="dxa"/>
            <w:tcBorders>
              <w:top w:val="nil"/>
              <w:bottom w:val="nil"/>
            </w:tcBorders>
          </w:tcPr>
          <w:p w14:paraId="658553D7"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$360</w:t>
            </w:r>
          </w:p>
        </w:tc>
        <w:tc>
          <w:tcPr>
            <w:tcW w:w="1146" w:type="dxa"/>
            <w:tcBorders>
              <w:top w:val="nil"/>
              <w:bottom w:val="nil"/>
            </w:tcBorders>
          </w:tcPr>
          <w:p w14:paraId="46EE4D7A"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$4,015</w:t>
            </w:r>
          </w:p>
        </w:tc>
        <w:tc>
          <w:tcPr>
            <w:tcW w:w="960" w:type="dxa"/>
            <w:tcBorders>
              <w:top w:val="nil"/>
              <w:bottom w:val="nil"/>
            </w:tcBorders>
          </w:tcPr>
          <w:p w14:paraId="3F1F0A27"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$2,172</w:t>
            </w:r>
          </w:p>
        </w:tc>
        <w:tc>
          <w:tcPr>
            <w:tcW w:w="1048" w:type="dxa"/>
            <w:tcBorders>
              <w:top w:val="nil"/>
              <w:bottom w:val="nil"/>
            </w:tcBorders>
          </w:tcPr>
          <w:p w14:paraId="24D542ED" w14:textId="77777777" w:rsidR="007701DC" w:rsidRPr="007701DC"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7701DC">
              <w:rPr>
                <w:rFonts w:ascii="Times New Roman" w:hAnsi="Times New Roman" w:cs="Times New Roman"/>
                <w:color w:val="000000"/>
                <w:sz w:val="18"/>
                <w:szCs w:val="18"/>
              </w:rPr>
              <w:t>$3,934</w:t>
            </w:r>
          </w:p>
        </w:tc>
      </w:tr>
      <w:tr w:rsidR="007701DC" w:rsidRPr="007701DC" w14:paraId="525A9160" w14:textId="77777777" w:rsidTr="00E349C8">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659" w:type="dxa"/>
            <w:tcBorders>
              <w:top w:val="nil"/>
              <w:bottom w:val="nil"/>
            </w:tcBorders>
          </w:tcPr>
          <w:p w14:paraId="4120AD60" w14:textId="77777777" w:rsidR="007701DC" w:rsidRPr="00BA6F83" w:rsidRDefault="007701DC" w:rsidP="007701DC">
            <w:pPr>
              <w:rPr>
                <w:rFonts w:ascii="Times New Roman" w:eastAsia="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HOV lane access</w:t>
            </w:r>
          </w:p>
        </w:tc>
        <w:tc>
          <w:tcPr>
            <w:tcW w:w="1048" w:type="dxa"/>
            <w:tcBorders>
              <w:top w:val="nil"/>
              <w:bottom w:val="nil"/>
            </w:tcBorders>
          </w:tcPr>
          <w:p w14:paraId="1DA80169"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$1,892</w:t>
            </w:r>
          </w:p>
        </w:tc>
        <w:tc>
          <w:tcPr>
            <w:tcW w:w="960" w:type="dxa"/>
            <w:tcBorders>
              <w:top w:val="nil"/>
              <w:bottom w:val="nil"/>
            </w:tcBorders>
          </w:tcPr>
          <w:p w14:paraId="514AE233"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$1,317</w:t>
            </w:r>
          </w:p>
        </w:tc>
        <w:tc>
          <w:tcPr>
            <w:tcW w:w="960" w:type="dxa"/>
            <w:tcBorders>
              <w:top w:val="nil"/>
              <w:bottom w:val="nil"/>
            </w:tcBorders>
          </w:tcPr>
          <w:p w14:paraId="40D49C30"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$25</w:t>
            </w:r>
          </w:p>
        </w:tc>
        <w:tc>
          <w:tcPr>
            <w:tcW w:w="460" w:type="dxa"/>
            <w:tcBorders>
              <w:top w:val="nil"/>
              <w:bottom w:val="nil"/>
            </w:tcBorders>
          </w:tcPr>
          <w:p w14:paraId="3778B93A"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p>
        </w:tc>
        <w:tc>
          <w:tcPr>
            <w:tcW w:w="1100" w:type="dxa"/>
            <w:tcBorders>
              <w:top w:val="nil"/>
              <w:bottom w:val="nil"/>
            </w:tcBorders>
          </w:tcPr>
          <w:p w14:paraId="2D66AD1B"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A6F83">
              <w:rPr>
                <w:rFonts w:ascii="Times New Roman" w:hAnsi="Times New Roman" w:cs="Times New Roman"/>
                <w:color w:val="000000"/>
                <w:sz w:val="18"/>
                <w:szCs w:val="18"/>
              </w:rPr>
              <w:t>-</w:t>
            </w:r>
          </w:p>
        </w:tc>
        <w:tc>
          <w:tcPr>
            <w:tcW w:w="1146" w:type="dxa"/>
            <w:tcBorders>
              <w:top w:val="nil"/>
              <w:bottom w:val="nil"/>
            </w:tcBorders>
          </w:tcPr>
          <w:p w14:paraId="570B9FC7"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A6F83">
              <w:rPr>
                <w:rFonts w:ascii="Times New Roman" w:hAnsi="Times New Roman" w:cs="Times New Roman"/>
                <w:color w:val="000000"/>
                <w:sz w:val="18"/>
                <w:szCs w:val="18"/>
              </w:rPr>
              <w:t>-</w:t>
            </w:r>
          </w:p>
        </w:tc>
        <w:tc>
          <w:tcPr>
            <w:tcW w:w="960" w:type="dxa"/>
            <w:tcBorders>
              <w:top w:val="nil"/>
              <w:bottom w:val="nil"/>
            </w:tcBorders>
          </w:tcPr>
          <w:p w14:paraId="73FD6D42"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A6F83">
              <w:rPr>
                <w:rFonts w:ascii="Times New Roman" w:hAnsi="Times New Roman" w:cs="Times New Roman"/>
                <w:color w:val="000000"/>
                <w:sz w:val="18"/>
                <w:szCs w:val="18"/>
              </w:rPr>
              <w:t>$1,417</w:t>
            </w:r>
          </w:p>
        </w:tc>
        <w:tc>
          <w:tcPr>
            <w:tcW w:w="1048" w:type="dxa"/>
            <w:tcBorders>
              <w:top w:val="nil"/>
              <w:bottom w:val="nil"/>
            </w:tcBorders>
          </w:tcPr>
          <w:p w14:paraId="5C556041" w14:textId="77777777" w:rsidR="007701DC" w:rsidRPr="007701DC"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7701DC">
              <w:rPr>
                <w:rFonts w:ascii="Times New Roman" w:hAnsi="Times New Roman" w:cs="Times New Roman"/>
                <w:color w:val="000000"/>
                <w:sz w:val="18"/>
                <w:szCs w:val="18"/>
              </w:rPr>
              <w:t>$1,733</w:t>
            </w:r>
          </w:p>
        </w:tc>
      </w:tr>
      <w:tr w:rsidR="007701DC" w:rsidRPr="007701DC" w14:paraId="39DC84AF" w14:textId="77777777" w:rsidTr="00E349C8">
        <w:trPr>
          <w:trHeight w:val="400"/>
        </w:trPr>
        <w:tc>
          <w:tcPr>
            <w:cnfStyle w:val="001000000000" w:firstRow="0" w:lastRow="0" w:firstColumn="1" w:lastColumn="0" w:oddVBand="0" w:evenVBand="0" w:oddHBand="0" w:evenHBand="0" w:firstRowFirstColumn="0" w:firstRowLastColumn="0" w:lastRowFirstColumn="0" w:lastRowLastColumn="0"/>
            <w:tcW w:w="1659" w:type="dxa"/>
            <w:tcBorders>
              <w:top w:val="nil"/>
              <w:bottom w:val="nil"/>
            </w:tcBorders>
          </w:tcPr>
          <w:p w14:paraId="77880210" w14:textId="77777777" w:rsidR="007701DC" w:rsidRPr="00BA6F83" w:rsidRDefault="007701DC" w:rsidP="007701DC">
            <w:pPr>
              <w:rPr>
                <w:rFonts w:ascii="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Charging station availability</w:t>
            </w:r>
          </w:p>
        </w:tc>
        <w:tc>
          <w:tcPr>
            <w:tcW w:w="1048" w:type="dxa"/>
            <w:tcBorders>
              <w:top w:val="nil"/>
              <w:bottom w:val="nil"/>
            </w:tcBorders>
          </w:tcPr>
          <w:p w14:paraId="37C4191F"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$770</w:t>
            </w:r>
          </w:p>
        </w:tc>
        <w:tc>
          <w:tcPr>
            <w:tcW w:w="960" w:type="dxa"/>
            <w:tcBorders>
              <w:top w:val="nil"/>
              <w:bottom w:val="nil"/>
            </w:tcBorders>
          </w:tcPr>
          <w:p w14:paraId="79049718"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w:t>
            </w:r>
          </w:p>
        </w:tc>
        <w:tc>
          <w:tcPr>
            <w:tcW w:w="960" w:type="dxa"/>
            <w:tcBorders>
              <w:top w:val="nil"/>
              <w:bottom w:val="nil"/>
            </w:tcBorders>
          </w:tcPr>
          <w:p w14:paraId="402575F2"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$1,274</w:t>
            </w:r>
          </w:p>
        </w:tc>
        <w:tc>
          <w:tcPr>
            <w:tcW w:w="460" w:type="dxa"/>
            <w:tcBorders>
              <w:top w:val="nil"/>
              <w:bottom w:val="nil"/>
            </w:tcBorders>
          </w:tcPr>
          <w:p w14:paraId="782A9310"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1100" w:type="dxa"/>
            <w:tcBorders>
              <w:top w:val="nil"/>
              <w:bottom w:val="nil"/>
            </w:tcBorders>
          </w:tcPr>
          <w:p w14:paraId="1458B7F7"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w:t>
            </w:r>
          </w:p>
        </w:tc>
        <w:tc>
          <w:tcPr>
            <w:tcW w:w="1146" w:type="dxa"/>
            <w:tcBorders>
              <w:top w:val="nil"/>
              <w:bottom w:val="nil"/>
            </w:tcBorders>
          </w:tcPr>
          <w:p w14:paraId="2A96289E"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$635</w:t>
            </w:r>
          </w:p>
        </w:tc>
        <w:tc>
          <w:tcPr>
            <w:tcW w:w="960" w:type="dxa"/>
            <w:tcBorders>
              <w:top w:val="nil"/>
              <w:bottom w:val="nil"/>
            </w:tcBorders>
          </w:tcPr>
          <w:p w14:paraId="5DA0FD7A" w14:textId="77777777" w:rsidR="007701DC" w:rsidRPr="00BA6F83"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$492</w:t>
            </w:r>
          </w:p>
        </w:tc>
        <w:tc>
          <w:tcPr>
            <w:tcW w:w="1048" w:type="dxa"/>
            <w:tcBorders>
              <w:top w:val="nil"/>
              <w:bottom w:val="nil"/>
            </w:tcBorders>
          </w:tcPr>
          <w:p w14:paraId="0429277C" w14:textId="77777777" w:rsidR="007701DC" w:rsidRPr="007701DC" w:rsidRDefault="007701DC" w:rsidP="007701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7701DC">
              <w:rPr>
                <w:rFonts w:ascii="Times New Roman" w:hAnsi="Times New Roman" w:cs="Times New Roman"/>
                <w:color w:val="000000"/>
                <w:sz w:val="18"/>
                <w:szCs w:val="18"/>
              </w:rPr>
              <w:t>$888</w:t>
            </w:r>
          </w:p>
        </w:tc>
      </w:tr>
      <w:tr w:rsidR="007701DC" w:rsidRPr="007701DC" w14:paraId="474A545A" w14:textId="77777777" w:rsidTr="00E349C8">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659" w:type="dxa"/>
            <w:tcBorders>
              <w:top w:val="nil"/>
              <w:bottom w:val="nil"/>
            </w:tcBorders>
          </w:tcPr>
          <w:p w14:paraId="5BDAEFBC" w14:textId="77777777" w:rsidR="007701DC" w:rsidRPr="00BA6F83" w:rsidRDefault="007701DC" w:rsidP="007701DC">
            <w:pPr>
              <w:rPr>
                <w:rFonts w:ascii="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Public charging time (hr)</w:t>
            </w:r>
          </w:p>
        </w:tc>
        <w:tc>
          <w:tcPr>
            <w:tcW w:w="1048" w:type="dxa"/>
            <w:tcBorders>
              <w:top w:val="nil"/>
              <w:bottom w:val="nil"/>
            </w:tcBorders>
          </w:tcPr>
          <w:p w14:paraId="792BE80B"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-$630</w:t>
            </w:r>
          </w:p>
        </w:tc>
        <w:tc>
          <w:tcPr>
            <w:tcW w:w="960" w:type="dxa"/>
            <w:tcBorders>
              <w:top w:val="nil"/>
              <w:bottom w:val="nil"/>
            </w:tcBorders>
          </w:tcPr>
          <w:p w14:paraId="2471EBA7"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-$1,226</w:t>
            </w:r>
          </w:p>
        </w:tc>
        <w:tc>
          <w:tcPr>
            <w:tcW w:w="960" w:type="dxa"/>
            <w:tcBorders>
              <w:top w:val="nil"/>
              <w:bottom w:val="nil"/>
            </w:tcBorders>
          </w:tcPr>
          <w:p w14:paraId="416A30AC"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-$259</w:t>
            </w:r>
          </w:p>
        </w:tc>
        <w:tc>
          <w:tcPr>
            <w:tcW w:w="460" w:type="dxa"/>
            <w:tcBorders>
              <w:top w:val="nil"/>
              <w:bottom w:val="nil"/>
            </w:tcBorders>
          </w:tcPr>
          <w:p w14:paraId="21DA0982"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p>
        </w:tc>
        <w:tc>
          <w:tcPr>
            <w:tcW w:w="1100" w:type="dxa"/>
            <w:tcBorders>
              <w:top w:val="nil"/>
              <w:bottom w:val="nil"/>
            </w:tcBorders>
          </w:tcPr>
          <w:p w14:paraId="44AB7D98"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-$674</w:t>
            </w:r>
          </w:p>
        </w:tc>
        <w:tc>
          <w:tcPr>
            <w:tcW w:w="1146" w:type="dxa"/>
            <w:tcBorders>
              <w:top w:val="nil"/>
              <w:bottom w:val="nil"/>
            </w:tcBorders>
          </w:tcPr>
          <w:p w14:paraId="01FE00FF"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-$4,025</w:t>
            </w:r>
          </w:p>
        </w:tc>
        <w:tc>
          <w:tcPr>
            <w:tcW w:w="960" w:type="dxa"/>
            <w:tcBorders>
              <w:top w:val="nil"/>
              <w:bottom w:val="nil"/>
            </w:tcBorders>
          </w:tcPr>
          <w:p w14:paraId="0878E2C6" w14:textId="77777777" w:rsidR="007701DC" w:rsidRPr="00BA6F83"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-$571</w:t>
            </w:r>
          </w:p>
        </w:tc>
        <w:tc>
          <w:tcPr>
            <w:tcW w:w="1048" w:type="dxa"/>
            <w:tcBorders>
              <w:top w:val="nil"/>
              <w:bottom w:val="nil"/>
            </w:tcBorders>
          </w:tcPr>
          <w:p w14:paraId="20A078E3" w14:textId="77777777" w:rsidR="007701DC" w:rsidRPr="007701DC" w:rsidRDefault="007701DC" w:rsidP="007701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7701DC">
              <w:rPr>
                <w:rFonts w:ascii="Times New Roman" w:hAnsi="Times New Roman" w:cs="Times New Roman"/>
                <w:color w:val="000000"/>
                <w:sz w:val="18"/>
                <w:szCs w:val="18"/>
              </w:rPr>
              <w:t>-$1,057</w:t>
            </w:r>
          </w:p>
        </w:tc>
      </w:tr>
      <w:tr w:rsidR="007701DC" w:rsidRPr="007701DC" w14:paraId="2E53F695" w14:textId="77777777" w:rsidTr="00E349C8">
        <w:trPr>
          <w:trHeight w:val="467"/>
        </w:trPr>
        <w:tc>
          <w:tcPr>
            <w:cnfStyle w:val="001000000000" w:firstRow="0" w:lastRow="0" w:firstColumn="1" w:lastColumn="0" w:oddVBand="0" w:evenVBand="0" w:oddHBand="0" w:evenHBand="0" w:firstRowFirstColumn="0" w:firstRowLastColumn="0" w:lastRowFirstColumn="0" w:lastRowLastColumn="0"/>
            <w:tcW w:w="1659" w:type="dxa"/>
            <w:tcBorders>
              <w:top w:val="nil"/>
              <w:bottom w:val="single" w:sz="4" w:space="0" w:color="auto"/>
            </w:tcBorders>
          </w:tcPr>
          <w:p w14:paraId="0992DE9F" w14:textId="77777777" w:rsidR="007701DC" w:rsidRPr="00BA6F83" w:rsidRDefault="007701DC" w:rsidP="007701DC">
            <w:pPr>
              <w:spacing w:after="60"/>
              <w:rPr>
                <w:rFonts w:ascii="Times New Roman" w:hAnsi="Times New Roman" w:cs="Times New Roman"/>
                <w:b w:val="0"/>
                <w:color w:val="000000" w:themeColor="text1"/>
                <w:sz w:val="18"/>
                <w:szCs w:val="18"/>
              </w:rPr>
            </w:pPr>
            <w:r w:rsidRPr="00BA6F83">
              <w:rPr>
                <w:rFonts w:ascii="Times New Roman" w:eastAsia="Times New Roman" w:hAnsi="Times New Roman" w:cs="Times New Roman"/>
                <w:b w:val="0"/>
                <w:color w:val="000000" w:themeColor="text1"/>
                <w:sz w:val="18"/>
                <w:szCs w:val="18"/>
              </w:rPr>
              <w:t>Home charging time (hr)</w:t>
            </w:r>
          </w:p>
        </w:tc>
        <w:tc>
          <w:tcPr>
            <w:tcW w:w="1048" w:type="dxa"/>
            <w:tcBorders>
              <w:top w:val="nil"/>
              <w:bottom w:val="single" w:sz="4" w:space="0" w:color="auto"/>
            </w:tcBorders>
          </w:tcPr>
          <w:p w14:paraId="6273345B" w14:textId="77777777" w:rsidR="007701DC" w:rsidRPr="00BA6F83" w:rsidRDefault="007701DC" w:rsidP="007701DC">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-$234</w:t>
            </w:r>
          </w:p>
        </w:tc>
        <w:tc>
          <w:tcPr>
            <w:tcW w:w="960" w:type="dxa"/>
            <w:tcBorders>
              <w:top w:val="nil"/>
              <w:bottom w:val="single" w:sz="4" w:space="0" w:color="auto"/>
            </w:tcBorders>
          </w:tcPr>
          <w:p w14:paraId="78AC628B" w14:textId="77777777" w:rsidR="007701DC" w:rsidRPr="00BA6F83" w:rsidRDefault="007701DC" w:rsidP="007701DC">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-$148</w:t>
            </w:r>
          </w:p>
        </w:tc>
        <w:tc>
          <w:tcPr>
            <w:tcW w:w="960" w:type="dxa"/>
            <w:tcBorders>
              <w:top w:val="nil"/>
              <w:bottom w:val="single" w:sz="4" w:space="0" w:color="auto"/>
            </w:tcBorders>
          </w:tcPr>
          <w:p w14:paraId="084D6663" w14:textId="77777777" w:rsidR="007701DC" w:rsidRPr="00BA6F83" w:rsidRDefault="007701DC" w:rsidP="007701DC">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BA6F83">
              <w:rPr>
                <w:rFonts w:ascii="Times New Roman" w:eastAsia="Times New Roman" w:hAnsi="Times New Roman" w:cs="Times New Roman"/>
                <w:color w:val="000000" w:themeColor="text1"/>
                <w:sz w:val="18"/>
                <w:szCs w:val="18"/>
              </w:rPr>
              <w:t>-$959</w:t>
            </w:r>
          </w:p>
        </w:tc>
        <w:tc>
          <w:tcPr>
            <w:tcW w:w="460" w:type="dxa"/>
            <w:tcBorders>
              <w:top w:val="nil"/>
              <w:bottom w:val="single" w:sz="4" w:space="0" w:color="auto"/>
            </w:tcBorders>
          </w:tcPr>
          <w:p w14:paraId="1C5D890F" w14:textId="77777777" w:rsidR="007701DC" w:rsidRPr="00BA6F83" w:rsidRDefault="007701DC" w:rsidP="007701DC">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1100" w:type="dxa"/>
            <w:tcBorders>
              <w:top w:val="nil"/>
              <w:bottom w:val="single" w:sz="4" w:space="0" w:color="auto"/>
            </w:tcBorders>
          </w:tcPr>
          <w:p w14:paraId="4B5FB48E" w14:textId="77777777" w:rsidR="007701DC" w:rsidRPr="00BA6F83" w:rsidRDefault="007701DC" w:rsidP="007701DC">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-$28</w:t>
            </w:r>
          </w:p>
        </w:tc>
        <w:tc>
          <w:tcPr>
            <w:tcW w:w="1146" w:type="dxa"/>
            <w:tcBorders>
              <w:top w:val="nil"/>
              <w:bottom w:val="single" w:sz="4" w:space="0" w:color="auto"/>
            </w:tcBorders>
          </w:tcPr>
          <w:p w14:paraId="319E7697" w14:textId="77777777" w:rsidR="007701DC" w:rsidRPr="00BA6F83" w:rsidRDefault="007701DC" w:rsidP="007701DC">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-$3,840</w:t>
            </w:r>
          </w:p>
        </w:tc>
        <w:tc>
          <w:tcPr>
            <w:tcW w:w="960" w:type="dxa"/>
            <w:tcBorders>
              <w:top w:val="nil"/>
              <w:bottom w:val="single" w:sz="4" w:space="0" w:color="auto"/>
            </w:tcBorders>
          </w:tcPr>
          <w:p w14:paraId="273851E1" w14:textId="77777777" w:rsidR="007701DC" w:rsidRPr="00BA6F83" w:rsidRDefault="007701DC" w:rsidP="007701DC">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BA6F83">
              <w:rPr>
                <w:rFonts w:ascii="Times New Roman" w:hAnsi="Times New Roman" w:cs="Times New Roman"/>
                <w:color w:val="000000"/>
                <w:sz w:val="18"/>
                <w:szCs w:val="18"/>
              </w:rPr>
              <w:t>-$333</w:t>
            </w:r>
          </w:p>
        </w:tc>
        <w:tc>
          <w:tcPr>
            <w:tcW w:w="1048" w:type="dxa"/>
            <w:tcBorders>
              <w:top w:val="nil"/>
              <w:bottom w:val="single" w:sz="4" w:space="0" w:color="auto"/>
            </w:tcBorders>
          </w:tcPr>
          <w:p w14:paraId="36A9E21B" w14:textId="77777777" w:rsidR="007701DC" w:rsidRPr="007701DC" w:rsidRDefault="007701DC" w:rsidP="007701DC">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7701DC">
              <w:rPr>
                <w:rFonts w:ascii="Times New Roman" w:hAnsi="Times New Roman" w:cs="Times New Roman"/>
                <w:color w:val="000000"/>
                <w:sz w:val="18"/>
                <w:szCs w:val="18"/>
              </w:rPr>
              <w:t>-$892</w:t>
            </w:r>
          </w:p>
        </w:tc>
      </w:tr>
      <w:tr w:rsidR="007701DC" w:rsidRPr="007701DC" w14:paraId="1517C771" w14:textId="77777777" w:rsidTr="00E349C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9345" w:type="dxa"/>
            <w:gridSpan w:val="9"/>
            <w:tcBorders>
              <w:top w:val="single" w:sz="4" w:space="0" w:color="auto"/>
              <w:bottom w:val="nil"/>
            </w:tcBorders>
          </w:tcPr>
          <w:p w14:paraId="6627849F" w14:textId="77777777" w:rsidR="007701DC" w:rsidRPr="00BA6F83" w:rsidRDefault="007701DC" w:rsidP="007701DC">
            <w:pPr>
              <w:spacing w:before="60"/>
              <w:rPr>
                <w:rFonts w:ascii="Times New Roman" w:hAnsi="Times New Roman" w:cs="Times New Roman"/>
                <w:b w:val="0"/>
                <w:color w:val="000000"/>
                <w:sz w:val="18"/>
                <w:szCs w:val="18"/>
              </w:rPr>
            </w:pPr>
            <w:r w:rsidRPr="00BA6F83">
              <w:rPr>
                <w:rFonts w:ascii="Times New Roman" w:eastAsia="Times New Roman" w:hAnsi="Times New Roman" w:cs="Times New Roman"/>
                <w:b w:val="0"/>
                <w:color w:val="000000" w:themeColor="text1"/>
                <w:sz w:val="16"/>
                <w:szCs w:val="16"/>
              </w:rPr>
              <w:t>Note: BEV is the reference for the alternative specific constants.</w:t>
            </w:r>
          </w:p>
        </w:tc>
      </w:tr>
      <w:tr w:rsidR="007701DC" w:rsidRPr="007701DC" w14:paraId="747E0392" w14:textId="77777777" w:rsidTr="00E349C8">
        <w:trPr>
          <w:trHeight w:val="233"/>
        </w:trPr>
        <w:tc>
          <w:tcPr>
            <w:cnfStyle w:val="001000000000" w:firstRow="0" w:lastRow="0" w:firstColumn="1" w:lastColumn="0" w:oddVBand="0" w:evenVBand="0" w:oddHBand="0" w:evenHBand="0" w:firstRowFirstColumn="0" w:firstRowLastColumn="0" w:lastRowFirstColumn="0" w:lastRowLastColumn="0"/>
            <w:tcW w:w="9345" w:type="dxa"/>
            <w:gridSpan w:val="9"/>
            <w:tcBorders>
              <w:top w:val="nil"/>
              <w:bottom w:val="nil"/>
            </w:tcBorders>
          </w:tcPr>
          <w:p w14:paraId="4C4B014F" w14:textId="77777777" w:rsidR="007701DC" w:rsidRPr="007701DC" w:rsidRDefault="007701DC" w:rsidP="007701DC">
            <w:pPr>
              <w:spacing w:before="60"/>
              <w:rPr>
                <w:rFonts w:ascii="Times New Roman" w:eastAsia="Times New Roman" w:hAnsi="Times New Roman" w:cs="Times New Roman"/>
                <w:color w:val="000000" w:themeColor="text1"/>
                <w:sz w:val="16"/>
                <w:szCs w:val="16"/>
              </w:rPr>
            </w:pPr>
          </w:p>
        </w:tc>
      </w:tr>
      <w:bookmarkEnd w:id="79"/>
    </w:tbl>
    <w:p w14:paraId="215BEA02" w14:textId="77777777" w:rsidR="007701DC" w:rsidRPr="00633AB1" w:rsidRDefault="007701DC" w:rsidP="007701DC">
      <w:pPr>
        <w:spacing w:after="120" w:line="240" w:lineRule="auto"/>
        <w:rPr>
          <w:rFonts w:ascii="Times New Roman" w:eastAsia="Times New Roman" w:hAnsi="Times New Roman" w:cs="Times New Roman"/>
          <w:color w:val="000000" w:themeColor="text1"/>
        </w:rPr>
      </w:pPr>
    </w:p>
    <w:p w14:paraId="5E2D0CD7"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Comparing the WTP values in both models, there are some broad similarities of Atlantic Canada to the Leading provinces, but there are some crucial distinctions, which help to explain some of the slow uptake. With respect to various aspects of EVs, households in the Leading model are willing to pay more for public charging time, whereas Atlantic households are more concerned about charging time at home. However, we suspect that when the PEV-oriented households become more advanced in their thinking about EVs, they may pay more attention to public charging time. In the Leading model, the BEV-oriented group is focused on this aspect. However, the PEV-</w:t>
      </w:r>
      <w:r w:rsidRPr="003C3597">
        <w:rPr>
          <w:rFonts w:ascii="Times New Roman" w:hAnsi="Times New Roman" w:cs="Times New Roman"/>
          <w:color w:val="000000"/>
        </w:rPr>
        <w:lastRenderedPageBreak/>
        <w:t>oriented group in the Atlantic model appears to be more sensitive towards charging station availability than households in the Leading model.</w:t>
      </w:r>
    </w:p>
    <w:p w14:paraId="01528434"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Contrary to the Leading model, electric range was not a significant attribute in the Atlantic model where households in the PEV-oriented class were willing to pay about half ($15) the amount that similar households in the Leading model would pay for a kilometer of added range ($31-$32). Alternatively, Atlantic households are more interested in gasoline range than their counterparts in the Leading model. The reason that electric range is less highly valued in the Atlantic model may be that Atlantic Canadians in general drive less (or at least less far) as there are no sprawling metros, and this may affect perceptions about gasoline versus electric range.</w:t>
      </w:r>
    </w:p>
    <w:p w14:paraId="55A6682D"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Concerning battery warranty, Atlantic PEV-oriented households are willing to pay an additional $1,726 to improve the warranty by one level. While this is somewhat lower compared to the PHEV-oriented class in the Leading model, it is much higher than that of the BEV-oriented class, which is willing to pay only $433.</w:t>
      </w:r>
    </w:p>
    <w:p w14:paraId="6BF76368"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Free parking was insignificant for Atlantic Canadians while it was an important attribute in the Leading model with $2,172 and $3,934 WTP, respectively, for the PHEV- and BEV-oriented groups. The very low WTP value for free parking in Atlantic Canada compared to the values in the Leading model is most probably due to parking being less expensive in Atlantic Canada than in the larger urban centers in the Leading provinces (Ontario and British Columbia). Cash incentive was also a more important attribute in the Leading model compared to the WTP measures in the Atlantic model. Furthermore, the Atlantic Canada plug-in oriented class discounts the importance of a cash </w:t>
      </w:r>
      <w:r w:rsidRPr="003C3597">
        <w:rPr>
          <w:rFonts w:ascii="Times New Roman" w:hAnsi="Times New Roman" w:cs="Times New Roman"/>
          <w:color w:val="000000"/>
        </w:rPr>
        <w:lastRenderedPageBreak/>
        <w:t>incentive by almost half of its value – that is, such households are only willing to pay $510 for every $1000 of cash incentive.</w:t>
      </w:r>
    </w:p>
    <w:p w14:paraId="0CAD8904" w14:textId="610B8F6E" w:rsidR="003C3597" w:rsidRPr="0014385C" w:rsidRDefault="003C3597" w:rsidP="00E1100F">
      <w:pPr>
        <w:pStyle w:val="Heading2"/>
        <w:numPr>
          <w:ilvl w:val="1"/>
          <w:numId w:val="11"/>
        </w:numPr>
        <w:rPr>
          <w:rFonts w:ascii="Times New Roman" w:hAnsi="Times New Roman"/>
          <w:bCs/>
          <w:color w:val="000000"/>
        </w:rPr>
      </w:pPr>
      <w:bookmarkStart w:id="81" w:name="_Toc528650882"/>
      <w:r w:rsidRPr="0014385C">
        <w:rPr>
          <w:rFonts w:ascii="Times New Roman" w:hAnsi="Times New Roman"/>
          <w:bCs/>
          <w:color w:val="000000"/>
        </w:rPr>
        <w:t xml:space="preserve">Discussion and </w:t>
      </w:r>
      <w:r w:rsidR="000D6C5D">
        <w:rPr>
          <w:rFonts w:ascii="Times New Roman" w:hAnsi="Times New Roman"/>
          <w:bCs/>
          <w:color w:val="000000"/>
        </w:rPr>
        <w:t>c</w:t>
      </w:r>
      <w:r w:rsidRPr="0014385C">
        <w:rPr>
          <w:rFonts w:ascii="Times New Roman" w:hAnsi="Times New Roman"/>
          <w:bCs/>
          <w:color w:val="000000"/>
        </w:rPr>
        <w:t>onclusions</w:t>
      </w:r>
      <w:bookmarkEnd w:id="81"/>
      <w:r w:rsidRPr="0014385C">
        <w:rPr>
          <w:rFonts w:ascii="Times New Roman" w:hAnsi="Times New Roman"/>
          <w:bCs/>
          <w:color w:val="000000"/>
        </w:rPr>
        <w:t xml:space="preserve"> </w:t>
      </w:r>
    </w:p>
    <w:p w14:paraId="786E1838" w14:textId="4002B980"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This paper provides evidence on the choice of vehicle powertrain among households of a lagging adoption region (Atlantic Canada) in relation to leading adoption provinces (Ontario and British Columbia). The study uses socioeconomic, attitudinal, and stated preference data obtained from SPACE, a 2015 national survey. The parameters of a latent class model ha</w:t>
      </w:r>
      <w:r w:rsidR="000D6C5D">
        <w:rPr>
          <w:rFonts w:ascii="Times New Roman" w:hAnsi="Times New Roman" w:cs="Times New Roman"/>
          <w:color w:val="000000"/>
        </w:rPr>
        <w:t>ve</w:t>
      </w:r>
      <w:r w:rsidRPr="003C3597">
        <w:rPr>
          <w:rFonts w:ascii="Times New Roman" w:hAnsi="Times New Roman" w:cs="Times New Roman"/>
          <w:color w:val="000000"/>
        </w:rPr>
        <w:t xml:space="preserve"> helped to garner insights about how personal perceptions towards various attributes and </w:t>
      </w:r>
      <w:r w:rsidR="000D6C5D">
        <w:rPr>
          <w:rFonts w:ascii="Times New Roman" w:hAnsi="Times New Roman" w:cs="Times New Roman"/>
          <w:color w:val="000000"/>
        </w:rPr>
        <w:t>cash and non-cash incentives</w:t>
      </w:r>
      <w:r w:rsidR="000D6C5D" w:rsidRPr="003C3597">
        <w:rPr>
          <w:rFonts w:ascii="Times New Roman" w:hAnsi="Times New Roman" w:cs="Times New Roman"/>
          <w:color w:val="000000"/>
        </w:rPr>
        <w:t xml:space="preserve"> </w:t>
      </w:r>
      <w:r w:rsidRPr="003C3597">
        <w:rPr>
          <w:rFonts w:ascii="Times New Roman" w:hAnsi="Times New Roman" w:cs="Times New Roman"/>
          <w:color w:val="000000"/>
        </w:rPr>
        <w:t>shape the choice of vehicle type in Atlantic Canada.</w:t>
      </w:r>
    </w:p>
    <w:p w14:paraId="32A41E45" w14:textId="337C8EEC"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With respect to vehicle attributes, high purchase price, limited charging stations, and long charging time either at home or at public stations are negatively perceived among potential Atlantic EV consumers. Also, households are sensitive to financial incentives targeting EV buyers meaning that EVs are </w:t>
      </w:r>
      <w:r w:rsidR="000D6C5D">
        <w:rPr>
          <w:rFonts w:ascii="Times New Roman" w:hAnsi="Times New Roman" w:cs="Times New Roman"/>
          <w:color w:val="000000"/>
        </w:rPr>
        <w:t>to some extent</w:t>
      </w:r>
      <w:r w:rsidR="000D6C5D" w:rsidRPr="003C3597">
        <w:rPr>
          <w:rFonts w:ascii="Times New Roman" w:hAnsi="Times New Roman" w:cs="Times New Roman"/>
          <w:color w:val="000000"/>
        </w:rPr>
        <w:t xml:space="preserve"> </w:t>
      </w:r>
      <w:r w:rsidRPr="003C3597">
        <w:rPr>
          <w:rFonts w:ascii="Times New Roman" w:hAnsi="Times New Roman" w:cs="Times New Roman"/>
          <w:color w:val="000000"/>
        </w:rPr>
        <w:t>an incentive-driven product to become competitive with gasoline vehicles in Atlantic Canada (as we write this paper, there are no cash incentives offered to EV buyers in this region). Provincial incentives are indeed among the most important components of the differing adoption rates across regions in Canada. Related to this is the lack of a major metropolitan area or a “core area” in Atlantic Canada where an EV diffusion process can gain a foothold.</w:t>
      </w:r>
    </w:p>
    <w:p w14:paraId="5D2A15B5" w14:textId="4C83BDD7" w:rsidR="003C3597" w:rsidRPr="003C3597" w:rsidRDefault="000D6C5D" w:rsidP="003C3597">
      <w:pPr>
        <w:rPr>
          <w:rFonts w:ascii="Times New Roman" w:hAnsi="Times New Roman" w:cs="Times New Roman"/>
          <w:color w:val="000000"/>
        </w:rPr>
      </w:pPr>
      <w:r>
        <w:rPr>
          <w:rFonts w:ascii="Times New Roman" w:hAnsi="Times New Roman" w:cs="Times New Roman"/>
          <w:color w:val="000000"/>
        </w:rPr>
        <w:lastRenderedPageBreak/>
        <w:t>The quality of the b</w:t>
      </w:r>
      <w:r w:rsidR="003C3597" w:rsidRPr="003C3597">
        <w:rPr>
          <w:rFonts w:ascii="Times New Roman" w:hAnsi="Times New Roman" w:cs="Times New Roman"/>
          <w:color w:val="000000"/>
        </w:rPr>
        <w:t>attery warranty and fast acceleration of EVs are also positively perceived among Atlantic consumers, while driving range is not a significant attribute. Atlantic households are not sensitive towards minimized maintenance cost and non-cash incentives including free parking for EV owners. While both home and public charging time are negatively perceived among Atlantic households, people in the PEV-oriented class are more sensitive towards charging time at home.</w:t>
      </w:r>
    </w:p>
    <w:p w14:paraId="328F9606"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In the Leading model, a distinct class for BEV-oriented households was able to form. In Atlantic Canada, this was not the case. The BEV-oriented class in the Leading model possessed some characteristics that were not present or observed in the Atlantic sample. For instance, the Leading BEV-oriented class was associated with fairly intense urbanization of some large metropolitan areas, which is not occurring in Atlantic Canada. Our trials showed that a 4</w:t>
      </w:r>
      <w:r w:rsidRPr="003C3597">
        <w:rPr>
          <w:rFonts w:ascii="Times New Roman" w:hAnsi="Times New Roman" w:cs="Times New Roman"/>
          <w:color w:val="000000"/>
          <w:vertAlign w:val="superscript"/>
        </w:rPr>
        <w:t>th</w:t>
      </w:r>
      <w:r w:rsidRPr="003C3597">
        <w:rPr>
          <w:rFonts w:ascii="Times New Roman" w:hAnsi="Times New Roman" w:cs="Times New Roman"/>
          <w:color w:val="000000"/>
        </w:rPr>
        <w:t xml:space="preserve"> Atlantic latent class was not BEV-oriented, most probably due to a higher level of uncertainty of the Atlantic sample about EVs. The complete current and historical absence of government incentives may provide some explanations for that. Related to this are themes of remoteness being a factor. There is evidence that the most remote province, Newfoundland and Labrador, is quite ICE-oriented relative to the rest of Atlantic Canada and meanwhile, Atlantic Canada itself is remote compared to Canada’s urban heartland.</w:t>
      </w:r>
    </w:p>
    <w:p w14:paraId="497B32C7" w14:textId="02009F42"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The class membership results show that there is a larger HEV orientation in Atlantic Canada – 30% as opposed to 20% in the Leading model. However, plug-in classes (PHEV- and BEV-oriented) account for a total of 40% in the Leading model, but only 30% in Atlantic Canada. Hence, </w:t>
      </w:r>
      <w:r w:rsidRPr="003C3597">
        <w:rPr>
          <w:rFonts w:ascii="Times New Roman" w:hAnsi="Times New Roman" w:cs="Times New Roman"/>
          <w:color w:val="000000"/>
        </w:rPr>
        <w:lastRenderedPageBreak/>
        <w:t>the plug-in orientation is simply less prevalent in Atlantic Canada. The ICE-oriented class (40%) remains the same as the Leading model.</w:t>
      </w:r>
    </w:p>
    <w:p w14:paraId="1657EAE4"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Despite the very low penetration level of EVs, there is widespread openness to the idea of electric vehicles in Atlantic Canada. As to why the existing market shares is nothing close to these numbers, it cannot be said that uptake is low because people are unreceptive to electric vehicles. Based on the results, a good share of households ARE indeed receptive, though not to the extent of the leading English-speaking adoption provinces in Canada. However, the results suggest that receptive people exhibit less conviction and perhaps more uncertainty about EVs than the similar group in the Leading model.</w:t>
      </w:r>
    </w:p>
    <w:p w14:paraId="45DAE433"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The main obstacles to the widespread adoption of EVs can be explained as higher purchase prices of PHEVs and BEVs relative to ICE, lack of financial incentives, limited exposure to EVs, and inadequate charging stations across the Atlantic provinces. For instance, at the time of writing, there are only two fast chargers built in the province of Nova Scotia. Other barriers include limited public awareness and knowledge about EVs, lack of supply and service providers at local dealerships, and lack of a supportive market strategy.</w:t>
      </w:r>
    </w:p>
    <w:p w14:paraId="79715B48"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 xml:space="preserve">Receptivity in Atlantic Canada is demonstrated by a large PEV-oriented class, which is more upscale, better educated, and younger with progressive attitudes. Since this class has a high share of younger people who are less established, income does not differentiate well. These results can be used to target specific population segments for EV marketing and to take prioritized provincial actions to accelerate EV uptake in Atlantic Canada. For instance, younger adults and </w:t>
      </w:r>
      <w:r w:rsidRPr="003C3597">
        <w:rPr>
          <w:rFonts w:ascii="Times New Roman" w:hAnsi="Times New Roman" w:cs="Times New Roman"/>
          <w:color w:val="000000"/>
        </w:rPr>
        <w:lastRenderedPageBreak/>
        <w:t>educated people are a good target, but income and homeownership may be less important than one might expect.</w:t>
      </w:r>
    </w:p>
    <w:p w14:paraId="0CC7C26F" w14:textId="77777777" w:rsidR="003C3597" w:rsidRPr="003C3597" w:rsidRDefault="003C3597" w:rsidP="003C3597">
      <w:pPr>
        <w:rPr>
          <w:rFonts w:ascii="Times New Roman" w:hAnsi="Times New Roman" w:cs="Times New Roman"/>
          <w:color w:val="000000"/>
        </w:rPr>
      </w:pPr>
      <w:r w:rsidRPr="003C3597">
        <w:rPr>
          <w:rFonts w:ascii="Times New Roman" w:hAnsi="Times New Roman" w:cs="Times New Roman"/>
          <w:color w:val="000000"/>
        </w:rPr>
        <w:t>We should acknowledge that the present work is limited to the stated preference responses of potential consumers. More qualitative research methods such as research groups or interviews can add further insights to better understand what makes regions like Atlantic Canada lag behind. Future studies can focus on other lagging adoption regions in Canada (e.g., the Prairies) and also worldwide to gain more insights towards the EV mindsets in those regions and to provide context for comparing the results.</w:t>
      </w:r>
    </w:p>
    <w:p w14:paraId="667AD7BE" w14:textId="77777777" w:rsidR="003C3597" w:rsidRPr="002262DB" w:rsidRDefault="003C3597" w:rsidP="00E1100F">
      <w:pPr>
        <w:pStyle w:val="ListParagraph"/>
        <w:numPr>
          <w:ilvl w:val="1"/>
          <w:numId w:val="11"/>
        </w:numPr>
        <w:outlineLvl w:val="1"/>
        <w:rPr>
          <w:rFonts w:ascii="Times New Roman" w:hAnsi="Times New Roman" w:cs="Times New Roman"/>
          <w:b/>
          <w:bCs/>
          <w:color w:val="000000"/>
        </w:rPr>
      </w:pPr>
      <w:bookmarkStart w:id="82" w:name="_Toc528650883"/>
      <w:r w:rsidRPr="002262DB">
        <w:rPr>
          <w:rFonts w:ascii="Times New Roman" w:hAnsi="Times New Roman" w:cs="Times New Roman"/>
          <w:b/>
          <w:bCs/>
          <w:color w:val="000000"/>
        </w:rPr>
        <w:t>Acknowledgements</w:t>
      </w:r>
      <w:bookmarkEnd w:id="82"/>
    </w:p>
    <w:p w14:paraId="548FC0C7" w14:textId="5654795F" w:rsidR="006777C1" w:rsidRPr="008A1CD2" w:rsidRDefault="003C3597" w:rsidP="008A1CD2">
      <w:pPr>
        <w:spacing w:after="0"/>
        <w:rPr>
          <w:rFonts w:ascii="Times New Roman" w:hAnsi="Times New Roman" w:cs="Times New Roman"/>
          <w:color w:val="000000"/>
        </w:rPr>
      </w:pPr>
      <w:r w:rsidRPr="003C3597">
        <w:rPr>
          <w:rFonts w:ascii="Times New Roman" w:hAnsi="Times New Roman" w:cs="Times New Roman"/>
          <w:color w:val="000000"/>
        </w:rPr>
        <w:t>We would like to thank the editor</w:t>
      </w:r>
      <w:r w:rsidR="000D6C5D">
        <w:rPr>
          <w:rFonts w:ascii="Times New Roman" w:hAnsi="Times New Roman" w:cs="Times New Roman"/>
          <w:color w:val="000000"/>
        </w:rPr>
        <w:t xml:space="preserve"> </w:t>
      </w:r>
      <w:r w:rsidR="000D6C5D" w:rsidRPr="005B0597">
        <w:rPr>
          <w:rFonts w:ascii="Times New Roman" w:hAnsi="Times New Roman" w:cs="Times New Roman"/>
          <w:color w:val="000000"/>
        </w:rPr>
        <w:t>(Dr. David Keeling)</w:t>
      </w:r>
      <w:r w:rsidRPr="003C3597">
        <w:rPr>
          <w:rFonts w:ascii="Times New Roman" w:hAnsi="Times New Roman" w:cs="Times New Roman"/>
          <w:color w:val="000000"/>
        </w:rPr>
        <w:t xml:space="preserve"> and two anonymous reviewers for providing insightful comments to improve our paper.</w:t>
      </w:r>
      <w:r w:rsidR="006777C1">
        <w:rPr>
          <w:rFonts w:ascii="Times New Roman" w:hAnsi="Times New Roman" w:cs="Times New Roman"/>
          <w:color w:val="000000"/>
        </w:rPr>
        <w:t xml:space="preserve"> </w:t>
      </w:r>
      <w:r w:rsidR="006777C1" w:rsidRPr="008A1CD2">
        <w:rPr>
          <w:rFonts w:ascii="Times New Roman" w:hAnsi="Times New Roman" w:cs="Times New Roman"/>
          <w:color w:val="000000"/>
        </w:rPr>
        <w:t>This work was supported by the Social Sciences and Humanities Research Council of Canada (Grant Number 886-2013-0001).</w:t>
      </w:r>
    </w:p>
    <w:p w14:paraId="11B36F70" w14:textId="041FD735" w:rsidR="003C3597" w:rsidRDefault="003C3597" w:rsidP="008A1CD2">
      <w:pPr>
        <w:rPr>
          <w:rFonts w:ascii="Times New Roman" w:hAnsi="Times New Roman" w:cs="Times New Roman"/>
          <w:color w:val="000000"/>
        </w:rPr>
      </w:pPr>
    </w:p>
    <w:p w14:paraId="2BC6E63E" w14:textId="77777777" w:rsidR="00CB0C16" w:rsidRDefault="00CB0C16" w:rsidP="003C3597">
      <w:pPr>
        <w:rPr>
          <w:rFonts w:ascii="Times New Roman" w:hAnsi="Times New Roman" w:cs="Times New Roman"/>
          <w:color w:val="000000"/>
        </w:rPr>
      </w:pPr>
    </w:p>
    <w:p w14:paraId="087BA81A" w14:textId="77777777" w:rsidR="00CB0C16" w:rsidRDefault="00CB0C16" w:rsidP="003C3597">
      <w:pPr>
        <w:rPr>
          <w:rFonts w:ascii="Times New Roman" w:hAnsi="Times New Roman" w:cs="Times New Roman"/>
          <w:color w:val="000000"/>
        </w:rPr>
      </w:pPr>
    </w:p>
    <w:p w14:paraId="0AEC9D2E" w14:textId="77777777" w:rsidR="00CB0C16" w:rsidRDefault="00CB0C16" w:rsidP="003C3597">
      <w:pPr>
        <w:rPr>
          <w:rFonts w:ascii="Times New Roman" w:hAnsi="Times New Roman" w:cs="Times New Roman"/>
          <w:color w:val="000000"/>
        </w:rPr>
      </w:pPr>
    </w:p>
    <w:p w14:paraId="325695E0" w14:textId="77777777" w:rsidR="00CB0C16" w:rsidRDefault="00CB0C16" w:rsidP="003C3597">
      <w:pPr>
        <w:rPr>
          <w:rFonts w:ascii="Times New Roman" w:hAnsi="Times New Roman" w:cs="Times New Roman"/>
          <w:color w:val="000000"/>
        </w:rPr>
      </w:pPr>
    </w:p>
    <w:p w14:paraId="285892EC" w14:textId="77777777" w:rsidR="00CB0C16" w:rsidRPr="003C3597" w:rsidRDefault="00CB0C16" w:rsidP="003C3597">
      <w:pPr>
        <w:rPr>
          <w:rFonts w:ascii="Times New Roman" w:hAnsi="Times New Roman" w:cs="Times New Roman"/>
          <w:color w:val="000000"/>
        </w:rPr>
      </w:pPr>
    </w:p>
    <w:p w14:paraId="69092E3D" w14:textId="77777777" w:rsidR="003C3597" w:rsidRPr="002262DB" w:rsidRDefault="003C3597" w:rsidP="00E1100F">
      <w:pPr>
        <w:pStyle w:val="ListParagraph"/>
        <w:numPr>
          <w:ilvl w:val="1"/>
          <w:numId w:val="11"/>
        </w:numPr>
        <w:outlineLvl w:val="1"/>
        <w:rPr>
          <w:rFonts w:ascii="Times New Roman" w:hAnsi="Times New Roman" w:cs="Times New Roman"/>
          <w:b/>
          <w:bCs/>
          <w:color w:val="000000"/>
        </w:rPr>
      </w:pPr>
      <w:bookmarkStart w:id="83" w:name="_Toc528650884"/>
      <w:r w:rsidRPr="002262DB">
        <w:rPr>
          <w:rFonts w:ascii="Times New Roman" w:hAnsi="Times New Roman" w:cs="Times New Roman"/>
          <w:b/>
          <w:bCs/>
          <w:color w:val="000000"/>
        </w:rPr>
        <w:lastRenderedPageBreak/>
        <w:t>References</w:t>
      </w:r>
      <w:bookmarkEnd w:id="83"/>
    </w:p>
    <w:p w14:paraId="29569557" w14:textId="168661B7" w:rsidR="00C57385" w:rsidRDefault="00C57385" w:rsidP="005B0597">
      <w:pPr>
        <w:spacing w:line="360" w:lineRule="auto"/>
        <w:ind w:firstLine="0"/>
        <w:rPr>
          <w:rFonts w:ascii="Times New Roman" w:hAnsi="Times New Roman" w:cs="Times New Roman"/>
          <w:color w:val="000000"/>
        </w:rPr>
      </w:pPr>
      <w:r w:rsidRPr="005B0597">
        <w:rPr>
          <w:rFonts w:ascii="Times New Roman" w:hAnsi="Times New Roman" w:cs="Times New Roman"/>
          <w:color w:val="000000"/>
        </w:rPr>
        <w:t>Abotalebi, E., Ferguson, M.R., Mohamed,</w:t>
      </w:r>
      <w:r>
        <w:rPr>
          <w:rFonts w:ascii="Times New Roman" w:hAnsi="Times New Roman" w:cs="Times New Roman"/>
          <w:color w:val="000000"/>
        </w:rPr>
        <w:t xml:space="preserve"> </w:t>
      </w:r>
      <w:r w:rsidRPr="005B0597">
        <w:rPr>
          <w:rFonts w:ascii="Times New Roman" w:hAnsi="Times New Roman" w:cs="Times New Roman"/>
          <w:color w:val="000000"/>
        </w:rPr>
        <w:t>M., and Scott, D.M.</w:t>
      </w:r>
      <w:r>
        <w:rPr>
          <w:rFonts w:ascii="Times New Roman" w:hAnsi="Times New Roman" w:cs="Times New Roman"/>
          <w:color w:val="000000"/>
        </w:rPr>
        <w:t xml:space="preserve"> 2018</w:t>
      </w:r>
      <w:r w:rsidRPr="00122632">
        <w:rPr>
          <w:rFonts w:ascii="Times New Roman" w:hAnsi="Times New Roman" w:cs="Times New Roman"/>
          <w:color w:val="000000"/>
        </w:rPr>
        <w:t>.</w:t>
      </w:r>
      <w:r w:rsidRPr="005B0597">
        <w:rPr>
          <w:rFonts w:ascii="Times New Roman" w:hAnsi="Times New Roman" w:cs="Times New Roman"/>
          <w:color w:val="000000"/>
        </w:rPr>
        <w:t xml:space="preserve"> Design of a survey to assess prospects for consumer electric mobility in Canada: a retrospective</w:t>
      </w:r>
      <w:r>
        <w:rPr>
          <w:rFonts w:ascii="Times New Roman" w:hAnsi="Times New Roman" w:cs="Times New Roman"/>
          <w:color w:val="000000"/>
        </w:rPr>
        <w:t xml:space="preserve"> </w:t>
      </w:r>
      <w:r w:rsidRPr="005B0597">
        <w:rPr>
          <w:rFonts w:ascii="Times New Roman" w:hAnsi="Times New Roman" w:cs="Times New Roman"/>
          <w:color w:val="000000"/>
        </w:rPr>
        <w:t>appraisal, Transportation,</w:t>
      </w:r>
      <w:r>
        <w:rPr>
          <w:rFonts w:ascii="Times New Roman" w:hAnsi="Times New Roman" w:cs="Times New Roman"/>
          <w:color w:val="000000"/>
        </w:rPr>
        <w:t xml:space="preserve"> 1-28.</w:t>
      </w:r>
      <w:r w:rsidRPr="005B0597">
        <w:rPr>
          <w:rFonts w:ascii="Times New Roman" w:hAnsi="Times New Roman" w:cs="Times New Roman"/>
          <w:color w:val="000000"/>
        </w:rPr>
        <w:t xml:space="preserve"> </w:t>
      </w:r>
    </w:p>
    <w:p w14:paraId="203FD771" w14:textId="79ABEF89" w:rsidR="003C3597" w:rsidRPr="00C57385" w:rsidRDefault="003C3597" w:rsidP="005B0597">
      <w:pPr>
        <w:spacing w:line="360" w:lineRule="auto"/>
        <w:ind w:firstLine="0"/>
        <w:rPr>
          <w:rFonts w:ascii="Times New Roman" w:hAnsi="Times New Roman" w:cs="Times New Roman"/>
          <w:color w:val="000000"/>
        </w:rPr>
      </w:pPr>
      <w:r w:rsidRPr="00C57385">
        <w:rPr>
          <w:rFonts w:ascii="Times New Roman" w:hAnsi="Times New Roman" w:cs="Times New Roman"/>
          <w:color w:val="000000"/>
        </w:rPr>
        <w:t>Achtnicht, M. 2011. German car buyers’ willingness to pay to reduce CO</w:t>
      </w:r>
      <w:r w:rsidRPr="005B0597">
        <w:rPr>
          <w:rFonts w:ascii="Times New Roman" w:hAnsi="Times New Roman" w:cs="Times New Roman"/>
          <w:color w:val="000000"/>
        </w:rPr>
        <w:t>2</w:t>
      </w:r>
      <w:r w:rsidRPr="00C57385">
        <w:rPr>
          <w:rFonts w:ascii="Times New Roman" w:hAnsi="Times New Roman" w:cs="Times New Roman"/>
          <w:color w:val="000000"/>
        </w:rPr>
        <w:t xml:space="preserve"> emissions. Climatic Change 113, 679–697.</w:t>
      </w:r>
    </w:p>
    <w:p w14:paraId="4C38D880" w14:textId="77777777" w:rsidR="003C3597" w:rsidRPr="003C3597" w:rsidRDefault="003C3597" w:rsidP="00E349C8">
      <w:pPr>
        <w:spacing w:line="360" w:lineRule="auto"/>
        <w:ind w:firstLine="0"/>
        <w:rPr>
          <w:rFonts w:ascii="Times New Roman" w:hAnsi="Times New Roman" w:cs="Times New Roman"/>
          <w:color w:val="000000"/>
        </w:rPr>
      </w:pPr>
      <w:r w:rsidRPr="003C3597">
        <w:rPr>
          <w:rFonts w:ascii="Times New Roman" w:hAnsi="Times New Roman" w:cs="Times New Roman"/>
          <w:color w:val="000000"/>
        </w:rPr>
        <w:t>Axsen, J., Bailey, J., and Castro, M.A. 2015. Preference and lifestyle heterogeneity among potential plug-in electric vehicle buyers. Energy Economics 50, 190–201.</w:t>
      </w:r>
    </w:p>
    <w:p w14:paraId="3BD68728" w14:textId="77777777" w:rsidR="003C3597" w:rsidRPr="003C3597" w:rsidRDefault="003C3597" w:rsidP="00E349C8">
      <w:pPr>
        <w:spacing w:line="360" w:lineRule="auto"/>
        <w:ind w:firstLine="0"/>
        <w:rPr>
          <w:rFonts w:ascii="Times New Roman" w:hAnsi="Times New Roman" w:cs="Times New Roman"/>
          <w:color w:val="000000"/>
        </w:rPr>
      </w:pPr>
      <w:r w:rsidRPr="003C3597">
        <w:rPr>
          <w:rFonts w:ascii="Times New Roman" w:hAnsi="Times New Roman" w:cs="Times New Roman"/>
          <w:color w:val="000000"/>
        </w:rPr>
        <w:t>Axsen, J., Kurani, K.S. 2013. Hybrid, plug-in hybrid, or electric—What do car buyers want? Energy Policy 61, 532–543.</w:t>
      </w:r>
    </w:p>
    <w:p w14:paraId="300BEF83" w14:textId="77777777" w:rsidR="003C3597" w:rsidRPr="003C3597" w:rsidRDefault="003C3597" w:rsidP="00E349C8">
      <w:pPr>
        <w:spacing w:line="360" w:lineRule="auto"/>
        <w:ind w:firstLine="0"/>
        <w:rPr>
          <w:rFonts w:ascii="Times New Roman" w:hAnsi="Times New Roman" w:cs="Times New Roman"/>
          <w:color w:val="000000"/>
        </w:rPr>
      </w:pPr>
      <w:r w:rsidRPr="003C3597">
        <w:rPr>
          <w:rFonts w:ascii="Times New Roman" w:hAnsi="Times New Roman" w:cs="Times New Roman"/>
          <w:color w:val="000000"/>
        </w:rPr>
        <w:t>Bailey, J., Amy Miele, A., Axsen, J. 2015. Is awareness of public charging associated with consumer interest in plug-in electric vehicles? Transportation Research Part D: Transport and Environment 36, 1–9.</w:t>
      </w:r>
    </w:p>
    <w:p w14:paraId="54F0303B" w14:textId="77777777" w:rsidR="003C3597" w:rsidRPr="003C3597" w:rsidRDefault="003C3597" w:rsidP="00E349C8">
      <w:pPr>
        <w:spacing w:line="360" w:lineRule="auto"/>
        <w:ind w:firstLine="0"/>
        <w:rPr>
          <w:rFonts w:ascii="Times New Roman" w:hAnsi="Times New Roman" w:cs="Times New Roman"/>
          <w:color w:val="000000"/>
        </w:rPr>
      </w:pPr>
      <w:r w:rsidRPr="003C3597">
        <w:rPr>
          <w:rFonts w:ascii="Times New Roman" w:hAnsi="Times New Roman" w:cs="Times New Roman"/>
          <w:color w:val="000000"/>
        </w:rPr>
        <w:t>Beck, M.J., Rose, J.M. Hensher, D.A. 2013. Environmental attitudes and emissions charging: an example of policy implications for vehicle choice. Transportation Research Part A: Policy and Practice 50, 171–182.</w:t>
      </w:r>
    </w:p>
    <w:p w14:paraId="1D7737C1" w14:textId="77777777" w:rsidR="003C3597" w:rsidRPr="003C3597" w:rsidRDefault="003C3597" w:rsidP="00E349C8">
      <w:pPr>
        <w:spacing w:line="360" w:lineRule="auto"/>
        <w:ind w:firstLine="0"/>
        <w:rPr>
          <w:rFonts w:ascii="Times New Roman" w:hAnsi="Times New Roman" w:cs="Times New Roman"/>
          <w:color w:val="000000"/>
        </w:rPr>
      </w:pPr>
      <w:r w:rsidRPr="003C3597">
        <w:rPr>
          <w:rFonts w:ascii="Times New Roman" w:hAnsi="Times New Roman" w:cs="Times New Roman"/>
          <w:color w:val="000000"/>
        </w:rPr>
        <w:t>Bjerkan, K.Y., Nørbech, T.E., Nordtømme, M.E. 2016. Incentives for promoting battery electric vehicle (BEV) adoption in Norway. Transportation Research Part D: Transport and Environment 43, 169–180.</w:t>
      </w:r>
    </w:p>
    <w:p w14:paraId="01A2A54F" w14:textId="77777777" w:rsidR="003C3597" w:rsidRPr="003C3597" w:rsidRDefault="003C3597" w:rsidP="00E349C8">
      <w:pPr>
        <w:spacing w:line="360" w:lineRule="auto"/>
        <w:ind w:firstLine="0"/>
        <w:rPr>
          <w:rFonts w:ascii="Times New Roman" w:hAnsi="Times New Roman" w:cs="Times New Roman"/>
          <w:color w:val="000000"/>
        </w:rPr>
      </w:pPr>
      <w:r w:rsidRPr="003C3597">
        <w:rPr>
          <w:rFonts w:ascii="Times New Roman" w:hAnsi="Times New Roman" w:cs="Times New Roman"/>
          <w:color w:val="000000"/>
        </w:rPr>
        <w:t>Bliemer, M.C.J., Rose, J.M. 2011. Experimental design influences on stated choice outputs: an empirical study in air travel choice. Transportation Research Part A: Policy and Practice 45, 63–79.</w:t>
      </w:r>
    </w:p>
    <w:p w14:paraId="57AC7208" w14:textId="77777777" w:rsidR="003C3597" w:rsidRPr="003C3597" w:rsidRDefault="003C3597" w:rsidP="00E349C8">
      <w:pPr>
        <w:spacing w:line="360" w:lineRule="auto"/>
        <w:ind w:firstLine="0"/>
        <w:rPr>
          <w:rFonts w:ascii="Times New Roman" w:hAnsi="Times New Roman" w:cs="Times New Roman"/>
          <w:color w:val="000000"/>
        </w:rPr>
      </w:pPr>
      <w:r w:rsidRPr="003C3597">
        <w:rPr>
          <w:rFonts w:ascii="Times New Roman" w:hAnsi="Times New Roman" w:cs="Times New Roman"/>
          <w:color w:val="000000"/>
        </w:rPr>
        <w:lastRenderedPageBreak/>
        <w:t>Brownstone, D., Bunch, D.S., Train, K. 2000. Joint mixed logit models of stated and revealed preferences for alternative-fuel vehicles. Transportation Research Part B: Methodological 34, 315–338.</w:t>
      </w:r>
    </w:p>
    <w:p w14:paraId="0D9F8ECD" w14:textId="77777777" w:rsidR="003C3597" w:rsidRPr="003C3597" w:rsidRDefault="003C3597" w:rsidP="00E349C8">
      <w:pPr>
        <w:spacing w:line="360" w:lineRule="auto"/>
        <w:ind w:firstLine="0"/>
        <w:rPr>
          <w:rFonts w:ascii="Times New Roman" w:hAnsi="Times New Roman" w:cs="Times New Roman"/>
          <w:color w:val="000000"/>
        </w:rPr>
      </w:pPr>
      <w:r w:rsidRPr="003C3597">
        <w:rPr>
          <w:rFonts w:ascii="Times New Roman" w:hAnsi="Times New Roman" w:cs="Times New Roman"/>
          <w:color w:val="000000"/>
        </w:rPr>
        <w:t>Campbell, A.R., Ryley, T., Thring, R. 2012. Identifying the early adopters of alternative fuel vehicles: a case study of Birmingham, United Kingdom. Transportation Research Part A: Policy and Practice 46, 1318–1327.</w:t>
      </w:r>
    </w:p>
    <w:p w14:paraId="3D361102" w14:textId="77777777" w:rsidR="003C3597" w:rsidRPr="003C3597" w:rsidRDefault="003C3597" w:rsidP="00E349C8">
      <w:pPr>
        <w:spacing w:line="360" w:lineRule="auto"/>
        <w:ind w:firstLine="0"/>
        <w:rPr>
          <w:rFonts w:ascii="Times New Roman" w:hAnsi="Times New Roman" w:cs="Times New Roman"/>
          <w:color w:val="000000"/>
        </w:rPr>
      </w:pPr>
      <w:r w:rsidRPr="003C3597">
        <w:rPr>
          <w:rFonts w:ascii="Times New Roman" w:hAnsi="Times New Roman" w:cs="Times New Roman"/>
          <w:color w:val="000000"/>
        </w:rPr>
        <w:t>Carley, S., Krause, R.M., Lane, B.W., and Graham, J.D. 2013. Intent to purchase a plug-in electric vehicle: a survey of early impressions in large US cites. Transportation Research Part D: Transport and Environment 18, 39–45.</w:t>
      </w:r>
    </w:p>
    <w:p w14:paraId="5E375EF4" w14:textId="77777777" w:rsidR="003C3597" w:rsidRPr="003C3597" w:rsidRDefault="003C3597" w:rsidP="00E349C8">
      <w:pPr>
        <w:spacing w:line="360" w:lineRule="auto"/>
        <w:ind w:firstLine="0"/>
        <w:rPr>
          <w:rFonts w:ascii="Times New Roman" w:hAnsi="Times New Roman" w:cs="Times New Roman"/>
          <w:color w:val="000000"/>
        </w:rPr>
      </w:pPr>
      <w:r w:rsidRPr="003C3597">
        <w:rPr>
          <w:rFonts w:ascii="Times New Roman" w:hAnsi="Times New Roman" w:cs="Times New Roman"/>
          <w:color w:val="000000"/>
        </w:rPr>
        <w:t>Dagsvik, J.K., Wennemo, T., Wetterwald, D.G., Aaberge R. 2002</w:t>
      </w:r>
      <w:r w:rsidRPr="00BA6F83">
        <w:rPr>
          <w:rFonts w:ascii="Times New Roman" w:hAnsi="Times New Roman" w:cs="Times New Roman"/>
        </w:rPr>
        <w:t xml:space="preserve">. </w:t>
      </w:r>
      <w:hyperlink r:id="rId24" w:history="1">
        <w:r w:rsidRPr="00BA6F83">
          <w:rPr>
            <w:rStyle w:val="Hyperlink"/>
            <w:rFonts w:ascii="Times New Roman" w:hAnsi="Times New Roman" w:cs="Times New Roman"/>
            <w:color w:val="auto"/>
            <w:u w:val="none"/>
          </w:rPr>
          <w:t>Potential demand for alternative fuel vehicles</w:t>
        </w:r>
      </w:hyperlink>
      <w:r w:rsidRPr="00BA6F83">
        <w:rPr>
          <w:rFonts w:ascii="Times New Roman" w:hAnsi="Times New Roman" w:cs="Times New Roman"/>
        </w:rPr>
        <w:t xml:space="preserve">. </w:t>
      </w:r>
      <w:r w:rsidRPr="003C3597">
        <w:rPr>
          <w:rFonts w:ascii="Times New Roman" w:hAnsi="Times New Roman" w:cs="Times New Roman"/>
          <w:color w:val="000000"/>
        </w:rPr>
        <w:t>Transportation Research Part B: Methodological 36, 361-384.</w:t>
      </w:r>
    </w:p>
    <w:p w14:paraId="0D429FB2" w14:textId="77777777" w:rsidR="003C3597" w:rsidRPr="003C3597" w:rsidRDefault="003C3597" w:rsidP="00E349C8">
      <w:pPr>
        <w:spacing w:line="360" w:lineRule="auto"/>
        <w:ind w:firstLine="0"/>
        <w:rPr>
          <w:rFonts w:ascii="Times New Roman" w:hAnsi="Times New Roman" w:cs="Times New Roman"/>
          <w:color w:val="000000"/>
        </w:rPr>
      </w:pPr>
      <w:r w:rsidRPr="003C3597">
        <w:rPr>
          <w:rFonts w:ascii="Times New Roman" w:hAnsi="Times New Roman" w:cs="Times New Roman"/>
          <w:color w:val="000000"/>
        </w:rPr>
        <w:t>Ewing, G.O., Sarigöllü, E. 1998. Car fuel-type choice under travel demand management and economic incentives. Transportation Research Part D: Transport and Environment 3, 429–444.</w:t>
      </w:r>
    </w:p>
    <w:p w14:paraId="4FF5161A" w14:textId="77777777" w:rsidR="003C3597" w:rsidRPr="003C3597" w:rsidRDefault="003C3597" w:rsidP="00E349C8">
      <w:pPr>
        <w:spacing w:line="360" w:lineRule="auto"/>
        <w:ind w:firstLine="0"/>
        <w:rPr>
          <w:rFonts w:ascii="Times New Roman" w:hAnsi="Times New Roman" w:cs="Times New Roman"/>
          <w:color w:val="000000"/>
        </w:rPr>
      </w:pPr>
      <w:r w:rsidRPr="003C3597">
        <w:rPr>
          <w:rFonts w:ascii="Times New Roman" w:hAnsi="Times New Roman" w:cs="Times New Roman"/>
          <w:color w:val="000000"/>
        </w:rPr>
        <w:t>Ferguson, M., Mohamed, M., Higgins, C.D., Abotalebi, E., Kanaroglou, P. 2018. How open are Canadian households to electric vehicles? A national latent class choice analysis with willingness-to-pay and metropolitan characterization. Transportation Research Part D: Transport and Environment 58, 208–224.</w:t>
      </w:r>
    </w:p>
    <w:p w14:paraId="085DC442" w14:textId="77777777" w:rsidR="003C3597" w:rsidRPr="003C3597" w:rsidRDefault="003C3597" w:rsidP="00E349C8">
      <w:pPr>
        <w:spacing w:line="360" w:lineRule="auto"/>
        <w:ind w:firstLine="0"/>
        <w:rPr>
          <w:rFonts w:ascii="Times New Roman" w:hAnsi="Times New Roman" w:cs="Times New Roman"/>
          <w:color w:val="000000"/>
        </w:rPr>
      </w:pPr>
      <w:r w:rsidRPr="003C3597">
        <w:rPr>
          <w:rFonts w:ascii="Times New Roman" w:hAnsi="Times New Roman" w:cs="Times New Roman"/>
          <w:color w:val="000000"/>
        </w:rPr>
        <w:t>Franke, T., Krems, J.F. 2013. What drives range preferences in electric vehicle users? Transport Policy 30, 56–62.</w:t>
      </w:r>
    </w:p>
    <w:p w14:paraId="103EBF2B" w14:textId="77777777" w:rsidR="003C3597" w:rsidRPr="003C3597" w:rsidRDefault="003C3597" w:rsidP="00E349C8">
      <w:pPr>
        <w:spacing w:line="360" w:lineRule="auto"/>
        <w:ind w:firstLine="0"/>
        <w:rPr>
          <w:rFonts w:ascii="Times New Roman" w:hAnsi="Times New Roman" w:cs="Times New Roman"/>
          <w:color w:val="000000"/>
        </w:rPr>
      </w:pPr>
      <w:r w:rsidRPr="003C3597">
        <w:rPr>
          <w:rFonts w:ascii="Times New Roman" w:hAnsi="Times New Roman" w:cs="Times New Roman"/>
          <w:color w:val="000000"/>
        </w:rPr>
        <w:t>Hackbarth, A., Madlener, R. 2013. Consumer preferences for alternative fuel vehicles: a discrete choice analysis. Transportation Research Part D: Transport and Environment 25, 5–17.</w:t>
      </w:r>
    </w:p>
    <w:p w14:paraId="52388805" w14:textId="77777777" w:rsidR="003C3597" w:rsidRPr="003C3597" w:rsidRDefault="003C3597" w:rsidP="00E349C8">
      <w:pPr>
        <w:spacing w:line="360" w:lineRule="auto"/>
        <w:ind w:firstLine="0"/>
        <w:rPr>
          <w:rFonts w:ascii="Times New Roman" w:hAnsi="Times New Roman" w:cs="Times New Roman"/>
          <w:color w:val="000000"/>
        </w:rPr>
      </w:pPr>
      <w:r w:rsidRPr="003C3597">
        <w:rPr>
          <w:rFonts w:ascii="Times New Roman" w:hAnsi="Times New Roman" w:cs="Times New Roman"/>
          <w:color w:val="000000"/>
        </w:rPr>
        <w:t>Helveston, J.P., Liu, Y., McDonnell Feit, E., Fuchs, E., Klampfl, E., Michalek, J.J. 2015. Will subsidies drive electric vehicle adoption? Measurin</w:t>
      </w:r>
      <w:r w:rsidR="00FD5D9C">
        <w:rPr>
          <w:rFonts w:ascii="Times New Roman" w:hAnsi="Times New Roman" w:cs="Times New Roman"/>
          <w:color w:val="000000"/>
        </w:rPr>
        <w:t>g consumer preferences in the US</w:t>
      </w:r>
      <w:r w:rsidRPr="003C3597">
        <w:rPr>
          <w:rFonts w:ascii="Times New Roman" w:hAnsi="Times New Roman" w:cs="Times New Roman"/>
          <w:color w:val="000000"/>
        </w:rPr>
        <w:t xml:space="preserve"> and China. Transportation Research Part A: Policy and Practice 73, 96–112.</w:t>
      </w:r>
    </w:p>
    <w:p w14:paraId="5DC718E2" w14:textId="77777777" w:rsidR="003C3597" w:rsidRPr="003C3597" w:rsidRDefault="003C3597" w:rsidP="00E349C8">
      <w:pPr>
        <w:spacing w:line="360" w:lineRule="auto"/>
        <w:ind w:firstLine="0"/>
        <w:rPr>
          <w:rFonts w:ascii="Times New Roman" w:hAnsi="Times New Roman" w:cs="Times New Roman"/>
          <w:color w:val="000000"/>
        </w:rPr>
      </w:pPr>
      <w:r w:rsidRPr="003C3597">
        <w:rPr>
          <w:rFonts w:ascii="Times New Roman" w:hAnsi="Times New Roman" w:cs="Times New Roman"/>
          <w:color w:val="000000"/>
        </w:rPr>
        <w:lastRenderedPageBreak/>
        <w:t>Hensher, D., Rose, J., William, W. 2005. Applied Choice Analysis: A Primer. Cambridge University Press, Cambridge, UK.</w:t>
      </w:r>
    </w:p>
    <w:p w14:paraId="3A12739D" w14:textId="77777777" w:rsidR="003C3597" w:rsidRPr="003C3597" w:rsidRDefault="003C3597" w:rsidP="00E349C8">
      <w:pPr>
        <w:spacing w:line="360" w:lineRule="auto"/>
        <w:ind w:firstLine="0"/>
        <w:rPr>
          <w:rFonts w:ascii="Times New Roman" w:hAnsi="Times New Roman" w:cs="Times New Roman"/>
          <w:color w:val="000000"/>
        </w:rPr>
      </w:pPr>
      <w:r w:rsidRPr="003C3597">
        <w:rPr>
          <w:rFonts w:ascii="Times New Roman" w:hAnsi="Times New Roman" w:cs="Times New Roman"/>
          <w:color w:val="000000"/>
        </w:rPr>
        <w:t>Hidrue, M.K., Parsons, G.R., Kempton, W., Gardner, M.P. 2011. Willingness to pay for electric vehicles and their attributes. Resource and Energy Economics 33, 686–705.</w:t>
      </w:r>
    </w:p>
    <w:p w14:paraId="70EA1BE2" w14:textId="77777777" w:rsidR="003C3597" w:rsidRPr="003C3597" w:rsidRDefault="003C3597" w:rsidP="00E349C8">
      <w:pPr>
        <w:spacing w:line="360" w:lineRule="auto"/>
        <w:ind w:firstLine="0"/>
        <w:rPr>
          <w:rFonts w:ascii="Times New Roman" w:hAnsi="Times New Roman" w:cs="Times New Roman"/>
          <w:color w:val="000000"/>
        </w:rPr>
      </w:pPr>
      <w:r w:rsidRPr="003C3597">
        <w:rPr>
          <w:rFonts w:ascii="Times New Roman" w:hAnsi="Times New Roman" w:cs="Times New Roman"/>
          <w:color w:val="000000"/>
        </w:rPr>
        <w:t>Hoen, A., Koetse, M.J. 2014. A choice experiment on alternative fuel vehicle preferences of private car owners in the Netherlands. Transportation Research Part A: Policy and Practice 61, 199–215.</w:t>
      </w:r>
    </w:p>
    <w:p w14:paraId="603CA2BD" w14:textId="77777777" w:rsidR="003C3597" w:rsidRPr="003C3597" w:rsidRDefault="003C3597" w:rsidP="00E349C8">
      <w:pPr>
        <w:spacing w:line="360" w:lineRule="auto"/>
        <w:ind w:firstLine="0"/>
        <w:rPr>
          <w:rFonts w:ascii="Times New Roman" w:hAnsi="Times New Roman" w:cs="Times New Roman"/>
          <w:color w:val="000000"/>
        </w:rPr>
      </w:pPr>
      <w:r w:rsidRPr="003C3597">
        <w:rPr>
          <w:rFonts w:ascii="Times New Roman" w:hAnsi="Times New Roman" w:cs="Times New Roman"/>
          <w:color w:val="000000"/>
        </w:rPr>
        <w:t>Jensen, A.F., Cherchi, E., de Dios Ortúzar, J. 2014. A long panel survey to elicit variation in preferences and attitudes in the choice of electric vehicles. Transportation 41, 973–993.</w:t>
      </w:r>
    </w:p>
    <w:p w14:paraId="113C0D65" w14:textId="77777777" w:rsidR="003C3597" w:rsidRPr="003C3597" w:rsidRDefault="003C3597" w:rsidP="00E349C8">
      <w:pPr>
        <w:spacing w:line="360" w:lineRule="auto"/>
        <w:ind w:firstLine="0"/>
        <w:rPr>
          <w:rFonts w:ascii="Times New Roman" w:hAnsi="Times New Roman" w:cs="Times New Roman"/>
          <w:color w:val="000000"/>
        </w:rPr>
      </w:pPr>
      <w:r w:rsidRPr="003C3597">
        <w:rPr>
          <w:rFonts w:ascii="Times New Roman" w:hAnsi="Times New Roman" w:cs="Times New Roman"/>
          <w:color w:val="000000"/>
        </w:rPr>
        <w:t>Jensen, A.F., Cherchi, E., Mabit, S.L. 2013. On the stability of preferences and attitudes before and after experiencing an electric vehicle. Transportation Research Part D: Transport and Environment 25, 24–32.</w:t>
      </w:r>
    </w:p>
    <w:p w14:paraId="47DAA246" w14:textId="77777777" w:rsidR="003C3597" w:rsidRPr="003C3597" w:rsidRDefault="003C3597" w:rsidP="00E349C8">
      <w:pPr>
        <w:spacing w:line="360" w:lineRule="auto"/>
        <w:ind w:firstLine="0"/>
        <w:rPr>
          <w:rFonts w:ascii="Times New Roman" w:hAnsi="Times New Roman" w:cs="Times New Roman"/>
          <w:color w:val="000000"/>
        </w:rPr>
      </w:pPr>
      <w:r w:rsidRPr="003C3597">
        <w:rPr>
          <w:rFonts w:ascii="Times New Roman" w:hAnsi="Times New Roman" w:cs="Times New Roman"/>
          <w:color w:val="000000"/>
        </w:rPr>
        <w:t>Khan, M., Kockelman, K.M. 2012. Predicting the market potential of plug-in electric vehicles using multiday GPS data. Energy Policy 46, 225–233.</w:t>
      </w:r>
    </w:p>
    <w:p w14:paraId="29903551" w14:textId="77777777" w:rsidR="003C3597" w:rsidRPr="003C3597" w:rsidRDefault="003C3597" w:rsidP="00E349C8">
      <w:pPr>
        <w:spacing w:line="360" w:lineRule="auto"/>
        <w:ind w:firstLine="0"/>
        <w:rPr>
          <w:rFonts w:ascii="Times New Roman" w:hAnsi="Times New Roman" w:cs="Times New Roman"/>
          <w:color w:val="000000"/>
        </w:rPr>
      </w:pPr>
      <w:r w:rsidRPr="003C3597">
        <w:rPr>
          <w:rFonts w:ascii="Times New Roman" w:hAnsi="Times New Roman" w:cs="Times New Roman"/>
          <w:color w:val="000000"/>
        </w:rPr>
        <w:t xml:space="preserve">Krupa, J.S., Rizzo, D.M., Eppstein, M.J., Lanute, D.B., Gaalema, D.E., Lakkaraju, K., Warrender, C.E. 2014. </w:t>
      </w:r>
      <w:hyperlink r:id="rId25" w:history="1">
        <w:r w:rsidRPr="00BA6F83">
          <w:rPr>
            <w:rStyle w:val="Hyperlink"/>
            <w:rFonts w:ascii="Times New Roman" w:hAnsi="Times New Roman" w:cs="Times New Roman"/>
            <w:color w:val="auto"/>
            <w:u w:val="none"/>
          </w:rPr>
          <w:t>Analysis of a consumer survey on plug-in hybrid electric vehicles</w:t>
        </w:r>
      </w:hyperlink>
      <w:r w:rsidRPr="00BA6F83">
        <w:rPr>
          <w:rFonts w:ascii="Times New Roman" w:hAnsi="Times New Roman" w:cs="Times New Roman"/>
        </w:rPr>
        <w:t xml:space="preserve">. </w:t>
      </w:r>
      <w:hyperlink r:id="rId26" w:history="1">
        <w:r w:rsidRPr="00BA6F83">
          <w:rPr>
            <w:rStyle w:val="Hyperlink"/>
            <w:rFonts w:ascii="Times New Roman" w:hAnsi="Times New Roman" w:cs="Times New Roman"/>
            <w:color w:val="auto"/>
            <w:u w:val="none"/>
          </w:rPr>
          <w:t>Transportation Research Part A: Policy and Practice</w:t>
        </w:r>
      </w:hyperlink>
      <w:r w:rsidRPr="00BA6F83">
        <w:rPr>
          <w:rFonts w:ascii="Times New Roman" w:hAnsi="Times New Roman" w:cs="Times New Roman"/>
        </w:rPr>
        <w:t xml:space="preserve"> 64, </w:t>
      </w:r>
      <w:r w:rsidRPr="003C3597">
        <w:rPr>
          <w:rFonts w:ascii="Times New Roman" w:hAnsi="Times New Roman" w:cs="Times New Roman"/>
          <w:color w:val="000000"/>
        </w:rPr>
        <w:t>14-31.</w:t>
      </w:r>
    </w:p>
    <w:p w14:paraId="1C5A2EC2" w14:textId="77777777" w:rsidR="003C3597" w:rsidRPr="003C3597" w:rsidRDefault="003C3597" w:rsidP="00E349C8">
      <w:pPr>
        <w:spacing w:line="360" w:lineRule="auto"/>
        <w:ind w:firstLine="0"/>
        <w:rPr>
          <w:rFonts w:ascii="Times New Roman" w:hAnsi="Times New Roman" w:cs="Times New Roman"/>
          <w:color w:val="000000"/>
        </w:rPr>
      </w:pPr>
      <w:r w:rsidRPr="003C3597">
        <w:rPr>
          <w:rFonts w:ascii="Times New Roman" w:hAnsi="Times New Roman" w:cs="Times New Roman"/>
          <w:color w:val="000000"/>
        </w:rPr>
        <w:t>Louviere, J., Hensher, D., Joffre Swait, J. 2000. Stated Choice Methods: Analysis and Applications. Cambridge University Press, Cambridge, UK.</w:t>
      </w:r>
    </w:p>
    <w:p w14:paraId="4AC08325" w14:textId="77777777" w:rsidR="003C3597" w:rsidRPr="003C3597" w:rsidRDefault="003C3597" w:rsidP="00E349C8">
      <w:pPr>
        <w:spacing w:line="360" w:lineRule="auto"/>
        <w:ind w:firstLine="0"/>
        <w:rPr>
          <w:rFonts w:ascii="Times New Roman" w:hAnsi="Times New Roman" w:cs="Times New Roman"/>
          <w:color w:val="000000"/>
        </w:rPr>
      </w:pPr>
      <w:r w:rsidRPr="003C3597">
        <w:rPr>
          <w:rFonts w:ascii="Times New Roman" w:hAnsi="Times New Roman" w:cs="Times New Roman"/>
          <w:color w:val="000000"/>
        </w:rPr>
        <w:t>Lutsey, N., Sperling, D. 2012. Regulatory adaptation: accommodating electric vehicles in a petroleum world. Energy Policy 45, 308–316.</w:t>
      </w:r>
    </w:p>
    <w:p w14:paraId="567404E5" w14:textId="77777777" w:rsidR="003C3597" w:rsidRPr="003C3597" w:rsidRDefault="003C3597" w:rsidP="00E349C8">
      <w:pPr>
        <w:spacing w:line="360" w:lineRule="auto"/>
        <w:ind w:firstLine="0"/>
        <w:rPr>
          <w:rFonts w:ascii="Times New Roman" w:hAnsi="Times New Roman" w:cs="Times New Roman"/>
          <w:color w:val="000000"/>
        </w:rPr>
      </w:pPr>
      <w:r w:rsidRPr="003C3597">
        <w:rPr>
          <w:rFonts w:ascii="Times New Roman" w:hAnsi="Times New Roman" w:cs="Times New Roman"/>
          <w:color w:val="000000"/>
        </w:rPr>
        <w:t>Mabit, S.L., Fosgerau, M. 2011. Demand for alternative-fuel vehicles when registration taxes are high. Transportation Research Part D: Transport and Environment 16, 225–231.</w:t>
      </w:r>
    </w:p>
    <w:p w14:paraId="3BECB8F5" w14:textId="77777777" w:rsidR="003C3597" w:rsidRPr="003C3597" w:rsidRDefault="003C3597" w:rsidP="00E349C8">
      <w:pPr>
        <w:spacing w:line="360" w:lineRule="auto"/>
        <w:ind w:firstLine="0"/>
        <w:rPr>
          <w:rFonts w:ascii="Times New Roman" w:hAnsi="Times New Roman" w:cs="Times New Roman"/>
          <w:color w:val="000000"/>
        </w:rPr>
      </w:pPr>
      <w:r w:rsidRPr="003C3597">
        <w:rPr>
          <w:rFonts w:ascii="Times New Roman" w:hAnsi="Times New Roman" w:cs="Times New Roman"/>
          <w:color w:val="000000"/>
        </w:rPr>
        <w:lastRenderedPageBreak/>
        <w:t>Massiani, J. 2015. Cost-benefit analysis of policies for the development of electric vehicles in Germany: methods and results. Transport Policy 38, 19–26.</w:t>
      </w:r>
    </w:p>
    <w:p w14:paraId="03805AD6" w14:textId="77777777" w:rsidR="003C3597" w:rsidRPr="003C3597" w:rsidRDefault="003C3597" w:rsidP="00E349C8">
      <w:pPr>
        <w:spacing w:line="360" w:lineRule="auto"/>
        <w:ind w:firstLine="0"/>
        <w:rPr>
          <w:rFonts w:ascii="Times New Roman" w:hAnsi="Times New Roman" w:cs="Times New Roman"/>
          <w:color w:val="000000"/>
        </w:rPr>
      </w:pPr>
      <w:r w:rsidRPr="003C3597">
        <w:rPr>
          <w:rFonts w:ascii="Times New Roman" w:hAnsi="Times New Roman" w:cs="Times New Roman"/>
          <w:color w:val="000000"/>
        </w:rPr>
        <w:t>Mohamed, M., Higgins, C., Ferguson, M., Kanaroglou, P. 2016. Identifying and characterizing potential electric vehicle adopters in Canada: a two-stage modelling approach. Transport Policy 52, 100–112.</w:t>
      </w:r>
    </w:p>
    <w:p w14:paraId="6E297052" w14:textId="77777777" w:rsidR="003C3597" w:rsidRPr="003C3597" w:rsidRDefault="003C3597" w:rsidP="00E349C8">
      <w:pPr>
        <w:spacing w:line="360" w:lineRule="auto"/>
        <w:ind w:firstLine="0"/>
        <w:rPr>
          <w:rFonts w:ascii="Times New Roman" w:hAnsi="Times New Roman" w:cs="Times New Roman"/>
          <w:color w:val="000000"/>
        </w:rPr>
      </w:pPr>
      <w:r w:rsidRPr="003C3597">
        <w:rPr>
          <w:rFonts w:ascii="Times New Roman" w:hAnsi="Times New Roman" w:cs="Times New Roman"/>
          <w:color w:val="000000"/>
        </w:rPr>
        <w:t>Natural Resources Canada. 2009. Canadian Vehicle Survey: 2009 Summary Report. Natural Resources Canada, Ottawa, ON (Cat. No. M141-18/2009E-PDF).</w:t>
      </w:r>
    </w:p>
    <w:p w14:paraId="46C6FCEA" w14:textId="77777777" w:rsidR="003C3597" w:rsidRPr="003C3597" w:rsidRDefault="003C3597" w:rsidP="00E349C8">
      <w:pPr>
        <w:spacing w:line="360" w:lineRule="auto"/>
        <w:ind w:firstLine="0"/>
        <w:rPr>
          <w:rFonts w:ascii="Times New Roman" w:hAnsi="Times New Roman" w:cs="Times New Roman"/>
          <w:color w:val="000000"/>
        </w:rPr>
      </w:pPr>
      <w:r w:rsidRPr="003C3597">
        <w:rPr>
          <w:rFonts w:ascii="Times New Roman" w:hAnsi="Times New Roman" w:cs="Times New Roman"/>
          <w:color w:val="000000"/>
        </w:rPr>
        <w:t>Pearre, N.S., Kempton, W., Guensler, R.L., Elango, V.V. 2011. Electric vehicles: how much range is required for a day’s driving? Transportation Research Part C: Emerging Technologies 19, 1171–1184.</w:t>
      </w:r>
    </w:p>
    <w:p w14:paraId="5AE1720D" w14:textId="77777777" w:rsidR="003C3597" w:rsidRPr="003C3597" w:rsidRDefault="003C3597" w:rsidP="00E349C8">
      <w:pPr>
        <w:spacing w:line="360" w:lineRule="auto"/>
        <w:ind w:firstLine="0"/>
        <w:rPr>
          <w:rFonts w:ascii="Times New Roman" w:hAnsi="Times New Roman" w:cs="Times New Roman"/>
          <w:color w:val="000000"/>
        </w:rPr>
      </w:pPr>
      <w:r w:rsidRPr="003C3597">
        <w:rPr>
          <w:rFonts w:ascii="Times New Roman" w:hAnsi="Times New Roman" w:cs="Times New Roman"/>
          <w:color w:val="000000"/>
        </w:rPr>
        <w:t>Pollution Probe. 2018. Accelerating the Deployment of Zero Emission Vehicles : Atlantic Canada and the Prairies. Pollution Probe, Toronto, ON.</w:t>
      </w:r>
    </w:p>
    <w:p w14:paraId="15E13CC9" w14:textId="77777777" w:rsidR="003C3597" w:rsidRPr="003C3597" w:rsidRDefault="003C3597" w:rsidP="00E349C8">
      <w:pPr>
        <w:spacing w:line="360" w:lineRule="auto"/>
        <w:ind w:firstLine="0"/>
        <w:rPr>
          <w:rFonts w:ascii="Times New Roman" w:hAnsi="Times New Roman" w:cs="Times New Roman"/>
          <w:color w:val="000000"/>
        </w:rPr>
      </w:pPr>
      <w:r w:rsidRPr="003C3597">
        <w:rPr>
          <w:rFonts w:ascii="Times New Roman" w:hAnsi="Times New Roman" w:cs="Times New Roman"/>
          <w:color w:val="000000"/>
        </w:rPr>
        <w:t>Potoglou, D., Kanaroglou, P.S. 2007. Household demand and willingness to pay for clean vehicles. Transportation Research Part D: Transport and Environment 12, 264–274.</w:t>
      </w:r>
    </w:p>
    <w:p w14:paraId="7CE5993F" w14:textId="77777777" w:rsidR="003C3597" w:rsidRPr="003C3597" w:rsidRDefault="003C3597" w:rsidP="00E349C8">
      <w:pPr>
        <w:spacing w:line="360" w:lineRule="auto"/>
        <w:ind w:firstLine="0"/>
        <w:rPr>
          <w:rFonts w:ascii="Times New Roman" w:hAnsi="Times New Roman" w:cs="Times New Roman"/>
          <w:color w:val="000000"/>
        </w:rPr>
      </w:pPr>
      <w:r w:rsidRPr="003C3597">
        <w:rPr>
          <w:rFonts w:ascii="Times New Roman" w:hAnsi="Times New Roman" w:cs="Times New Roman"/>
          <w:color w:val="000000"/>
        </w:rPr>
        <w:t>Rezvani, Z., Jansson, J., Bodin, J. 2015. Advances in consumer electric vehicle adoption Research: a review and research agenda. Transportation Research Part D: Transport and Environment 34, 122–136.</w:t>
      </w:r>
    </w:p>
    <w:p w14:paraId="0F3508DD" w14:textId="77777777" w:rsidR="003C3597" w:rsidRPr="003C3597" w:rsidRDefault="003C3597" w:rsidP="00E349C8">
      <w:pPr>
        <w:spacing w:line="360" w:lineRule="auto"/>
        <w:ind w:firstLine="0"/>
        <w:rPr>
          <w:rFonts w:ascii="Times New Roman" w:hAnsi="Times New Roman" w:cs="Times New Roman"/>
          <w:color w:val="000000"/>
        </w:rPr>
      </w:pPr>
      <w:r w:rsidRPr="003C3597">
        <w:rPr>
          <w:rFonts w:ascii="Times New Roman" w:hAnsi="Times New Roman" w:cs="Times New Roman"/>
          <w:color w:val="000000"/>
        </w:rPr>
        <w:t>Rose, J.M., Bliemer, M.C.J. 2008. Stated preference experimental design strategies.  In: Hensher, D.A., Button, K.J. (Eds.), Handbook of Transport Modelling, Second Edition. Emerald Group Publishing Ltd., Bingley, UK. pp. 151–180.</w:t>
      </w:r>
    </w:p>
    <w:p w14:paraId="00A1CD3F" w14:textId="77777777" w:rsidR="003C3597" w:rsidRPr="003C3597" w:rsidRDefault="003C3597" w:rsidP="00E349C8">
      <w:pPr>
        <w:spacing w:line="360" w:lineRule="auto"/>
        <w:ind w:firstLine="0"/>
        <w:rPr>
          <w:rFonts w:ascii="Times New Roman" w:hAnsi="Times New Roman" w:cs="Times New Roman"/>
          <w:color w:val="000000"/>
        </w:rPr>
      </w:pPr>
      <w:r w:rsidRPr="003C3597">
        <w:rPr>
          <w:rFonts w:ascii="Times New Roman" w:hAnsi="Times New Roman" w:cs="Times New Roman"/>
          <w:color w:val="000000"/>
        </w:rPr>
        <w:t>Ryan, M., Gerard, K., Amaya-Amaya, M. 2008. Discrete choice experiments in a nutshell. In:  Ryan, M., Gerard, K., Amaya-Amaya, M. (Eds.), Using Discrete Choice Experiments to Value Health and Health Care. Springer, Netherlands, pp. 13–46.</w:t>
      </w:r>
    </w:p>
    <w:p w14:paraId="5A4B9DE3" w14:textId="77777777" w:rsidR="003C3597" w:rsidRPr="003C3597" w:rsidRDefault="003C3597" w:rsidP="00E349C8">
      <w:pPr>
        <w:spacing w:line="360" w:lineRule="auto"/>
        <w:ind w:firstLine="0"/>
        <w:rPr>
          <w:rFonts w:ascii="Times New Roman" w:hAnsi="Times New Roman" w:cs="Times New Roman"/>
          <w:color w:val="000000"/>
        </w:rPr>
      </w:pPr>
      <w:r w:rsidRPr="003C3597">
        <w:rPr>
          <w:rFonts w:ascii="Times New Roman" w:hAnsi="Times New Roman" w:cs="Times New Roman"/>
          <w:color w:val="000000"/>
        </w:rPr>
        <w:lastRenderedPageBreak/>
        <w:t xml:space="preserve">Schmidt, E. 2017. Electric Vehicle Sales Update Q2 2018, Canada. </w:t>
      </w:r>
      <w:hyperlink r:id="rId27" w:history="1">
        <w:r w:rsidRPr="003C3597">
          <w:rPr>
            <w:rStyle w:val="Hyperlink"/>
            <w:rFonts w:ascii="Times New Roman" w:hAnsi="Times New Roman" w:cs="Times New Roman"/>
          </w:rPr>
          <w:t>https://www.fleetcarma.com/electric-vehicles-sales-update-q2-2018-canada/</w:t>
        </w:r>
      </w:hyperlink>
      <w:r w:rsidRPr="003C3597">
        <w:rPr>
          <w:rFonts w:ascii="Times New Roman" w:hAnsi="Times New Roman" w:cs="Times New Roman"/>
          <w:color w:val="000000"/>
        </w:rPr>
        <w:t>, Accessed 18 October 2018.</w:t>
      </w:r>
    </w:p>
    <w:p w14:paraId="21F4E98E" w14:textId="77777777" w:rsidR="003C3597" w:rsidRPr="003C3597" w:rsidRDefault="003C3597" w:rsidP="00E349C8">
      <w:pPr>
        <w:spacing w:line="360" w:lineRule="auto"/>
        <w:ind w:firstLine="0"/>
        <w:rPr>
          <w:rFonts w:ascii="Times New Roman" w:hAnsi="Times New Roman" w:cs="Times New Roman"/>
          <w:color w:val="000000"/>
        </w:rPr>
      </w:pPr>
      <w:r w:rsidRPr="003C3597">
        <w:rPr>
          <w:rFonts w:ascii="Times New Roman" w:hAnsi="Times New Roman" w:cs="Times New Roman"/>
          <w:color w:val="000000"/>
        </w:rPr>
        <w:t>She, Z.Y., Sun, Q., Ma, J.J., Xie, B.C. 2017. What are the barriers to widespread adoption of battery electric vehicles? A survey of public perception in Tianjin, China. Transport Policy 56, 29–40.</w:t>
      </w:r>
    </w:p>
    <w:p w14:paraId="4BB0B497" w14:textId="77777777" w:rsidR="003C3597" w:rsidRPr="003C3597" w:rsidRDefault="003C3597" w:rsidP="00E349C8">
      <w:pPr>
        <w:spacing w:line="360" w:lineRule="auto"/>
        <w:ind w:firstLine="0"/>
        <w:rPr>
          <w:rFonts w:ascii="Times New Roman" w:hAnsi="Times New Roman" w:cs="Times New Roman"/>
          <w:color w:val="000000"/>
        </w:rPr>
      </w:pPr>
      <w:r w:rsidRPr="003C3597">
        <w:rPr>
          <w:rFonts w:ascii="Times New Roman" w:hAnsi="Times New Roman" w:cs="Times New Roman"/>
          <w:color w:val="000000"/>
        </w:rPr>
        <w:t xml:space="preserve">Statistics Canada. 2016. Data Products, 2016 Census. </w:t>
      </w:r>
      <w:hyperlink r:id="rId28" w:history="1">
        <w:r w:rsidRPr="003C3597">
          <w:rPr>
            <w:rStyle w:val="Hyperlink"/>
            <w:rFonts w:ascii="Times New Roman" w:hAnsi="Times New Roman" w:cs="Times New Roman"/>
          </w:rPr>
          <w:t>https://www12.statcan.gc.ca/census-recensement/2016/dp-pd/index-eng.cfm</w:t>
        </w:r>
      </w:hyperlink>
      <w:r w:rsidRPr="003C3597">
        <w:rPr>
          <w:rFonts w:ascii="Times New Roman" w:hAnsi="Times New Roman" w:cs="Times New Roman"/>
          <w:color w:val="000000"/>
        </w:rPr>
        <w:t>, Accessed 18 October 2018.</w:t>
      </w:r>
    </w:p>
    <w:p w14:paraId="550CF40C" w14:textId="77777777" w:rsidR="003C3597" w:rsidRPr="003C3597" w:rsidRDefault="003C3597" w:rsidP="00E349C8">
      <w:pPr>
        <w:spacing w:line="360" w:lineRule="auto"/>
        <w:ind w:firstLine="0"/>
        <w:rPr>
          <w:rFonts w:ascii="Times New Roman" w:hAnsi="Times New Roman" w:cs="Times New Roman"/>
          <w:color w:val="000000"/>
        </w:rPr>
      </w:pPr>
      <w:r w:rsidRPr="003C3597">
        <w:rPr>
          <w:rFonts w:ascii="Times New Roman" w:hAnsi="Times New Roman" w:cs="Times New Roman"/>
          <w:color w:val="000000"/>
        </w:rPr>
        <w:t>Walker, J.L., Li, J. 2007. Latent lifestyle preferences and household location decisions. Journal of Geographical Systems 9, 77–101.</w:t>
      </w:r>
    </w:p>
    <w:p w14:paraId="6CFB5F7A" w14:textId="77777777" w:rsidR="003C3597" w:rsidRPr="003C3597" w:rsidRDefault="003C3597" w:rsidP="00E349C8">
      <w:pPr>
        <w:spacing w:line="360" w:lineRule="auto"/>
        <w:ind w:firstLine="0"/>
        <w:rPr>
          <w:rFonts w:ascii="Times New Roman" w:hAnsi="Times New Roman" w:cs="Times New Roman"/>
          <w:color w:val="000000"/>
        </w:rPr>
      </w:pPr>
      <w:r w:rsidRPr="003C3597">
        <w:rPr>
          <w:rFonts w:ascii="Times New Roman" w:hAnsi="Times New Roman" w:cs="Times New Roman"/>
          <w:color w:val="000000"/>
        </w:rPr>
        <w:t>Zhang, Y., Qian, Z., Sprei, F., Li, B. 2016. The impact of car specifications, prices and incentives for battery electric vehicles in Norway: choices of heterogeneous consumers. Transportation Research Part C: Emerging Technologies 69, 386–401.</w:t>
      </w:r>
    </w:p>
    <w:p w14:paraId="028AB37A" w14:textId="77777777" w:rsidR="003C3597" w:rsidRPr="003C3597" w:rsidRDefault="003C3597" w:rsidP="00E349C8">
      <w:pPr>
        <w:spacing w:line="360" w:lineRule="auto"/>
        <w:ind w:firstLine="0"/>
        <w:rPr>
          <w:rFonts w:ascii="Times New Roman" w:hAnsi="Times New Roman" w:cs="Times New Roman"/>
          <w:color w:val="000000"/>
        </w:rPr>
      </w:pPr>
      <w:r w:rsidRPr="003C3597">
        <w:rPr>
          <w:rFonts w:ascii="Times New Roman" w:hAnsi="Times New Roman" w:cs="Times New Roman"/>
          <w:color w:val="000000"/>
        </w:rPr>
        <w:t>Ziegler, A. 2012. Individual characteristics and stated preferences for alternative energy sources and propulsion technologies in vehicles: a discrete choice analysis for Germany. Transportation Research Part A: Policy and Practice 46, 1372–1385.</w:t>
      </w:r>
    </w:p>
    <w:p w14:paraId="1E13EF04" w14:textId="77777777" w:rsidR="00D26D51" w:rsidRDefault="003C3597" w:rsidP="00E349C8">
      <w:pPr>
        <w:ind w:firstLine="0"/>
        <w:rPr>
          <w:rFonts w:ascii="Times New Roman" w:hAnsi="Times New Roman" w:cs="Times New Roman"/>
          <w:color w:val="000000"/>
        </w:rPr>
      </w:pPr>
      <w:r w:rsidRPr="003C3597">
        <w:rPr>
          <w:rFonts w:ascii="Times New Roman" w:hAnsi="Times New Roman" w:cs="Times New Roman"/>
          <w:color w:val="000000"/>
        </w:rPr>
        <w:br w:type="page"/>
      </w:r>
    </w:p>
    <w:p w14:paraId="7DC53FEC" w14:textId="77777777" w:rsidR="00D26D51" w:rsidRPr="0014385C" w:rsidRDefault="00D26D51" w:rsidP="00550848">
      <w:pPr>
        <w:pStyle w:val="Heading1"/>
        <w:jc w:val="center"/>
      </w:pPr>
      <w:bookmarkStart w:id="84" w:name="_Toc528650885"/>
      <w:bookmarkEnd w:id="84"/>
    </w:p>
    <w:p w14:paraId="13323EEB" w14:textId="750B343D" w:rsidR="00D26D51" w:rsidRPr="00E349C8" w:rsidRDefault="008A1CD2" w:rsidP="002B7195">
      <w:pPr>
        <w:spacing w:before="240" w:after="240"/>
        <w:ind w:firstLine="0"/>
        <w:jc w:val="center"/>
        <w:rPr>
          <w:rFonts w:ascii="Times New Roman" w:hAnsi="Times New Roman" w:cs="Times New Roman"/>
          <w:b/>
          <w:color w:val="000000"/>
          <w:sz w:val="28"/>
        </w:rPr>
      </w:pPr>
      <w:r>
        <w:rPr>
          <w:rFonts w:ascii="Times New Roman" w:hAnsi="Times New Roman" w:cs="Times New Roman"/>
          <w:b/>
          <w:color w:val="000000"/>
          <w:sz w:val="28"/>
        </w:rPr>
        <w:t>Can Canadian Households Benefit Economically from Purchasing Battery Electric Vehicles? An Investigation of the Total Cost of Ownership Based on C</w:t>
      </w:r>
      <w:r w:rsidR="00D26D51" w:rsidRPr="00E349C8">
        <w:rPr>
          <w:rFonts w:ascii="Times New Roman" w:hAnsi="Times New Roman" w:cs="Times New Roman"/>
          <w:b/>
          <w:color w:val="000000"/>
          <w:sz w:val="28"/>
        </w:rPr>
        <w:t xml:space="preserve">onsumer </w:t>
      </w:r>
      <w:r>
        <w:rPr>
          <w:rFonts w:ascii="Times New Roman" w:hAnsi="Times New Roman" w:cs="Times New Roman"/>
          <w:b/>
          <w:color w:val="000000"/>
          <w:sz w:val="28"/>
        </w:rPr>
        <w:t>C</w:t>
      </w:r>
      <w:r w:rsidR="00D26D51" w:rsidRPr="00E349C8">
        <w:rPr>
          <w:rFonts w:ascii="Times New Roman" w:hAnsi="Times New Roman" w:cs="Times New Roman"/>
          <w:b/>
          <w:color w:val="000000"/>
          <w:sz w:val="28"/>
        </w:rPr>
        <w:t>ontext</w:t>
      </w:r>
    </w:p>
    <w:p w14:paraId="09A46C5B" w14:textId="77777777" w:rsidR="00D26D51" w:rsidRPr="00D26D51" w:rsidRDefault="00D26D51" w:rsidP="00E1100F">
      <w:pPr>
        <w:pStyle w:val="ListParagraph"/>
        <w:numPr>
          <w:ilvl w:val="1"/>
          <w:numId w:val="9"/>
        </w:numPr>
        <w:outlineLvl w:val="1"/>
        <w:rPr>
          <w:rFonts w:ascii="Times New Roman" w:hAnsi="Times New Roman" w:cs="Times New Roman"/>
          <w:color w:val="000000"/>
        </w:rPr>
      </w:pPr>
      <w:bookmarkStart w:id="85" w:name="_Toc528650886"/>
      <w:r w:rsidRPr="00D26D51">
        <w:rPr>
          <w:rFonts w:ascii="Times New Roman" w:hAnsi="Times New Roman" w:cs="Times New Roman"/>
          <w:b/>
          <w:color w:val="000000"/>
        </w:rPr>
        <w:t>Introduction</w:t>
      </w:r>
      <w:bookmarkEnd w:id="85"/>
    </w:p>
    <w:p w14:paraId="03DD8E44" w14:textId="77777777" w:rsidR="001C1CFB" w:rsidRPr="001C1CFB" w:rsidRDefault="001C1CFB" w:rsidP="001C1CFB">
      <w:pPr>
        <w:rPr>
          <w:rFonts w:ascii="Times New Roman" w:hAnsi="Times New Roman" w:cs="Times New Roman"/>
          <w:color w:val="000000"/>
        </w:rPr>
      </w:pPr>
      <w:r w:rsidRPr="001C1CFB">
        <w:rPr>
          <w:rFonts w:ascii="Times New Roman" w:hAnsi="Times New Roman" w:cs="Times New Roman"/>
          <w:color w:val="000000"/>
        </w:rPr>
        <w:t>Battery electric vehicles (BEVs) are a promising means of reducing greenhouse gas (GHG) emissions, especially in Canada, where 80% of its electricity is generated from non-GHG emitting sources (Natural Resources Canada, 2018). However, the country has a very small market share for electric vehicles (EVs) (about 0.6%), lagging behind the United States (close to 1%) and especially many European countries – Norway (29%), the Netherlands (6.4%), Sweden (3.4%), France and United Kingdom (both close to 1.5%) (IEA, 2017). Since road transportation in Canada is a major contributor to the country’s GHG emissions, electric vehicles have a role to play in reducing such emissions if Canada is to meet its emission reduction target of 30% below 2005 levels by 2030 (Environment and Climate Change Canada, 2018).</w:t>
      </w:r>
    </w:p>
    <w:p w14:paraId="65A78AD0" w14:textId="77777777" w:rsidR="001C1CFB" w:rsidRPr="001C1CFB" w:rsidRDefault="001C1CFB" w:rsidP="001C1CFB">
      <w:pPr>
        <w:rPr>
          <w:rFonts w:ascii="Times New Roman" w:hAnsi="Times New Roman" w:cs="Times New Roman"/>
          <w:color w:val="000000"/>
        </w:rPr>
      </w:pPr>
      <w:r w:rsidRPr="001C1CFB">
        <w:rPr>
          <w:rFonts w:ascii="Times New Roman" w:hAnsi="Times New Roman" w:cs="Times New Roman"/>
          <w:color w:val="000000"/>
        </w:rPr>
        <w:t xml:space="preserve">BEVs are certainly less expensive to fuel and operate, but they are more expensive to purchase. A recent survey among electric vehicle owners across the Greater Toronto and Hamilton Area (GTHA) found that, on average, electric vehicle drivers save $1,900 per year in fuel and maintenance costs compared to owners of internal combustion engine vehicles (ICEs) (Plug ‘n </w:t>
      </w:r>
      <w:r w:rsidRPr="001C1CFB">
        <w:rPr>
          <w:rFonts w:ascii="Times New Roman" w:hAnsi="Times New Roman" w:cs="Times New Roman"/>
          <w:color w:val="000000"/>
        </w:rPr>
        <w:lastRenderedPageBreak/>
        <w:t>Drive, 2017). Other studies suggest that BEVs are likely to be cost-efficient depending on a household’s vehicle usage and length of vehicle ownership (Hagman et al., 2016; Letmathe and Suares, 2017; Wu et al., 2015). However, few studies – none in Canada – have dealt with the economic suitability of BEVs in an effort to identify characteristics of households for whom BEVs are cost efficient. This is perhaps due to the challenging analysis of economic factors because of constant changes in the prices of gas, electricity, and BEV batteries (Hagman et al., 2016).</w:t>
      </w:r>
    </w:p>
    <w:p w14:paraId="67852BAC" w14:textId="77777777" w:rsidR="001C1CFB" w:rsidRPr="001C1CFB" w:rsidRDefault="001C1CFB" w:rsidP="001C1CFB">
      <w:pPr>
        <w:rPr>
          <w:rFonts w:ascii="Times New Roman" w:hAnsi="Times New Roman" w:cs="Times New Roman"/>
          <w:color w:val="000000"/>
        </w:rPr>
      </w:pPr>
      <w:r w:rsidRPr="001C1CFB">
        <w:rPr>
          <w:rFonts w:ascii="Times New Roman" w:hAnsi="Times New Roman" w:cs="Times New Roman"/>
          <w:color w:val="000000"/>
        </w:rPr>
        <w:t>Given higher initial cost and lower operating cost of BEVs, the present study aims first to identify Canadian households that are economically suited for purchasing a BEV. For the purpose of this study, we call these households ‘BEV-suited households’. For this task, we construct a total cost of ownership (TCO) model in the consumer context by using data from a sample of prospective car buyers in Canada. The TCO model is calibrated according to a household’s specific situation: annual mileage, ownership period, and preferred vehicle class. This reveals the share of households that are suited for a BEV purchase under a series of incentive and price scenarios.</w:t>
      </w:r>
    </w:p>
    <w:p w14:paraId="7AE944B7" w14:textId="77777777" w:rsidR="001C1CFB" w:rsidRPr="001C1CFB" w:rsidRDefault="001C1CFB" w:rsidP="001C1CFB">
      <w:pPr>
        <w:rPr>
          <w:rFonts w:ascii="Times New Roman" w:hAnsi="Times New Roman" w:cs="Times New Roman"/>
          <w:color w:val="000000"/>
        </w:rPr>
      </w:pPr>
      <w:r w:rsidRPr="001C1CFB">
        <w:rPr>
          <w:rFonts w:ascii="Times New Roman" w:hAnsi="Times New Roman" w:cs="Times New Roman"/>
          <w:color w:val="000000"/>
        </w:rPr>
        <w:t xml:space="preserve">The second part of our analysis uses a bivariate ordered probit model to examine determinants of annual mileage and ownership period (both collected as ordered responses in the survey underlying our analysis), which are the most influential factors when calculating TCO. In terms of independent variables, the model incorporates a suite of socioeconomic, vehicle fleet, and geographic variables. While acting separately from the TCO model, the bivariate ordered probit model could be used to derive inputs to the TCO equation to predict total cost of BEV ownership under different scenarios of price and socioeconomic profiles. Note that our analysis focuses only </w:t>
      </w:r>
      <w:r w:rsidRPr="001C1CFB">
        <w:rPr>
          <w:rFonts w:ascii="Times New Roman" w:hAnsi="Times New Roman" w:cs="Times New Roman"/>
          <w:color w:val="000000"/>
        </w:rPr>
        <w:lastRenderedPageBreak/>
        <w:t>on battery electric vehicles (BEVs) that are powered solely by electricity, as the economic analysis for other types of EVs, such as plug-in hybrid vehicles (PHEVs), is different (Hagman et al. 2016).</w:t>
      </w:r>
    </w:p>
    <w:p w14:paraId="61FE1B83" w14:textId="77777777" w:rsidR="001C1CFB" w:rsidRDefault="001C1CFB" w:rsidP="001C1CFB">
      <w:pPr>
        <w:rPr>
          <w:rFonts w:ascii="Times New Roman" w:hAnsi="Times New Roman" w:cs="Times New Roman"/>
          <w:color w:val="000000"/>
        </w:rPr>
      </w:pPr>
      <w:r w:rsidRPr="001C1CFB">
        <w:rPr>
          <w:rFonts w:ascii="Times New Roman" w:hAnsi="Times New Roman" w:cs="Times New Roman"/>
          <w:color w:val="000000"/>
        </w:rPr>
        <w:t xml:space="preserve">The remainder of this paper is structured as follows. The following section reviews past studies that have considered the economic suitability of households to purchase EVs. The survey data and methods are described in Section </w:t>
      </w:r>
      <w:r>
        <w:rPr>
          <w:rFonts w:ascii="Times New Roman" w:hAnsi="Times New Roman" w:cs="Times New Roman"/>
          <w:color w:val="000000"/>
        </w:rPr>
        <w:t>4.</w:t>
      </w:r>
      <w:r w:rsidRPr="001C1CFB">
        <w:rPr>
          <w:rFonts w:ascii="Times New Roman" w:hAnsi="Times New Roman" w:cs="Times New Roman"/>
          <w:color w:val="000000"/>
        </w:rPr>
        <w:t xml:space="preserve">3. This is followed by the results in Section </w:t>
      </w:r>
      <w:r>
        <w:rPr>
          <w:rFonts w:ascii="Times New Roman" w:hAnsi="Times New Roman" w:cs="Times New Roman"/>
          <w:color w:val="000000"/>
        </w:rPr>
        <w:t>4.</w:t>
      </w:r>
      <w:r w:rsidRPr="001C1CFB">
        <w:rPr>
          <w:rFonts w:ascii="Times New Roman" w:hAnsi="Times New Roman" w:cs="Times New Roman"/>
          <w:color w:val="000000"/>
        </w:rPr>
        <w:t xml:space="preserve">4. The conclusion and policy implications are presented in Section </w:t>
      </w:r>
      <w:r>
        <w:rPr>
          <w:rFonts w:ascii="Times New Roman" w:hAnsi="Times New Roman" w:cs="Times New Roman"/>
          <w:color w:val="000000"/>
        </w:rPr>
        <w:t>4.</w:t>
      </w:r>
      <w:r w:rsidRPr="001C1CFB">
        <w:rPr>
          <w:rFonts w:ascii="Times New Roman" w:hAnsi="Times New Roman" w:cs="Times New Roman"/>
          <w:color w:val="000000"/>
        </w:rPr>
        <w:t>5</w:t>
      </w:r>
    </w:p>
    <w:p w14:paraId="6C725451" w14:textId="77777777" w:rsidR="00D26D51" w:rsidRPr="00D26D51" w:rsidRDefault="00D26D51" w:rsidP="00E1100F">
      <w:pPr>
        <w:pStyle w:val="ListParagraph"/>
        <w:numPr>
          <w:ilvl w:val="1"/>
          <w:numId w:val="9"/>
        </w:numPr>
        <w:outlineLvl w:val="1"/>
        <w:rPr>
          <w:rFonts w:ascii="Times New Roman" w:hAnsi="Times New Roman" w:cs="Times New Roman"/>
          <w:b/>
          <w:color w:val="000000"/>
        </w:rPr>
      </w:pPr>
      <w:bookmarkStart w:id="86" w:name="_Toc528650887"/>
      <w:r w:rsidRPr="00D26D51">
        <w:rPr>
          <w:rFonts w:ascii="Times New Roman" w:hAnsi="Times New Roman" w:cs="Times New Roman"/>
          <w:b/>
          <w:color w:val="000000"/>
        </w:rPr>
        <w:t>Studies Considering Economic Suitability</w:t>
      </w:r>
      <w:bookmarkEnd w:id="86"/>
    </w:p>
    <w:p w14:paraId="79199E8F" w14:textId="77777777" w:rsidR="001C1CFB" w:rsidRPr="001C1CFB" w:rsidRDefault="001C1CFB" w:rsidP="001C1CFB">
      <w:pPr>
        <w:rPr>
          <w:rFonts w:ascii="Times New Roman" w:hAnsi="Times New Roman" w:cs="Times New Roman"/>
          <w:color w:val="000000"/>
        </w:rPr>
      </w:pPr>
      <w:r w:rsidRPr="001C1CFB">
        <w:rPr>
          <w:rFonts w:ascii="Times New Roman" w:hAnsi="Times New Roman" w:cs="Times New Roman"/>
          <w:color w:val="000000"/>
        </w:rPr>
        <w:t>Since modern BEVs were introduced less than a decade ago, few studies address the economic analysis of these vehicles. To analyze the economic suitability of BEVs, the TCO model has been applied in previous studies to compare the actual costs of owning a vehicle across different powertrain technologies (e.g., Hagman et al., 2016; Letmathe and Suares, 2017; Wu et al., 2015). Both Letmathe and Suares (2017) and Wu et al. (2015) provide comprehensive overviews of studies using TCO models for assessing different powertrains and vehicle classes. Such analyses have found that BEVs can be considered cost-efficient depending on users’ specific conditions (Al-Alawi and Bradley 2013; Hagman et al. 2016; Wu et al., 2015).</w:t>
      </w:r>
    </w:p>
    <w:p w14:paraId="66E4CCF5" w14:textId="77777777" w:rsidR="001C1CFB" w:rsidRPr="001C1CFB" w:rsidRDefault="001C1CFB" w:rsidP="001C1CFB">
      <w:pPr>
        <w:rPr>
          <w:rFonts w:ascii="Times New Roman" w:hAnsi="Times New Roman" w:cs="Times New Roman"/>
          <w:color w:val="000000"/>
        </w:rPr>
      </w:pPr>
      <w:r w:rsidRPr="001C1CFB">
        <w:rPr>
          <w:rFonts w:ascii="Times New Roman" w:hAnsi="Times New Roman" w:cs="Times New Roman"/>
          <w:color w:val="000000"/>
        </w:rPr>
        <w:t xml:space="preserve">For Germany, Wu et al. (2015) compared the total cost of ownership across competing vehicle powertrains at present and in the future. Their results suggest that the cost efficiency of electric vehicles depends on annual mileage and different vehicle classes. They found that for low-mileage usage cases, ICEs remain the most cost-efficient option until 2025, whereas in the case of </w:t>
      </w:r>
      <w:r w:rsidRPr="001C1CFB">
        <w:rPr>
          <w:rFonts w:ascii="Times New Roman" w:hAnsi="Times New Roman" w:cs="Times New Roman"/>
          <w:color w:val="000000"/>
        </w:rPr>
        <w:lastRenderedPageBreak/>
        <w:t>long driving distances, an electric vehicle can make more economic sense due to lower operating costs compared to an equivalent ICE.</w:t>
      </w:r>
    </w:p>
    <w:p w14:paraId="7297BA54" w14:textId="77777777" w:rsidR="001C1CFB" w:rsidRPr="001C1CFB" w:rsidRDefault="001C1CFB" w:rsidP="001C1CFB">
      <w:pPr>
        <w:rPr>
          <w:rFonts w:ascii="Times New Roman" w:hAnsi="Times New Roman" w:cs="Times New Roman"/>
          <w:color w:val="000000"/>
        </w:rPr>
      </w:pPr>
      <w:r w:rsidRPr="001C1CFB">
        <w:rPr>
          <w:rFonts w:ascii="Times New Roman" w:hAnsi="Times New Roman" w:cs="Times New Roman"/>
          <w:color w:val="000000"/>
        </w:rPr>
        <w:t>Hagman et al. (2016) conducted an economic analysis to investigate the possible discrepancy of the TCO among different vehicle drive trains, and found that BEVs have a competitive TCO with other powertrains due to lower operating costs. This study used some fixed assumptions regarding annual mileage, length of ownership, and driver profile.</w:t>
      </w:r>
    </w:p>
    <w:p w14:paraId="41D414DD" w14:textId="77777777" w:rsidR="001C1CFB" w:rsidRPr="001C1CFB" w:rsidRDefault="001C1CFB" w:rsidP="001C1CFB">
      <w:pPr>
        <w:rPr>
          <w:rFonts w:ascii="Times New Roman" w:hAnsi="Times New Roman" w:cs="Times New Roman"/>
          <w:color w:val="000000"/>
        </w:rPr>
      </w:pPr>
      <w:r w:rsidRPr="001C1CFB">
        <w:rPr>
          <w:rFonts w:ascii="Times New Roman" w:hAnsi="Times New Roman" w:cs="Times New Roman"/>
          <w:color w:val="000000"/>
        </w:rPr>
        <w:t>The work by Plötz et al. (2014) is among the few studies that provide user-specific TCO calculations. They used the driving behaviour of their sample to identify households for whom electric vehicles make economic sense in Germany. They calculated the total cost of ownership for each household in their sample according to their driving profiles, and found that electric vehicles could be cost efficient for 5% of their sample. They also found that full-time workers and those living in small to medium-sized cities were the best candidates for purchasing electric vehicles. However, similar to Hagman et al. (2016), their study used fixed assumptions for the length of ownership and vehicle class segment.</w:t>
      </w:r>
    </w:p>
    <w:p w14:paraId="00312EF1" w14:textId="77777777" w:rsidR="001C1CFB" w:rsidRPr="001C1CFB" w:rsidRDefault="001C1CFB" w:rsidP="001C1CFB">
      <w:pPr>
        <w:rPr>
          <w:rFonts w:ascii="Times New Roman" w:hAnsi="Times New Roman" w:cs="Times New Roman"/>
          <w:color w:val="000000"/>
        </w:rPr>
      </w:pPr>
      <w:r w:rsidRPr="001C1CFB">
        <w:rPr>
          <w:rFonts w:ascii="Times New Roman" w:hAnsi="Times New Roman" w:cs="Times New Roman"/>
          <w:color w:val="000000"/>
        </w:rPr>
        <w:t xml:space="preserve">Besides TCO studies, the importance of economic factors is well documented elsewhere throughout the literature. Both purchase price and fuel cost were identified as critical factors influencing vehicle purchases (e.g., Ferguson et al., 2018; Potoglou and Kanaroglou, 2007). In a survey conducted among 1,000 US residents, Krupa et al. (2014) found that 92% of respondents stated that vehicle price would be an important or a predominant factor in the choice of their next </w:t>
      </w:r>
      <w:r w:rsidRPr="001C1CFB">
        <w:rPr>
          <w:rFonts w:ascii="Times New Roman" w:hAnsi="Times New Roman" w:cs="Times New Roman"/>
          <w:color w:val="000000"/>
        </w:rPr>
        <w:lastRenderedPageBreak/>
        <w:t>vehicle purchase. They also found that potential fuel cost savings was important to 86% of respondents.</w:t>
      </w:r>
    </w:p>
    <w:p w14:paraId="79E2800E" w14:textId="77777777" w:rsidR="001C1CFB" w:rsidRPr="001C1CFB" w:rsidRDefault="001C1CFB" w:rsidP="001C1CFB">
      <w:pPr>
        <w:rPr>
          <w:rFonts w:ascii="Times New Roman" w:hAnsi="Times New Roman" w:cs="Times New Roman"/>
          <w:color w:val="000000"/>
        </w:rPr>
      </w:pPr>
      <w:r w:rsidRPr="001C1CFB">
        <w:rPr>
          <w:rFonts w:ascii="Times New Roman" w:hAnsi="Times New Roman" w:cs="Times New Roman"/>
          <w:color w:val="000000"/>
        </w:rPr>
        <w:t>Hidrue et al. (2011) found that economic concerns, such as fuel cost savings, are more important for electric vehicle buyers than reducing carbon dioxide (CO2) emissions. In a European analysis among 40 participants in the United Kingdom and after a 7-day driving experience with an electric vehicle, Graham-Rowe et al. (2012) found that drivers were more concerned with the financial implications of purchasing an electric vehicle than with other factors. Similar to Hidrue et al. (2011), they found that most drivers prioritize personal utility over environmental benefits.</w:t>
      </w:r>
    </w:p>
    <w:p w14:paraId="0157953F" w14:textId="77777777" w:rsidR="001C1CFB" w:rsidRPr="001C1CFB" w:rsidRDefault="001C1CFB" w:rsidP="001C1CFB">
      <w:pPr>
        <w:rPr>
          <w:rFonts w:ascii="Times New Roman" w:hAnsi="Times New Roman" w:cs="Times New Roman"/>
          <w:color w:val="000000"/>
        </w:rPr>
      </w:pPr>
      <w:r w:rsidRPr="001C1CFB">
        <w:rPr>
          <w:rFonts w:ascii="Times New Roman" w:hAnsi="Times New Roman" w:cs="Times New Roman"/>
          <w:color w:val="000000"/>
        </w:rPr>
        <w:t xml:space="preserve">From our review of the literature, we found that existing studies concerning the economic suitability of BEVs have different methodological approaches and fail to take user’s specific conditions (e.g., annual mileage, length of ownership, etc.) into consideration. Most studies defined a number of major driving distances and/or ownership period cases and compared the TCO of competing powertrains for each case. For instance, Wu et al. (2015) calculated the TCO for each combination of three vehicle classes and three use cases (i.e., short, medium, and long travel distances) for each vehicle powertrain, and assumed a fixed ownership period for all cases. Similarly, Letmathe and Suares (2017) considered three typical annual mileage driver profiles to conduct their economic analysis (i.e., occasional, normal, and frequent drivers). </w:t>
      </w:r>
    </w:p>
    <w:p w14:paraId="18055301" w14:textId="77777777" w:rsidR="001C1CFB" w:rsidRPr="001C1CFB" w:rsidRDefault="001C1CFB" w:rsidP="001C1CFB">
      <w:pPr>
        <w:rPr>
          <w:rFonts w:ascii="Times New Roman" w:hAnsi="Times New Roman" w:cs="Times New Roman"/>
          <w:color w:val="000000"/>
        </w:rPr>
      </w:pPr>
      <w:r w:rsidRPr="001C1CFB">
        <w:rPr>
          <w:rFonts w:ascii="Times New Roman" w:hAnsi="Times New Roman" w:cs="Times New Roman"/>
          <w:color w:val="000000"/>
        </w:rPr>
        <w:t xml:space="preserve">Our study differs from other studies within the TCO literature by comparing explicitly the TCO for BEVs and equivalent ICEs of similar vehicle class in the consumer context by using data from a sample of prospective car buyers in Canada. Specifically, compared to Plötz et al. (2014), </w:t>
      </w:r>
      <w:r w:rsidRPr="001C1CFB">
        <w:rPr>
          <w:rFonts w:ascii="Times New Roman" w:hAnsi="Times New Roman" w:cs="Times New Roman"/>
          <w:color w:val="000000"/>
        </w:rPr>
        <w:lastRenderedPageBreak/>
        <w:t>we consider the stated ownership periods as well as preferred vehicle classes of households for their next vehicle purchase when calculating TCO. The inclusion of vehicle class segment is of special importance since Higgins et al. (2017) found the significant role this factor plays in the choices of potential consumers. Hence, our analysis is more sensitive towards households’ vehicle purchase plan situations compared to previous analyses.</w:t>
      </w:r>
    </w:p>
    <w:p w14:paraId="1F4DFAEC" w14:textId="77777777" w:rsidR="001C1CFB" w:rsidRPr="001C1CFB" w:rsidRDefault="001C1CFB" w:rsidP="001C1CFB">
      <w:pPr>
        <w:rPr>
          <w:rFonts w:ascii="Times New Roman" w:hAnsi="Times New Roman" w:cs="Times New Roman"/>
          <w:color w:val="000000"/>
        </w:rPr>
      </w:pPr>
      <w:r w:rsidRPr="001C1CFB">
        <w:rPr>
          <w:rFonts w:ascii="Times New Roman" w:hAnsi="Times New Roman" w:cs="Times New Roman"/>
          <w:color w:val="000000"/>
        </w:rPr>
        <w:t>Additionally, we conceptualize BEVs as a household’s primary vehicle, which can bring long-term economic advantages for those who travel higher mileages. This is unlike some other studies (e.g., Khan and Kockelman, 2012), which assumed that BEVs would act as the secondary vehicle or the vehicle that is used less often or for shorter trips. To our knowledge, this is the first study to be conducted among a sample of potential car buyers in Canada. This is also the first study to this point in time that utilizes a bivariate ordered probit model to estimate both annual mileage and ownership period – the most influential factors in the TCO model.</w:t>
      </w:r>
    </w:p>
    <w:p w14:paraId="0D9FFF80" w14:textId="77777777" w:rsidR="001C1CFB" w:rsidRDefault="001C1CFB" w:rsidP="001C1CFB">
      <w:pPr>
        <w:rPr>
          <w:rFonts w:ascii="Times New Roman" w:hAnsi="Times New Roman" w:cs="Times New Roman"/>
          <w:color w:val="000000"/>
        </w:rPr>
      </w:pPr>
      <w:r w:rsidRPr="001C1CFB">
        <w:rPr>
          <w:rFonts w:ascii="Times New Roman" w:hAnsi="Times New Roman" w:cs="Times New Roman"/>
          <w:color w:val="000000"/>
        </w:rPr>
        <w:t>In the current analysis, we aim to answer two research questions. First, how does the total cost of owning a BEV compare to that of ICEs of a similar vehicle class across a sample of prospective car buyers in Canada? This determines BEV suitability for our sample of potential car buyers in Canada, and is conducted under a series of incentive and price scenarios. Second, what are the determinants of annual mileage and ownership period, which are the most influential factors on the TCO outcomes? To address this question, we aim to simultaneously model these two variables based on households’ specific characteristics. This part of the analysis links a household’s specific characteristics/situation to the TCO model.</w:t>
      </w:r>
    </w:p>
    <w:p w14:paraId="4E197F78" w14:textId="77777777" w:rsidR="00D26D51" w:rsidRPr="00D26D51" w:rsidRDefault="00D26D51" w:rsidP="00E1100F">
      <w:pPr>
        <w:pStyle w:val="ListParagraph"/>
        <w:numPr>
          <w:ilvl w:val="1"/>
          <w:numId w:val="9"/>
        </w:numPr>
        <w:outlineLvl w:val="1"/>
        <w:rPr>
          <w:rFonts w:ascii="Times New Roman" w:hAnsi="Times New Roman" w:cs="Times New Roman"/>
          <w:b/>
          <w:color w:val="000000"/>
        </w:rPr>
      </w:pPr>
      <w:bookmarkStart w:id="87" w:name="_Toc528650888"/>
      <w:r w:rsidRPr="00D26D51">
        <w:rPr>
          <w:rFonts w:ascii="Times New Roman" w:hAnsi="Times New Roman" w:cs="Times New Roman"/>
          <w:b/>
          <w:color w:val="000000"/>
        </w:rPr>
        <w:lastRenderedPageBreak/>
        <w:t>Data and Methods</w:t>
      </w:r>
      <w:bookmarkEnd w:id="87"/>
    </w:p>
    <w:p w14:paraId="433BF5FF" w14:textId="77777777" w:rsidR="001C1CFB" w:rsidRPr="001C1CFB" w:rsidRDefault="001C1CFB" w:rsidP="001C1CFB">
      <w:pPr>
        <w:rPr>
          <w:rFonts w:ascii="Times New Roman" w:hAnsi="Times New Roman" w:cs="Times New Roman"/>
          <w:color w:val="000000"/>
        </w:rPr>
      </w:pPr>
      <w:r w:rsidRPr="001C1CFB">
        <w:rPr>
          <w:rFonts w:ascii="Times New Roman" w:hAnsi="Times New Roman" w:cs="Times New Roman"/>
          <w:color w:val="000000"/>
        </w:rPr>
        <w:t>There are two parts to our analysis: first, we identify ‘BEV-suited’ households in our sample by conducting an economic evaluation. We calculate the TCO of a BEV for all households according to their annual mileages, ownership period, and preferred vehicle classes, and compare this to the total cost of owning an equivalent ICE. The outcomes are calculated for the years 2018, 2020, 2025, and 2030, as well as for different cash incentive scenarios: none, $5,000, $10,000, and $15,000.</w:t>
      </w:r>
    </w:p>
    <w:p w14:paraId="6E59203C" w14:textId="77777777" w:rsidR="001C1CFB" w:rsidRDefault="001C1CFB" w:rsidP="001C1CFB">
      <w:pPr>
        <w:rPr>
          <w:rFonts w:ascii="Times New Roman" w:hAnsi="Times New Roman" w:cs="Times New Roman"/>
          <w:color w:val="000000"/>
        </w:rPr>
      </w:pPr>
      <w:r w:rsidRPr="001C1CFB">
        <w:rPr>
          <w:rFonts w:ascii="Times New Roman" w:hAnsi="Times New Roman" w:cs="Times New Roman"/>
          <w:color w:val="000000"/>
        </w:rPr>
        <w:t>The second part of the analysis estimates a bivariate ordered probit model with “annual mileage” and “ownership period” as dependent variables. The explanatory variables are a series of socioeconomic, vehicle fleet, and geographic variables. Note that the bivariate model is independent from the TCO model.</w:t>
      </w:r>
    </w:p>
    <w:p w14:paraId="6C368D83" w14:textId="77777777" w:rsidR="00D26D51" w:rsidRPr="007B7D3D" w:rsidRDefault="00D26D51" w:rsidP="00E1100F">
      <w:pPr>
        <w:pStyle w:val="ListParagraph"/>
        <w:numPr>
          <w:ilvl w:val="2"/>
          <w:numId w:val="9"/>
        </w:numPr>
        <w:outlineLvl w:val="2"/>
        <w:rPr>
          <w:rFonts w:ascii="Times New Roman" w:hAnsi="Times New Roman" w:cs="Times New Roman"/>
          <w:color w:val="000000"/>
        </w:rPr>
      </w:pPr>
      <w:bookmarkStart w:id="88" w:name="_Toc528650889"/>
      <w:r w:rsidRPr="00D26D51">
        <w:rPr>
          <w:rFonts w:ascii="Times New Roman" w:hAnsi="Times New Roman" w:cs="Times New Roman"/>
          <w:b/>
          <w:color w:val="000000"/>
        </w:rPr>
        <w:t>Survey Data</w:t>
      </w:r>
      <w:bookmarkEnd w:id="88"/>
    </w:p>
    <w:p w14:paraId="03DFD434" w14:textId="77777777" w:rsidR="001C1CFB" w:rsidRPr="001C1CFB" w:rsidRDefault="007B7D3D" w:rsidP="001C1CFB">
      <w:pPr>
        <w:rPr>
          <w:rFonts w:ascii="Times New Roman" w:hAnsi="Times New Roman" w:cs="Times New Roman"/>
          <w:color w:val="000000"/>
        </w:rPr>
      </w:pPr>
      <w:r w:rsidRPr="007B7D3D">
        <w:rPr>
          <w:rFonts w:ascii="Times New Roman" w:hAnsi="Times New Roman" w:cs="Times New Roman"/>
          <w:color w:val="000000"/>
        </w:rPr>
        <w:t xml:space="preserve">The data for this analysis come from the </w:t>
      </w:r>
      <w:r w:rsidRPr="007B7D3D">
        <w:rPr>
          <w:rFonts w:ascii="Times New Roman" w:hAnsi="Times New Roman" w:cs="Times New Roman"/>
          <w:b/>
          <w:color w:val="000000"/>
        </w:rPr>
        <w:t>S</w:t>
      </w:r>
      <w:r w:rsidRPr="007B7D3D">
        <w:rPr>
          <w:rFonts w:ascii="Times New Roman" w:hAnsi="Times New Roman" w:cs="Times New Roman"/>
          <w:color w:val="000000"/>
        </w:rPr>
        <w:t xml:space="preserve">urvey for </w:t>
      </w:r>
      <w:r w:rsidRPr="007B7D3D">
        <w:rPr>
          <w:rFonts w:ascii="Times New Roman" w:hAnsi="Times New Roman" w:cs="Times New Roman"/>
          <w:b/>
          <w:color w:val="000000"/>
        </w:rPr>
        <w:t>P</w:t>
      </w:r>
      <w:r w:rsidRPr="007B7D3D">
        <w:rPr>
          <w:rFonts w:ascii="Times New Roman" w:hAnsi="Times New Roman" w:cs="Times New Roman"/>
          <w:color w:val="000000"/>
        </w:rPr>
        <w:t xml:space="preserve">references and </w:t>
      </w:r>
      <w:r w:rsidRPr="007B7D3D">
        <w:rPr>
          <w:rFonts w:ascii="Times New Roman" w:hAnsi="Times New Roman" w:cs="Times New Roman"/>
          <w:b/>
          <w:color w:val="000000"/>
        </w:rPr>
        <w:t>A</w:t>
      </w:r>
      <w:r w:rsidRPr="007B7D3D">
        <w:rPr>
          <w:rFonts w:ascii="Times New Roman" w:hAnsi="Times New Roman" w:cs="Times New Roman"/>
          <w:color w:val="000000"/>
        </w:rPr>
        <w:t xml:space="preserve">ttitudes of </w:t>
      </w:r>
      <w:r w:rsidRPr="007B7D3D">
        <w:rPr>
          <w:rFonts w:ascii="Times New Roman" w:hAnsi="Times New Roman" w:cs="Times New Roman"/>
          <w:b/>
          <w:color w:val="000000"/>
        </w:rPr>
        <w:t>C</w:t>
      </w:r>
      <w:r w:rsidRPr="007B7D3D">
        <w:rPr>
          <w:rFonts w:ascii="Times New Roman" w:hAnsi="Times New Roman" w:cs="Times New Roman"/>
          <w:color w:val="000000"/>
        </w:rPr>
        <w:t xml:space="preserve">anadians towards </w:t>
      </w:r>
      <w:r w:rsidRPr="007B7D3D">
        <w:rPr>
          <w:rFonts w:ascii="Times New Roman" w:hAnsi="Times New Roman" w:cs="Times New Roman"/>
          <w:b/>
          <w:color w:val="000000"/>
        </w:rPr>
        <w:t>E</w:t>
      </w:r>
      <w:r w:rsidRPr="007B7D3D">
        <w:rPr>
          <w:rFonts w:ascii="Times New Roman" w:hAnsi="Times New Roman" w:cs="Times New Roman"/>
          <w:color w:val="000000"/>
        </w:rPr>
        <w:t>lectric Vehicles, or ‘</w:t>
      </w:r>
      <w:r w:rsidRPr="007B7D3D">
        <w:rPr>
          <w:rFonts w:ascii="Times New Roman" w:hAnsi="Times New Roman" w:cs="Times New Roman"/>
          <w:b/>
          <w:color w:val="000000"/>
        </w:rPr>
        <w:t>SPACE’</w:t>
      </w:r>
      <w:r w:rsidRPr="007B7D3D">
        <w:rPr>
          <w:rFonts w:ascii="Times New Roman" w:hAnsi="Times New Roman" w:cs="Times New Roman"/>
          <w:color w:val="000000"/>
        </w:rPr>
        <w:t xml:space="preserve">, which was designed to investigate electric mobility prospects in Canada through a series of socioeconomic, attitudinal, and stated preference (SP) questions. </w:t>
      </w:r>
      <w:r w:rsidR="001C1CFB" w:rsidRPr="001C1CFB">
        <w:rPr>
          <w:rFonts w:ascii="Times New Roman" w:hAnsi="Times New Roman" w:cs="Times New Roman"/>
          <w:color w:val="000000"/>
        </w:rPr>
        <w:t xml:space="preserve">It was administered in May and June 2015 to a panel of 20,520 Canadian households, and was made available in both English and French to cover both official languages in Canada. Our sample includes respondents of age 18 or above who are one of the primary decision makers of their households and are likely to buy a vehicle in the foreseeable future. Even though individual </w:t>
      </w:r>
      <w:r w:rsidR="001C1CFB" w:rsidRPr="001C1CFB">
        <w:rPr>
          <w:rFonts w:ascii="Times New Roman" w:hAnsi="Times New Roman" w:cs="Times New Roman"/>
          <w:color w:val="000000"/>
        </w:rPr>
        <w:lastRenderedPageBreak/>
        <w:t>respondents completed the survey, their roles as the household representative were emphasized several times throughout the survey.</w:t>
      </w:r>
    </w:p>
    <w:p w14:paraId="3CDC7AE0" w14:textId="77777777" w:rsidR="001C1CFB" w:rsidRDefault="001C1CFB" w:rsidP="001C1CFB">
      <w:pPr>
        <w:rPr>
          <w:rFonts w:ascii="Times New Roman" w:hAnsi="Times New Roman" w:cs="Times New Roman"/>
          <w:color w:val="000000"/>
        </w:rPr>
      </w:pPr>
      <w:r w:rsidRPr="001C1CFB">
        <w:rPr>
          <w:rFonts w:ascii="Times New Roman" w:hAnsi="Times New Roman" w:cs="Times New Roman"/>
          <w:color w:val="000000"/>
        </w:rPr>
        <w:t>SPACE contains information on a respondent’s household vehicle fleet and driving patterns data from all ten provinces in Canada. We use three properties of the households’ information to conduct the economic analysis: the stated annual mileage of the primary vehicle, number of years a household holds a vehicle or ownership period, and preferred vehicle class for the next purchase. Note that the sample also included households without a vehicle at the time. However, they were eliminated from further analysis as their annual mileage was not revealed. In total 19,707 households are used for our analysis.</w:t>
      </w:r>
    </w:p>
    <w:p w14:paraId="7162AEC0" w14:textId="77777777" w:rsidR="001C1CFB" w:rsidRDefault="001C1CFB" w:rsidP="001C1CFB">
      <w:pPr>
        <w:rPr>
          <w:rFonts w:ascii="Times New Roman" w:hAnsi="Times New Roman" w:cs="Times New Roman"/>
          <w:color w:val="000000"/>
        </w:rPr>
      </w:pPr>
    </w:p>
    <w:p w14:paraId="71D6F19C" w14:textId="77777777" w:rsidR="00D26D51" w:rsidRPr="00D26D51" w:rsidRDefault="00D26D51" w:rsidP="00E1100F">
      <w:pPr>
        <w:pStyle w:val="ListParagraph"/>
        <w:numPr>
          <w:ilvl w:val="2"/>
          <w:numId w:val="9"/>
        </w:numPr>
        <w:outlineLvl w:val="2"/>
        <w:rPr>
          <w:rFonts w:ascii="Times New Roman" w:hAnsi="Times New Roman" w:cs="Times New Roman"/>
          <w:b/>
          <w:color w:val="000000"/>
        </w:rPr>
      </w:pPr>
      <w:bookmarkStart w:id="89" w:name="_Toc528650890"/>
      <w:r w:rsidRPr="00D26D51">
        <w:rPr>
          <w:rFonts w:ascii="Times New Roman" w:hAnsi="Times New Roman" w:cs="Times New Roman"/>
          <w:b/>
          <w:color w:val="000000"/>
        </w:rPr>
        <w:t>Total Cost of Ownership Model</w:t>
      </w:r>
      <w:bookmarkEnd w:id="89"/>
    </w:p>
    <w:p w14:paraId="5DFFE33C" w14:textId="73977D17" w:rsidR="00D26D51" w:rsidRPr="00D26D51" w:rsidRDefault="001C1CFB" w:rsidP="00D26D51">
      <w:pPr>
        <w:rPr>
          <w:rFonts w:ascii="Times New Roman" w:hAnsi="Times New Roman" w:cs="Times New Roman"/>
          <w:color w:val="000000"/>
        </w:rPr>
      </w:pPr>
      <w:r w:rsidRPr="001C1CFB">
        <w:rPr>
          <w:rFonts w:ascii="Times New Roman" w:hAnsi="Times New Roman" w:cs="Times New Roman"/>
          <w:color w:val="000000"/>
        </w:rPr>
        <w:t xml:space="preserve">To answer our first research question, we determine the economics of both BEVs and ICEs in terms of TCO, which is a metric that goes beyond the initial costs of a vehicle and considers other costs over the vehicle’s holding period (Wu et al., 2015). The comparison of two TCO values for each household in our sample allows us to determine those households for whom purchasing a BEV is cost efficient. The study estimates the costs for purchasing and operating each powertrain for all households in our database taking into account their specific conditions: annual mileage, the ownership period, and preferred vehicle class </w:t>
      </w:r>
      <w:r w:rsidR="00D26D51" w:rsidRPr="00D26D51">
        <w:rPr>
          <w:rFonts w:ascii="Times New Roman" w:hAnsi="Times New Roman" w:cs="Times New Roman"/>
          <w:color w:val="000000"/>
        </w:rPr>
        <w:t xml:space="preserve">(Table </w:t>
      </w:r>
      <w:r w:rsidR="00B957FF">
        <w:rPr>
          <w:rFonts w:ascii="Times New Roman" w:hAnsi="Times New Roman" w:cs="Times New Roman"/>
          <w:color w:val="000000"/>
        </w:rPr>
        <w:t>4.</w:t>
      </w:r>
      <w:r w:rsidR="00D26D51" w:rsidRPr="00D26D51">
        <w:rPr>
          <w:rFonts w:ascii="Times New Roman" w:hAnsi="Times New Roman" w:cs="Times New Roman"/>
          <w:color w:val="000000"/>
        </w:rPr>
        <w:t xml:space="preserve">1). The TCO for household </w:t>
      </w:r>
      <w:r w:rsidR="007D0B88">
        <w:rPr>
          <w:rFonts w:ascii="Times New Roman" w:hAnsi="Times New Roman" w:cs="Times New Roman"/>
          <w:i/>
          <w:iCs/>
          <w:color w:val="000000"/>
        </w:rPr>
        <w:t>h</w:t>
      </w:r>
      <w:r w:rsidR="007D0B88" w:rsidRPr="00D26D51">
        <w:rPr>
          <w:rFonts w:ascii="Times New Roman" w:hAnsi="Times New Roman" w:cs="Times New Roman"/>
          <w:color w:val="000000"/>
        </w:rPr>
        <w:t xml:space="preserve"> </w:t>
      </w:r>
      <w:r w:rsidR="00D26D51" w:rsidRPr="00D26D51">
        <w:rPr>
          <w:rFonts w:ascii="Times New Roman" w:hAnsi="Times New Roman" w:cs="Times New Roman"/>
          <w:color w:val="000000"/>
        </w:rPr>
        <w:t>is given by</w:t>
      </w:r>
    </w:p>
    <w:p w14:paraId="3CBD4E7D" w14:textId="641F663F" w:rsidR="00D26D51" w:rsidRPr="00D26D51" w:rsidRDefault="00D26D51" w:rsidP="00D26D51">
      <w:pPr>
        <w:rPr>
          <w:rFonts w:ascii="Times New Roman" w:hAnsi="Times New Roman" w:cs="Times New Roman"/>
          <w:color w:val="000000"/>
        </w:rPr>
      </w:pPr>
      <w:r w:rsidRPr="00D26D51">
        <w:rPr>
          <w:rFonts w:ascii="Times New Roman" w:hAnsi="Times New Roman" w:cs="Times New Roman"/>
          <w:color w:val="000000"/>
        </w:rPr>
        <w:t>TCO</w:t>
      </w:r>
      <w:r w:rsidR="007D0B88">
        <w:rPr>
          <w:rFonts w:ascii="Times New Roman" w:hAnsi="Times New Roman" w:cs="Times New Roman"/>
          <w:i/>
          <w:color w:val="000000"/>
          <w:vertAlign w:val="subscript"/>
        </w:rPr>
        <w:t>h</w:t>
      </w:r>
      <w:r w:rsidRPr="00D26D51">
        <w:rPr>
          <w:rFonts w:ascii="Times New Roman" w:hAnsi="Times New Roman" w:cs="Times New Roman"/>
          <w:color w:val="000000"/>
        </w:rPr>
        <w:t xml:space="preserve"> = (</w:t>
      </w:r>
      <w:r w:rsidRPr="00D26D51">
        <w:rPr>
          <w:rFonts w:ascii="Times New Roman" w:hAnsi="Times New Roman" w:cs="Times New Roman"/>
          <w:i/>
          <w:color w:val="000000"/>
        </w:rPr>
        <w:t>PP</w:t>
      </w:r>
      <w:r w:rsidR="007D0B88">
        <w:rPr>
          <w:i/>
          <w:vertAlign w:val="subscript"/>
        </w:rPr>
        <w:t>h</w:t>
      </w:r>
      <w:r w:rsidRPr="00D26D51">
        <w:rPr>
          <w:rFonts w:ascii="Times New Roman" w:hAnsi="Times New Roman" w:cs="Times New Roman"/>
          <w:i/>
          <w:color w:val="000000"/>
        </w:rPr>
        <w:t xml:space="preserve"> – I) + C</w:t>
      </w:r>
      <w:r w:rsidR="007D0B88">
        <w:rPr>
          <w:i/>
          <w:vertAlign w:val="subscript"/>
        </w:rPr>
        <w:t>h</w:t>
      </w:r>
      <w:r w:rsidRPr="00D26D51">
        <w:rPr>
          <w:rFonts w:ascii="Times New Roman" w:hAnsi="Times New Roman" w:cs="Times New Roman"/>
          <w:i/>
          <w:color w:val="000000"/>
        </w:rPr>
        <w:t xml:space="preserve"> × </w:t>
      </w:r>
      <w:r w:rsidR="007D0B88" w:rsidRPr="00D26D51">
        <w:rPr>
          <w:rFonts w:ascii="Times New Roman" w:hAnsi="Times New Roman" w:cs="Times New Roman"/>
          <w:i/>
          <w:color w:val="000000"/>
        </w:rPr>
        <w:t>VKT</w:t>
      </w:r>
      <w:r w:rsidR="007D0B88">
        <w:rPr>
          <w:rFonts w:ascii="Times New Roman" w:hAnsi="Times New Roman" w:cs="Times New Roman"/>
          <w:i/>
          <w:color w:val="000000"/>
          <w:vertAlign w:val="subscript"/>
        </w:rPr>
        <w:t>h</w:t>
      </w:r>
      <w:r w:rsidR="007D0B88" w:rsidRPr="00D26D51">
        <w:rPr>
          <w:rFonts w:ascii="Times New Roman" w:hAnsi="Times New Roman" w:cs="Times New Roman"/>
          <w:i/>
          <w:color w:val="000000"/>
        </w:rPr>
        <w:t xml:space="preserve"> </w:t>
      </w:r>
      <w:r w:rsidRPr="00D26D51">
        <w:rPr>
          <w:rFonts w:ascii="Times New Roman" w:hAnsi="Times New Roman" w:cs="Times New Roman"/>
          <w:i/>
          <w:color w:val="000000"/>
        </w:rPr>
        <w:t xml:space="preserve">× </w:t>
      </w:r>
      <w:r w:rsidR="007D0B88" w:rsidRPr="00D26D51">
        <w:rPr>
          <w:rFonts w:ascii="Times New Roman" w:hAnsi="Times New Roman" w:cs="Times New Roman"/>
          <w:i/>
          <w:color w:val="000000"/>
        </w:rPr>
        <w:t>T</w:t>
      </w:r>
      <w:r w:rsidR="007D0B88">
        <w:rPr>
          <w:rFonts w:ascii="Times New Roman" w:hAnsi="Times New Roman" w:cs="Times New Roman"/>
          <w:i/>
          <w:color w:val="000000"/>
          <w:vertAlign w:val="subscript"/>
        </w:rPr>
        <w:t>h</w:t>
      </w:r>
      <w:r w:rsidR="007D0B88" w:rsidRPr="00D26D51">
        <w:rPr>
          <w:rFonts w:ascii="Times New Roman" w:hAnsi="Times New Roman" w:cs="Times New Roman"/>
          <w:i/>
          <w:color w:val="000000"/>
          <w:vertAlign w:val="subscript"/>
        </w:rPr>
        <w:t xml:space="preserve">  </w:t>
      </w:r>
      <w:r w:rsidRPr="00D26D51">
        <w:rPr>
          <w:rFonts w:ascii="Times New Roman" w:hAnsi="Times New Roman" w:cs="Times New Roman"/>
          <w:color w:val="000000"/>
        </w:rPr>
        <w:t xml:space="preserve">+ </w:t>
      </w:r>
      <m:oMath>
        <m:r>
          <w:rPr>
            <w:rFonts w:ascii="Cambria Math" w:hAnsi="Cambria Math" w:cs="Times New Roman"/>
            <w:color w:val="000000"/>
          </w:rPr>
          <m:t>PP*</m:t>
        </m:r>
        <m:f>
          <m:fPr>
            <m:ctrlPr>
              <w:rPr>
                <w:rFonts w:ascii="Cambria Math" w:hAnsi="Cambria Math" w:cs="Times New Roman"/>
                <w:i/>
                <w:color w:val="000000"/>
              </w:rPr>
            </m:ctrlPr>
          </m:fPr>
          <m:num>
            <m:r>
              <w:rPr>
                <w:rFonts w:ascii="Cambria Math" w:hAnsi="Cambria Math" w:cs="Times New Roman"/>
                <w:color w:val="000000"/>
              </w:rPr>
              <m:t>r</m:t>
            </m:r>
          </m:num>
          <m:den>
            <m:r>
              <w:rPr>
                <w:rFonts w:ascii="Cambria Math" w:hAnsi="Cambria Math" w:cs="Times New Roman"/>
                <w:color w:val="000000"/>
              </w:rPr>
              <m:t>1-</m:t>
            </m:r>
            <m:sSup>
              <m:sSupPr>
                <m:ctrlPr>
                  <w:rPr>
                    <w:rFonts w:ascii="Cambria Math" w:hAnsi="Cambria Math" w:cs="Times New Roman"/>
                    <w:i/>
                    <w:color w:val="000000"/>
                  </w:rPr>
                </m:ctrlPr>
              </m:sSupPr>
              <m:e>
                <m:r>
                  <w:rPr>
                    <w:rFonts w:ascii="Cambria Math" w:hAnsi="Cambria Math" w:cs="Times New Roman"/>
                    <w:color w:val="000000"/>
                  </w:rPr>
                  <m:t>(1+r)</m:t>
                </m:r>
              </m:e>
              <m:sup>
                <m:r>
                  <w:rPr>
                    <w:rFonts w:ascii="Cambria Math" w:hAnsi="Cambria Math" w:cs="Times New Roman"/>
                    <w:color w:val="000000"/>
                  </w:rPr>
                  <m:t>-N</m:t>
                </m:r>
              </m:sup>
            </m:sSup>
          </m:den>
        </m:f>
      </m:oMath>
      <w:r w:rsidRPr="00D26D51">
        <w:rPr>
          <w:rFonts w:ascii="Times New Roman" w:hAnsi="Times New Roman" w:cs="Times New Roman"/>
          <w:color w:val="000000"/>
        </w:rPr>
        <w:tab/>
        <w:t>(1)</w:t>
      </w:r>
    </w:p>
    <w:p w14:paraId="4578D525" w14:textId="2F9362A8" w:rsidR="00D26D51" w:rsidRPr="00D26D51" w:rsidRDefault="00D26D51" w:rsidP="007E772E">
      <w:pPr>
        <w:ind w:firstLine="0"/>
        <w:rPr>
          <w:rFonts w:ascii="Times New Roman" w:hAnsi="Times New Roman" w:cs="Times New Roman"/>
          <w:color w:val="000000"/>
        </w:rPr>
      </w:pPr>
      <w:r w:rsidRPr="00D26D51">
        <w:rPr>
          <w:rFonts w:ascii="Times New Roman" w:hAnsi="Times New Roman" w:cs="Times New Roman"/>
          <w:color w:val="000000"/>
        </w:rPr>
        <w:lastRenderedPageBreak/>
        <w:t xml:space="preserve">where </w:t>
      </w:r>
      <w:r w:rsidRPr="00D26D51">
        <w:rPr>
          <w:rFonts w:ascii="Times New Roman" w:hAnsi="Times New Roman" w:cs="Times New Roman"/>
          <w:i/>
          <w:color w:val="000000"/>
        </w:rPr>
        <w:t>PP</w:t>
      </w:r>
      <w:r w:rsidR="005B0597">
        <w:rPr>
          <w:rFonts w:ascii="Times New Roman" w:hAnsi="Times New Roman" w:cs="Times New Roman"/>
          <w:i/>
          <w:color w:val="000000"/>
          <w:vertAlign w:val="subscript"/>
        </w:rPr>
        <w:t>h</w:t>
      </w:r>
      <w:r w:rsidRPr="00D26D51">
        <w:rPr>
          <w:rFonts w:ascii="Times New Roman" w:hAnsi="Times New Roman" w:cs="Times New Roman"/>
          <w:color w:val="000000"/>
        </w:rPr>
        <w:t xml:space="preserve"> stands for purchase price</w:t>
      </w:r>
      <w:r w:rsidR="007B1A0B">
        <w:t xml:space="preserve"> </w:t>
      </w:r>
      <w:r w:rsidR="007B1A0B" w:rsidRPr="007E772E">
        <w:rPr>
          <w:rFonts w:ascii="Times New Roman" w:hAnsi="Times New Roman" w:cs="Times New Roman"/>
          <w:color w:val="000000"/>
        </w:rPr>
        <w:t xml:space="preserve">and </w:t>
      </w:r>
      <w:r w:rsidR="007B1A0B" w:rsidRPr="007E772E">
        <w:rPr>
          <w:rFonts w:ascii="Times New Roman" w:hAnsi="Times New Roman" w:cs="Times New Roman"/>
          <w:i/>
          <w:color w:val="000000"/>
        </w:rPr>
        <w:t>C</w:t>
      </w:r>
      <w:r w:rsidR="005B0597" w:rsidRPr="005B0597">
        <w:rPr>
          <w:rFonts w:ascii="Times New Roman" w:hAnsi="Times New Roman" w:cs="Times New Roman"/>
          <w:i/>
          <w:color w:val="000000"/>
          <w:vertAlign w:val="subscript"/>
        </w:rPr>
        <w:t>h</w:t>
      </w:r>
      <w:r w:rsidR="007B1A0B" w:rsidRPr="007E772E">
        <w:rPr>
          <w:rFonts w:ascii="Times New Roman" w:hAnsi="Times New Roman" w:cs="Times New Roman"/>
          <w:color w:val="000000"/>
        </w:rPr>
        <w:t xml:space="preserve"> is the operating cost per km for the households’ preferred vehicle class</w:t>
      </w:r>
      <w:r w:rsidRPr="00D26D51">
        <w:rPr>
          <w:rFonts w:ascii="Times New Roman" w:hAnsi="Times New Roman" w:cs="Times New Roman"/>
          <w:color w:val="000000"/>
        </w:rPr>
        <w:t xml:space="preserve">, </w:t>
      </w:r>
      <w:r w:rsidRPr="00D26D51">
        <w:rPr>
          <w:rFonts w:ascii="Times New Roman" w:hAnsi="Times New Roman" w:cs="Times New Roman"/>
          <w:i/>
          <w:color w:val="000000"/>
        </w:rPr>
        <w:t>I</w:t>
      </w:r>
      <w:r w:rsidRPr="00D26D51">
        <w:rPr>
          <w:rFonts w:ascii="Times New Roman" w:hAnsi="Times New Roman" w:cs="Times New Roman"/>
          <w:color w:val="000000"/>
        </w:rPr>
        <w:t xml:space="preserve"> is the incentive for BEVs, </w:t>
      </w:r>
      <w:r w:rsidRPr="00D26D51">
        <w:rPr>
          <w:rFonts w:ascii="Times New Roman" w:hAnsi="Times New Roman" w:cs="Times New Roman"/>
          <w:i/>
          <w:color w:val="000000"/>
        </w:rPr>
        <w:t>T</w:t>
      </w:r>
      <w:r w:rsidR="005B0597">
        <w:rPr>
          <w:rFonts w:ascii="Times New Roman" w:hAnsi="Times New Roman" w:cs="Times New Roman"/>
          <w:i/>
          <w:color w:val="000000"/>
          <w:vertAlign w:val="subscript"/>
        </w:rPr>
        <w:t>h</w:t>
      </w:r>
      <w:r w:rsidRPr="00D26D51">
        <w:rPr>
          <w:rFonts w:ascii="Times New Roman" w:hAnsi="Times New Roman" w:cs="Times New Roman"/>
          <w:color w:val="000000"/>
        </w:rPr>
        <w:t xml:space="preserve"> is the ownership time in years, </w:t>
      </w:r>
      <w:r w:rsidRPr="00D26D51">
        <w:rPr>
          <w:rFonts w:ascii="Times New Roman" w:hAnsi="Times New Roman" w:cs="Times New Roman"/>
          <w:i/>
          <w:color w:val="000000"/>
        </w:rPr>
        <w:t>r</w:t>
      </w:r>
      <w:r w:rsidRPr="00D26D51">
        <w:rPr>
          <w:rFonts w:ascii="Times New Roman" w:hAnsi="Times New Roman" w:cs="Times New Roman"/>
          <w:color w:val="000000"/>
        </w:rPr>
        <w:t xml:space="preserve"> is the interest rate, and </w:t>
      </w:r>
      <w:r w:rsidRPr="00D26D51">
        <w:rPr>
          <w:rFonts w:ascii="Times New Roman" w:hAnsi="Times New Roman" w:cs="Times New Roman"/>
          <w:i/>
          <w:color w:val="000000"/>
        </w:rPr>
        <w:t>N</w:t>
      </w:r>
      <w:r w:rsidRPr="00D26D51">
        <w:rPr>
          <w:rFonts w:ascii="Times New Roman" w:hAnsi="Times New Roman" w:cs="Times New Roman"/>
          <w:color w:val="000000"/>
        </w:rPr>
        <w:t xml:space="preserve"> is the finance years.</w:t>
      </w:r>
      <w:r w:rsidR="001C1CFB" w:rsidRPr="001C1CFB">
        <w:t xml:space="preserve"> </w:t>
      </w:r>
      <w:r w:rsidR="001C1CFB" w:rsidRPr="001C1CFB">
        <w:rPr>
          <w:rFonts w:ascii="Times New Roman" w:hAnsi="Times New Roman" w:cs="Times New Roman"/>
          <w:color w:val="000000"/>
        </w:rPr>
        <w:t xml:space="preserve">For the interest rate, we assume an annual rate of 5%, which is the average interest rate (mid-2018) for personal loans in Canada for a 5-year finance term (Bank of Canada, 2018; Letmathe and Suares, 2017). </w:t>
      </w:r>
      <w:r w:rsidRPr="00D26D51">
        <w:rPr>
          <w:rFonts w:ascii="Times New Roman" w:hAnsi="Times New Roman" w:cs="Times New Roman"/>
          <w:color w:val="000000"/>
        </w:rPr>
        <w:t xml:space="preserve"> The values for annual mileage (</w:t>
      </w:r>
      <w:r w:rsidRPr="00D26D51">
        <w:rPr>
          <w:rFonts w:ascii="Times New Roman" w:hAnsi="Times New Roman" w:cs="Times New Roman"/>
          <w:i/>
          <w:color w:val="000000"/>
        </w:rPr>
        <w:t>VKT</w:t>
      </w:r>
      <w:r w:rsidR="007E772E">
        <w:rPr>
          <w:rFonts w:ascii="Times New Roman" w:hAnsi="Times New Roman" w:cs="Times New Roman"/>
          <w:i/>
          <w:color w:val="000000"/>
          <w:vertAlign w:val="subscript"/>
        </w:rPr>
        <w:t>h</w:t>
      </w:r>
      <w:r w:rsidRPr="00D26D51">
        <w:rPr>
          <w:rFonts w:ascii="Times New Roman" w:hAnsi="Times New Roman" w:cs="Times New Roman"/>
          <w:color w:val="000000"/>
        </w:rPr>
        <w:t>) and ownership time (</w:t>
      </w:r>
      <w:r w:rsidRPr="00D26D51">
        <w:rPr>
          <w:rFonts w:ascii="Times New Roman" w:hAnsi="Times New Roman" w:cs="Times New Roman"/>
          <w:i/>
          <w:color w:val="000000"/>
        </w:rPr>
        <w:t>T</w:t>
      </w:r>
      <w:r w:rsidR="007E772E">
        <w:rPr>
          <w:rFonts w:ascii="Times New Roman" w:hAnsi="Times New Roman" w:cs="Times New Roman"/>
          <w:i/>
          <w:color w:val="000000"/>
          <w:vertAlign w:val="subscript"/>
        </w:rPr>
        <w:t>h</w:t>
      </w:r>
      <w:r w:rsidRPr="00D26D51">
        <w:rPr>
          <w:rFonts w:ascii="Times New Roman" w:hAnsi="Times New Roman" w:cs="Times New Roman"/>
          <w:color w:val="000000"/>
        </w:rPr>
        <w:t>) are specific to each household (</w:t>
      </w:r>
      <w:r w:rsidR="005B0597">
        <w:rPr>
          <w:rFonts w:ascii="Times New Roman" w:hAnsi="Times New Roman" w:cs="Times New Roman"/>
          <w:i/>
          <w:color w:val="000000"/>
        </w:rPr>
        <w:t>h</w:t>
      </w:r>
      <w:r w:rsidRPr="00D26D51">
        <w:rPr>
          <w:rFonts w:ascii="Times New Roman" w:hAnsi="Times New Roman" w:cs="Times New Roman"/>
          <w:color w:val="000000"/>
        </w:rPr>
        <w:t xml:space="preserve">) in our database (Table </w:t>
      </w:r>
      <w:r w:rsidR="00B957FF">
        <w:rPr>
          <w:rFonts w:ascii="Times New Roman" w:hAnsi="Times New Roman" w:cs="Times New Roman"/>
          <w:color w:val="000000"/>
        </w:rPr>
        <w:t>4.</w:t>
      </w:r>
      <w:r w:rsidRPr="00D26D51">
        <w:rPr>
          <w:rFonts w:ascii="Times New Roman" w:hAnsi="Times New Roman" w:cs="Times New Roman"/>
          <w:color w:val="000000"/>
        </w:rPr>
        <w:t>1). Also, the preferred vehicle class of each household determines the purchase price (</w:t>
      </w:r>
      <w:r w:rsidRPr="00D26D51">
        <w:rPr>
          <w:rFonts w:ascii="Times New Roman" w:hAnsi="Times New Roman" w:cs="Times New Roman"/>
          <w:i/>
          <w:color w:val="000000"/>
        </w:rPr>
        <w:t>PP</w:t>
      </w:r>
      <w:r w:rsidR="007E772E">
        <w:rPr>
          <w:i/>
          <w:vertAlign w:val="subscript"/>
        </w:rPr>
        <w:t>h</w:t>
      </w:r>
      <w:r w:rsidRPr="00D26D51">
        <w:rPr>
          <w:rFonts w:ascii="Times New Roman" w:hAnsi="Times New Roman" w:cs="Times New Roman"/>
          <w:color w:val="000000"/>
        </w:rPr>
        <w:t>) and operating cost (</w:t>
      </w:r>
      <w:r w:rsidRPr="00D26D51">
        <w:rPr>
          <w:rFonts w:ascii="Times New Roman" w:hAnsi="Times New Roman" w:cs="Times New Roman"/>
          <w:i/>
          <w:color w:val="000000"/>
        </w:rPr>
        <w:t>C</w:t>
      </w:r>
      <w:r w:rsidR="007E772E">
        <w:rPr>
          <w:i/>
          <w:vertAlign w:val="subscript"/>
        </w:rPr>
        <w:t>h</w:t>
      </w:r>
      <w:r w:rsidRPr="00D26D51">
        <w:rPr>
          <w:rFonts w:ascii="Times New Roman" w:hAnsi="Times New Roman" w:cs="Times New Roman"/>
          <w:color w:val="000000"/>
        </w:rPr>
        <w:t xml:space="preserve">) for each comparable powertrain as shown in Table </w:t>
      </w:r>
      <w:r w:rsidR="00B957FF">
        <w:rPr>
          <w:rFonts w:ascii="Times New Roman" w:hAnsi="Times New Roman" w:cs="Times New Roman"/>
          <w:color w:val="000000"/>
        </w:rPr>
        <w:t>4.</w:t>
      </w:r>
      <w:r w:rsidRPr="00D26D51">
        <w:rPr>
          <w:rFonts w:ascii="Times New Roman" w:hAnsi="Times New Roman" w:cs="Times New Roman"/>
          <w:color w:val="000000"/>
        </w:rPr>
        <w:t>2.</w:t>
      </w:r>
    </w:p>
    <w:p w14:paraId="4795CE13" w14:textId="085BCBEE" w:rsidR="001C1CFB" w:rsidRDefault="001C1CFB" w:rsidP="00D26D51">
      <w:pPr>
        <w:rPr>
          <w:rFonts w:ascii="Times New Roman" w:hAnsi="Times New Roman" w:cs="Times New Roman"/>
          <w:color w:val="000000"/>
        </w:rPr>
      </w:pPr>
      <w:r w:rsidRPr="001C1CFB">
        <w:rPr>
          <w:rFonts w:ascii="Times New Roman" w:hAnsi="Times New Roman" w:cs="Times New Roman"/>
          <w:color w:val="000000"/>
        </w:rPr>
        <w:t>The home charging installation cost of $1,500 plus sale tax is determined based on the province of residence because sales tax varies across provinces in Canada. Operating cost (</w:t>
      </w:r>
      <w:r w:rsidRPr="007E772E">
        <w:rPr>
          <w:rFonts w:ascii="Times New Roman" w:hAnsi="Times New Roman" w:cs="Times New Roman"/>
          <w:i/>
          <w:color w:val="000000"/>
        </w:rPr>
        <w:t>C</w:t>
      </w:r>
      <w:r w:rsidR="007E772E" w:rsidRPr="007E772E">
        <w:rPr>
          <w:rFonts w:ascii="Times New Roman" w:hAnsi="Times New Roman" w:cs="Times New Roman"/>
          <w:i/>
          <w:color w:val="000000"/>
          <w:vertAlign w:val="subscript"/>
        </w:rPr>
        <w:t>h</w:t>
      </w:r>
      <w:r w:rsidRPr="001C1CFB">
        <w:rPr>
          <w:rFonts w:ascii="Times New Roman" w:hAnsi="Times New Roman" w:cs="Times New Roman"/>
          <w:color w:val="000000"/>
        </w:rPr>
        <w:t>) accounts for both fuel and maintenance/repair costs, which are expected to be lower for BEVs, since they have fewer moving parts meaning that no oil or filter changes are required.</w:t>
      </w:r>
    </w:p>
    <w:p w14:paraId="590F7C61" w14:textId="77777777" w:rsidR="003A2515" w:rsidRDefault="001C1CFB" w:rsidP="00D26D51">
      <w:pPr>
        <w:rPr>
          <w:rFonts w:ascii="Times New Roman" w:hAnsi="Times New Roman" w:cs="Times New Roman"/>
          <w:color w:val="000000"/>
        </w:rPr>
      </w:pPr>
      <w:r w:rsidRPr="001C1CFB">
        <w:rPr>
          <w:rFonts w:ascii="Times New Roman" w:hAnsi="Times New Roman" w:cs="Times New Roman"/>
          <w:color w:val="000000"/>
        </w:rPr>
        <w:t xml:space="preserve">The TCO literature recognizes that other costs influence the actual cost over the period of ownership including insurance and cost of depreciation (Al-Alawi and Bradley, 2013; Wu et al., 2015). A limitation of our research is that our TCO model does not account for these variables for the following reasons. Regarding the depreciation rate, due to scarcity of used BEVs, the historical data were insufficient to derive the resale value of these vehicles in the Canadian market. Also, for insurance cost, its calculation depends on several factors (e.g., driver’s neighborhood, history, etc.), which were lacking in our data set. It is, however, worth mentioning that the literature found that </w:t>
      </w:r>
      <w:r w:rsidRPr="001C1CFB">
        <w:rPr>
          <w:rFonts w:ascii="Times New Roman" w:hAnsi="Times New Roman" w:cs="Times New Roman"/>
          <w:color w:val="000000"/>
        </w:rPr>
        <w:lastRenderedPageBreak/>
        <w:t>the total cost of ownership is influenced largely by differences in purchase price, fuel and maintenance costs rather than other costs (Dumortier et al., 2015).</w:t>
      </w:r>
    </w:p>
    <w:p w14:paraId="42236809" w14:textId="77777777" w:rsidR="001C1CFB" w:rsidRDefault="001C1CFB" w:rsidP="003A2515">
      <w:pPr>
        <w:rPr>
          <w:rFonts w:ascii="Times New Roman" w:hAnsi="Times New Roman" w:cs="Times New Roman"/>
          <w:color w:val="000000"/>
        </w:rPr>
      </w:pPr>
      <w:r w:rsidRPr="001C1CFB">
        <w:rPr>
          <w:rFonts w:ascii="Times New Roman" w:hAnsi="Times New Roman" w:cs="Times New Roman"/>
          <w:color w:val="000000"/>
        </w:rPr>
        <w:t>We also acknowledge that we did not consider driving range when analyzing BEV economic suitability. While higher annual mileages appear to be in favour of BEVs’ total cost of ownership, in some cases, long distances can become bothersome due to the limited ranges of BEVs. In reality, however, there are rare instances where the required driving distance exceeds the electric range (Wu et al., 2015). For instance, less than 7% of households in our sample stated a daily driving distance above 200 km, while about 90% of our sample stated a daily driving distance of 150 km or less, which can be covered with an average BEV without the need to charge between trips. However, we acknowledge that occasional long driving distances (e.g., vacation trips) are not considered in the present study. Also, there are several differences between the vehicles that are compared in the present analysis with regards to appearance, interior space, design, range, and some other features.</w:t>
      </w:r>
    </w:p>
    <w:p w14:paraId="635AF018" w14:textId="77777777" w:rsidR="00C01B32" w:rsidRDefault="001C1CFB" w:rsidP="003A2515">
      <w:pPr>
        <w:rPr>
          <w:rFonts w:ascii="Times New Roman" w:hAnsi="Times New Roman" w:cs="Times New Roman"/>
          <w:color w:val="000000"/>
        </w:rPr>
      </w:pPr>
      <w:r w:rsidRPr="001C1CFB">
        <w:rPr>
          <w:rFonts w:ascii="Times New Roman" w:hAnsi="Times New Roman" w:cs="Times New Roman"/>
          <w:color w:val="000000"/>
        </w:rPr>
        <w:t xml:space="preserve">To derive conclusions based on future price scenarios, we computed TCO for the years of 2018, 2020, 2025, and 2030. Due to uncertainties regarding the purchasing price and operating costs in the present and future, we derived those values from different sources including literature (Letmathe and Suares, 2017; Wu et al., 2015) and expert forecasts (Canadian Automobile Association, 2017). Experts predict BEVs to reach price parity with ICEs by 2035, although the rates remain different for various BEV models (Wu et al., 2015; Plötz et al., 2014). We also concluded from the empirical data that the price of BEVs is expected to decrease mainly due to </w:t>
      </w:r>
      <w:r w:rsidRPr="001C1CFB">
        <w:rPr>
          <w:rFonts w:ascii="Times New Roman" w:hAnsi="Times New Roman" w:cs="Times New Roman"/>
          <w:color w:val="000000"/>
        </w:rPr>
        <w:lastRenderedPageBreak/>
        <w:t>drop in the price of batteries (Wu et al., 2015). We assume a decrease in the purchasing price of BEVs by $1,000 per year for the Tesla Model S (Full/ Luxury Sedan) and $500 per annum for the Nissan Leaf (Economy/Intermediate) and Kia Soul EV (SUV/Van/Pickup). We also assume that the purchasing price of ICEs increase slightly due to regulated improvements regarding fuel economy and CO2 emission regulations (Letmathe and Suares, 2017). The price values of future scenarios are presented in</w:t>
      </w:r>
      <w:r>
        <w:rPr>
          <w:rFonts w:ascii="Times New Roman" w:hAnsi="Times New Roman" w:cs="Times New Roman"/>
          <w:color w:val="000000"/>
        </w:rPr>
        <w:t xml:space="preserve"> </w:t>
      </w:r>
      <w:r w:rsidR="003A2515" w:rsidRPr="003A2515">
        <w:rPr>
          <w:rFonts w:ascii="Times New Roman" w:hAnsi="Times New Roman" w:cs="Times New Roman"/>
          <w:color w:val="000000"/>
        </w:rPr>
        <w:t xml:space="preserve">Table </w:t>
      </w:r>
      <w:r>
        <w:rPr>
          <w:rFonts w:ascii="Times New Roman" w:hAnsi="Times New Roman" w:cs="Times New Roman"/>
          <w:color w:val="000000"/>
        </w:rPr>
        <w:t>4.</w:t>
      </w:r>
      <w:r w:rsidR="003A2515" w:rsidRPr="003A2515">
        <w:rPr>
          <w:rFonts w:ascii="Times New Roman" w:hAnsi="Times New Roman" w:cs="Times New Roman"/>
          <w:color w:val="000000"/>
        </w:rPr>
        <w:t>2.</w:t>
      </w:r>
    </w:p>
    <w:p w14:paraId="32B9A5DB" w14:textId="77777777" w:rsidR="00D26D51" w:rsidRPr="00513E94" w:rsidRDefault="00513E94" w:rsidP="00513E94">
      <w:pPr>
        <w:pStyle w:val="Caption"/>
        <w:ind w:firstLine="0"/>
        <w:rPr>
          <w:rFonts w:ascii="Times New Roman" w:hAnsi="Times New Roman" w:cs="Times New Roman"/>
          <w:i w:val="0"/>
          <w:iCs w:val="0"/>
          <w:color w:val="000000"/>
          <w:sz w:val="24"/>
          <w:szCs w:val="24"/>
        </w:rPr>
      </w:pPr>
      <w:bookmarkStart w:id="90" w:name="_Toc528649805"/>
      <w:r>
        <w:rPr>
          <w:rFonts w:ascii="Times New Roman" w:hAnsi="Times New Roman" w:cs="Times New Roman"/>
          <w:i w:val="0"/>
          <w:iCs w:val="0"/>
          <w:color w:val="000000"/>
          <w:sz w:val="24"/>
          <w:szCs w:val="24"/>
        </w:rPr>
        <w:t>Table 4.</w:t>
      </w:r>
      <w:r w:rsidRPr="00513E94">
        <w:rPr>
          <w:rFonts w:ascii="Times New Roman" w:hAnsi="Times New Roman" w:cs="Times New Roman"/>
          <w:i w:val="0"/>
          <w:iCs w:val="0"/>
          <w:color w:val="000000"/>
          <w:sz w:val="24"/>
          <w:szCs w:val="24"/>
        </w:rPr>
        <w:fldChar w:fldCharType="begin"/>
      </w:r>
      <w:r w:rsidRPr="00513E94">
        <w:rPr>
          <w:rFonts w:ascii="Times New Roman" w:hAnsi="Times New Roman" w:cs="Times New Roman"/>
          <w:i w:val="0"/>
          <w:iCs w:val="0"/>
          <w:color w:val="000000"/>
          <w:sz w:val="24"/>
          <w:szCs w:val="24"/>
        </w:rPr>
        <w:instrText xml:space="preserve"> SEQ Table_4. \* ARABIC </w:instrText>
      </w:r>
      <w:r w:rsidRPr="00513E94">
        <w:rPr>
          <w:rFonts w:ascii="Times New Roman" w:hAnsi="Times New Roman" w:cs="Times New Roman"/>
          <w:i w:val="0"/>
          <w:iCs w:val="0"/>
          <w:color w:val="000000"/>
          <w:sz w:val="24"/>
          <w:szCs w:val="24"/>
        </w:rPr>
        <w:fldChar w:fldCharType="separate"/>
      </w:r>
      <w:r w:rsidR="00BC70AE">
        <w:rPr>
          <w:rFonts w:ascii="Times New Roman" w:hAnsi="Times New Roman" w:cs="Times New Roman"/>
          <w:i w:val="0"/>
          <w:iCs w:val="0"/>
          <w:noProof/>
          <w:color w:val="000000"/>
          <w:sz w:val="24"/>
          <w:szCs w:val="24"/>
        </w:rPr>
        <w:t>1</w:t>
      </w:r>
      <w:r w:rsidRPr="00513E94">
        <w:rPr>
          <w:rFonts w:ascii="Times New Roman" w:hAnsi="Times New Roman" w:cs="Times New Roman"/>
          <w:i w:val="0"/>
          <w:iCs w:val="0"/>
          <w:color w:val="000000"/>
          <w:sz w:val="24"/>
          <w:szCs w:val="24"/>
        </w:rPr>
        <w:fldChar w:fldCharType="end"/>
      </w:r>
      <w:r>
        <w:rPr>
          <w:rFonts w:ascii="Times New Roman" w:hAnsi="Times New Roman" w:cs="Times New Roman"/>
          <w:i w:val="0"/>
          <w:iCs w:val="0"/>
          <w:color w:val="000000"/>
          <w:sz w:val="24"/>
          <w:szCs w:val="24"/>
        </w:rPr>
        <w:t xml:space="preserve"> </w:t>
      </w:r>
      <w:r w:rsidR="00D26D51" w:rsidRPr="00513E94">
        <w:rPr>
          <w:rFonts w:ascii="Times New Roman" w:hAnsi="Times New Roman" w:cs="Times New Roman"/>
          <w:i w:val="0"/>
          <w:iCs w:val="0"/>
          <w:color w:val="000000"/>
          <w:sz w:val="24"/>
          <w:szCs w:val="24"/>
        </w:rPr>
        <w:t>Input parameters for the TCO model: household specific variables</w:t>
      </w:r>
      <w:bookmarkEnd w:id="90"/>
    </w:p>
    <w:tbl>
      <w:tblPr>
        <w:tblStyle w:val="PlainTable28"/>
        <w:tblW w:w="9263" w:type="dxa"/>
        <w:tblLayout w:type="fixed"/>
        <w:tblLook w:val="04A0" w:firstRow="1" w:lastRow="0" w:firstColumn="1" w:lastColumn="0" w:noHBand="0" w:noVBand="1"/>
      </w:tblPr>
      <w:tblGrid>
        <w:gridCol w:w="3382"/>
        <w:gridCol w:w="5881"/>
      </w:tblGrid>
      <w:tr w:rsidR="00D26D51" w:rsidRPr="00D26D51" w14:paraId="1BC7E951" w14:textId="77777777" w:rsidTr="00D26D51">
        <w:trPr>
          <w:cnfStyle w:val="100000000000" w:firstRow="1" w:lastRow="0" w:firstColumn="0" w:lastColumn="0" w:oddVBand="0" w:evenVBand="0" w:oddHBand="0"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3382" w:type="dxa"/>
            <w:tcBorders>
              <w:bottom w:val="single" w:sz="4" w:space="0" w:color="auto"/>
            </w:tcBorders>
            <w:noWrap/>
          </w:tcPr>
          <w:p w14:paraId="171C93EF" w14:textId="77777777" w:rsidR="00D26D51" w:rsidRPr="00D26D51" w:rsidRDefault="00D26D51" w:rsidP="00D26D51">
            <w:pPr>
              <w:spacing w:before="60" w:after="60"/>
              <w:rPr>
                <w:rFonts w:ascii="Times New Roman" w:hAnsi="Times New Roman" w:cs="Times New Roman"/>
                <w:b w:val="0"/>
                <w:sz w:val="20"/>
                <w:szCs w:val="20"/>
              </w:rPr>
            </w:pPr>
            <w:r w:rsidRPr="00D26D51">
              <w:rPr>
                <w:rFonts w:ascii="Times New Roman" w:hAnsi="Times New Roman" w:cs="Times New Roman"/>
                <w:b w:val="0"/>
                <w:sz w:val="20"/>
                <w:szCs w:val="20"/>
              </w:rPr>
              <w:t>Household Parameter</w:t>
            </w:r>
          </w:p>
        </w:tc>
        <w:tc>
          <w:tcPr>
            <w:tcW w:w="5881" w:type="dxa"/>
            <w:tcBorders>
              <w:bottom w:val="single" w:sz="4" w:space="0" w:color="auto"/>
            </w:tcBorders>
          </w:tcPr>
          <w:p w14:paraId="3E63F557" w14:textId="77777777" w:rsidR="00D26D51" w:rsidRPr="00D26D51" w:rsidRDefault="00D26D51" w:rsidP="00D26D51">
            <w:pPr>
              <w:spacing w:before="60" w:after="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D26D51">
              <w:rPr>
                <w:rFonts w:ascii="Times New Roman" w:hAnsi="Times New Roman" w:cs="Times New Roman"/>
                <w:b w:val="0"/>
                <w:sz w:val="20"/>
                <w:szCs w:val="20"/>
              </w:rPr>
              <w:t>Definition</w:t>
            </w:r>
          </w:p>
        </w:tc>
      </w:tr>
      <w:tr w:rsidR="00D26D51" w:rsidRPr="00D26D51" w14:paraId="03E41F03" w14:textId="77777777" w:rsidTr="00D26D51">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3382" w:type="dxa"/>
            <w:tcBorders>
              <w:top w:val="single" w:sz="4" w:space="0" w:color="auto"/>
              <w:bottom w:val="nil"/>
            </w:tcBorders>
            <w:noWrap/>
          </w:tcPr>
          <w:p w14:paraId="5F4E92AE" w14:textId="77777777" w:rsidR="00D26D51" w:rsidRPr="00D26D51" w:rsidRDefault="00D26D51" w:rsidP="00D26D51">
            <w:pPr>
              <w:rPr>
                <w:rFonts w:ascii="Times New Roman" w:hAnsi="Times New Roman" w:cs="Times New Roman"/>
                <w:sz w:val="20"/>
                <w:szCs w:val="20"/>
                <w:u w:val="single"/>
              </w:rPr>
            </w:pPr>
            <w:r w:rsidRPr="00D26D51">
              <w:rPr>
                <w:rFonts w:ascii="Times New Roman" w:hAnsi="Times New Roman" w:cs="Times New Roman"/>
                <w:b w:val="0"/>
                <w:sz w:val="20"/>
                <w:szCs w:val="20"/>
              </w:rPr>
              <w:t>Annual mileage</w:t>
            </w:r>
          </w:p>
        </w:tc>
        <w:tc>
          <w:tcPr>
            <w:tcW w:w="5881" w:type="dxa"/>
            <w:tcBorders>
              <w:top w:val="single" w:sz="4" w:space="0" w:color="auto"/>
              <w:bottom w:val="nil"/>
            </w:tcBorders>
          </w:tcPr>
          <w:p w14:paraId="645DF746" w14:textId="77777777" w:rsidR="00D26D51" w:rsidRPr="00D26D51" w:rsidRDefault="00D26D51" w:rsidP="00D26D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6D51">
              <w:rPr>
                <w:rFonts w:ascii="Times New Roman" w:hAnsi="Times New Roman" w:cs="Times New Roman"/>
                <w:sz w:val="20"/>
                <w:szCs w:val="20"/>
              </w:rPr>
              <w:t>Number of kilometres that a household’s primary vehicle is driven in a year</w:t>
            </w:r>
          </w:p>
        </w:tc>
      </w:tr>
      <w:tr w:rsidR="00D26D51" w:rsidRPr="00D26D51" w14:paraId="1373C16C" w14:textId="77777777" w:rsidTr="00D26D51">
        <w:trPr>
          <w:trHeight w:val="188"/>
        </w:trPr>
        <w:tc>
          <w:tcPr>
            <w:cnfStyle w:val="001000000000" w:firstRow="0" w:lastRow="0" w:firstColumn="1" w:lastColumn="0" w:oddVBand="0" w:evenVBand="0" w:oddHBand="0" w:evenHBand="0" w:firstRowFirstColumn="0" w:firstRowLastColumn="0" w:lastRowFirstColumn="0" w:lastRowLastColumn="0"/>
            <w:tcW w:w="3382" w:type="dxa"/>
            <w:tcBorders>
              <w:top w:val="nil"/>
              <w:bottom w:val="nil"/>
            </w:tcBorders>
            <w:noWrap/>
          </w:tcPr>
          <w:p w14:paraId="61865CC0" w14:textId="77777777" w:rsidR="00D26D51" w:rsidRPr="00D26D51" w:rsidRDefault="00D26D51" w:rsidP="00C01B32">
            <w:pPr>
              <w:rPr>
                <w:rFonts w:ascii="Times New Roman" w:hAnsi="Times New Roman" w:cs="Times New Roman"/>
                <w:b w:val="0"/>
                <w:sz w:val="20"/>
                <w:szCs w:val="20"/>
              </w:rPr>
            </w:pPr>
            <w:r w:rsidRPr="00D26D51">
              <w:rPr>
                <w:rFonts w:ascii="Times New Roman" w:hAnsi="Times New Roman" w:cs="Times New Roman"/>
                <w:b w:val="0"/>
                <w:sz w:val="20"/>
                <w:szCs w:val="20"/>
              </w:rPr>
              <w:t xml:space="preserve">Ownership </w:t>
            </w:r>
            <w:r w:rsidR="00C01B32">
              <w:rPr>
                <w:rFonts w:ascii="Times New Roman" w:hAnsi="Times New Roman" w:cs="Times New Roman"/>
                <w:b w:val="0"/>
                <w:sz w:val="20"/>
                <w:szCs w:val="20"/>
              </w:rPr>
              <w:t>period</w:t>
            </w:r>
          </w:p>
        </w:tc>
        <w:tc>
          <w:tcPr>
            <w:tcW w:w="5881" w:type="dxa"/>
            <w:tcBorders>
              <w:top w:val="nil"/>
              <w:bottom w:val="nil"/>
            </w:tcBorders>
          </w:tcPr>
          <w:p w14:paraId="7AA12776"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26D51">
              <w:rPr>
                <w:rFonts w:ascii="Times New Roman" w:hAnsi="Times New Roman" w:cs="Times New Roman"/>
                <w:sz w:val="20"/>
                <w:szCs w:val="20"/>
              </w:rPr>
              <w:t>Amount of time, in years, that a household typically holds a vehicle</w:t>
            </w:r>
          </w:p>
        </w:tc>
      </w:tr>
      <w:tr w:rsidR="00D26D51" w:rsidRPr="00D26D51" w14:paraId="6E1E4F05" w14:textId="77777777" w:rsidTr="00D26D51">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3382" w:type="dxa"/>
            <w:tcBorders>
              <w:top w:val="nil"/>
              <w:bottom w:val="single" w:sz="4" w:space="0" w:color="auto"/>
            </w:tcBorders>
            <w:noWrap/>
          </w:tcPr>
          <w:p w14:paraId="5AD000E8" w14:textId="77777777" w:rsidR="00D26D51" w:rsidRPr="00D26D51" w:rsidRDefault="00D26D51" w:rsidP="00D26D51">
            <w:pPr>
              <w:rPr>
                <w:rFonts w:ascii="Times New Roman" w:hAnsi="Times New Roman" w:cs="Times New Roman"/>
                <w:b w:val="0"/>
                <w:sz w:val="20"/>
                <w:szCs w:val="20"/>
              </w:rPr>
            </w:pPr>
            <w:r w:rsidRPr="00D26D51">
              <w:rPr>
                <w:rFonts w:ascii="Times New Roman" w:hAnsi="Times New Roman" w:cs="Times New Roman"/>
                <w:b w:val="0"/>
                <w:sz w:val="20"/>
                <w:szCs w:val="20"/>
              </w:rPr>
              <w:t>Preferred vehicle class</w:t>
            </w:r>
          </w:p>
        </w:tc>
        <w:tc>
          <w:tcPr>
            <w:tcW w:w="5881" w:type="dxa"/>
            <w:tcBorders>
              <w:top w:val="nil"/>
              <w:bottom w:val="single" w:sz="4" w:space="0" w:color="auto"/>
            </w:tcBorders>
          </w:tcPr>
          <w:p w14:paraId="78BFB8B7" w14:textId="77777777" w:rsidR="00D26D51" w:rsidRPr="00D26D51" w:rsidRDefault="00D26D51" w:rsidP="00D26D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6D51">
              <w:rPr>
                <w:rFonts w:ascii="Times New Roman" w:hAnsi="Times New Roman" w:cs="Times New Roman"/>
                <w:sz w:val="20"/>
                <w:szCs w:val="20"/>
              </w:rPr>
              <w:t xml:space="preserve">Economy/intermediate; </w:t>
            </w:r>
            <w:r w:rsidRPr="00D26D51">
              <w:rPr>
                <w:rFonts w:ascii="Times New Roman" w:hAnsi="Times New Roman" w:cs="Times New Roman"/>
                <w:sz w:val="20"/>
                <w:szCs w:val="20"/>
                <w:lang w:val="en-US"/>
              </w:rPr>
              <w:t>full/luxury sedan</w:t>
            </w:r>
            <w:r w:rsidRPr="00D26D51">
              <w:rPr>
                <w:rFonts w:ascii="Times New Roman" w:hAnsi="Times New Roman" w:cs="Times New Roman"/>
                <w:sz w:val="20"/>
                <w:szCs w:val="20"/>
              </w:rPr>
              <w:t xml:space="preserve">; </w:t>
            </w:r>
            <w:r w:rsidRPr="00D26D51">
              <w:rPr>
                <w:rFonts w:ascii="Times New Roman" w:hAnsi="Times New Roman" w:cs="Times New Roman"/>
                <w:sz w:val="20"/>
                <w:szCs w:val="20"/>
                <w:lang w:val="en-US"/>
              </w:rPr>
              <w:t>SUV/Van/Pickup</w:t>
            </w:r>
          </w:p>
        </w:tc>
      </w:tr>
    </w:tbl>
    <w:p w14:paraId="1BCA6D7A" w14:textId="77777777" w:rsidR="00AB2CEC" w:rsidRDefault="00AB2CEC" w:rsidP="003A2515">
      <w:pPr>
        <w:pStyle w:val="Caption"/>
        <w:spacing w:before="480" w:after="160"/>
        <w:ind w:firstLine="0"/>
        <w:rPr>
          <w:rFonts w:ascii="Times New Roman" w:hAnsi="Times New Roman" w:cs="Times New Roman"/>
          <w:i w:val="0"/>
          <w:iCs w:val="0"/>
          <w:color w:val="000000"/>
          <w:sz w:val="24"/>
          <w:szCs w:val="24"/>
        </w:rPr>
      </w:pPr>
      <w:bookmarkStart w:id="91" w:name="_Toc528649806"/>
    </w:p>
    <w:p w14:paraId="3FD6A222" w14:textId="77777777" w:rsidR="00D26D51" w:rsidRPr="000C437C" w:rsidRDefault="00513E94" w:rsidP="003A2515">
      <w:pPr>
        <w:pStyle w:val="Caption"/>
        <w:spacing w:before="480" w:after="160"/>
        <w:ind w:firstLine="0"/>
        <w:rPr>
          <w:rFonts w:ascii="Times New Roman" w:hAnsi="Times New Roman" w:cs="Times New Roman"/>
          <w:i w:val="0"/>
          <w:iCs w:val="0"/>
          <w:color w:val="000000"/>
          <w:sz w:val="24"/>
          <w:szCs w:val="24"/>
        </w:rPr>
      </w:pPr>
      <w:r w:rsidRPr="000C437C">
        <w:rPr>
          <w:rFonts w:ascii="Times New Roman" w:hAnsi="Times New Roman" w:cs="Times New Roman"/>
          <w:i w:val="0"/>
          <w:iCs w:val="0"/>
          <w:color w:val="000000"/>
          <w:sz w:val="24"/>
          <w:szCs w:val="24"/>
        </w:rPr>
        <w:t>Table 4.</w:t>
      </w:r>
      <w:r w:rsidRPr="000C437C">
        <w:rPr>
          <w:rFonts w:ascii="Times New Roman" w:hAnsi="Times New Roman" w:cs="Times New Roman"/>
          <w:i w:val="0"/>
          <w:iCs w:val="0"/>
          <w:color w:val="000000"/>
          <w:sz w:val="24"/>
          <w:szCs w:val="24"/>
        </w:rPr>
        <w:fldChar w:fldCharType="begin"/>
      </w:r>
      <w:r w:rsidRPr="000C437C">
        <w:rPr>
          <w:rFonts w:ascii="Times New Roman" w:hAnsi="Times New Roman" w:cs="Times New Roman"/>
          <w:i w:val="0"/>
          <w:iCs w:val="0"/>
          <w:color w:val="000000"/>
          <w:sz w:val="24"/>
          <w:szCs w:val="24"/>
        </w:rPr>
        <w:instrText xml:space="preserve"> SEQ Table_4. \* ARABIC </w:instrText>
      </w:r>
      <w:r w:rsidRPr="000C437C">
        <w:rPr>
          <w:rFonts w:ascii="Times New Roman" w:hAnsi="Times New Roman" w:cs="Times New Roman"/>
          <w:i w:val="0"/>
          <w:iCs w:val="0"/>
          <w:color w:val="000000"/>
          <w:sz w:val="24"/>
          <w:szCs w:val="24"/>
        </w:rPr>
        <w:fldChar w:fldCharType="separate"/>
      </w:r>
      <w:r w:rsidR="00BC70AE">
        <w:rPr>
          <w:rFonts w:ascii="Times New Roman" w:hAnsi="Times New Roman" w:cs="Times New Roman"/>
          <w:i w:val="0"/>
          <w:iCs w:val="0"/>
          <w:noProof/>
          <w:color w:val="000000"/>
          <w:sz w:val="24"/>
          <w:szCs w:val="24"/>
        </w:rPr>
        <w:t>2</w:t>
      </w:r>
      <w:r w:rsidRPr="000C437C">
        <w:rPr>
          <w:rFonts w:ascii="Times New Roman" w:hAnsi="Times New Roman" w:cs="Times New Roman"/>
          <w:i w:val="0"/>
          <w:iCs w:val="0"/>
          <w:color w:val="000000"/>
          <w:sz w:val="24"/>
          <w:szCs w:val="24"/>
        </w:rPr>
        <w:fldChar w:fldCharType="end"/>
      </w:r>
      <w:r w:rsidRPr="000C437C">
        <w:rPr>
          <w:rFonts w:ascii="Times New Roman" w:hAnsi="Times New Roman" w:cs="Times New Roman"/>
          <w:i w:val="0"/>
          <w:iCs w:val="0"/>
          <w:color w:val="000000"/>
          <w:sz w:val="24"/>
          <w:szCs w:val="24"/>
        </w:rPr>
        <w:t xml:space="preserve"> </w:t>
      </w:r>
      <w:r w:rsidR="00D26D51" w:rsidRPr="000C437C">
        <w:rPr>
          <w:rFonts w:ascii="Times New Roman" w:hAnsi="Times New Roman" w:cs="Times New Roman"/>
          <w:i w:val="0"/>
          <w:iCs w:val="0"/>
          <w:color w:val="000000"/>
          <w:sz w:val="24"/>
          <w:szCs w:val="24"/>
        </w:rPr>
        <w:t>Input parameters for the TCO model: market variables (prices exclude sale tax)</w:t>
      </w:r>
      <w:bookmarkEnd w:id="91"/>
    </w:p>
    <w:tbl>
      <w:tblPr>
        <w:tblStyle w:val="PlainTable29"/>
        <w:tblW w:w="0" w:type="auto"/>
        <w:tblLayout w:type="fixed"/>
        <w:tblLook w:val="04A0" w:firstRow="1" w:lastRow="0" w:firstColumn="1" w:lastColumn="0" w:noHBand="0" w:noVBand="1"/>
      </w:tblPr>
      <w:tblGrid>
        <w:gridCol w:w="3350"/>
        <w:gridCol w:w="1843"/>
        <w:gridCol w:w="2010"/>
        <w:gridCol w:w="1797"/>
        <w:gridCol w:w="213"/>
      </w:tblGrid>
      <w:tr w:rsidR="00D26D51" w:rsidRPr="00D26D51" w14:paraId="520C0B36" w14:textId="77777777" w:rsidTr="00D26D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Borders>
              <w:top w:val="single" w:sz="4" w:space="0" w:color="auto"/>
              <w:bottom w:val="single" w:sz="4" w:space="0" w:color="auto"/>
            </w:tcBorders>
            <w:vAlign w:val="center"/>
          </w:tcPr>
          <w:p w14:paraId="2816D0C3" w14:textId="77777777" w:rsidR="00D26D51" w:rsidRPr="00D26D51" w:rsidRDefault="00D26D51" w:rsidP="00D26D51">
            <w:pPr>
              <w:spacing w:before="60" w:after="60"/>
              <w:rPr>
                <w:rFonts w:ascii="Times New Roman" w:hAnsi="Times New Roman" w:cs="Times New Roman"/>
                <w:b w:val="0"/>
                <w:sz w:val="20"/>
              </w:rPr>
            </w:pPr>
            <w:r w:rsidRPr="00D26D51">
              <w:rPr>
                <w:rFonts w:ascii="Times New Roman" w:hAnsi="Times New Roman" w:cs="Times New Roman"/>
                <w:b w:val="0"/>
                <w:sz w:val="20"/>
              </w:rPr>
              <w:t>Market Parameters</w:t>
            </w:r>
          </w:p>
        </w:tc>
        <w:tc>
          <w:tcPr>
            <w:tcW w:w="1843" w:type="dxa"/>
            <w:tcBorders>
              <w:top w:val="single" w:sz="4" w:space="0" w:color="auto"/>
              <w:bottom w:val="single" w:sz="4" w:space="0" w:color="auto"/>
            </w:tcBorders>
            <w:vAlign w:val="center"/>
          </w:tcPr>
          <w:p w14:paraId="0E539D96" w14:textId="77777777" w:rsidR="00D26D51" w:rsidRPr="00D26D51" w:rsidRDefault="00D26D51" w:rsidP="00D26D51">
            <w:pPr>
              <w:spacing w:before="60" w:after="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D26D51">
              <w:rPr>
                <w:rFonts w:ascii="Times New Roman" w:hAnsi="Times New Roman" w:cs="Times New Roman"/>
                <w:b w:val="0"/>
                <w:sz w:val="20"/>
              </w:rPr>
              <w:t>Economy/ Intermediate</w:t>
            </w:r>
          </w:p>
        </w:tc>
        <w:tc>
          <w:tcPr>
            <w:tcW w:w="2010" w:type="dxa"/>
            <w:tcBorders>
              <w:top w:val="single" w:sz="4" w:space="0" w:color="auto"/>
              <w:bottom w:val="single" w:sz="4" w:space="0" w:color="auto"/>
            </w:tcBorders>
            <w:vAlign w:val="center"/>
          </w:tcPr>
          <w:p w14:paraId="38D147AD" w14:textId="77777777" w:rsidR="00D26D51" w:rsidRPr="00D26D51" w:rsidRDefault="00D26D51" w:rsidP="00D26D51">
            <w:pPr>
              <w:spacing w:before="60" w:after="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D26D51">
              <w:rPr>
                <w:rFonts w:ascii="Times New Roman" w:hAnsi="Times New Roman" w:cs="Times New Roman"/>
                <w:b w:val="0"/>
                <w:sz w:val="20"/>
                <w:lang w:val="en-US"/>
              </w:rPr>
              <w:t>Full/ Luxury Sedan</w:t>
            </w:r>
          </w:p>
        </w:tc>
        <w:tc>
          <w:tcPr>
            <w:tcW w:w="2010" w:type="dxa"/>
            <w:gridSpan w:val="2"/>
            <w:tcBorders>
              <w:top w:val="single" w:sz="4" w:space="0" w:color="auto"/>
              <w:bottom w:val="single" w:sz="4" w:space="0" w:color="auto"/>
            </w:tcBorders>
            <w:vAlign w:val="center"/>
          </w:tcPr>
          <w:p w14:paraId="4FB79CED" w14:textId="77777777" w:rsidR="00D26D51" w:rsidRPr="00D26D51" w:rsidRDefault="00D26D51" w:rsidP="00D26D51">
            <w:pPr>
              <w:spacing w:before="60" w:after="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D26D51">
              <w:rPr>
                <w:rFonts w:ascii="Times New Roman" w:hAnsi="Times New Roman" w:cs="Times New Roman"/>
                <w:b w:val="0"/>
                <w:sz w:val="20"/>
                <w:lang w:val="en-US"/>
              </w:rPr>
              <w:t>SUV/Van/Pickup</w:t>
            </w:r>
          </w:p>
        </w:tc>
      </w:tr>
      <w:tr w:rsidR="00D26D51" w:rsidRPr="00D26D51" w14:paraId="6367877C" w14:textId="77777777" w:rsidTr="00D26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0" w:type="dxa"/>
            <w:tcBorders>
              <w:top w:val="single" w:sz="4" w:space="0" w:color="auto"/>
              <w:bottom w:val="nil"/>
            </w:tcBorders>
          </w:tcPr>
          <w:p w14:paraId="3316EBA9" w14:textId="77777777" w:rsidR="00D26D51" w:rsidRPr="00D26D51" w:rsidRDefault="00D26D51" w:rsidP="00D26D51">
            <w:pPr>
              <w:rPr>
                <w:rFonts w:ascii="Times New Roman" w:hAnsi="Times New Roman" w:cs="Times New Roman"/>
                <w:b w:val="0"/>
                <w:i/>
                <w:sz w:val="20"/>
                <w:u w:val="single"/>
              </w:rPr>
            </w:pPr>
            <w:r w:rsidRPr="00D26D51">
              <w:rPr>
                <w:rFonts w:ascii="Times New Roman" w:hAnsi="Times New Roman" w:cs="Times New Roman"/>
                <w:b w:val="0"/>
                <w:i/>
                <w:sz w:val="20"/>
                <w:u w:val="single"/>
              </w:rPr>
              <w:t>ICE</w:t>
            </w:r>
          </w:p>
          <w:p w14:paraId="115B9275" w14:textId="77777777" w:rsidR="00D26D51" w:rsidRPr="00D26D51" w:rsidRDefault="00D26D51" w:rsidP="00D26D51">
            <w:pPr>
              <w:rPr>
                <w:rFonts w:ascii="Times New Roman" w:hAnsi="Times New Roman" w:cs="Times New Roman"/>
                <w:b w:val="0"/>
                <w:sz w:val="20"/>
              </w:rPr>
            </w:pPr>
            <w:r w:rsidRPr="00D26D51">
              <w:rPr>
                <w:rFonts w:ascii="Times New Roman" w:hAnsi="Times New Roman" w:cs="Times New Roman"/>
                <w:b w:val="0"/>
                <w:sz w:val="20"/>
              </w:rPr>
              <w:t>Make and model</w:t>
            </w:r>
          </w:p>
          <w:p w14:paraId="010E40BD" w14:textId="7F67104E" w:rsidR="00D26D51" w:rsidRPr="00D26D51" w:rsidRDefault="00D26D51" w:rsidP="00D26D51">
            <w:pPr>
              <w:rPr>
                <w:rFonts w:ascii="Times New Roman" w:hAnsi="Times New Roman" w:cs="Times New Roman"/>
                <w:b w:val="0"/>
                <w:sz w:val="20"/>
              </w:rPr>
            </w:pPr>
            <w:r w:rsidRPr="00D26D51">
              <w:rPr>
                <w:rFonts w:ascii="Times New Roman" w:hAnsi="Times New Roman" w:cs="Times New Roman"/>
                <w:b w:val="0"/>
                <w:sz w:val="20"/>
              </w:rPr>
              <w:t>Purchase price (PP</w:t>
            </w:r>
            <w:r w:rsidR="007E772E">
              <w:rPr>
                <w:rFonts w:ascii="Times New Roman" w:hAnsi="Times New Roman" w:cs="Times New Roman"/>
                <w:b w:val="0"/>
                <w:sz w:val="20"/>
                <w:vertAlign w:val="subscript"/>
              </w:rPr>
              <w:t>h/I</w:t>
            </w:r>
            <w:r w:rsidRPr="00D26D51">
              <w:rPr>
                <w:rFonts w:ascii="Times New Roman" w:hAnsi="Times New Roman" w:cs="Times New Roman"/>
                <w:b w:val="0"/>
                <w:sz w:val="20"/>
                <w:vertAlign w:val="subscript"/>
              </w:rPr>
              <w:t>CE</w:t>
            </w:r>
            <w:r w:rsidRPr="00D26D51">
              <w:rPr>
                <w:rFonts w:ascii="Times New Roman" w:hAnsi="Times New Roman" w:cs="Times New Roman"/>
                <w:b w:val="0"/>
                <w:sz w:val="20"/>
              </w:rPr>
              <w:t>), 2018</w:t>
            </w:r>
          </w:p>
          <w:p w14:paraId="1AD648E9" w14:textId="77777777" w:rsidR="00D26D51" w:rsidRPr="00D26D51" w:rsidRDefault="00D26D51" w:rsidP="00D26D51">
            <w:pPr>
              <w:rPr>
                <w:rFonts w:ascii="Times New Roman" w:hAnsi="Times New Roman" w:cs="Times New Roman"/>
                <w:b w:val="0"/>
                <w:sz w:val="20"/>
              </w:rPr>
            </w:pPr>
            <w:r w:rsidRPr="00D26D51">
              <w:rPr>
                <w:rFonts w:ascii="Times New Roman" w:hAnsi="Times New Roman" w:cs="Times New Roman"/>
                <w:b w:val="0"/>
                <w:sz w:val="20"/>
              </w:rPr>
              <w:t>PP</w:t>
            </w:r>
            <w:r w:rsidRPr="00D26D51">
              <w:rPr>
                <w:rFonts w:ascii="Times New Roman" w:hAnsi="Times New Roman" w:cs="Times New Roman"/>
                <w:b w:val="0"/>
                <w:sz w:val="20"/>
                <w:vertAlign w:val="subscript"/>
              </w:rPr>
              <w:t>ICE</w:t>
            </w:r>
            <w:r w:rsidRPr="00D26D51">
              <w:rPr>
                <w:rFonts w:ascii="Times New Roman" w:hAnsi="Times New Roman" w:cs="Times New Roman"/>
                <w:b w:val="0"/>
                <w:sz w:val="20"/>
              </w:rPr>
              <w:t>, 2020</w:t>
            </w:r>
          </w:p>
          <w:p w14:paraId="29B7D99B" w14:textId="77777777" w:rsidR="00D26D51" w:rsidRPr="00D26D51" w:rsidRDefault="00D26D51" w:rsidP="00D26D51">
            <w:pPr>
              <w:rPr>
                <w:rFonts w:ascii="Times New Roman" w:hAnsi="Times New Roman" w:cs="Times New Roman"/>
                <w:b w:val="0"/>
                <w:sz w:val="20"/>
              </w:rPr>
            </w:pPr>
            <w:r w:rsidRPr="00D26D51">
              <w:rPr>
                <w:rFonts w:ascii="Times New Roman" w:hAnsi="Times New Roman" w:cs="Times New Roman"/>
                <w:b w:val="0"/>
                <w:sz w:val="20"/>
              </w:rPr>
              <w:t>PP</w:t>
            </w:r>
            <w:r w:rsidRPr="00D26D51">
              <w:rPr>
                <w:rFonts w:ascii="Times New Roman" w:hAnsi="Times New Roman" w:cs="Times New Roman"/>
                <w:b w:val="0"/>
                <w:sz w:val="20"/>
                <w:vertAlign w:val="subscript"/>
              </w:rPr>
              <w:t>ICE</w:t>
            </w:r>
            <w:r w:rsidRPr="00D26D51">
              <w:rPr>
                <w:rFonts w:ascii="Times New Roman" w:hAnsi="Times New Roman" w:cs="Times New Roman"/>
                <w:b w:val="0"/>
                <w:sz w:val="20"/>
              </w:rPr>
              <w:t>, 2025</w:t>
            </w:r>
          </w:p>
          <w:p w14:paraId="0D23CED0" w14:textId="77777777" w:rsidR="00D26D51" w:rsidRPr="00D26D51" w:rsidRDefault="00D26D51" w:rsidP="00D26D51">
            <w:pPr>
              <w:rPr>
                <w:rFonts w:ascii="Times New Roman" w:hAnsi="Times New Roman" w:cs="Times New Roman"/>
                <w:b w:val="0"/>
                <w:sz w:val="20"/>
              </w:rPr>
            </w:pPr>
            <w:r w:rsidRPr="00D26D51">
              <w:rPr>
                <w:rFonts w:ascii="Times New Roman" w:hAnsi="Times New Roman" w:cs="Times New Roman"/>
                <w:b w:val="0"/>
                <w:sz w:val="20"/>
              </w:rPr>
              <w:t>PP</w:t>
            </w:r>
            <w:r w:rsidRPr="00D26D51">
              <w:rPr>
                <w:rFonts w:ascii="Times New Roman" w:hAnsi="Times New Roman" w:cs="Times New Roman"/>
                <w:b w:val="0"/>
                <w:sz w:val="20"/>
                <w:vertAlign w:val="subscript"/>
              </w:rPr>
              <w:t>ICE</w:t>
            </w:r>
            <w:r w:rsidRPr="00D26D51">
              <w:rPr>
                <w:rFonts w:ascii="Times New Roman" w:hAnsi="Times New Roman" w:cs="Times New Roman"/>
                <w:b w:val="0"/>
                <w:sz w:val="20"/>
              </w:rPr>
              <w:t>, 2030</w:t>
            </w:r>
          </w:p>
          <w:p w14:paraId="31C1C5F0" w14:textId="7ED5EBF8" w:rsidR="00D26D51" w:rsidRPr="00D26D51" w:rsidRDefault="00D26D51" w:rsidP="00D26D51">
            <w:pPr>
              <w:spacing w:after="60"/>
              <w:rPr>
                <w:rFonts w:ascii="Times New Roman" w:hAnsi="Times New Roman" w:cs="Times New Roman"/>
                <w:b w:val="0"/>
                <w:sz w:val="20"/>
              </w:rPr>
            </w:pPr>
            <w:r w:rsidRPr="00D26D51">
              <w:rPr>
                <w:rFonts w:ascii="Times New Roman" w:hAnsi="Times New Roman" w:cs="Times New Roman"/>
                <w:b w:val="0"/>
                <w:sz w:val="20"/>
              </w:rPr>
              <w:t>Operating cost, 100 km (C</w:t>
            </w:r>
            <w:r w:rsidR="007E772E">
              <w:rPr>
                <w:rFonts w:ascii="Times New Roman" w:hAnsi="Times New Roman" w:cs="Times New Roman"/>
                <w:b w:val="0"/>
                <w:sz w:val="20"/>
                <w:vertAlign w:val="subscript"/>
              </w:rPr>
              <w:t>h/I</w:t>
            </w:r>
            <w:r w:rsidR="007E772E" w:rsidRPr="00D26D51">
              <w:rPr>
                <w:rFonts w:ascii="Times New Roman" w:hAnsi="Times New Roman" w:cs="Times New Roman"/>
                <w:b w:val="0"/>
                <w:sz w:val="20"/>
                <w:vertAlign w:val="subscript"/>
              </w:rPr>
              <w:t>CE</w:t>
            </w:r>
            <w:r w:rsidRPr="00D26D51">
              <w:rPr>
                <w:rFonts w:ascii="Times New Roman" w:hAnsi="Times New Roman" w:cs="Times New Roman"/>
                <w:b w:val="0"/>
                <w:sz w:val="20"/>
              </w:rPr>
              <w:t>)</w:t>
            </w:r>
          </w:p>
        </w:tc>
        <w:tc>
          <w:tcPr>
            <w:tcW w:w="1843" w:type="dxa"/>
            <w:tcBorders>
              <w:top w:val="single" w:sz="4" w:space="0" w:color="auto"/>
              <w:bottom w:val="nil"/>
            </w:tcBorders>
          </w:tcPr>
          <w:p w14:paraId="71D34524" w14:textId="77777777" w:rsidR="00D26D51" w:rsidRPr="00D26D51" w:rsidRDefault="00D26D51" w:rsidP="00D26D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p w14:paraId="51105A12" w14:textId="77777777" w:rsidR="00D26D51" w:rsidRPr="00D26D51" w:rsidRDefault="00D26D51" w:rsidP="00D26D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6D51">
              <w:rPr>
                <w:rFonts w:ascii="Times New Roman" w:hAnsi="Times New Roman" w:cs="Times New Roman"/>
                <w:sz w:val="20"/>
              </w:rPr>
              <w:t>Honda Civic EX</w:t>
            </w:r>
          </w:p>
          <w:p w14:paraId="7B5C3AA1" w14:textId="77777777" w:rsidR="00D26D51" w:rsidRPr="00D26D51" w:rsidRDefault="00D26D51" w:rsidP="00D26D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6D51">
              <w:rPr>
                <w:rFonts w:ascii="Times New Roman" w:hAnsi="Times New Roman" w:cs="Times New Roman"/>
                <w:sz w:val="20"/>
              </w:rPr>
              <w:t>$24,500</w:t>
            </w:r>
          </w:p>
          <w:p w14:paraId="1C422761" w14:textId="77777777" w:rsidR="00D26D51" w:rsidRPr="00D26D51" w:rsidRDefault="00D26D51" w:rsidP="00D26D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6D51">
              <w:rPr>
                <w:rFonts w:ascii="Times New Roman" w:hAnsi="Times New Roman" w:cs="Times New Roman"/>
                <w:sz w:val="20"/>
              </w:rPr>
              <w:t>$25,000</w:t>
            </w:r>
          </w:p>
          <w:p w14:paraId="30ED7581" w14:textId="77777777" w:rsidR="00D26D51" w:rsidRPr="00D26D51" w:rsidRDefault="00D26D51" w:rsidP="00D26D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6D51">
              <w:rPr>
                <w:rFonts w:ascii="Times New Roman" w:hAnsi="Times New Roman" w:cs="Times New Roman"/>
                <w:sz w:val="20"/>
              </w:rPr>
              <w:t>$26,000</w:t>
            </w:r>
          </w:p>
          <w:p w14:paraId="20C1915C" w14:textId="77777777" w:rsidR="00D26D51" w:rsidRPr="00D26D51" w:rsidRDefault="00D26D51" w:rsidP="00D26D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6D51">
              <w:rPr>
                <w:rFonts w:ascii="Times New Roman" w:hAnsi="Times New Roman" w:cs="Times New Roman"/>
                <w:sz w:val="20"/>
              </w:rPr>
              <w:t>$27,000</w:t>
            </w:r>
          </w:p>
          <w:p w14:paraId="3CF23271" w14:textId="77777777" w:rsidR="00D26D51" w:rsidRPr="00D26D51" w:rsidRDefault="00D26D51" w:rsidP="00D26D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6D51">
              <w:rPr>
                <w:rFonts w:ascii="Times New Roman" w:hAnsi="Times New Roman" w:cs="Times New Roman"/>
                <w:sz w:val="20"/>
              </w:rPr>
              <w:t>$9.50</w:t>
            </w:r>
          </w:p>
        </w:tc>
        <w:tc>
          <w:tcPr>
            <w:tcW w:w="2010" w:type="dxa"/>
            <w:tcBorders>
              <w:top w:val="single" w:sz="4" w:space="0" w:color="auto"/>
              <w:bottom w:val="nil"/>
            </w:tcBorders>
          </w:tcPr>
          <w:p w14:paraId="3285DF7C" w14:textId="77777777" w:rsidR="00D26D51" w:rsidRPr="00D26D51" w:rsidRDefault="00D26D51" w:rsidP="00D26D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p w14:paraId="54DB67FF" w14:textId="77777777" w:rsidR="00D26D51" w:rsidRPr="00D26D51" w:rsidRDefault="00D26D51" w:rsidP="00D26D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6D51">
              <w:rPr>
                <w:rFonts w:ascii="Times New Roman" w:hAnsi="Times New Roman" w:cs="Times New Roman"/>
                <w:sz w:val="20"/>
              </w:rPr>
              <w:t>BMW 535ix</w:t>
            </w:r>
          </w:p>
          <w:p w14:paraId="00317436" w14:textId="77777777" w:rsidR="00D26D51" w:rsidRPr="00D26D51" w:rsidRDefault="00D26D51" w:rsidP="00D26D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6D51">
              <w:rPr>
                <w:rFonts w:ascii="Times New Roman" w:hAnsi="Times New Roman" w:cs="Times New Roman"/>
                <w:sz w:val="20"/>
              </w:rPr>
              <w:t>$67,500</w:t>
            </w:r>
          </w:p>
          <w:p w14:paraId="0443F58A" w14:textId="77777777" w:rsidR="00D26D51" w:rsidRPr="00D26D51" w:rsidRDefault="00D26D51" w:rsidP="00D26D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6D51">
              <w:rPr>
                <w:rFonts w:ascii="Times New Roman" w:hAnsi="Times New Roman" w:cs="Times New Roman"/>
                <w:sz w:val="20"/>
              </w:rPr>
              <w:t>$69,000</w:t>
            </w:r>
          </w:p>
          <w:p w14:paraId="3E2F7245" w14:textId="77777777" w:rsidR="00D26D51" w:rsidRPr="00D26D51" w:rsidRDefault="00D26D51" w:rsidP="00D26D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6D51">
              <w:rPr>
                <w:rFonts w:ascii="Times New Roman" w:hAnsi="Times New Roman" w:cs="Times New Roman"/>
                <w:sz w:val="20"/>
              </w:rPr>
              <w:t>$72,000</w:t>
            </w:r>
          </w:p>
          <w:p w14:paraId="3D3F9FB0" w14:textId="77777777" w:rsidR="00D26D51" w:rsidRPr="00D26D51" w:rsidRDefault="00D26D51" w:rsidP="00D26D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6D51">
              <w:rPr>
                <w:rFonts w:ascii="Times New Roman" w:hAnsi="Times New Roman" w:cs="Times New Roman"/>
                <w:sz w:val="20"/>
              </w:rPr>
              <w:t>$75,000</w:t>
            </w:r>
          </w:p>
          <w:p w14:paraId="4CDDF5BC" w14:textId="77777777" w:rsidR="00D26D51" w:rsidRPr="00D26D51" w:rsidRDefault="00D26D51" w:rsidP="00D26D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6D51">
              <w:rPr>
                <w:rFonts w:ascii="Times New Roman" w:hAnsi="Times New Roman" w:cs="Times New Roman"/>
                <w:sz w:val="20"/>
              </w:rPr>
              <w:t>$10.50</w:t>
            </w:r>
          </w:p>
        </w:tc>
        <w:tc>
          <w:tcPr>
            <w:tcW w:w="2010" w:type="dxa"/>
            <w:gridSpan w:val="2"/>
            <w:tcBorders>
              <w:top w:val="single" w:sz="4" w:space="0" w:color="auto"/>
              <w:bottom w:val="nil"/>
            </w:tcBorders>
          </w:tcPr>
          <w:p w14:paraId="7A28FC1E" w14:textId="77777777" w:rsidR="00D26D51" w:rsidRPr="00D26D51" w:rsidRDefault="00D26D51" w:rsidP="00D26D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p w14:paraId="115D0E67" w14:textId="77777777" w:rsidR="00D26D51" w:rsidRPr="00D26D51" w:rsidRDefault="00D26D51" w:rsidP="00D26D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6D51">
              <w:rPr>
                <w:rFonts w:ascii="Times New Roman" w:hAnsi="Times New Roman" w:cs="Times New Roman"/>
                <w:sz w:val="20"/>
              </w:rPr>
              <w:t>Ford Escape S</w:t>
            </w:r>
          </w:p>
          <w:p w14:paraId="39FE3081" w14:textId="77777777" w:rsidR="00D26D51" w:rsidRPr="00D26D51" w:rsidRDefault="00D26D51" w:rsidP="00D26D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6D51">
              <w:rPr>
                <w:rFonts w:ascii="Times New Roman" w:hAnsi="Times New Roman" w:cs="Times New Roman"/>
                <w:sz w:val="20"/>
              </w:rPr>
              <w:t>$25,300</w:t>
            </w:r>
          </w:p>
          <w:p w14:paraId="67978958" w14:textId="77777777" w:rsidR="00D26D51" w:rsidRPr="00D26D51" w:rsidRDefault="00D26D51" w:rsidP="00D26D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6D51">
              <w:rPr>
                <w:rFonts w:ascii="Times New Roman" w:hAnsi="Times New Roman" w:cs="Times New Roman"/>
                <w:sz w:val="20"/>
              </w:rPr>
              <w:t>$26,000</w:t>
            </w:r>
          </w:p>
          <w:p w14:paraId="3B7CF5EC" w14:textId="77777777" w:rsidR="00D26D51" w:rsidRPr="00D26D51" w:rsidRDefault="00D26D51" w:rsidP="00D26D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6D51">
              <w:rPr>
                <w:rFonts w:ascii="Times New Roman" w:hAnsi="Times New Roman" w:cs="Times New Roman"/>
                <w:sz w:val="20"/>
              </w:rPr>
              <w:t>$27,000</w:t>
            </w:r>
          </w:p>
          <w:p w14:paraId="43F3295D" w14:textId="77777777" w:rsidR="00D26D51" w:rsidRPr="00D26D51" w:rsidRDefault="00D26D51" w:rsidP="00D26D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6D51">
              <w:rPr>
                <w:rFonts w:ascii="Times New Roman" w:hAnsi="Times New Roman" w:cs="Times New Roman"/>
                <w:sz w:val="20"/>
              </w:rPr>
              <w:t>$28,000</w:t>
            </w:r>
          </w:p>
          <w:p w14:paraId="6286AB53" w14:textId="77777777" w:rsidR="00D26D51" w:rsidRPr="00D26D51" w:rsidRDefault="00D26D51" w:rsidP="00D26D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6D51">
              <w:rPr>
                <w:rFonts w:ascii="Times New Roman" w:hAnsi="Times New Roman" w:cs="Times New Roman"/>
                <w:sz w:val="20"/>
              </w:rPr>
              <w:t>$10.00</w:t>
            </w:r>
          </w:p>
        </w:tc>
      </w:tr>
      <w:tr w:rsidR="00D26D51" w:rsidRPr="00D26D51" w14:paraId="1496C6E4" w14:textId="77777777" w:rsidTr="00D26D51">
        <w:trPr>
          <w:gridAfter w:val="1"/>
          <w:wAfter w:w="213" w:type="dxa"/>
        </w:trPr>
        <w:tc>
          <w:tcPr>
            <w:cnfStyle w:val="001000000000" w:firstRow="0" w:lastRow="0" w:firstColumn="1" w:lastColumn="0" w:oddVBand="0" w:evenVBand="0" w:oddHBand="0" w:evenHBand="0" w:firstRowFirstColumn="0" w:firstRowLastColumn="0" w:lastRowFirstColumn="0" w:lastRowLastColumn="0"/>
            <w:tcW w:w="3350" w:type="dxa"/>
            <w:tcBorders>
              <w:top w:val="nil"/>
              <w:bottom w:val="single" w:sz="4" w:space="0" w:color="auto"/>
            </w:tcBorders>
          </w:tcPr>
          <w:p w14:paraId="15C59550" w14:textId="77777777" w:rsidR="00D26D51" w:rsidRPr="00D26D51" w:rsidRDefault="00D26D51" w:rsidP="00D26D51">
            <w:pPr>
              <w:rPr>
                <w:rFonts w:ascii="Times New Roman" w:hAnsi="Times New Roman" w:cs="Times New Roman"/>
                <w:b w:val="0"/>
                <w:i/>
                <w:sz w:val="20"/>
                <w:u w:val="single"/>
              </w:rPr>
            </w:pPr>
            <w:r w:rsidRPr="00D26D51">
              <w:rPr>
                <w:rFonts w:ascii="Times New Roman" w:hAnsi="Times New Roman" w:cs="Times New Roman"/>
                <w:b w:val="0"/>
                <w:i/>
                <w:sz w:val="20"/>
                <w:u w:val="single"/>
              </w:rPr>
              <w:t>BEV</w:t>
            </w:r>
          </w:p>
          <w:p w14:paraId="57FDDBCD" w14:textId="77777777" w:rsidR="00D26D51" w:rsidRPr="00D26D51" w:rsidRDefault="00D26D51" w:rsidP="00D26D51">
            <w:pPr>
              <w:rPr>
                <w:rFonts w:ascii="Times New Roman" w:hAnsi="Times New Roman" w:cs="Times New Roman"/>
                <w:b w:val="0"/>
                <w:sz w:val="20"/>
              </w:rPr>
            </w:pPr>
            <w:r w:rsidRPr="00D26D51">
              <w:rPr>
                <w:rFonts w:ascii="Times New Roman" w:hAnsi="Times New Roman" w:cs="Times New Roman"/>
                <w:b w:val="0"/>
                <w:sz w:val="20"/>
              </w:rPr>
              <w:t>Make and model</w:t>
            </w:r>
          </w:p>
          <w:p w14:paraId="40E63B16" w14:textId="2FCC4128" w:rsidR="00D26D51" w:rsidRPr="00D26D51" w:rsidRDefault="00D26D51" w:rsidP="00D26D51">
            <w:pPr>
              <w:rPr>
                <w:rFonts w:ascii="Times New Roman" w:hAnsi="Times New Roman" w:cs="Times New Roman"/>
                <w:b w:val="0"/>
                <w:sz w:val="20"/>
              </w:rPr>
            </w:pPr>
            <w:r w:rsidRPr="00D26D51">
              <w:rPr>
                <w:rFonts w:ascii="Times New Roman" w:hAnsi="Times New Roman" w:cs="Times New Roman"/>
                <w:b w:val="0"/>
                <w:sz w:val="20"/>
              </w:rPr>
              <w:t>Purchase price (PP</w:t>
            </w:r>
            <w:r w:rsidR="007E772E">
              <w:rPr>
                <w:rFonts w:ascii="Times New Roman" w:hAnsi="Times New Roman" w:cs="Times New Roman"/>
                <w:b w:val="0"/>
                <w:sz w:val="20"/>
                <w:vertAlign w:val="subscript"/>
              </w:rPr>
              <w:t>h/B</w:t>
            </w:r>
            <w:r w:rsidRPr="00D26D51">
              <w:rPr>
                <w:rFonts w:ascii="Times New Roman" w:hAnsi="Times New Roman" w:cs="Times New Roman"/>
                <w:b w:val="0"/>
                <w:sz w:val="20"/>
                <w:vertAlign w:val="subscript"/>
              </w:rPr>
              <w:t>EV</w:t>
            </w:r>
            <w:r w:rsidRPr="00D26D51">
              <w:rPr>
                <w:rFonts w:ascii="Times New Roman" w:hAnsi="Times New Roman" w:cs="Times New Roman"/>
                <w:b w:val="0"/>
                <w:sz w:val="20"/>
              </w:rPr>
              <w:t xml:space="preserve">), 2018 </w:t>
            </w:r>
          </w:p>
          <w:p w14:paraId="5B759F3F" w14:textId="77777777" w:rsidR="00D26D51" w:rsidRPr="00D26D51" w:rsidRDefault="00D26D51" w:rsidP="00D26D51">
            <w:pPr>
              <w:rPr>
                <w:rFonts w:ascii="Times New Roman" w:hAnsi="Times New Roman" w:cs="Times New Roman"/>
                <w:b w:val="0"/>
                <w:sz w:val="20"/>
              </w:rPr>
            </w:pPr>
            <w:r w:rsidRPr="00D26D51">
              <w:rPr>
                <w:rFonts w:ascii="Times New Roman" w:hAnsi="Times New Roman" w:cs="Times New Roman"/>
                <w:b w:val="0"/>
                <w:sz w:val="20"/>
              </w:rPr>
              <w:t>PP</w:t>
            </w:r>
            <w:r w:rsidRPr="00D26D51">
              <w:rPr>
                <w:rFonts w:ascii="Times New Roman" w:hAnsi="Times New Roman" w:cs="Times New Roman"/>
                <w:b w:val="0"/>
                <w:sz w:val="20"/>
                <w:vertAlign w:val="subscript"/>
              </w:rPr>
              <w:t>BEV</w:t>
            </w:r>
            <w:r w:rsidRPr="00D26D51">
              <w:rPr>
                <w:rFonts w:ascii="Times New Roman" w:hAnsi="Times New Roman" w:cs="Times New Roman"/>
                <w:b w:val="0"/>
                <w:sz w:val="20"/>
              </w:rPr>
              <w:t>, 2020</w:t>
            </w:r>
          </w:p>
          <w:p w14:paraId="4A6B0F13" w14:textId="77777777" w:rsidR="00D26D51" w:rsidRPr="00D26D51" w:rsidRDefault="00D26D51" w:rsidP="00D26D51">
            <w:pPr>
              <w:rPr>
                <w:rFonts w:ascii="Times New Roman" w:hAnsi="Times New Roman" w:cs="Times New Roman"/>
                <w:b w:val="0"/>
                <w:sz w:val="20"/>
              </w:rPr>
            </w:pPr>
            <w:r w:rsidRPr="00D26D51">
              <w:rPr>
                <w:rFonts w:ascii="Times New Roman" w:hAnsi="Times New Roman" w:cs="Times New Roman"/>
                <w:b w:val="0"/>
                <w:sz w:val="20"/>
              </w:rPr>
              <w:t>PP</w:t>
            </w:r>
            <w:r w:rsidRPr="00D26D51">
              <w:rPr>
                <w:rFonts w:ascii="Times New Roman" w:hAnsi="Times New Roman" w:cs="Times New Roman"/>
                <w:b w:val="0"/>
                <w:sz w:val="20"/>
                <w:vertAlign w:val="subscript"/>
              </w:rPr>
              <w:t>BEV</w:t>
            </w:r>
            <w:r w:rsidRPr="00D26D51">
              <w:rPr>
                <w:rFonts w:ascii="Times New Roman" w:hAnsi="Times New Roman" w:cs="Times New Roman"/>
                <w:b w:val="0"/>
                <w:sz w:val="20"/>
              </w:rPr>
              <w:t>, 2025</w:t>
            </w:r>
          </w:p>
          <w:p w14:paraId="082E27EB" w14:textId="77777777" w:rsidR="00D26D51" w:rsidRPr="00D26D51" w:rsidRDefault="00D26D51" w:rsidP="00D26D51">
            <w:pPr>
              <w:rPr>
                <w:rFonts w:ascii="Times New Roman" w:hAnsi="Times New Roman" w:cs="Times New Roman"/>
                <w:b w:val="0"/>
                <w:sz w:val="20"/>
              </w:rPr>
            </w:pPr>
            <w:r w:rsidRPr="00D26D51">
              <w:rPr>
                <w:rFonts w:ascii="Times New Roman" w:hAnsi="Times New Roman" w:cs="Times New Roman"/>
                <w:b w:val="0"/>
                <w:sz w:val="20"/>
              </w:rPr>
              <w:t>PP</w:t>
            </w:r>
            <w:r w:rsidRPr="00D26D51">
              <w:rPr>
                <w:rFonts w:ascii="Times New Roman" w:hAnsi="Times New Roman" w:cs="Times New Roman"/>
                <w:b w:val="0"/>
                <w:sz w:val="20"/>
                <w:vertAlign w:val="subscript"/>
              </w:rPr>
              <w:t>BEV</w:t>
            </w:r>
            <w:r w:rsidRPr="00D26D51">
              <w:rPr>
                <w:rFonts w:ascii="Times New Roman" w:hAnsi="Times New Roman" w:cs="Times New Roman"/>
                <w:b w:val="0"/>
                <w:sz w:val="20"/>
              </w:rPr>
              <w:t>, 2030</w:t>
            </w:r>
          </w:p>
          <w:p w14:paraId="6DBE17F1" w14:textId="4E1808ED" w:rsidR="00D26D51" w:rsidRPr="00D26D51" w:rsidRDefault="00D26D51" w:rsidP="00D26D51">
            <w:pPr>
              <w:rPr>
                <w:rFonts w:ascii="Times New Roman" w:hAnsi="Times New Roman" w:cs="Times New Roman"/>
                <w:b w:val="0"/>
                <w:sz w:val="20"/>
                <w:vertAlign w:val="subscript"/>
              </w:rPr>
            </w:pPr>
            <w:r w:rsidRPr="00D26D51">
              <w:rPr>
                <w:rFonts w:ascii="Times New Roman" w:hAnsi="Times New Roman" w:cs="Times New Roman"/>
                <w:b w:val="0"/>
                <w:sz w:val="20"/>
              </w:rPr>
              <w:t>Operating cost, 100 km (C</w:t>
            </w:r>
            <w:r w:rsidR="007E772E">
              <w:rPr>
                <w:rFonts w:ascii="Times New Roman" w:hAnsi="Times New Roman" w:cs="Times New Roman"/>
                <w:b w:val="0"/>
                <w:sz w:val="20"/>
                <w:vertAlign w:val="subscript"/>
              </w:rPr>
              <w:t>h/B</w:t>
            </w:r>
            <w:r w:rsidR="007E772E" w:rsidRPr="00D26D51">
              <w:rPr>
                <w:rFonts w:ascii="Times New Roman" w:hAnsi="Times New Roman" w:cs="Times New Roman"/>
                <w:b w:val="0"/>
                <w:sz w:val="20"/>
                <w:vertAlign w:val="subscript"/>
              </w:rPr>
              <w:t>EV</w:t>
            </w:r>
            <w:r w:rsidRPr="00D26D51">
              <w:rPr>
                <w:rFonts w:ascii="Times New Roman" w:hAnsi="Times New Roman" w:cs="Times New Roman"/>
                <w:b w:val="0"/>
                <w:sz w:val="20"/>
              </w:rPr>
              <w:t>)</w:t>
            </w:r>
          </w:p>
        </w:tc>
        <w:tc>
          <w:tcPr>
            <w:tcW w:w="1843" w:type="dxa"/>
            <w:tcBorders>
              <w:top w:val="nil"/>
              <w:bottom w:val="single" w:sz="4" w:space="0" w:color="auto"/>
            </w:tcBorders>
          </w:tcPr>
          <w:p w14:paraId="30A973E2"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rPr>
            </w:pPr>
          </w:p>
          <w:p w14:paraId="6FCF7E57"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6D51">
              <w:rPr>
                <w:rFonts w:ascii="Times New Roman" w:hAnsi="Times New Roman" w:cs="Times New Roman"/>
                <w:sz w:val="20"/>
              </w:rPr>
              <w:t>Nissan Leaf S</w:t>
            </w:r>
          </w:p>
          <w:p w14:paraId="062EB643"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6D51">
              <w:rPr>
                <w:rFonts w:ascii="Times New Roman" w:hAnsi="Times New Roman" w:cs="Times New Roman"/>
                <w:sz w:val="20"/>
              </w:rPr>
              <w:t>$37,000</w:t>
            </w:r>
          </w:p>
          <w:p w14:paraId="4912D61F"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6D51">
              <w:rPr>
                <w:rFonts w:ascii="Times New Roman" w:hAnsi="Times New Roman" w:cs="Times New Roman"/>
                <w:sz w:val="20"/>
              </w:rPr>
              <w:t>$36,000</w:t>
            </w:r>
          </w:p>
          <w:p w14:paraId="72AD3C6C"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6D51">
              <w:rPr>
                <w:rFonts w:ascii="Times New Roman" w:hAnsi="Times New Roman" w:cs="Times New Roman"/>
                <w:sz w:val="20"/>
              </w:rPr>
              <w:t>$33,500</w:t>
            </w:r>
          </w:p>
          <w:p w14:paraId="7AF40147"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6D51">
              <w:rPr>
                <w:rFonts w:ascii="Times New Roman" w:hAnsi="Times New Roman" w:cs="Times New Roman"/>
                <w:sz w:val="20"/>
              </w:rPr>
              <w:t>$31,000</w:t>
            </w:r>
          </w:p>
          <w:p w14:paraId="7DE1FF58"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6D51">
              <w:rPr>
                <w:rFonts w:ascii="Times New Roman" w:hAnsi="Times New Roman" w:cs="Times New Roman"/>
                <w:sz w:val="20"/>
              </w:rPr>
              <w:t>$2.36</w:t>
            </w:r>
          </w:p>
        </w:tc>
        <w:tc>
          <w:tcPr>
            <w:tcW w:w="2010" w:type="dxa"/>
            <w:tcBorders>
              <w:top w:val="nil"/>
              <w:bottom w:val="single" w:sz="4" w:space="0" w:color="auto"/>
            </w:tcBorders>
          </w:tcPr>
          <w:p w14:paraId="620DCB3A"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rPr>
            </w:pPr>
          </w:p>
          <w:p w14:paraId="463A5E71"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6D51">
              <w:rPr>
                <w:rFonts w:ascii="Times New Roman" w:hAnsi="Times New Roman" w:cs="Times New Roman"/>
                <w:sz w:val="20"/>
              </w:rPr>
              <w:t xml:space="preserve">Tesla Model S </w:t>
            </w:r>
          </w:p>
          <w:p w14:paraId="4845DDE2"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6D51">
              <w:rPr>
                <w:rFonts w:ascii="Times New Roman" w:hAnsi="Times New Roman" w:cs="Times New Roman"/>
                <w:sz w:val="20"/>
              </w:rPr>
              <w:t>$95,000</w:t>
            </w:r>
          </w:p>
          <w:p w14:paraId="3B5DEFDC"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6D51">
              <w:rPr>
                <w:rFonts w:ascii="Times New Roman" w:hAnsi="Times New Roman" w:cs="Times New Roman"/>
                <w:sz w:val="20"/>
              </w:rPr>
              <w:t>$93,000</w:t>
            </w:r>
          </w:p>
          <w:p w14:paraId="1DC78CB6"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6D51">
              <w:rPr>
                <w:rFonts w:ascii="Times New Roman" w:hAnsi="Times New Roman" w:cs="Times New Roman"/>
                <w:sz w:val="20"/>
              </w:rPr>
              <w:t>$88,000</w:t>
            </w:r>
          </w:p>
          <w:p w14:paraId="0B6DE807"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6D51">
              <w:rPr>
                <w:rFonts w:ascii="Times New Roman" w:hAnsi="Times New Roman" w:cs="Times New Roman"/>
                <w:sz w:val="20"/>
              </w:rPr>
              <w:t>$83,000</w:t>
            </w:r>
          </w:p>
          <w:p w14:paraId="126B1A14"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6D51">
              <w:rPr>
                <w:rFonts w:ascii="Times New Roman" w:hAnsi="Times New Roman" w:cs="Times New Roman"/>
                <w:sz w:val="20"/>
              </w:rPr>
              <w:t>$2.88</w:t>
            </w:r>
          </w:p>
        </w:tc>
        <w:tc>
          <w:tcPr>
            <w:tcW w:w="1797" w:type="dxa"/>
            <w:tcBorders>
              <w:top w:val="nil"/>
              <w:bottom w:val="single" w:sz="4" w:space="0" w:color="auto"/>
            </w:tcBorders>
          </w:tcPr>
          <w:p w14:paraId="31D43A52"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rPr>
            </w:pPr>
          </w:p>
          <w:p w14:paraId="35CE3973"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6D51">
              <w:rPr>
                <w:rFonts w:ascii="Times New Roman" w:hAnsi="Times New Roman" w:cs="Times New Roman"/>
                <w:sz w:val="20"/>
              </w:rPr>
              <w:t>Kia Soul EV</w:t>
            </w:r>
          </w:p>
          <w:p w14:paraId="437ECC91"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6D51">
              <w:rPr>
                <w:rFonts w:ascii="Times New Roman" w:hAnsi="Times New Roman" w:cs="Times New Roman"/>
                <w:sz w:val="20"/>
              </w:rPr>
              <w:t>$36,000</w:t>
            </w:r>
          </w:p>
          <w:p w14:paraId="727A9DB4"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6D51">
              <w:rPr>
                <w:rFonts w:ascii="Times New Roman" w:hAnsi="Times New Roman" w:cs="Times New Roman"/>
                <w:sz w:val="20"/>
              </w:rPr>
              <w:t>$35,000</w:t>
            </w:r>
          </w:p>
          <w:p w14:paraId="65010A15"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6D51">
              <w:rPr>
                <w:rFonts w:ascii="Times New Roman" w:hAnsi="Times New Roman" w:cs="Times New Roman"/>
                <w:sz w:val="20"/>
              </w:rPr>
              <w:t>$32,500</w:t>
            </w:r>
          </w:p>
          <w:p w14:paraId="73ECC608"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6D51">
              <w:rPr>
                <w:rFonts w:ascii="Times New Roman" w:hAnsi="Times New Roman" w:cs="Times New Roman"/>
                <w:sz w:val="20"/>
              </w:rPr>
              <w:t>$30,000</w:t>
            </w:r>
          </w:p>
          <w:p w14:paraId="5D760B27"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6D51">
              <w:rPr>
                <w:rFonts w:ascii="Times New Roman" w:hAnsi="Times New Roman" w:cs="Times New Roman"/>
                <w:sz w:val="20"/>
              </w:rPr>
              <w:t>$2.56</w:t>
            </w:r>
          </w:p>
        </w:tc>
      </w:tr>
    </w:tbl>
    <w:p w14:paraId="7758C5A2" w14:textId="77777777" w:rsidR="00C01B32" w:rsidRPr="00C01B32" w:rsidRDefault="00C01B32" w:rsidP="00C01B32">
      <w:bookmarkStart w:id="92" w:name="_Toc528650891"/>
    </w:p>
    <w:p w14:paraId="23A2C985" w14:textId="77777777" w:rsidR="00D26D51" w:rsidRPr="0014385C" w:rsidRDefault="00D26D51" w:rsidP="00E1100F">
      <w:pPr>
        <w:pStyle w:val="Heading2"/>
        <w:numPr>
          <w:ilvl w:val="1"/>
          <w:numId w:val="9"/>
        </w:numPr>
        <w:rPr>
          <w:rFonts w:ascii="Times New Roman" w:hAnsi="Times New Roman"/>
          <w:color w:val="000000"/>
        </w:rPr>
      </w:pPr>
      <w:r w:rsidRPr="0014385C">
        <w:rPr>
          <w:rFonts w:ascii="Times New Roman" w:hAnsi="Times New Roman"/>
          <w:color w:val="000000"/>
        </w:rPr>
        <w:lastRenderedPageBreak/>
        <w:t>Results</w:t>
      </w:r>
      <w:bookmarkEnd w:id="92"/>
    </w:p>
    <w:p w14:paraId="3719BBEC" w14:textId="77777777" w:rsidR="00D26D51" w:rsidRPr="00D26D51" w:rsidRDefault="00D26D51" w:rsidP="00E1100F">
      <w:pPr>
        <w:pStyle w:val="ListParagraph"/>
        <w:numPr>
          <w:ilvl w:val="2"/>
          <w:numId w:val="9"/>
        </w:numPr>
        <w:outlineLvl w:val="2"/>
        <w:rPr>
          <w:rFonts w:ascii="Times New Roman" w:hAnsi="Times New Roman" w:cs="Times New Roman"/>
          <w:b/>
          <w:color w:val="000000"/>
        </w:rPr>
      </w:pPr>
      <w:bookmarkStart w:id="93" w:name="_Toc528650892"/>
      <w:r w:rsidRPr="00D26D51">
        <w:rPr>
          <w:rFonts w:ascii="Times New Roman" w:hAnsi="Times New Roman" w:cs="Times New Roman"/>
          <w:b/>
          <w:color w:val="000000"/>
        </w:rPr>
        <w:t>Share of BEV-suited Households</w:t>
      </w:r>
      <w:bookmarkEnd w:id="93"/>
      <w:r w:rsidRPr="00D26D51">
        <w:rPr>
          <w:rFonts w:ascii="Times New Roman" w:hAnsi="Times New Roman" w:cs="Times New Roman"/>
          <w:b/>
          <w:color w:val="000000"/>
        </w:rPr>
        <w:t xml:space="preserve"> </w:t>
      </w:r>
    </w:p>
    <w:p w14:paraId="714B26F2" w14:textId="77777777" w:rsidR="00D26D51" w:rsidRPr="00D26D51" w:rsidRDefault="00D26D51" w:rsidP="00D26D51">
      <w:pPr>
        <w:rPr>
          <w:rFonts w:ascii="Times New Roman" w:hAnsi="Times New Roman" w:cs="Times New Roman"/>
          <w:color w:val="000000"/>
        </w:rPr>
      </w:pPr>
      <w:r w:rsidRPr="00D26D51">
        <w:rPr>
          <w:rFonts w:ascii="Times New Roman" w:hAnsi="Times New Roman" w:cs="Times New Roman"/>
          <w:color w:val="000000"/>
        </w:rPr>
        <w:t>Equation (1) is used to obtain the share of BEV-suited households – those with a lower TCO for their preferred class of BEV (TCO</w:t>
      </w:r>
      <w:r w:rsidRPr="00D26D51">
        <w:rPr>
          <w:rFonts w:ascii="Times New Roman" w:hAnsi="Times New Roman" w:cs="Times New Roman"/>
          <w:color w:val="000000"/>
          <w:vertAlign w:val="subscript"/>
        </w:rPr>
        <w:t xml:space="preserve">BEV </w:t>
      </w:r>
      <w:r w:rsidRPr="00D26D51">
        <w:rPr>
          <w:rFonts w:ascii="Times New Roman" w:hAnsi="Times New Roman" w:cs="Times New Roman"/>
          <w:color w:val="000000"/>
        </w:rPr>
        <w:t>&lt; TCO</w:t>
      </w:r>
      <w:r w:rsidRPr="00D26D51">
        <w:rPr>
          <w:rFonts w:ascii="Times New Roman" w:hAnsi="Times New Roman" w:cs="Times New Roman"/>
          <w:color w:val="000000"/>
          <w:vertAlign w:val="subscript"/>
        </w:rPr>
        <w:t>ICE</w:t>
      </w:r>
      <w:r w:rsidRPr="00D26D51">
        <w:rPr>
          <w:rFonts w:ascii="Times New Roman" w:hAnsi="Times New Roman" w:cs="Times New Roman"/>
          <w:color w:val="000000"/>
        </w:rPr>
        <w:t xml:space="preserve">). Figure </w:t>
      </w:r>
      <w:r w:rsidR="00B957FF">
        <w:rPr>
          <w:rFonts w:ascii="Times New Roman" w:hAnsi="Times New Roman" w:cs="Times New Roman"/>
          <w:color w:val="000000"/>
        </w:rPr>
        <w:t>4.</w:t>
      </w:r>
      <w:r w:rsidRPr="00D26D51">
        <w:rPr>
          <w:rFonts w:ascii="Times New Roman" w:hAnsi="Times New Roman" w:cs="Times New Roman"/>
          <w:color w:val="000000"/>
        </w:rPr>
        <w:t>1 presents the results, which show sensitivity towards changes in cash incentive (0, $5,000, $10,000, and $15,000) and purchasing price (years of 2018, 2020, 2025, and 2030) for three preferred vehicle classes. Without incentive, 16%, 12%, 15%, 19%, and 16% of households are BEV-suited in Ontario, Quebec, British Columbia, the Prairies, and Atlantic Canada, respectively. Clearly, an incentive makes BEVs more cost-effective, yielding a higher number of BEV-suited households in Canada.</w:t>
      </w:r>
    </w:p>
    <w:p w14:paraId="6B22066D" w14:textId="77777777" w:rsidR="00D26D51" w:rsidRPr="00D26D51" w:rsidRDefault="00C01B32" w:rsidP="00D26D51">
      <w:pPr>
        <w:rPr>
          <w:rFonts w:ascii="Times New Roman" w:hAnsi="Times New Roman" w:cs="Times New Roman"/>
          <w:color w:val="000000"/>
        </w:rPr>
      </w:pPr>
      <w:r w:rsidRPr="00C01B32">
        <w:rPr>
          <w:rFonts w:ascii="Times New Roman" w:hAnsi="Times New Roman" w:cs="Times New Roman"/>
          <w:color w:val="000000"/>
        </w:rPr>
        <w:t>For the economy/intermediate class, a linear trend is observed in all five regions/provinces with respect to incentive, where Quebec yields the highest share of BEV-suited as incentive increases. For the full/luxury sedan segment, results show that BEVs are not economically suited for a large share of households choosing this vehicle class, although this class accounts for 40% of our sample and thus is an important market segment. Even a cash incentive up to $5,000 would not affect the share of BEV-suited households in this segment, but when the incentive goes up to $15,000 there is an increase in the share of BEV-suited households in all regions/provinces, with the highest rise being in Ontario (an increase of 2% to 7%). For the SUV/Van/Pickup segment, we can see that an increase in the incentive up to $10,000 has an increasing linear impact in the share of BEV-suited households in all five regions/provinces. However, the impact is less when the incentive increases from $10,000 to $15,000</w:t>
      </w:r>
      <w:r>
        <w:rPr>
          <w:rFonts w:ascii="Times New Roman" w:hAnsi="Times New Roman" w:cs="Times New Roman"/>
          <w:color w:val="000000"/>
        </w:rPr>
        <w:t>.</w:t>
      </w:r>
    </w:p>
    <w:p w14:paraId="672A6BB9" w14:textId="77777777" w:rsidR="00AB2CEC" w:rsidRPr="00C01B32" w:rsidRDefault="00AB2CEC" w:rsidP="00342823">
      <w:pPr>
        <w:tabs>
          <w:tab w:val="left" w:pos="2011"/>
        </w:tabs>
      </w:pPr>
      <w:r w:rsidRPr="00AB2CEC">
        <w:rPr>
          <w:rFonts w:ascii="Times New Roman" w:hAnsi="Times New Roman" w:cs="Times New Roman"/>
          <w:noProof/>
          <w:color w:val="000000"/>
          <w:lang w:eastAsia="en-CA"/>
        </w:rPr>
        <w:lastRenderedPageBreak/>
        <mc:AlternateContent>
          <mc:Choice Requires="wpg">
            <w:drawing>
              <wp:anchor distT="0" distB="0" distL="114300" distR="114300" simplePos="0" relativeHeight="251673600" behindDoc="0" locked="0" layoutInCell="1" allowOverlap="1" wp14:anchorId="25E6F6AD" wp14:editId="0C76B7F5">
                <wp:simplePos x="0" y="0"/>
                <wp:positionH relativeFrom="margin">
                  <wp:align>left</wp:align>
                </wp:positionH>
                <wp:positionV relativeFrom="paragraph">
                  <wp:posOffset>469001</wp:posOffset>
                </wp:positionV>
                <wp:extent cx="4982210" cy="5410200"/>
                <wp:effectExtent l="0" t="0" r="8890" b="0"/>
                <wp:wrapNone/>
                <wp:docPr id="9" name="Group 1"/>
                <wp:cNvGraphicFramePr/>
                <a:graphic xmlns:a="http://schemas.openxmlformats.org/drawingml/2006/main">
                  <a:graphicData uri="http://schemas.microsoft.com/office/word/2010/wordprocessingGroup">
                    <wpg:wgp>
                      <wpg:cNvGrpSpPr/>
                      <wpg:grpSpPr>
                        <a:xfrm>
                          <a:off x="0" y="0"/>
                          <a:ext cx="4982210" cy="5410200"/>
                          <a:chOff x="0" y="0"/>
                          <a:chExt cx="4982755" cy="5508395"/>
                        </a:xfrm>
                      </wpg:grpSpPr>
                      <wpg:graphicFrame>
                        <wpg:cNvPr id="11" name="Chart 11"/>
                        <wpg:cNvFrPr/>
                        <wpg:xfrm>
                          <a:off x="119688" y="0"/>
                          <a:ext cx="2514600" cy="1713100"/>
                        </wpg:xfrm>
                        <a:graphic>
                          <a:graphicData uri="http://schemas.openxmlformats.org/drawingml/2006/chart">
                            <c:chart xmlns:c="http://schemas.openxmlformats.org/drawingml/2006/chart" xmlns:r="http://schemas.openxmlformats.org/officeDocument/2006/relationships" r:id="rId29"/>
                          </a:graphicData>
                        </a:graphic>
                      </wpg:graphicFrame>
                      <wpg:graphicFrame>
                        <wpg:cNvPr id="12" name="Chart 12"/>
                        <wpg:cNvFrPr/>
                        <wpg:xfrm>
                          <a:off x="2634288" y="1"/>
                          <a:ext cx="2315269" cy="1815736"/>
                        </wpg:xfrm>
                        <a:graphic>
                          <a:graphicData uri="http://schemas.openxmlformats.org/drawingml/2006/chart">
                            <c:chart xmlns:c="http://schemas.openxmlformats.org/drawingml/2006/chart" xmlns:r="http://schemas.openxmlformats.org/officeDocument/2006/relationships" r:id="rId30"/>
                          </a:graphicData>
                        </a:graphic>
                      </wpg:graphicFrame>
                      <wpg:graphicFrame>
                        <wpg:cNvPr id="14" name="Chart 14"/>
                        <wpg:cNvFrPr/>
                        <wpg:xfrm>
                          <a:off x="119688" y="856550"/>
                          <a:ext cx="2514600" cy="1887220"/>
                        </wpg:xfrm>
                        <a:graphic>
                          <a:graphicData uri="http://schemas.openxmlformats.org/drawingml/2006/chart">
                            <c:chart xmlns:c="http://schemas.openxmlformats.org/drawingml/2006/chart" xmlns:r="http://schemas.openxmlformats.org/officeDocument/2006/relationships" r:id="rId31"/>
                          </a:graphicData>
                        </a:graphic>
                      </wpg:graphicFrame>
                      <wpg:graphicFrame>
                        <wpg:cNvPr id="16" name="Chart 16"/>
                        <wpg:cNvFrPr/>
                        <wpg:xfrm>
                          <a:off x="0" y="2582540"/>
                          <a:ext cx="2753975" cy="2824826"/>
                        </wpg:xfrm>
                        <a:graphic>
                          <a:graphicData uri="http://schemas.openxmlformats.org/drawingml/2006/chart">
                            <c:chart xmlns:c="http://schemas.openxmlformats.org/drawingml/2006/chart" xmlns:r="http://schemas.openxmlformats.org/officeDocument/2006/relationships" r:id="rId32"/>
                          </a:graphicData>
                        </a:graphic>
                      </wpg:graphicFrame>
                      <wpg:graphicFrame>
                        <wpg:cNvPr id="17" name="Chart 17"/>
                        <wpg:cNvFrPr/>
                        <wpg:xfrm>
                          <a:off x="2634288" y="1647787"/>
                          <a:ext cx="2315269" cy="1095984"/>
                        </wpg:xfrm>
                        <a:graphic>
                          <a:graphicData uri="http://schemas.openxmlformats.org/drawingml/2006/chart">
                            <c:chart xmlns:c="http://schemas.openxmlformats.org/drawingml/2006/chart" xmlns:r="http://schemas.openxmlformats.org/officeDocument/2006/relationships" r:id="rId33"/>
                          </a:graphicData>
                        </a:graphic>
                      </wpg:graphicFrame>
                      <wpg:graphicFrame>
                        <wpg:cNvPr id="18" name="Chart 18"/>
                        <wpg:cNvFrPr>
                          <a:graphicFrameLocks/>
                        </wpg:cNvFrPr>
                        <wpg:xfrm>
                          <a:off x="2657912" y="2618375"/>
                          <a:ext cx="2324843" cy="2788990"/>
                        </wpg:xfrm>
                        <a:graphic>
                          <a:graphicData uri="http://schemas.openxmlformats.org/drawingml/2006/chart">
                            <c:chart xmlns:c="http://schemas.openxmlformats.org/drawingml/2006/chart" xmlns:r="http://schemas.openxmlformats.org/officeDocument/2006/relationships" r:id="rId34"/>
                          </a:graphicData>
                        </a:graphic>
                      </wpg:graphicFrame>
                      <pic:pic xmlns:pic="http://schemas.openxmlformats.org/drawingml/2006/picture">
                        <pic:nvPicPr>
                          <pic:cNvPr id="19" name="Picture 19"/>
                          <pic:cNvPicPr>
                            <a:picLocks noChangeAspect="1"/>
                          </pic:cNvPicPr>
                        </pic:nvPicPr>
                        <pic:blipFill rotWithShape="1">
                          <a:blip r:embed="rId35">
                            <a:extLst>
                              <a:ext uri="{28A0092B-C50C-407E-A947-70E740481C1C}">
                                <a14:useLocalDpi xmlns:a14="http://schemas.microsoft.com/office/drawing/2010/main" val="0"/>
                              </a:ext>
                            </a:extLst>
                          </a:blip>
                          <a:srcRect l="25984" t="94980" r="25749" b="2019"/>
                          <a:stretch/>
                        </pic:blipFill>
                        <pic:spPr>
                          <a:xfrm>
                            <a:off x="682328" y="5378005"/>
                            <a:ext cx="3951168" cy="130390"/>
                          </a:xfrm>
                          <a:prstGeom prst="rect">
                            <a:avLst/>
                          </a:prstGeom>
                        </pic:spPr>
                      </pic:pic>
                    </wpg:wgp>
                  </a:graphicData>
                </a:graphic>
                <wp14:sizeRelV relativeFrom="margin">
                  <wp14:pctHeight>0</wp14:pctHeight>
                </wp14:sizeRelV>
              </wp:anchor>
            </w:drawing>
          </mc:Choice>
          <mc:Fallback xmlns:cx="http://schemas.microsoft.com/office/drawing/2014/chartex" xmlns:w16se="http://schemas.microsoft.com/office/word/2015/wordml/symex">
            <w:pict>
              <v:group w14:anchorId="42EFCDA6" id="Group 1" o:spid="_x0000_s1026" style="position:absolute;margin-left:0;margin-top:36.95pt;width:392.3pt;height:426pt;z-index:251673600;mso-position-horizontal:left;mso-position-horizontal-relative:margin;mso-height-relative:margin" coordsize="49827,55083" o:gfxdata="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o5LiKHmSRIx/tMB&#10;SclFXbHZvYkoqhL4g0uD/WalaR/706j+tU5fG/h+H72sWR/3Zlb+VefUzLBUf4leC9ZJfqbxw9aX&#10;wwb+TNuiuYl+JfhmH72qxn/djdv5LVOX4ueGo/u3csv+7A39QK8ypxLklL48bS/8Dj/mdEcvxktq&#10;MvuZ2dFfNHiTxVfeJNUlup55Am4mKMMQsa54AFerfB3xFeazpN3bXkjTm0ZRHK5ySrA/KT3xj9a+&#10;MyHxCwee5q8spUXFO/LK9+ayb1Vvd0Ta1Z62NyKrgsN9YlNO1rrtfz6noNFFFfq58y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&#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hXxW/Zwl8X+IZ9Z0O+t7Oe6O64t7vcEL92VlBIz3GOv1rq&#10;vg38G4vhfb3VxPdLfatdAJJLGpCRoDnaueTk8kn0HHFel0V4tPJ8FRxTxkIe+/uu93Y9yrnWOrYR&#10;YKc/cWnnZbK4UUUV7R4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&#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1" o:spid="_x0000_s1027" type="#_x0000_t75" style="position:absolute;left:1707;top:993;width:23838;height:159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">
                  <v:imagedata r:id="rId38" o:title=""/>
                  <o:lock v:ext="edit" aspectratio="f"/>
                </v:shape>
                <v:shape id="Chart 12" o:spid="_x0000_s1028" type="#_x0000_t75" style="position:absolute;left:26337;width:23167;height:181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">
                  <v:imagedata r:id="rId39" o:title=""/>
                  <o:lock v:ext="edit" aspectratio="f"/>
                </v:shape>
                <v:shape id="Chart 14" o:spid="_x0000_s1029" type="#_x0000_t75" style="position:absolute;left:1646;top:17378;width:23777;height:906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">
                  <v:imagedata r:id="rId40" o:title=""/>
                  <o:lock v:ext="edit" aspectratio="f"/>
                </v:shape>
                <v:shape id="Chart 16" o:spid="_x0000_s1030" type="#_x0000_t75" style="position:absolute;left:1585;top:26874;width:24630;height:2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">
                  <v:imagedata r:id="rId41" o:title=""/>
                  <o:lock v:ext="edit" aspectratio="f"/>
                </v:shape>
                <v:shape id="Chart 17" o:spid="_x0000_s1031" type="#_x0000_t75" style="position:absolute;left:27191;top:17440;width:21338;height:89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">
                  <v:imagedata r:id="rId42" o:title=""/>
                  <o:lock v:ext="edit" aspectratio="f"/>
                </v:shape>
                <v:shape id="Chart 18" o:spid="_x0000_s1032" type="#_x0000_t75" style="position:absolute;left:27008;top:26998;width:21399;height:256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">
                  <v:imagedata r:id="rId43" o:title=""/>
                  <o:lock v:ext="edit" aspectratio="f"/>
                </v:shape>
                <v:shape id="Picture 19" o:spid="_x0000_s1033" type="#_x0000_t75" style="position:absolute;left:6823;top:53780;width:39511;height:1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YmdnAAAAA2wAAAA8AAABkcnMvZG93bnJldi54bWxET02LwjAQvS/4H8II3tZkPbhrNcoiCB4E&#10;2VbZ62wztsVmUpKo9d8bQdjbPN7nLFa9bcWVfGgca/gYKxDEpTMNVxoOxeb9C0SIyAZbx6ThTgFW&#10;y8HbAjPjbvxD1zxWIoVwyFBDHWOXSRnKmiyGseuIE3dy3mJM0FfSeLylcNvKiVJTabHh1FBjR+ua&#10;ynN+sRqmrIrN7+5v3xS5OrrT/ZN3a6/1aNh/z0FE6uO/+OXemjR/Bs9f0gFy+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tiZ2cAAAADbAAAADwAAAAAAAAAAAAAAAACfAgAA&#10;ZHJzL2Rvd25yZXYueG1sUEsFBgAAAAAEAAQA9wAAAIwDAAAAAA==&#10;">
                  <v:imagedata r:id="rId44" o:title="" croptop="62246f" cropbottom="1323f" cropleft="17029f" cropright="16875f"/>
                  <v:path arrowok="t"/>
                </v:shape>
                <w10:wrap anchorx="margin"/>
              </v:group>
            </w:pict>
          </mc:Fallback>
        </mc:AlternateContent>
      </w:r>
      <w:r w:rsidR="00342823">
        <w:tab/>
      </w:r>
    </w:p>
    <w:p w14:paraId="61738AD8" w14:textId="77777777" w:rsidR="00D26D51" w:rsidRPr="00D26D51" w:rsidRDefault="00D26D51" w:rsidP="00D26D51">
      <w:pPr>
        <w:rPr>
          <w:rFonts w:ascii="Times New Roman" w:hAnsi="Times New Roman" w:cs="Times New Roman"/>
          <w:color w:val="000000"/>
        </w:rPr>
      </w:pPr>
      <w:r w:rsidRPr="00D26D51">
        <w:rPr>
          <w:rFonts w:ascii="Times New Roman" w:hAnsi="Times New Roman" w:cs="Times New Roman"/>
          <w:color w:val="000000"/>
        </w:rPr>
        <w:t xml:space="preserve"> </w:t>
      </w:r>
    </w:p>
    <w:p w14:paraId="28A27D3A" w14:textId="77777777" w:rsidR="00D26D51" w:rsidRPr="00D26D51" w:rsidRDefault="00D26D51" w:rsidP="00D26D51">
      <w:pPr>
        <w:rPr>
          <w:rFonts w:ascii="Times New Roman" w:hAnsi="Times New Roman" w:cs="Times New Roman"/>
          <w:color w:val="000000"/>
        </w:rPr>
      </w:pPr>
    </w:p>
    <w:p w14:paraId="7CAADE1A" w14:textId="77777777" w:rsidR="00D26D51" w:rsidRPr="00D26D51" w:rsidRDefault="00D26D51" w:rsidP="00D26D51">
      <w:pPr>
        <w:rPr>
          <w:rFonts w:ascii="Times New Roman" w:hAnsi="Times New Roman" w:cs="Times New Roman"/>
          <w:color w:val="000000"/>
        </w:rPr>
      </w:pPr>
    </w:p>
    <w:p w14:paraId="421788F3" w14:textId="77777777" w:rsidR="00D26D51" w:rsidRPr="00D26D51" w:rsidRDefault="00D26D51" w:rsidP="00D26D51">
      <w:pPr>
        <w:rPr>
          <w:rFonts w:ascii="Times New Roman" w:hAnsi="Times New Roman" w:cs="Times New Roman"/>
          <w:color w:val="000000"/>
        </w:rPr>
      </w:pPr>
    </w:p>
    <w:p w14:paraId="1BEDB5B6" w14:textId="77777777" w:rsidR="00D26D51" w:rsidRPr="00D26D51" w:rsidRDefault="00D26D51" w:rsidP="00D26D51">
      <w:pPr>
        <w:rPr>
          <w:rFonts w:ascii="Times New Roman" w:hAnsi="Times New Roman" w:cs="Times New Roman"/>
          <w:color w:val="000000"/>
        </w:rPr>
      </w:pPr>
    </w:p>
    <w:p w14:paraId="0960BC05" w14:textId="77777777" w:rsidR="00D26D51" w:rsidRPr="00D26D51" w:rsidRDefault="00D26D51" w:rsidP="00D26D51">
      <w:pPr>
        <w:rPr>
          <w:rFonts w:ascii="Times New Roman" w:hAnsi="Times New Roman" w:cs="Times New Roman"/>
          <w:color w:val="000000"/>
        </w:rPr>
      </w:pPr>
    </w:p>
    <w:p w14:paraId="5F19C86F" w14:textId="77777777" w:rsidR="00D26D51" w:rsidRPr="00D26D51" w:rsidRDefault="00D26D51" w:rsidP="00D26D51">
      <w:pPr>
        <w:rPr>
          <w:rFonts w:ascii="Times New Roman" w:hAnsi="Times New Roman" w:cs="Times New Roman"/>
          <w:color w:val="000000"/>
        </w:rPr>
      </w:pPr>
    </w:p>
    <w:p w14:paraId="7B2B2223" w14:textId="77777777" w:rsidR="00D26D51" w:rsidRPr="00D26D51" w:rsidRDefault="00D26D51" w:rsidP="00D26D51">
      <w:pPr>
        <w:rPr>
          <w:rFonts w:ascii="Times New Roman" w:hAnsi="Times New Roman" w:cs="Times New Roman"/>
          <w:color w:val="000000"/>
        </w:rPr>
      </w:pPr>
    </w:p>
    <w:p w14:paraId="40C9946C" w14:textId="77777777" w:rsidR="00D26D51" w:rsidRPr="00D26D51" w:rsidRDefault="00D26D51" w:rsidP="00D26D51">
      <w:pPr>
        <w:rPr>
          <w:rFonts w:ascii="Times New Roman" w:hAnsi="Times New Roman" w:cs="Times New Roman"/>
          <w:color w:val="000000"/>
        </w:rPr>
      </w:pPr>
    </w:p>
    <w:p w14:paraId="104FC8E1" w14:textId="77777777" w:rsidR="00D26D51" w:rsidRPr="00D26D51" w:rsidRDefault="00D26D51" w:rsidP="00D26D51">
      <w:pPr>
        <w:rPr>
          <w:rFonts w:ascii="Times New Roman" w:hAnsi="Times New Roman" w:cs="Times New Roman"/>
          <w:color w:val="000000"/>
        </w:rPr>
      </w:pPr>
    </w:p>
    <w:p w14:paraId="5FDA2AD1" w14:textId="77777777" w:rsidR="00AB2CEC" w:rsidRDefault="00AB2CEC" w:rsidP="003A2515">
      <w:pPr>
        <w:pStyle w:val="Caption"/>
        <w:spacing w:line="360" w:lineRule="auto"/>
        <w:ind w:firstLine="0"/>
        <w:jc w:val="center"/>
        <w:rPr>
          <w:rFonts w:ascii="Times New Roman" w:hAnsi="Times New Roman" w:cs="Times New Roman"/>
          <w:i w:val="0"/>
          <w:iCs w:val="0"/>
          <w:color w:val="000000"/>
          <w:sz w:val="24"/>
          <w:szCs w:val="24"/>
        </w:rPr>
      </w:pPr>
      <w:bookmarkStart w:id="94" w:name="_Toc528649535"/>
      <w:bookmarkStart w:id="95" w:name="_Toc528649703"/>
    </w:p>
    <w:p w14:paraId="0683BAB7" w14:textId="77777777" w:rsidR="008A1CD2" w:rsidRDefault="008A1CD2" w:rsidP="00342823">
      <w:pPr>
        <w:pStyle w:val="Caption"/>
        <w:spacing w:line="360" w:lineRule="auto"/>
        <w:ind w:firstLine="0"/>
        <w:jc w:val="center"/>
        <w:rPr>
          <w:rFonts w:ascii="Times New Roman" w:hAnsi="Times New Roman" w:cs="Times New Roman"/>
          <w:i w:val="0"/>
          <w:iCs w:val="0"/>
          <w:color w:val="000000"/>
          <w:sz w:val="24"/>
          <w:szCs w:val="24"/>
        </w:rPr>
      </w:pPr>
    </w:p>
    <w:p w14:paraId="069E9FFA" w14:textId="77777777" w:rsidR="008A1CD2" w:rsidRDefault="008A1CD2" w:rsidP="00342823">
      <w:pPr>
        <w:pStyle w:val="Caption"/>
        <w:spacing w:line="360" w:lineRule="auto"/>
        <w:ind w:firstLine="0"/>
        <w:jc w:val="center"/>
        <w:rPr>
          <w:rFonts w:ascii="Times New Roman" w:hAnsi="Times New Roman" w:cs="Times New Roman"/>
          <w:i w:val="0"/>
          <w:iCs w:val="0"/>
          <w:color w:val="000000"/>
          <w:sz w:val="24"/>
          <w:szCs w:val="24"/>
        </w:rPr>
      </w:pPr>
    </w:p>
    <w:p w14:paraId="4FA96DEA" w14:textId="77777777" w:rsidR="003A2515" w:rsidRDefault="00B02EB5" w:rsidP="00342823">
      <w:pPr>
        <w:pStyle w:val="Caption"/>
        <w:spacing w:line="360" w:lineRule="auto"/>
        <w:ind w:firstLine="0"/>
        <w:jc w:val="center"/>
        <w:rPr>
          <w:rFonts w:ascii="Times New Roman" w:hAnsi="Times New Roman" w:cs="Times New Roman"/>
          <w:i w:val="0"/>
          <w:iCs w:val="0"/>
          <w:color w:val="000000"/>
          <w:sz w:val="24"/>
          <w:szCs w:val="24"/>
        </w:rPr>
      </w:pPr>
      <w:r w:rsidRPr="00B02EB5">
        <w:rPr>
          <w:rFonts w:ascii="Times New Roman" w:hAnsi="Times New Roman" w:cs="Times New Roman"/>
          <w:i w:val="0"/>
          <w:iCs w:val="0"/>
          <w:color w:val="000000"/>
          <w:sz w:val="24"/>
          <w:szCs w:val="24"/>
        </w:rPr>
        <w:t>Figure 4.</w:t>
      </w:r>
      <w:r w:rsidRPr="00B02EB5">
        <w:rPr>
          <w:rFonts w:ascii="Times New Roman" w:hAnsi="Times New Roman" w:cs="Times New Roman"/>
          <w:i w:val="0"/>
          <w:iCs w:val="0"/>
          <w:color w:val="000000"/>
          <w:sz w:val="24"/>
          <w:szCs w:val="24"/>
        </w:rPr>
        <w:fldChar w:fldCharType="begin"/>
      </w:r>
      <w:r w:rsidRPr="00B02EB5">
        <w:rPr>
          <w:rFonts w:ascii="Times New Roman" w:hAnsi="Times New Roman" w:cs="Times New Roman"/>
          <w:i w:val="0"/>
          <w:iCs w:val="0"/>
          <w:color w:val="000000"/>
          <w:sz w:val="24"/>
          <w:szCs w:val="24"/>
        </w:rPr>
        <w:instrText xml:space="preserve"> SEQ Figure_4. \* ARABIC </w:instrText>
      </w:r>
      <w:r w:rsidRPr="00B02EB5">
        <w:rPr>
          <w:rFonts w:ascii="Times New Roman" w:hAnsi="Times New Roman" w:cs="Times New Roman"/>
          <w:i w:val="0"/>
          <w:iCs w:val="0"/>
          <w:color w:val="000000"/>
          <w:sz w:val="24"/>
          <w:szCs w:val="24"/>
        </w:rPr>
        <w:fldChar w:fldCharType="separate"/>
      </w:r>
      <w:r w:rsidR="00BC70AE">
        <w:rPr>
          <w:rFonts w:ascii="Times New Roman" w:hAnsi="Times New Roman" w:cs="Times New Roman"/>
          <w:i w:val="0"/>
          <w:iCs w:val="0"/>
          <w:noProof/>
          <w:color w:val="000000"/>
          <w:sz w:val="24"/>
          <w:szCs w:val="24"/>
        </w:rPr>
        <w:t>1</w:t>
      </w:r>
      <w:r w:rsidRPr="00B02EB5">
        <w:rPr>
          <w:rFonts w:ascii="Times New Roman" w:hAnsi="Times New Roman" w:cs="Times New Roman"/>
          <w:i w:val="0"/>
          <w:iCs w:val="0"/>
          <w:color w:val="000000"/>
          <w:sz w:val="24"/>
          <w:szCs w:val="24"/>
        </w:rPr>
        <w:fldChar w:fldCharType="end"/>
      </w:r>
      <w:r w:rsidRPr="00B02EB5">
        <w:rPr>
          <w:rFonts w:ascii="Times New Roman" w:hAnsi="Times New Roman" w:cs="Times New Roman"/>
          <w:i w:val="0"/>
          <w:iCs w:val="0"/>
          <w:color w:val="000000"/>
          <w:sz w:val="24"/>
          <w:szCs w:val="24"/>
        </w:rPr>
        <w:t xml:space="preserve"> </w:t>
      </w:r>
      <w:r w:rsidR="00D26D51" w:rsidRPr="00B02EB5">
        <w:rPr>
          <w:rFonts w:ascii="Times New Roman" w:hAnsi="Times New Roman" w:cs="Times New Roman"/>
          <w:i w:val="0"/>
          <w:iCs w:val="0"/>
          <w:color w:val="000000"/>
          <w:sz w:val="24"/>
          <w:szCs w:val="24"/>
        </w:rPr>
        <w:t>Share of BEV-suited households sensitive towards incentive and purchase price values segmented by province/region and preferred vehicle class</w:t>
      </w:r>
      <w:bookmarkEnd w:id="94"/>
      <w:bookmarkEnd w:id="95"/>
    </w:p>
    <w:p w14:paraId="5728C5DB" w14:textId="47576C27" w:rsidR="008A1CD2" w:rsidRPr="008A1CD2" w:rsidRDefault="008A1CD2" w:rsidP="008A1CD2">
      <w:pPr>
        <w:rPr>
          <w:rFonts w:ascii="Times New Roman" w:hAnsi="Times New Roman" w:cs="Times New Roman"/>
          <w:color w:val="000000"/>
        </w:rPr>
      </w:pPr>
      <w:r w:rsidRPr="00C01B32">
        <w:rPr>
          <w:rFonts w:ascii="Times New Roman" w:hAnsi="Times New Roman" w:cs="Times New Roman"/>
          <w:color w:val="000000"/>
        </w:rPr>
        <w:lastRenderedPageBreak/>
        <w:t xml:space="preserve">A similar analysis is conducted for future purchasing price without considering incentive </w:t>
      </w:r>
      <w:r w:rsidRPr="00D26D51">
        <w:rPr>
          <w:rFonts w:ascii="Times New Roman" w:hAnsi="Times New Roman" w:cs="Times New Roman"/>
          <w:color w:val="000000"/>
        </w:rPr>
        <w:t xml:space="preserve">(Figure </w:t>
      </w:r>
      <w:r>
        <w:rPr>
          <w:rFonts w:ascii="Times New Roman" w:hAnsi="Times New Roman" w:cs="Times New Roman"/>
          <w:color w:val="000000"/>
        </w:rPr>
        <w:t>4.1</w:t>
      </w:r>
      <w:r w:rsidRPr="00D26D51">
        <w:rPr>
          <w:rFonts w:ascii="Times New Roman" w:hAnsi="Times New Roman" w:cs="Times New Roman"/>
          <w:color w:val="000000"/>
        </w:rPr>
        <w:t>).</w:t>
      </w:r>
      <w:r w:rsidRPr="00C01B32">
        <w:rPr>
          <w:rFonts w:ascii="Times New Roman" w:hAnsi="Times New Roman" w:cs="Times New Roman"/>
          <w:color w:val="000000"/>
        </w:rPr>
        <w:t xml:space="preserve"> The analysis shows that BEVs improve in their competitiveness in all vehicle classes until 2030, which is in line with the results of Letmathe and Suares (2017). However, the suitability of BEVs improves slightly until 2020 across all vehicle segments. For the full/luxury sedan, an improvement in BEV competiveness is relatively slow up until 2025. We can conclude from this result that in the short run (until 2020), financial incentives are important policy tools that can play a role in increasing BEV economic suitability, and hence in accelerating the market share of these vehicles.</w:t>
      </w:r>
    </w:p>
    <w:p w14:paraId="31EA899E" w14:textId="77777777" w:rsidR="00D26D51" w:rsidRPr="00D26D51" w:rsidRDefault="00D26D51" w:rsidP="00E1100F">
      <w:pPr>
        <w:pStyle w:val="ListParagraph"/>
        <w:numPr>
          <w:ilvl w:val="2"/>
          <w:numId w:val="9"/>
        </w:numPr>
        <w:outlineLvl w:val="2"/>
        <w:rPr>
          <w:rFonts w:ascii="Times New Roman" w:hAnsi="Times New Roman" w:cs="Times New Roman"/>
          <w:b/>
          <w:color w:val="000000"/>
        </w:rPr>
      </w:pPr>
      <w:bookmarkStart w:id="96" w:name="_Toc528650893"/>
      <w:r w:rsidRPr="00D26D51">
        <w:rPr>
          <w:rFonts w:ascii="Times New Roman" w:hAnsi="Times New Roman" w:cs="Times New Roman"/>
          <w:b/>
          <w:color w:val="000000"/>
        </w:rPr>
        <w:t>Bivariate Ordered Probit Model</w:t>
      </w:r>
      <w:bookmarkEnd w:id="96"/>
    </w:p>
    <w:p w14:paraId="0DAE438D" w14:textId="77777777" w:rsidR="00C01B32" w:rsidRDefault="00C01B32" w:rsidP="00D26D51">
      <w:pPr>
        <w:rPr>
          <w:rFonts w:ascii="Times New Roman" w:hAnsi="Times New Roman" w:cs="Times New Roman"/>
          <w:color w:val="000000"/>
        </w:rPr>
      </w:pPr>
      <w:r w:rsidRPr="00C01B32">
        <w:rPr>
          <w:rFonts w:ascii="Times New Roman" w:hAnsi="Times New Roman" w:cs="Times New Roman"/>
          <w:color w:val="000000"/>
        </w:rPr>
        <w:t>Existing literature on TCO indicates that mileage and ownership period are by far the most influential fac</w:t>
      </w:r>
      <w:r w:rsidR="00342823">
        <w:rPr>
          <w:rFonts w:ascii="Times New Roman" w:hAnsi="Times New Roman" w:cs="Times New Roman"/>
          <w:color w:val="000000"/>
        </w:rPr>
        <w:t>tors influencing TCO outcomes (</w:t>
      </w:r>
      <w:r w:rsidRPr="00C01B32">
        <w:rPr>
          <w:rFonts w:ascii="Times New Roman" w:hAnsi="Times New Roman" w:cs="Times New Roman"/>
          <w:color w:val="000000"/>
        </w:rPr>
        <w:t xml:space="preserve">Hagman et al., 2016; Letmathe and Suares, 2017; Wu et al., 2015). Using a bivariate ordered probit model, we investigate determinants of these factors. This modeling approach is selected for two reasons, First, the two dependent variables are available as ordered-responses </w:t>
      </w:r>
      <w:r w:rsidR="00D26D51" w:rsidRPr="00D26D51">
        <w:rPr>
          <w:rFonts w:ascii="Times New Roman" w:hAnsi="Times New Roman" w:cs="Times New Roman"/>
          <w:color w:val="000000"/>
        </w:rPr>
        <w:t xml:space="preserve">(Table </w:t>
      </w:r>
      <w:r w:rsidR="00B957FF">
        <w:rPr>
          <w:rFonts w:ascii="Times New Roman" w:hAnsi="Times New Roman" w:cs="Times New Roman"/>
          <w:color w:val="000000"/>
        </w:rPr>
        <w:t>4.</w:t>
      </w:r>
      <w:r w:rsidR="00D26D51" w:rsidRPr="00D26D51">
        <w:rPr>
          <w:rFonts w:ascii="Times New Roman" w:hAnsi="Times New Roman" w:cs="Times New Roman"/>
          <w:color w:val="000000"/>
        </w:rPr>
        <w:t xml:space="preserve">3) and second, there is a significant negative correlation between dependent variables (Table </w:t>
      </w:r>
      <w:r w:rsidR="00B957FF">
        <w:rPr>
          <w:rFonts w:ascii="Times New Roman" w:hAnsi="Times New Roman" w:cs="Times New Roman"/>
          <w:color w:val="000000"/>
        </w:rPr>
        <w:t>4.</w:t>
      </w:r>
      <w:r w:rsidR="00D26D51" w:rsidRPr="00D26D51">
        <w:rPr>
          <w:rFonts w:ascii="Times New Roman" w:hAnsi="Times New Roman" w:cs="Times New Roman"/>
          <w:color w:val="000000"/>
        </w:rPr>
        <w:t xml:space="preserve">4). </w:t>
      </w:r>
      <w:r w:rsidRPr="00C01B32">
        <w:rPr>
          <w:rFonts w:ascii="Times New Roman" w:hAnsi="Times New Roman" w:cs="Times New Roman"/>
          <w:color w:val="000000"/>
        </w:rPr>
        <w:t xml:space="preserve">The negative correlation coefficient indicates that as mileage increases, the time of keeping vehicle decreases, which makes sense. As a vehicle is used more often, it is expected to last for a shorter period of time. A positive aspect of our bivariate ordered probit model is that it is independent from the TCO model and market parameters (e.g., purchase price, operating cost, etc.) that are subject to change due to fast technological progress and changes in policy measures. The bivariate ordered probit model makes it possible to link a </w:t>
      </w:r>
      <w:r w:rsidRPr="00C01B32">
        <w:rPr>
          <w:rFonts w:ascii="Times New Roman" w:hAnsi="Times New Roman" w:cs="Times New Roman"/>
          <w:color w:val="000000"/>
        </w:rPr>
        <w:lastRenderedPageBreak/>
        <w:t>household’s specific characteristics/situation to the TCO model through those characteristics that are found to influence mileage and ownership period.</w:t>
      </w:r>
    </w:p>
    <w:p w14:paraId="03D7E810" w14:textId="6E47102F" w:rsidR="007B1A0B" w:rsidRPr="007B1A0B" w:rsidRDefault="007B1A0B" w:rsidP="007B1A0B">
      <w:pPr>
        <w:rPr>
          <w:rFonts w:ascii="Times New Roman" w:hAnsi="Times New Roman" w:cs="Times New Roman"/>
          <w:color w:val="000000"/>
        </w:rPr>
      </w:pPr>
      <w:r w:rsidRPr="007B1A0B">
        <w:rPr>
          <w:rFonts w:ascii="Times New Roman" w:hAnsi="Times New Roman" w:cs="Times New Roman"/>
          <w:color w:val="000000"/>
        </w:rPr>
        <w:t xml:space="preserve">For each household </w:t>
      </w:r>
      <m:oMath>
        <m:r>
          <w:rPr>
            <w:rFonts w:ascii="Cambria Math" w:hAnsi="Cambria Math" w:cs="Times New Roman"/>
            <w:color w:val="000000"/>
          </w:rPr>
          <m:t>h</m:t>
        </m:r>
      </m:oMath>
      <w:r w:rsidRPr="007B1A0B">
        <w:rPr>
          <w:rFonts w:ascii="Times New Roman" w:hAnsi="Times New Roman" w:cs="Times New Roman"/>
          <w:color w:val="000000"/>
        </w:rPr>
        <w:t xml:space="preserve">, </w:t>
      </w:r>
      <m:oMath>
        <m:r>
          <w:rPr>
            <w:rFonts w:ascii="Cambria Math" w:hAnsi="Cambria Math" w:cs="Times New Roman"/>
            <w:color w:val="000000"/>
          </w:rPr>
          <m:t>k</m:t>
        </m:r>
      </m:oMath>
      <w:r w:rsidRPr="007B1A0B">
        <w:rPr>
          <w:rFonts w:ascii="Times New Roman" w:hAnsi="Times New Roman" w:cs="Times New Roman"/>
          <w:color w:val="000000"/>
        </w:rPr>
        <w:t xml:space="preserve"> and </w:t>
      </w:r>
      <m:oMath>
        <m:r>
          <w:rPr>
            <w:rFonts w:ascii="Cambria Math" w:hAnsi="Cambria Math" w:cs="Times New Roman"/>
            <w:color w:val="000000"/>
          </w:rPr>
          <m:t>t</m:t>
        </m:r>
      </m:oMath>
      <w:r w:rsidRPr="007B1A0B">
        <w:rPr>
          <w:rFonts w:ascii="Times New Roman" w:hAnsi="Times New Roman" w:cs="Times New Roman"/>
          <w:color w:val="000000"/>
        </w:rPr>
        <w:t xml:space="preserve"> represent the annual mileages and ownership period respectively. The bivariate ordered probit equation is written as:</w:t>
      </w:r>
    </w:p>
    <w:p w14:paraId="0CEE57B3" w14:textId="10BE5D89" w:rsidR="007B1A0B" w:rsidRPr="007B1A0B" w:rsidRDefault="00A27D2B" w:rsidP="007B1A0B">
      <w:pPr>
        <w:rPr>
          <w:rFonts w:ascii="Times New Roman" w:hAnsi="Times New Roman" w:cs="Times New Roman"/>
          <w:color w:val="000000"/>
        </w:rPr>
      </w:pPr>
      <m:oMathPara>
        <m:oMath>
          <m:sSubSup>
            <m:sSubSupPr>
              <m:ctrlPr>
                <w:rPr>
                  <w:rFonts w:ascii="Cambria Math" w:hAnsi="Cambria Math" w:cs="Times New Roman"/>
                  <w:i/>
                  <w:color w:val="000000"/>
                </w:rPr>
              </m:ctrlPr>
            </m:sSubSupPr>
            <m:e>
              <m:r>
                <w:rPr>
                  <w:rFonts w:ascii="Cambria Math" w:hAnsi="Cambria Math" w:cs="Times New Roman"/>
                  <w:color w:val="000000"/>
                </w:rPr>
                <m:t>y</m:t>
              </m:r>
            </m:e>
            <m:sub>
              <m:r>
                <w:rPr>
                  <w:rFonts w:ascii="Cambria Math" w:hAnsi="Cambria Math" w:cs="Times New Roman"/>
                  <w:color w:val="000000"/>
                </w:rPr>
                <m:t>1</m:t>
              </m:r>
              <m:r>
                <w:rPr>
                  <w:rFonts w:ascii="Cambria Math" w:hAnsi="Cambria Math" w:cs="Times New Roman"/>
                  <w:color w:val="000000"/>
                </w:rPr>
                <m:t>h</m:t>
              </m:r>
            </m:sub>
            <m:sup>
              <m:r>
                <w:rPr>
                  <w:rFonts w:ascii="Cambria Math" w:hAnsi="Cambria Math" w:cs="Times New Roman"/>
                  <w:color w:val="000000"/>
                </w:rPr>
                <m:t>*</m:t>
              </m:r>
            </m:sup>
          </m:sSubSup>
          <m:r>
            <w:rPr>
              <w:rFonts w:ascii="Cambria Math" w:hAnsi="Cambria Math" w:cs="Times New Roman"/>
              <w:color w:val="000000"/>
            </w:rPr>
            <m:t>=</m:t>
          </m:r>
          <m:sSub>
            <m:sSubPr>
              <m:ctrlPr>
                <w:rPr>
                  <w:rFonts w:ascii="Cambria Math" w:hAnsi="Cambria Math" w:cs="Times New Roman"/>
                  <w:i/>
                  <w:color w:val="000000"/>
                </w:rPr>
              </m:ctrlPr>
            </m:sSubPr>
            <m:e>
              <m:r>
                <w:rPr>
                  <w:rFonts w:ascii="Cambria Math" w:hAnsi="Cambria Math" w:cs="Times New Roman"/>
                  <w:color w:val="000000"/>
                </w:rPr>
                <m:t>β</m:t>
              </m:r>
            </m:e>
            <m:sub>
              <m:r>
                <w:rPr>
                  <w:rFonts w:ascii="Cambria Math" w:hAnsi="Cambria Math" w:cs="Times New Roman"/>
                  <w:color w:val="000000"/>
                </w:rPr>
                <m:t>1</m:t>
              </m:r>
            </m:sub>
          </m:sSub>
          <m:sSub>
            <m:sSubPr>
              <m:ctrlPr>
                <w:rPr>
                  <w:rFonts w:ascii="Cambria Math" w:hAnsi="Cambria Math" w:cs="Times New Roman"/>
                  <w:i/>
                  <w:color w:val="000000"/>
                </w:rPr>
              </m:ctrlPr>
            </m:sSubPr>
            <m:e>
              <m:r>
                <w:rPr>
                  <w:rFonts w:ascii="Cambria Math" w:hAnsi="Cambria Math" w:cs="Times New Roman"/>
                  <w:color w:val="000000"/>
                </w:rPr>
                <m:t>x</m:t>
              </m:r>
            </m:e>
            <m:sub>
              <m:r>
                <w:rPr>
                  <w:rFonts w:ascii="Cambria Math" w:hAnsi="Cambria Math" w:cs="Times New Roman"/>
                  <w:color w:val="000000"/>
                </w:rPr>
                <m:t>1</m:t>
              </m:r>
              <m:r>
                <w:rPr>
                  <w:rFonts w:ascii="Cambria Math" w:hAnsi="Cambria Math" w:cs="Times New Roman"/>
                  <w:color w:val="000000"/>
                </w:rPr>
                <m:t>h</m:t>
              </m:r>
            </m:sub>
          </m:sSub>
          <m:r>
            <w:rPr>
              <w:rFonts w:ascii="Cambria Math" w:hAnsi="Cambria Math" w:cs="Times New Roman"/>
              <w:color w:val="000000"/>
            </w:rPr>
            <m:t>+</m:t>
          </m:r>
          <m:sSub>
            <m:sSubPr>
              <m:ctrlPr>
                <w:rPr>
                  <w:rFonts w:ascii="Cambria Math" w:hAnsi="Cambria Math" w:cs="Times New Roman"/>
                  <w:i/>
                  <w:color w:val="000000"/>
                </w:rPr>
              </m:ctrlPr>
            </m:sSubPr>
            <m:e>
              <m:r>
                <w:rPr>
                  <w:rFonts w:ascii="Cambria Math" w:hAnsi="Cambria Math" w:cs="Times New Roman"/>
                  <w:color w:val="000000"/>
                </w:rPr>
                <m:t>ε</m:t>
              </m:r>
            </m:e>
            <m:sub>
              <m:r>
                <w:rPr>
                  <w:rFonts w:ascii="Cambria Math" w:hAnsi="Cambria Math" w:cs="Times New Roman"/>
                  <w:color w:val="000000"/>
                </w:rPr>
                <m:t>1</m:t>
              </m:r>
              <m:r>
                <w:rPr>
                  <w:rFonts w:ascii="Cambria Math" w:hAnsi="Cambria Math" w:cs="Times New Roman"/>
                  <w:color w:val="000000"/>
                </w:rPr>
                <m:t>h</m:t>
              </m:r>
            </m:sub>
          </m:sSub>
          <m:r>
            <w:rPr>
              <w:rFonts w:ascii="Cambria Math" w:hAnsi="Cambria Math" w:cs="Times New Roman"/>
              <w:color w:val="000000"/>
            </w:rPr>
            <m:t xml:space="preserve">  , </m:t>
          </m:r>
          <m:sSub>
            <m:sSubPr>
              <m:ctrlPr>
                <w:rPr>
                  <w:rFonts w:ascii="Cambria Math" w:hAnsi="Cambria Math" w:cs="Times New Roman"/>
                  <w:i/>
                  <w:color w:val="000000"/>
                </w:rPr>
              </m:ctrlPr>
            </m:sSubPr>
            <m:e>
              <m:r>
                <w:rPr>
                  <w:rFonts w:ascii="Cambria Math" w:hAnsi="Cambria Math" w:cs="Times New Roman"/>
                  <w:color w:val="000000"/>
                </w:rPr>
                <m:t>y</m:t>
              </m:r>
            </m:e>
            <m:sub>
              <m:r>
                <w:rPr>
                  <w:rFonts w:ascii="Cambria Math" w:hAnsi="Cambria Math" w:cs="Times New Roman"/>
                  <w:color w:val="000000"/>
                </w:rPr>
                <m:t>1</m:t>
              </m:r>
              <m:r>
                <w:rPr>
                  <w:rFonts w:ascii="Cambria Math" w:hAnsi="Cambria Math" w:cs="Times New Roman"/>
                  <w:color w:val="000000"/>
                </w:rPr>
                <m:t>h</m:t>
              </m:r>
            </m:sub>
          </m:sSub>
          <m:r>
            <w:rPr>
              <w:rFonts w:ascii="Cambria Math" w:hAnsi="Cambria Math" w:cs="Times New Roman"/>
              <w:color w:val="000000"/>
            </w:rPr>
            <m:t xml:space="preserve">=k        if </m:t>
          </m:r>
          <m:sSub>
            <m:sSubPr>
              <m:ctrlPr>
                <w:rPr>
                  <w:rFonts w:ascii="Cambria Math" w:hAnsi="Cambria Math" w:cs="Times New Roman"/>
                  <w:i/>
                  <w:color w:val="000000"/>
                </w:rPr>
              </m:ctrlPr>
            </m:sSubPr>
            <m:e>
              <m:r>
                <w:rPr>
                  <w:rFonts w:ascii="Cambria Math" w:hAnsi="Cambria Math" w:cs="Times New Roman"/>
                  <w:color w:val="000000"/>
                </w:rPr>
                <m:t>μ</m:t>
              </m:r>
            </m:e>
            <m:sub>
              <m:r>
                <w:rPr>
                  <w:rFonts w:ascii="Cambria Math" w:hAnsi="Cambria Math" w:cs="Times New Roman"/>
                  <w:color w:val="000000"/>
                </w:rPr>
                <m:t>1,k</m:t>
              </m:r>
            </m:sub>
          </m:sSub>
          <m:r>
            <w:rPr>
              <w:rFonts w:ascii="Cambria Math" w:hAnsi="Cambria Math" w:cs="Times New Roman"/>
              <w:color w:val="000000"/>
            </w:rPr>
            <m:t>&lt;</m:t>
          </m:r>
          <m:sSub>
            <m:sSubPr>
              <m:ctrlPr>
                <w:rPr>
                  <w:rFonts w:ascii="Cambria Math" w:hAnsi="Cambria Math" w:cs="Times New Roman"/>
                  <w:i/>
                  <w:color w:val="000000"/>
                </w:rPr>
              </m:ctrlPr>
            </m:sSubPr>
            <m:e>
              <m:r>
                <w:rPr>
                  <w:rFonts w:ascii="Cambria Math" w:hAnsi="Cambria Math" w:cs="Times New Roman"/>
                  <w:color w:val="000000"/>
                </w:rPr>
                <m:t>y</m:t>
              </m:r>
            </m:e>
            <m:sub>
              <m:r>
                <w:rPr>
                  <w:rFonts w:ascii="Cambria Math" w:hAnsi="Cambria Math" w:cs="Times New Roman"/>
                  <w:color w:val="000000"/>
                </w:rPr>
                <m:t>1</m:t>
              </m:r>
              <m:r>
                <w:rPr>
                  <w:rFonts w:ascii="Cambria Math" w:hAnsi="Cambria Math" w:cs="Times New Roman"/>
                  <w:color w:val="000000"/>
                </w:rPr>
                <m:t>h</m:t>
              </m:r>
            </m:sub>
          </m:sSub>
          <m:r>
            <w:rPr>
              <w:rFonts w:ascii="Cambria Math" w:hAnsi="Cambria Math" w:cs="Times New Roman"/>
              <w:color w:val="000000"/>
            </w:rPr>
            <m:t xml:space="preserve"> ≤</m:t>
          </m:r>
          <m:sSub>
            <m:sSubPr>
              <m:ctrlPr>
                <w:rPr>
                  <w:rFonts w:ascii="Cambria Math" w:hAnsi="Cambria Math" w:cs="Times New Roman"/>
                  <w:i/>
                  <w:color w:val="000000"/>
                </w:rPr>
              </m:ctrlPr>
            </m:sSubPr>
            <m:e>
              <m:r>
                <w:rPr>
                  <w:rFonts w:ascii="Cambria Math" w:hAnsi="Cambria Math" w:cs="Times New Roman"/>
                  <w:color w:val="000000"/>
                </w:rPr>
                <m:t>μ</m:t>
              </m:r>
            </m:e>
            <m:sub>
              <m:r>
                <w:rPr>
                  <w:rFonts w:ascii="Cambria Math" w:hAnsi="Cambria Math" w:cs="Times New Roman"/>
                  <w:color w:val="000000"/>
                </w:rPr>
                <m:t>1,k+1</m:t>
              </m:r>
            </m:sub>
          </m:sSub>
        </m:oMath>
      </m:oMathPara>
    </w:p>
    <w:p w14:paraId="2EA7361C" w14:textId="7BF14245" w:rsidR="007B1A0B" w:rsidRPr="007B1A0B" w:rsidRDefault="00A27D2B" w:rsidP="007B1A0B">
      <w:pPr>
        <w:rPr>
          <w:rFonts w:ascii="Times New Roman" w:hAnsi="Times New Roman" w:cs="Times New Roman"/>
          <w:color w:val="000000"/>
        </w:rPr>
      </w:pPr>
      <m:oMathPara>
        <m:oMath>
          <m:sSubSup>
            <m:sSubSupPr>
              <m:ctrlPr>
                <w:rPr>
                  <w:rFonts w:ascii="Cambria Math" w:hAnsi="Cambria Math" w:cs="Times New Roman"/>
                  <w:i/>
                  <w:color w:val="000000"/>
                </w:rPr>
              </m:ctrlPr>
            </m:sSubSupPr>
            <m:e>
              <m:r>
                <w:rPr>
                  <w:rFonts w:ascii="Cambria Math" w:hAnsi="Cambria Math" w:cs="Times New Roman"/>
                  <w:color w:val="000000"/>
                </w:rPr>
                <m:t>y</m:t>
              </m:r>
            </m:e>
            <m:sub>
              <m:r>
                <w:rPr>
                  <w:rFonts w:ascii="Cambria Math" w:hAnsi="Cambria Math" w:cs="Times New Roman"/>
                  <w:color w:val="000000"/>
                </w:rPr>
                <m:t>2</m:t>
              </m:r>
              <m:r>
                <w:rPr>
                  <w:rFonts w:ascii="Cambria Math" w:hAnsi="Cambria Math" w:cs="Times New Roman"/>
                  <w:color w:val="000000"/>
                </w:rPr>
                <m:t>h</m:t>
              </m:r>
            </m:sub>
            <m:sup>
              <m:r>
                <w:rPr>
                  <w:rFonts w:ascii="Cambria Math" w:hAnsi="Cambria Math" w:cs="Times New Roman"/>
                  <w:color w:val="000000"/>
                </w:rPr>
                <m:t>*</m:t>
              </m:r>
            </m:sup>
          </m:sSubSup>
          <m:r>
            <w:rPr>
              <w:rFonts w:ascii="Cambria Math" w:hAnsi="Cambria Math" w:cs="Times New Roman"/>
              <w:color w:val="000000"/>
            </w:rPr>
            <m:t>=</m:t>
          </m:r>
          <m:sSub>
            <m:sSubPr>
              <m:ctrlPr>
                <w:rPr>
                  <w:rFonts w:ascii="Cambria Math" w:hAnsi="Cambria Math" w:cs="Times New Roman"/>
                  <w:i/>
                  <w:color w:val="000000"/>
                </w:rPr>
              </m:ctrlPr>
            </m:sSubPr>
            <m:e>
              <m:r>
                <w:rPr>
                  <w:rFonts w:ascii="Cambria Math" w:hAnsi="Cambria Math" w:cs="Times New Roman"/>
                  <w:color w:val="000000"/>
                </w:rPr>
                <m:t>β</m:t>
              </m:r>
            </m:e>
            <m:sub>
              <m:r>
                <w:rPr>
                  <w:rFonts w:ascii="Cambria Math" w:hAnsi="Cambria Math" w:cs="Times New Roman"/>
                  <w:color w:val="000000"/>
                </w:rPr>
                <m:t>2</m:t>
              </m:r>
            </m:sub>
          </m:sSub>
          <m:sSub>
            <m:sSubPr>
              <m:ctrlPr>
                <w:rPr>
                  <w:rFonts w:ascii="Cambria Math" w:hAnsi="Cambria Math" w:cs="Times New Roman"/>
                  <w:i/>
                  <w:color w:val="000000"/>
                </w:rPr>
              </m:ctrlPr>
            </m:sSubPr>
            <m:e>
              <m:r>
                <w:rPr>
                  <w:rFonts w:ascii="Cambria Math" w:hAnsi="Cambria Math" w:cs="Times New Roman"/>
                  <w:color w:val="000000"/>
                </w:rPr>
                <m:t>x</m:t>
              </m:r>
            </m:e>
            <m:sub>
              <m:r>
                <w:rPr>
                  <w:rFonts w:ascii="Cambria Math" w:hAnsi="Cambria Math" w:cs="Times New Roman"/>
                  <w:color w:val="000000"/>
                </w:rPr>
                <m:t>2</m:t>
              </m:r>
              <m:r>
                <w:rPr>
                  <w:rFonts w:ascii="Cambria Math" w:hAnsi="Cambria Math" w:cs="Times New Roman"/>
                  <w:color w:val="000000"/>
                </w:rPr>
                <m:t>h</m:t>
              </m:r>
            </m:sub>
          </m:sSub>
          <m:r>
            <w:rPr>
              <w:rFonts w:ascii="Cambria Math" w:hAnsi="Cambria Math" w:cs="Times New Roman"/>
              <w:color w:val="000000"/>
            </w:rPr>
            <m:t>+</m:t>
          </m:r>
          <m:sSub>
            <m:sSubPr>
              <m:ctrlPr>
                <w:rPr>
                  <w:rFonts w:ascii="Cambria Math" w:hAnsi="Cambria Math" w:cs="Times New Roman"/>
                  <w:i/>
                  <w:color w:val="000000"/>
                </w:rPr>
              </m:ctrlPr>
            </m:sSubPr>
            <m:e>
              <m:r>
                <w:rPr>
                  <w:rFonts w:ascii="Cambria Math" w:hAnsi="Cambria Math" w:cs="Times New Roman"/>
                  <w:color w:val="000000"/>
                </w:rPr>
                <m:t>ε</m:t>
              </m:r>
            </m:e>
            <m:sub>
              <m:r>
                <w:rPr>
                  <w:rFonts w:ascii="Cambria Math" w:hAnsi="Cambria Math" w:cs="Times New Roman"/>
                  <w:color w:val="000000"/>
                </w:rPr>
                <m:t>2</m:t>
              </m:r>
              <m:r>
                <w:rPr>
                  <w:rFonts w:ascii="Cambria Math" w:hAnsi="Cambria Math" w:cs="Times New Roman"/>
                  <w:color w:val="000000"/>
                </w:rPr>
                <m:t>h</m:t>
              </m:r>
            </m:sub>
          </m:sSub>
          <m:r>
            <w:rPr>
              <w:rFonts w:ascii="Cambria Math" w:hAnsi="Cambria Math" w:cs="Times New Roman"/>
              <w:color w:val="000000"/>
            </w:rPr>
            <m:t xml:space="preserve">  , </m:t>
          </m:r>
          <m:sSub>
            <m:sSubPr>
              <m:ctrlPr>
                <w:rPr>
                  <w:rFonts w:ascii="Cambria Math" w:hAnsi="Cambria Math" w:cs="Times New Roman"/>
                  <w:i/>
                  <w:color w:val="000000"/>
                </w:rPr>
              </m:ctrlPr>
            </m:sSubPr>
            <m:e>
              <m:r>
                <w:rPr>
                  <w:rFonts w:ascii="Cambria Math" w:hAnsi="Cambria Math" w:cs="Times New Roman"/>
                  <w:color w:val="000000"/>
                </w:rPr>
                <m:t>y</m:t>
              </m:r>
            </m:e>
            <m:sub>
              <m:r>
                <w:rPr>
                  <w:rFonts w:ascii="Cambria Math" w:hAnsi="Cambria Math" w:cs="Times New Roman"/>
                  <w:color w:val="000000"/>
                </w:rPr>
                <m:t>2</m:t>
              </m:r>
              <m:r>
                <w:rPr>
                  <w:rFonts w:ascii="Cambria Math" w:hAnsi="Cambria Math" w:cs="Times New Roman"/>
                  <w:color w:val="000000"/>
                </w:rPr>
                <m:t>h</m:t>
              </m:r>
            </m:sub>
          </m:sSub>
          <m:r>
            <w:rPr>
              <w:rFonts w:ascii="Cambria Math" w:hAnsi="Cambria Math" w:cs="Times New Roman"/>
              <w:color w:val="000000"/>
            </w:rPr>
            <m:t xml:space="preserve">=t        if </m:t>
          </m:r>
          <m:sSub>
            <m:sSubPr>
              <m:ctrlPr>
                <w:rPr>
                  <w:rFonts w:ascii="Cambria Math" w:hAnsi="Cambria Math" w:cs="Times New Roman"/>
                  <w:i/>
                  <w:color w:val="000000"/>
                </w:rPr>
              </m:ctrlPr>
            </m:sSubPr>
            <m:e>
              <m:r>
                <w:rPr>
                  <w:rFonts w:ascii="Cambria Math" w:hAnsi="Cambria Math" w:cs="Times New Roman"/>
                  <w:color w:val="000000"/>
                </w:rPr>
                <m:t>μ</m:t>
              </m:r>
            </m:e>
            <m:sub>
              <m:r>
                <w:rPr>
                  <w:rFonts w:ascii="Cambria Math" w:hAnsi="Cambria Math" w:cs="Times New Roman"/>
                  <w:color w:val="000000"/>
                </w:rPr>
                <m:t>2,t</m:t>
              </m:r>
            </m:sub>
          </m:sSub>
          <m:r>
            <w:rPr>
              <w:rFonts w:ascii="Cambria Math" w:hAnsi="Cambria Math" w:cs="Times New Roman"/>
              <w:color w:val="000000"/>
            </w:rPr>
            <m:t>&lt;</m:t>
          </m:r>
          <m:sSub>
            <m:sSubPr>
              <m:ctrlPr>
                <w:rPr>
                  <w:rFonts w:ascii="Cambria Math" w:hAnsi="Cambria Math" w:cs="Times New Roman"/>
                  <w:i/>
                  <w:color w:val="000000"/>
                </w:rPr>
              </m:ctrlPr>
            </m:sSubPr>
            <m:e>
              <m:r>
                <w:rPr>
                  <w:rFonts w:ascii="Cambria Math" w:hAnsi="Cambria Math" w:cs="Times New Roman"/>
                  <w:color w:val="000000"/>
                </w:rPr>
                <m:t>y</m:t>
              </m:r>
            </m:e>
            <m:sub>
              <m:r>
                <w:rPr>
                  <w:rFonts w:ascii="Cambria Math" w:hAnsi="Cambria Math" w:cs="Times New Roman"/>
                  <w:color w:val="000000"/>
                </w:rPr>
                <m:t>2</m:t>
              </m:r>
              <m:r>
                <w:rPr>
                  <w:rFonts w:ascii="Cambria Math" w:hAnsi="Cambria Math" w:cs="Times New Roman"/>
                  <w:color w:val="000000"/>
                </w:rPr>
                <m:t>h</m:t>
              </m:r>
            </m:sub>
          </m:sSub>
          <m:r>
            <w:rPr>
              <w:rFonts w:ascii="Cambria Math" w:hAnsi="Cambria Math" w:cs="Times New Roman"/>
              <w:color w:val="000000"/>
            </w:rPr>
            <m:t xml:space="preserve"> ≤</m:t>
          </m:r>
          <m:sSub>
            <m:sSubPr>
              <m:ctrlPr>
                <w:rPr>
                  <w:rFonts w:ascii="Cambria Math" w:hAnsi="Cambria Math" w:cs="Times New Roman"/>
                  <w:i/>
                  <w:color w:val="000000"/>
                </w:rPr>
              </m:ctrlPr>
            </m:sSubPr>
            <m:e>
              <m:r>
                <w:rPr>
                  <w:rFonts w:ascii="Cambria Math" w:hAnsi="Cambria Math" w:cs="Times New Roman"/>
                  <w:color w:val="000000"/>
                </w:rPr>
                <m:t>μ</m:t>
              </m:r>
            </m:e>
            <m:sub>
              <m:r>
                <w:rPr>
                  <w:rFonts w:ascii="Cambria Math" w:hAnsi="Cambria Math" w:cs="Times New Roman"/>
                  <w:color w:val="000000"/>
                </w:rPr>
                <m:t>2,t+1</m:t>
              </m:r>
            </m:sub>
          </m:sSub>
        </m:oMath>
      </m:oMathPara>
    </w:p>
    <w:p w14:paraId="5FD39FF8" w14:textId="56C496A0" w:rsidR="007B1A0B" w:rsidRPr="007B1A0B" w:rsidRDefault="00A27D2B" w:rsidP="007B1A0B">
      <w:pPr>
        <w:rPr>
          <w:rFonts w:ascii="Times New Roman" w:hAnsi="Times New Roman" w:cs="Times New Roman"/>
          <w:color w:val="000000"/>
        </w:rPr>
      </w:pPr>
      <m:oMathPara>
        <m:oMath>
          <m:d>
            <m:dPr>
              <m:begChr m:val="["/>
              <m:endChr m:val="]"/>
              <m:ctrlPr>
                <w:rPr>
                  <w:rFonts w:ascii="Cambria Math" w:hAnsi="Cambria Math" w:cs="Times New Roman"/>
                  <w:i/>
                  <w:color w:val="000000"/>
                </w:rPr>
              </m:ctrlPr>
            </m:dPr>
            <m:e>
              <m:sSub>
                <m:sSubPr>
                  <m:ctrlPr>
                    <w:rPr>
                      <w:rFonts w:ascii="Cambria Math" w:hAnsi="Cambria Math" w:cs="Times New Roman"/>
                      <w:i/>
                      <w:color w:val="000000"/>
                    </w:rPr>
                  </m:ctrlPr>
                </m:sSubPr>
                <m:e>
                  <m:r>
                    <w:rPr>
                      <w:rFonts w:ascii="Cambria Math" w:hAnsi="Cambria Math" w:cs="Times New Roman"/>
                      <w:color w:val="000000"/>
                    </w:rPr>
                    <m:t>ε</m:t>
                  </m:r>
                </m:e>
                <m:sub>
                  <m:r>
                    <w:rPr>
                      <w:rFonts w:ascii="Cambria Math" w:hAnsi="Cambria Math" w:cs="Times New Roman"/>
                      <w:color w:val="000000"/>
                    </w:rPr>
                    <m:t>1</m:t>
                  </m:r>
                  <m:r>
                    <w:rPr>
                      <w:rFonts w:ascii="Cambria Math" w:hAnsi="Cambria Math" w:cs="Times New Roman"/>
                      <w:color w:val="000000"/>
                    </w:rPr>
                    <m:t>h</m:t>
                  </m:r>
                </m:sub>
              </m:sSub>
              <m:r>
                <w:rPr>
                  <w:rFonts w:ascii="Cambria Math" w:hAnsi="Cambria Math" w:cs="Times New Roman"/>
                  <w:color w:val="000000"/>
                </w:rPr>
                <m:t xml:space="preserve"> ,</m:t>
              </m:r>
              <m:sSub>
                <m:sSubPr>
                  <m:ctrlPr>
                    <w:rPr>
                      <w:rFonts w:ascii="Cambria Math" w:hAnsi="Cambria Math" w:cs="Times New Roman"/>
                      <w:i/>
                      <w:color w:val="000000"/>
                    </w:rPr>
                  </m:ctrlPr>
                </m:sSubPr>
                <m:e>
                  <m:r>
                    <w:rPr>
                      <w:rFonts w:ascii="Cambria Math" w:hAnsi="Cambria Math" w:cs="Times New Roman"/>
                      <w:color w:val="000000"/>
                    </w:rPr>
                    <m:t>ε</m:t>
                  </m:r>
                </m:e>
                <m:sub>
                  <m:r>
                    <w:rPr>
                      <w:rFonts w:ascii="Cambria Math" w:hAnsi="Cambria Math" w:cs="Times New Roman"/>
                      <w:color w:val="000000"/>
                    </w:rPr>
                    <m:t>2</m:t>
                  </m:r>
                  <m:r>
                    <w:rPr>
                      <w:rFonts w:ascii="Cambria Math" w:hAnsi="Cambria Math" w:cs="Times New Roman"/>
                      <w:color w:val="000000"/>
                    </w:rPr>
                    <m:t>h</m:t>
                  </m:r>
                </m:sub>
              </m:sSub>
            </m:e>
          </m:d>
          <m:r>
            <w:rPr>
              <w:rFonts w:ascii="Cambria Math" w:hAnsi="Cambria Math" w:cs="Times New Roman"/>
              <w:color w:val="000000"/>
            </w:rPr>
            <m:t>~ bivariate normal, -1&lt;</m:t>
          </m:r>
          <m:sSub>
            <m:sSubPr>
              <m:ctrlPr>
                <w:rPr>
                  <w:rFonts w:ascii="Cambria Math" w:hAnsi="Cambria Math" w:cs="Times New Roman"/>
                  <w:i/>
                  <w:color w:val="000000"/>
                </w:rPr>
              </m:ctrlPr>
            </m:sSubPr>
            <m:e>
              <m:r>
                <w:rPr>
                  <w:rFonts w:ascii="Cambria Math" w:hAnsi="Cambria Math" w:cs="Times New Roman"/>
                  <w:color w:val="000000"/>
                </w:rPr>
                <m:t>ρ</m:t>
              </m:r>
            </m:e>
            <m:sub>
              <m:sSub>
                <m:sSubPr>
                  <m:ctrlPr>
                    <w:rPr>
                      <w:rFonts w:ascii="Cambria Math" w:hAnsi="Cambria Math" w:cs="Times New Roman"/>
                      <w:i/>
                      <w:color w:val="000000"/>
                    </w:rPr>
                  </m:ctrlPr>
                </m:sSubPr>
                <m:e>
                  <m:r>
                    <w:rPr>
                      <w:rFonts w:ascii="Cambria Math" w:hAnsi="Cambria Math" w:cs="Times New Roman"/>
                      <w:color w:val="000000"/>
                    </w:rPr>
                    <m:t>ε</m:t>
                  </m:r>
                </m:e>
                <m:sub>
                  <m:r>
                    <w:rPr>
                      <w:rFonts w:ascii="Cambria Math" w:hAnsi="Cambria Math" w:cs="Times New Roman"/>
                      <w:color w:val="000000"/>
                    </w:rPr>
                    <m:t>1</m:t>
                  </m:r>
                </m:sub>
              </m:sSub>
              <m:sSub>
                <m:sSubPr>
                  <m:ctrlPr>
                    <w:rPr>
                      <w:rFonts w:ascii="Cambria Math" w:hAnsi="Cambria Math" w:cs="Times New Roman"/>
                      <w:i/>
                      <w:color w:val="000000"/>
                    </w:rPr>
                  </m:ctrlPr>
                </m:sSubPr>
                <m:e>
                  <m:r>
                    <w:rPr>
                      <w:rFonts w:ascii="Cambria Math" w:hAnsi="Cambria Math" w:cs="Times New Roman"/>
                      <w:color w:val="000000"/>
                    </w:rPr>
                    <m:t>ε</m:t>
                  </m:r>
                </m:e>
                <m:sub>
                  <m:r>
                    <w:rPr>
                      <w:rFonts w:ascii="Cambria Math" w:hAnsi="Cambria Math" w:cs="Times New Roman"/>
                      <w:color w:val="000000"/>
                    </w:rPr>
                    <m:t>2</m:t>
                  </m:r>
                </m:sub>
              </m:sSub>
            </m:sub>
          </m:sSub>
          <m:r>
            <w:rPr>
              <w:rFonts w:ascii="Cambria Math" w:hAnsi="Cambria Math" w:cs="Times New Roman"/>
              <w:color w:val="000000"/>
            </w:rPr>
            <m:t>&lt;1</m:t>
          </m:r>
        </m:oMath>
      </m:oMathPara>
    </w:p>
    <w:p w14:paraId="2E24C93A" w14:textId="32FFD056" w:rsidR="007B1A0B" w:rsidRDefault="00CC4A52" w:rsidP="007E772E">
      <w:pPr>
        <w:ind w:firstLine="0"/>
        <w:rPr>
          <w:rFonts w:ascii="Times New Roman" w:hAnsi="Times New Roman" w:cs="Times New Roman"/>
          <w:color w:val="000000"/>
        </w:rPr>
      </w:pPr>
      <w:r>
        <w:rPr>
          <w:rFonts w:ascii="Times New Roman" w:hAnsi="Times New Roman" w:cs="Times New Roman"/>
          <w:color w:val="000000"/>
        </w:rPr>
        <w:t>w</w:t>
      </w:r>
      <w:r w:rsidR="007B1A0B" w:rsidRPr="007B1A0B">
        <w:rPr>
          <w:rFonts w:ascii="Times New Roman" w:hAnsi="Times New Roman" w:cs="Times New Roman"/>
          <w:color w:val="000000"/>
        </w:rPr>
        <w:t xml:space="preserve">here </w:t>
      </w:r>
      <m:oMath>
        <m:sSubSup>
          <m:sSubSupPr>
            <m:ctrlPr>
              <w:rPr>
                <w:rFonts w:ascii="Cambria Math" w:hAnsi="Cambria Math" w:cs="Times New Roman"/>
                <w:i/>
                <w:color w:val="000000"/>
              </w:rPr>
            </m:ctrlPr>
          </m:sSubSupPr>
          <m:e>
            <m:r>
              <w:rPr>
                <w:rFonts w:ascii="Cambria Math" w:hAnsi="Cambria Math" w:cs="Times New Roman"/>
                <w:color w:val="000000"/>
              </w:rPr>
              <m:t>y</m:t>
            </m:r>
          </m:e>
          <m:sub>
            <m:r>
              <w:rPr>
                <w:rFonts w:ascii="Cambria Math" w:hAnsi="Cambria Math" w:cs="Times New Roman"/>
                <w:color w:val="000000"/>
              </w:rPr>
              <m:t>1</m:t>
            </m:r>
            <m:r>
              <w:rPr>
                <w:rFonts w:ascii="Cambria Math" w:hAnsi="Cambria Math" w:cs="Times New Roman"/>
                <w:color w:val="000000"/>
              </w:rPr>
              <m:t>h</m:t>
            </m:r>
          </m:sub>
          <m:sup>
            <m:r>
              <w:rPr>
                <w:rFonts w:ascii="Cambria Math" w:hAnsi="Cambria Math" w:cs="Times New Roman"/>
                <w:color w:val="000000"/>
              </w:rPr>
              <m:t>*</m:t>
            </m:r>
          </m:sup>
        </m:sSubSup>
      </m:oMath>
      <w:r w:rsidR="007B1A0B" w:rsidRPr="007B1A0B">
        <w:rPr>
          <w:rFonts w:ascii="Times New Roman" w:hAnsi="Times New Roman" w:cs="Times New Roman"/>
          <w:color w:val="000000"/>
        </w:rPr>
        <w:t xml:space="preserve"> is the propensity for household </w:t>
      </w:r>
      <m:oMath>
        <m:r>
          <w:rPr>
            <w:rFonts w:ascii="Cambria Math" w:hAnsi="Cambria Math" w:cs="Times New Roman"/>
            <w:color w:val="000000"/>
          </w:rPr>
          <m:t>h</m:t>
        </m:r>
      </m:oMath>
      <w:r w:rsidR="007B1A0B" w:rsidRPr="007B1A0B">
        <w:rPr>
          <w:rFonts w:ascii="Times New Roman" w:hAnsi="Times New Roman" w:cs="Times New Roman"/>
          <w:color w:val="000000"/>
        </w:rPr>
        <w:t xml:space="preserve"> to </w:t>
      </w:r>
      <w:r w:rsidR="0098432C">
        <w:rPr>
          <w:rFonts w:ascii="Times New Roman" w:hAnsi="Times New Roman" w:cs="Times New Roman"/>
          <w:color w:val="000000"/>
        </w:rPr>
        <w:t>make</w:t>
      </w:r>
      <w:r>
        <w:rPr>
          <w:rFonts w:ascii="Times New Roman" w:hAnsi="Times New Roman" w:cs="Times New Roman"/>
          <w:color w:val="000000"/>
        </w:rPr>
        <w:t xml:space="preserve"> certain</w:t>
      </w:r>
      <w:r w:rsidR="007B1A0B" w:rsidRPr="007B1A0B">
        <w:rPr>
          <w:rFonts w:ascii="Times New Roman" w:hAnsi="Times New Roman" w:cs="Times New Roman"/>
          <w:color w:val="000000"/>
        </w:rPr>
        <w:t xml:space="preserve"> mileage</w:t>
      </w:r>
      <w:r w:rsidR="007E772E">
        <w:rPr>
          <w:rFonts w:ascii="Times New Roman" w:hAnsi="Times New Roman" w:cs="Times New Roman"/>
          <w:color w:val="000000"/>
        </w:rPr>
        <w:t xml:space="preserve"> </w:t>
      </w:r>
      <w:r w:rsidR="0098432C">
        <w:rPr>
          <w:rFonts w:ascii="Times New Roman" w:hAnsi="Times New Roman" w:cs="Times New Roman"/>
          <w:color w:val="000000"/>
        </w:rPr>
        <w:t>in an average year</w:t>
      </w:r>
      <w:r w:rsidR="007B1A0B" w:rsidRPr="007B1A0B">
        <w:rPr>
          <w:rFonts w:ascii="Times New Roman" w:hAnsi="Times New Roman" w:cs="Times New Roman"/>
          <w:color w:val="000000"/>
        </w:rPr>
        <w:t xml:space="preserve"> and </w:t>
      </w:r>
      <m:oMath>
        <m:sSubSup>
          <m:sSubSupPr>
            <m:ctrlPr>
              <w:rPr>
                <w:rFonts w:ascii="Cambria Math" w:hAnsi="Cambria Math" w:cs="Times New Roman"/>
                <w:i/>
                <w:color w:val="000000"/>
              </w:rPr>
            </m:ctrlPr>
          </m:sSubSupPr>
          <m:e>
            <m:r>
              <w:rPr>
                <w:rFonts w:ascii="Cambria Math" w:hAnsi="Cambria Math" w:cs="Times New Roman"/>
                <w:color w:val="000000"/>
              </w:rPr>
              <m:t>y</m:t>
            </m:r>
          </m:e>
          <m:sub>
            <m:r>
              <w:rPr>
                <w:rFonts w:ascii="Cambria Math" w:hAnsi="Cambria Math" w:cs="Times New Roman"/>
                <w:color w:val="000000"/>
              </w:rPr>
              <m:t>2</m:t>
            </m:r>
            <m:r>
              <w:rPr>
                <w:rFonts w:ascii="Cambria Math" w:hAnsi="Cambria Math" w:cs="Times New Roman"/>
                <w:color w:val="000000"/>
              </w:rPr>
              <m:t>h</m:t>
            </m:r>
          </m:sub>
          <m:sup>
            <m:r>
              <w:rPr>
                <w:rFonts w:ascii="Cambria Math" w:hAnsi="Cambria Math" w:cs="Times New Roman"/>
                <w:color w:val="000000"/>
              </w:rPr>
              <m:t>*</m:t>
            </m:r>
          </m:sup>
        </m:sSubSup>
      </m:oMath>
      <w:r w:rsidR="007B1A0B" w:rsidRPr="007B1A0B">
        <w:rPr>
          <w:rFonts w:ascii="Times New Roman" w:hAnsi="Times New Roman" w:cs="Times New Roman"/>
          <w:color w:val="000000"/>
        </w:rPr>
        <w:t xml:space="preserve"> is </w:t>
      </w:r>
      <w:r>
        <w:rPr>
          <w:rFonts w:ascii="Times New Roman" w:hAnsi="Times New Roman" w:cs="Times New Roman"/>
          <w:color w:val="000000"/>
        </w:rPr>
        <w:t>the propensity to own a car for a given period of time</w:t>
      </w:r>
      <w:r w:rsidR="007B1A0B" w:rsidRPr="007B1A0B">
        <w:rPr>
          <w:rFonts w:ascii="Times New Roman" w:hAnsi="Times New Roman" w:cs="Times New Roman"/>
          <w:color w:val="000000"/>
        </w:rPr>
        <w:t xml:space="preserve">, both of which are latent variables. The observed counterparts to </w:t>
      </w:r>
      <m:oMath>
        <m:sSubSup>
          <m:sSubSupPr>
            <m:ctrlPr>
              <w:rPr>
                <w:rFonts w:ascii="Cambria Math" w:hAnsi="Cambria Math" w:cs="Times New Roman"/>
                <w:i/>
                <w:color w:val="000000"/>
              </w:rPr>
            </m:ctrlPr>
          </m:sSubSupPr>
          <m:e>
            <m:r>
              <w:rPr>
                <w:rFonts w:ascii="Cambria Math" w:hAnsi="Cambria Math" w:cs="Times New Roman"/>
                <w:color w:val="000000"/>
              </w:rPr>
              <m:t>y</m:t>
            </m:r>
          </m:e>
          <m:sub>
            <m:r>
              <w:rPr>
                <w:rFonts w:ascii="Cambria Math" w:hAnsi="Cambria Math" w:cs="Times New Roman"/>
                <w:color w:val="000000"/>
              </w:rPr>
              <m:t>1</m:t>
            </m:r>
            <m:r>
              <w:rPr>
                <w:rFonts w:ascii="Cambria Math" w:hAnsi="Cambria Math" w:cs="Times New Roman"/>
                <w:color w:val="000000"/>
              </w:rPr>
              <m:t>h</m:t>
            </m:r>
          </m:sub>
          <m:sup>
            <m:r>
              <w:rPr>
                <w:rFonts w:ascii="Cambria Math" w:hAnsi="Cambria Math" w:cs="Times New Roman"/>
                <w:color w:val="000000"/>
              </w:rPr>
              <m:t>*</m:t>
            </m:r>
          </m:sup>
        </m:sSubSup>
      </m:oMath>
      <w:r w:rsidR="007B1A0B" w:rsidRPr="007B1A0B">
        <w:rPr>
          <w:rFonts w:ascii="Times New Roman" w:hAnsi="Times New Roman" w:cs="Times New Roman"/>
          <w:color w:val="000000"/>
        </w:rPr>
        <w:t xml:space="preserve"> and </w:t>
      </w:r>
      <m:oMath>
        <m:sSubSup>
          <m:sSubSupPr>
            <m:ctrlPr>
              <w:rPr>
                <w:rFonts w:ascii="Cambria Math" w:hAnsi="Cambria Math" w:cs="Times New Roman"/>
                <w:i/>
                <w:color w:val="000000"/>
              </w:rPr>
            </m:ctrlPr>
          </m:sSubSupPr>
          <m:e>
            <m:r>
              <w:rPr>
                <w:rFonts w:ascii="Cambria Math" w:hAnsi="Cambria Math" w:cs="Times New Roman"/>
                <w:color w:val="000000"/>
              </w:rPr>
              <m:t>y</m:t>
            </m:r>
          </m:e>
          <m:sub>
            <m:r>
              <w:rPr>
                <w:rFonts w:ascii="Cambria Math" w:hAnsi="Cambria Math" w:cs="Times New Roman"/>
                <w:color w:val="000000"/>
              </w:rPr>
              <m:t>2</m:t>
            </m:r>
            <m:r>
              <w:rPr>
                <w:rFonts w:ascii="Cambria Math" w:hAnsi="Cambria Math" w:cs="Times New Roman"/>
                <w:color w:val="000000"/>
              </w:rPr>
              <m:t>h</m:t>
            </m:r>
          </m:sub>
          <m:sup>
            <m:r>
              <w:rPr>
                <w:rFonts w:ascii="Cambria Math" w:hAnsi="Cambria Math" w:cs="Times New Roman"/>
                <w:color w:val="000000"/>
              </w:rPr>
              <m:t>*</m:t>
            </m:r>
          </m:sup>
        </m:sSubSup>
      </m:oMath>
      <w:r w:rsidR="007B1A0B" w:rsidRPr="007B1A0B">
        <w:rPr>
          <w:rFonts w:ascii="Times New Roman" w:hAnsi="Times New Roman" w:cs="Times New Roman"/>
          <w:color w:val="000000"/>
        </w:rPr>
        <w:t xml:space="preserve">, are </w:t>
      </w:r>
      <m:oMath>
        <m:sSub>
          <m:sSubPr>
            <m:ctrlPr>
              <w:rPr>
                <w:rFonts w:ascii="Cambria Math" w:hAnsi="Cambria Math" w:cs="Times New Roman"/>
                <w:i/>
                <w:color w:val="000000"/>
              </w:rPr>
            </m:ctrlPr>
          </m:sSubPr>
          <m:e>
            <m:r>
              <w:rPr>
                <w:rFonts w:ascii="Cambria Math" w:hAnsi="Cambria Math" w:cs="Times New Roman"/>
                <w:color w:val="000000"/>
              </w:rPr>
              <m:t>y</m:t>
            </m:r>
          </m:e>
          <m:sub>
            <m:r>
              <w:rPr>
                <w:rFonts w:ascii="Cambria Math" w:hAnsi="Cambria Math" w:cs="Times New Roman"/>
                <w:color w:val="000000"/>
              </w:rPr>
              <m:t>1</m:t>
            </m:r>
            <m:r>
              <w:rPr>
                <w:rFonts w:ascii="Cambria Math" w:hAnsi="Cambria Math" w:cs="Times New Roman"/>
                <w:color w:val="000000"/>
              </w:rPr>
              <m:t>h</m:t>
            </m:r>
          </m:sub>
        </m:sSub>
      </m:oMath>
      <w:r w:rsidR="007B1A0B" w:rsidRPr="007B1A0B">
        <w:rPr>
          <w:rFonts w:ascii="Times New Roman" w:hAnsi="Times New Roman" w:cs="Times New Roman"/>
          <w:color w:val="000000"/>
        </w:rPr>
        <w:t xml:space="preserve"> and </w:t>
      </w:r>
      <m:oMath>
        <m:sSub>
          <m:sSubPr>
            <m:ctrlPr>
              <w:rPr>
                <w:rFonts w:ascii="Cambria Math" w:hAnsi="Cambria Math" w:cs="Times New Roman"/>
                <w:i/>
                <w:color w:val="000000"/>
              </w:rPr>
            </m:ctrlPr>
          </m:sSubPr>
          <m:e>
            <m:r>
              <w:rPr>
                <w:rFonts w:ascii="Cambria Math" w:hAnsi="Cambria Math" w:cs="Times New Roman"/>
                <w:color w:val="000000"/>
              </w:rPr>
              <m:t>y</m:t>
            </m:r>
          </m:e>
          <m:sub>
            <m:r>
              <w:rPr>
                <w:rFonts w:ascii="Cambria Math" w:hAnsi="Cambria Math" w:cs="Times New Roman"/>
                <w:color w:val="000000"/>
              </w:rPr>
              <m:t>2</m:t>
            </m:r>
            <m:r>
              <w:rPr>
                <w:rFonts w:ascii="Cambria Math" w:hAnsi="Cambria Math" w:cs="Times New Roman"/>
                <w:color w:val="000000"/>
              </w:rPr>
              <m:t>h</m:t>
            </m:r>
          </m:sub>
        </m:sSub>
      </m:oMath>
      <w:r w:rsidR="007B1A0B" w:rsidRPr="007B1A0B">
        <w:rPr>
          <w:rFonts w:ascii="Times New Roman" w:hAnsi="Times New Roman" w:cs="Times New Roman"/>
          <w:color w:val="000000"/>
        </w:rPr>
        <w:t xml:space="preserve"> </w:t>
      </w:r>
      <w:r>
        <w:rPr>
          <w:rFonts w:ascii="Times New Roman" w:hAnsi="Times New Roman" w:cs="Times New Roman"/>
          <w:color w:val="000000"/>
        </w:rPr>
        <w:t>which</w:t>
      </w:r>
      <w:r w:rsidR="007B1A0B" w:rsidRPr="007B1A0B">
        <w:rPr>
          <w:rFonts w:ascii="Times New Roman" w:hAnsi="Times New Roman" w:cs="Times New Roman"/>
          <w:color w:val="000000"/>
        </w:rPr>
        <w:t xml:space="preserve"> represent annual mileage and ownership period, respectively. The </w:t>
      </w:r>
      <m:oMath>
        <m:r>
          <w:rPr>
            <w:rFonts w:ascii="Cambria Math" w:hAnsi="Cambria Math" w:cs="Times New Roman"/>
            <w:color w:val="000000"/>
          </w:rPr>
          <m:t>x</m:t>
        </m:r>
      </m:oMath>
      <w:r w:rsidR="007B1A0B" w:rsidRPr="007B1A0B">
        <w:rPr>
          <w:rFonts w:ascii="Times New Roman" w:hAnsi="Times New Roman" w:cs="Times New Roman"/>
          <w:color w:val="000000"/>
        </w:rPr>
        <w:t xml:space="preserve">s are vectors of explanatory variables, and </w:t>
      </w:r>
      <m:oMath>
        <m:r>
          <w:rPr>
            <w:rFonts w:ascii="Cambria Math" w:hAnsi="Cambria Math" w:cs="Times New Roman"/>
            <w:color w:val="000000"/>
          </w:rPr>
          <m:t>β</m:t>
        </m:r>
      </m:oMath>
      <w:r w:rsidR="007B1A0B" w:rsidRPr="007B1A0B">
        <w:rPr>
          <w:rFonts w:ascii="Times New Roman" w:hAnsi="Times New Roman" w:cs="Times New Roman"/>
          <w:color w:val="000000"/>
        </w:rPr>
        <w:t xml:space="preserve">s are corresponding vectors of parameters that are estimated along with the threshold values, the </w:t>
      </w:r>
      <m:oMath>
        <m:r>
          <w:rPr>
            <w:rFonts w:ascii="Cambria Math" w:hAnsi="Cambria Math" w:cs="Times New Roman"/>
            <w:color w:val="000000"/>
          </w:rPr>
          <m:t>μ</m:t>
        </m:r>
      </m:oMath>
      <w:r w:rsidR="007B1A0B" w:rsidRPr="007B1A0B">
        <w:rPr>
          <w:rFonts w:ascii="Times New Roman" w:hAnsi="Times New Roman" w:cs="Times New Roman"/>
          <w:color w:val="000000"/>
        </w:rPr>
        <w:t xml:space="preserve">s, for each equation. The random terms </w:t>
      </w:r>
      <m:oMath>
        <m:sSub>
          <m:sSubPr>
            <m:ctrlPr>
              <w:rPr>
                <w:rFonts w:ascii="Cambria Math" w:hAnsi="Cambria Math" w:cs="Times New Roman"/>
                <w:i/>
                <w:color w:val="000000"/>
              </w:rPr>
            </m:ctrlPr>
          </m:sSubPr>
          <m:e>
            <m:r>
              <w:rPr>
                <w:rFonts w:ascii="Cambria Math" w:hAnsi="Cambria Math" w:cs="Times New Roman"/>
                <w:color w:val="000000"/>
              </w:rPr>
              <m:t>ε</m:t>
            </m:r>
          </m:e>
          <m:sub>
            <m:r>
              <w:rPr>
                <w:rFonts w:ascii="Cambria Math" w:hAnsi="Cambria Math" w:cs="Times New Roman"/>
                <w:color w:val="000000"/>
              </w:rPr>
              <m:t>1</m:t>
            </m:r>
            <m:r>
              <w:rPr>
                <w:rFonts w:ascii="Cambria Math" w:hAnsi="Cambria Math" w:cs="Times New Roman"/>
                <w:color w:val="000000"/>
              </w:rPr>
              <m:t>h</m:t>
            </m:r>
          </m:sub>
        </m:sSub>
      </m:oMath>
      <w:r w:rsidR="007B1A0B" w:rsidRPr="007B1A0B">
        <w:rPr>
          <w:rFonts w:ascii="Times New Roman" w:hAnsi="Times New Roman" w:cs="Times New Roman"/>
          <w:color w:val="000000"/>
        </w:rPr>
        <w:t xml:space="preserve"> and </w:t>
      </w:r>
      <m:oMath>
        <m:sSub>
          <m:sSubPr>
            <m:ctrlPr>
              <w:rPr>
                <w:rFonts w:ascii="Cambria Math" w:hAnsi="Cambria Math" w:cs="Times New Roman"/>
                <w:i/>
                <w:color w:val="000000"/>
              </w:rPr>
            </m:ctrlPr>
          </m:sSubPr>
          <m:e>
            <m:r>
              <w:rPr>
                <w:rFonts w:ascii="Cambria Math" w:hAnsi="Cambria Math" w:cs="Times New Roman"/>
                <w:color w:val="000000"/>
              </w:rPr>
              <m:t>ε</m:t>
            </m:r>
          </m:e>
          <m:sub>
            <m:r>
              <w:rPr>
                <w:rFonts w:ascii="Cambria Math" w:hAnsi="Cambria Math" w:cs="Times New Roman"/>
                <w:color w:val="000000"/>
              </w:rPr>
              <m:t>2</m:t>
            </m:r>
            <m:r>
              <w:rPr>
                <w:rFonts w:ascii="Cambria Math" w:hAnsi="Cambria Math" w:cs="Times New Roman"/>
                <w:color w:val="000000"/>
              </w:rPr>
              <m:t>h</m:t>
            </m:r>
          </m:sub>
        </m:sSub>
      </m:oMath>
      <w:r w:rsidR="007B1A0B" w:rsidRPr="007B1A0B">
        <w:rPr>
          <w:rFonts w:ascii="Times New Roman" w:hAnsi="Times New Roman" w:cs="Times New Roman"/>
          <w:color w:val="000000"/>
        </w:rPr>
        <w:t xml:space="preserve"> are assumed to be normally distributed with a correlation </w:t>
      </w:r>
      <m:oMath>
        <m:sSub>
          <m:sSubPr>
            <m:ctrlPr>
              <w:rPr>
                <w:rFonts w:ascii="Cambria Math" w:hAnsi="Cambria Math" w:cs="Times New Roman"/>
                <w:i/>
                <w:color w:val="000000"/>
              </w:rPr>
            </m:ctrlPr>
          </m:sSubPr>
          <m:e>
            <m:r>
              <w:rPr>
                <w:rFonts w:ascii="Cambria Math" w:hAnsi="Cambria Math" w:cs="Times New Roman"/>
                <w:color w:val="000000"/>
              </w:rPr>
              <m:t>ρ</m:t>
            </m:r>
          </m:e>
          <m:sub>
            <m:sSub>
              <m:sSubPr>
                <m:ctrlPr>
                  <w:rPr>
                    <w:rFonts w:ascii="Cambria Math" w:hAnsi="Cambria Math" w:cs="Times New Roman"/>
                    <w:i/>
                    <w:color w:val="000000"/>
                  </w:rPr>
                </m:ctrlPr>
              </m:sSubPr>
              <m:e>
                <m:r>
                  <w:rPr>
                    <w:rFonts w:ascii="Cambria Math" w:hAnsi="Cambria Math" w:cs="Times New Roman"/>
                    <w:color w:val="000000"/>
                  </w:rPr>
                  <m:t>ε</m:t>
                </m:r>
              </m:e>
              <m:sub>
                <m:r>
                  <w:rPr>
                    <w:rFonts w:ascii="Cambria Math" w:hAnsi="Cambria Math" w:cs="Times New Roman"/>
                    <w:color w:val="000000"/>
                  </w:rPr>
                  <m:t>1</m:t>
                </m:r>
              </m:sub>
            </m:sSub>
            <m:sSub>
              <m:sSubPr>
                <m:ctrlPr>
                  <w:rPr>
                    <w:rFonts w:ascii="Cambria Math" w:hAnsi="Cambria Math" w:cs="Times New Roman"/>
                    <w:i/>
                    <w:color w:val="000000"/>
                  </w:rPr>
                </m:ctrlPr>
              </m:sSubPr>
              <m:e>
                <m:r>
                  <w:rPr>
                    <w:rFonts w:ascii="Cambria Math" w:hAnsi="Cambria Math" w:cs="Times New Roman"/>
                    <w:color w:val="000000"/>
                  </w:rPr>
                  <m:t>ε</m:t>
                </m:r>
              </m:e>
              <m:sub>
                <m:r>
                  <w:rPr>
                    <w:rFonts w:ascii="Cambria Math" w:hAnsi="Cambria Math" w:cs="Times New Roman"/>
                    <w:color w:val="000000"/>
                  </w:rPr>
                  <m:t>2</m:t>
                </m:r>
              </m:sub>
            </m:sSub>
          </m:sub>
        </m:sSub>
      </m:oMath>
      <w:r w:rsidR="007B1A0B" w:rsidRPr="007B1A0B">
        <w:rPr>
          <w:rFonts w:ascii="Times New Roman" w:hAnsi="Times New Roman" w:cs="Times New Roman"/>
          <w:color w:val="000000"/>
        </w:rPr>
        <w:t xml:space="preserve"> between them. Estimates are obtained by maximum likelihood function using NLOGIT software.</w:t>
      </w:r>
    </w:p>
    <w:p w14:paraId="661B4F79" w14:textId="77777777" w:rsidR="000C78CD" w:rsidRDefault="000C78CD" w:rsidP="003A2515">
      <w:pPr>
        <w:rPr>
          <w:rFonts w:ascii="Times New Roman" w:hAnsi="Times New Roman" w:cs="Times New Roman"/>
          <w:color w:val="000000"/>
        </w:rPr>
      </w:pPr>
    </w:p>
    <w:p w14:paraId="40C4BFE1" w14:textId="77777777" w:rsidR="000C78CD" w:rsidRDefault="000C78CD" w:rsidP="003A2515">
      <w:pPr>
        <w:rPr>
          <w:rFonts w:ascii="Times New Roman" w:hAnsi="Times New Roman" w:cs="Times New Roman"/>
          <w:color w:val="000000"/>
        </w:rPr>
      </w:pPr>
    </w:p>
    <w:p w14:paraId="169E22D2" w14:textId="77777777" w:rsidR="008A1CD2" w:rsidRPr="00D26D51" w:rsidRDefault="008A1CD2" w:rsidP="003A2515">
      <w:pPr>
        <w:rPr>
          <w:rFonts w:ascii="Times New Roman" w:hAnsi="Times New Roman" w:cs="Times New Roman"/>
          <w:color w:val="000000"/>
        </w:rPr>
      </w:pPr>
    </w:p>
    <w:p w14:paraId="5C927673" w14:textId="77777777" w:rsidR="00D26D51" w:rsidRPr="000C437C" w:rsidRDefault="000C437C" w:rsidP="000C437C">
      <w:pPr>
        <w:pStyle w:val="Caption"/>
        <w:ind w:firstLine="0"/>
        <w:rPr>
          <w:rFonts w:ascii="Times New Roman" w:hAnsi="Times New Roman" w:cs="Times New Roman"/>
          <w:i w:val="0"/>
          <w:iCs w:val="0"/>
          <w:color w:val="000000"/>
          <w:sz w:val="24"/>
          <w:szCs w:val="24"/>
        </w:rPr>
      </w:pPr>
      <w:bookmarkStart w:id="97" w:name="_Toc528649807"/>
      <w:r w:rsidRPr="000C437C">
        <w:rPr>
          <w:rFonts w:ascii="Times New Roman" w:hAnsi="Times New Roman" w:cs="Times New Roman"/>
          <w:i w:val="0"/>
          <w:iCs w:val="0"/>
          <w:color w:val="000000"/>
          <w:sz w:val="24"/>
          <w:szCs w:val="24"/>
        </w:rPr>
        <w:lastRenderedPageBreak/>
        <w:t>Table 4.</w:t>
      </w:r>
      <w:r w:rsidRPr="000C437C">
        <w:rPr>
          <w:rFonts w:ascii="Times New Roman" w:hAnsi="Times New Roman" w:cs="Times New Roman"/>
          <w:i w:val="0"/>
          <w:iCs w:val="0"/>
          <w:color w:val="000000"/>
          <w:sz w:val="24"/>
          <w:szCs w:val="24"/>
        </w:rPr>
        <w:fldChar w:fldCharType="begin"/>
      </w:r>
      <w:r w:rsidRPr="000C437C">
        <w:rPr>
          <w:rFonts w:ascii="Times New Roman" w:hAnsi="Times New Roman" w:cs="Times New Roman"/>
          <w:i w:val="0"/>
          <w:iCs w:val="0"/>
          <w:color w:val="000000"/>
          <w:sz w:val="24"/>
          <w:szCs w:val="24"/>
        </w:rPr>
        <w:instrText xml:space="preserve"> SEQ Table_4. \* ARABIC </w:instrText>
      </w:r>
      <w:r w:rsidRPr="000C437C">
        <w:rPr>
          <w:rFonts w:ascii="Times New Roman" w:hAnsi="Times New Roman" w:cs="Times New Roman"/>
          <w:i w:val="0"/>
          <w:iCs w:val="0"/>
          <w:color w:val="000000"/>
          <w:sz w:val="24"/>
          <w:szCs w:val="24"/>
        </w:rPr>
        <w:fldChar w:fldCharType="separate"/>
      </w:r>
      <w:r w:rsidR="00BC70AE">
        <w:rPr>
          <w:rFonts w:ascii="Times New Roman" w:hAnsi="Times New Roman" w:cs="Times New Roman"/>
          <w:i w:val="0"/>
          <w:iCs w:val="0"/>
          <w:noProof/>
          <w:color w:val="000000"/>
          <w:sz w:val="24"/>
          <w:szCs w:val="24"/>
        </w:rPr>
        <w:t>3</w:t>
      </w:r>
      <w:r w:rsidRPr="000C437C">
        <w:rPr>
          <w:rFonts w:ascii="Times New Roman" w:hAnsi="Times New Roman" w:cs="Times New Roman"/>
          <w:i w:val="0"/>
          <w:iCs w:val="0"/>
          <w:color w:val="000000"/>
          <w:sz w:val="24"/>
          <w:szCs w:val="24"/>
        </w:rPr>
        <w:fldChar w:fldCharType="end"/>
      </w:r>
      <w:r w:rsidRPr="000C437C">
        <w:rPr>
          <w:rFonts w:ascii="Times New Roman" w:hAnsi="Times New Roman" w:cs="Times New Roman"/>
          <w:i w:val="0"/>
          <w:iCs w:val="0"/>
          <w:color w:val="000000"/>
          <w:sz w:val="24"/>
          <w:szCs w:val="24"/>
        </w:rPr>
        <w:t xml:space="preserve"> </w:t>
      </w:r>
      <w:r w:rsidR="00D26D51" w:rsidRPr="000C437C">
        <w:rPr>
          <w:rFonts w:ascii="Times New Roman" w:hAnsi="Times New Roman" w:cs="Times New Roman"/>
          <w:i w:val="0"/>
          <w:iCs w:val="0"/>
          <w:color w:val="000000"/>
          <w:sz w:val="24"/>
          <w:szCs w:val="24"/>
        </w:rPr>
        <w:t>Independent variables, their definitions, and statistics</w:t>
      </w:r>
      <w:bookmarkEnd w:id="97"/>
    </w:p>
    <w:tbl>
      <w:tblPr>
        <w:tblStyle w:val="PlainTable210"/>
        <w:tblW w:w="9360" w:type="dxa"/>
        <w:jc w:val="center"/>
        <w:tblLayout w:type="fixed"/>
        <w:tblLook w:val="04A0" w:firstRow="1" w:lastRow="0" w:firstColumn="1" w:lastColumn="0" w:noHBand="0" w:noVBand="1"/>
      </w:tblPr>
      <w:tblGrid>
        <w:gridCol w:w="2880"/>
        <w:gridCol w:w="5310"/>
        <w:gridCol w:w="1170"/>
      </w:tblGrid>
      <w:tr w:rsidR="00D26D51" w:rsidRPr="00D26D51" w14:paraId="1560487E" w14:textId="77777777" w:rsidTr="00D26D5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noWrap/>
            <w:vAlign w:val="center"/>
          </w:tcPr>
          <w:p w14:paraId="79D70958" w14:textId="77777777" w:rsidR="00D26D51" w:rsidRPr="00D26D51" w:rsidRDefault="00D26D51" w:rsidP="00D26D51">
            <w:pPr>
              <w:rPr>
                <w:rFonts w:ascii="Times New Roman" w:hAnsi="Times New Roman" w:cs="Times New Roman"/>
                <w:b w:val="0"/>
                <w:sz w:val="18"/>
                <w:szCs w:val="18"/>
              </w:rPr>
            </w:pPr>
            <w:r w:rsidRPr="00D26D51">
              <w:rPr>
                <w:rFonts w:ascii="Times New Roman" w:hAnsi="Times New Roman" w:cs="Times New Roman"/>
                <w:b w:val="0"/>
                <w:sz w:val="18"/>
                <w:szCs w:val="18"/>
              </w:rPr>
              <w:t xml:space="preserve">Variable </w:t>
            </w:r>
          </w:p>
        </w:tc>
        <w:tc>
          <w:tcPr>
            <w:tcW w:w="5310" w:type="dxa"/>
            <w:vAlign w:val="center"/>
          </w:tcPr>
          <w:p w14:paraId="498E6091" w14:textId="77777777" w:rsidR="00D26D51" w:rsidRPr="00D26D51" w:rsidRDefault="00D26D51" w:rsidP="00D26D5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D26D51">
              <w:rPr>
                <w:rFonts w:ascii="Times New Roman" w:eastAsia="Times New Roman" w:hAnsi="Times New Roman" w:cs="Times New Roman"/>
                <w:b w:val="0"/>
                <w:sz w:val="18"/>
                <w:szCs w:val="18"/>
              </w:rPr>
              <w:t>Definition</w:t>
            </w:r>
          </w:p>
        </w:tc>
        <w:tc>
          <w:tcPr>
            <w:tcW w:w="1170" w:type="dxa"/>
            <w:noWrap/>
          </w:tcPr>
          <w:p w14:paraId="761B6E38" w14:textId="77777777" w:rsidR="00D26D51" w:rsidRPr="00D26D51" w:rsidRDefault="00D26D51" w:rsidP="00D26D5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D26D51">
              <w:rPr>
                <w:rFonts w:ascii="Times New Roman" w:eastAsia="Times New Roman" w:hAnsi="Times New Roman" w:cs="Times New Roman"/>
                <w:b w:val="0"/>
                <w:sz w:val="18"/>
                <w:szCs w:val="18"/>
              </w:rPr>
              <w:t>% or Mean</w:t>
            </w:r>
          </w:p>
        </w:tc>
      </w:tr>
      <w:tr w:rsidR="00D26D51" w:rsidRPr="00D26D51" w14:paraId="591A6F79" w14:textId="77777777" w:rsidTr="00D26D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tcBorders>
              <w:bottom w:val="nil"/>
            </w:tcBorders>
            <w:noWrap/>
          </w:tcPr>
          <w:p w14:paraId="29C9BDDA" w14:textId="77777777" w:rsidR="00D26D51" w:rsidRPr="00D26D51" w:rsidRDefault="00D26D51" w:rsidP="00D26D51">
            <w:pPr>
              <w:spacing w:before="60" w:after="60"/>
              <w:rPr>
                <w:rFonts w:ascii="Times New Roman" w:hAnsi="Times New Roman" w:cs="Times New Roman"/>
                <w:b w:val="0"/>
                <w:i/>
                <w:sz w:val="18"/>
                <w:szCs w:val="18"/>
                <w:u w:val="single"/>
              </w:rPr>
            </w:pPr>
            <w:r w:rsidRPr="00D26D51">
              <w:rPr>
                <w:rFonts w:ascii="Times New Roman" w:hAnsi="Times New Roman" w:cs="Times New Roman"/>
                <w:b w:val="0"/>
                <w:i/>
                <w:sz w:val="18"/>
                <w:szCs w:val="18"/>
                <w:u w:val="single"/>
              </w:rPr>
              <w:t xml:space="preserve">Dependent variables </w:t>
            </w:r>
          </w:p>
        </w:tc>
        <w:tc>
          <w:tcPr>
            <w:tcW w:w="5310" w:type="dxa"/>
            <w:tcBorders>
              <w:bottom w:val="nil"/>
            </w:tcBorders>
          </w:tcPr>
          <w:p w14:paraId="3B8510E3" w14:textId="77777777" w:rsidR="00D26D51" w:rsidRPr="00D26D51" w:rsidRDefault="00D26D51" w:rsidP="00D26D51">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170" w:type="dxa"/>
            <w:tcBorders>
              <w:bottom w:val="nil"/>
            </w:tcBorders>
            <w:noWrap/>
          </w:tcPr>
          <w:p w14:paraId="7AE5B33F" w14:textId="77777777" w:rsidR="00D26D51" w:rsidRPr="00D26D51" w:rsidRDefault="00D26D51" w:rsidP="00D26D51">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D26D51" w:rsidRPr="00D26D51" w14:paraId="3863D2A5" w14:textId="77777777" w:rsidTr="00D26D51">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nil"/>
              <w:bottom w:val="nil"/>
            </w:tcBorders>
            <w:noWrap/>
          </w:tcPr>
          <w:p w14:paraId="66334AE6" w14:textId="77777777" w:rsidR="00D26D51" w:rsidRPr="00D26D51" w:rsidRDefault="00D26D51" w:rsidP="00D26D51">
            <w:pPr>
              <w:rPr>
                <w:rFonts w:ascii="Times New Roman" w:hAnsi="Times New Roman" w:cs="Times New Roman"/>
                <w:b w:val="0"/>
                <w:sz w:val="18"/>
                <w:szCs w:val="18"/>
              </w:rPr>
            </w:pPr>
            <w:r w:rsidRPr="00D26D51">
              <w:rPr>
                <w:rFonts w:ascii="Times New Roman" w:hAnsi="Times New Roman" w:cs="Times New Roman"/>
                <w:b w:val="0"/>
                <w:sz w:val="18"/>
                <w:szCs w:val="18"/>
              </w:rPr>
              <w:t>Annual mileage (km)</w:t>
            </w:r>
          </w:p>
        </w:tc>
        <w:tc>
          <w:tcPr>
            <w:tcW w:w="5310" w:type="dxa"/>
            <w:tcBorders>
              <w:top w:val="nil"/>
              <w:bottom w:val="nil"/>
            </w:tcBorders>
          </w:tcPr>
          <w:p w14:paraId="58CD4081"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lang w:eastAsia="en-CA"/>
              </w:rPr>
            </w:pPr>
            <w:r w:rsidRPr="00D26D51">
              <w:rPr>
                <w:rFonts w:ascii="Times New Roman" w:eastAsia="Times New Roman" w:hAnsi="Times New Roman" w:cs="Times New Roman"/>
                <w:color w:val="000000"/>
                <w:sz w:val="18"/>
                <w:lang w:eastAsia="en-CA"/>
              </w:rPr>
              <w:t>0-5,000</w:t>
            </w:r>
          </w:p>
          <w:p w14:paraId="553084BB"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lang w:eastAsia="en-CA"/>
              </w:rPr>
            </w:pPr>
            <w:r w:rsidRPr="00D26D51">
              <w:rPr>
                <w:rFonts w:ascii="Times New Roman" w:eastAsia="Times New Roman" w:hAnsi="Times New Roman" w:cs="Times New Roman"/>
                <w:color w:val="000000"/>
                <w:sz w:val="18"/>
                <w:lang w:eastAsia="en-CA"/>
              </w:rPr>
              <w:t>5,001-10,000</w:t>
            </w:r>
          </w:p>
          <w:p w14:paraId="4160DB0A"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lang w:eastAsia="en-CA"/>
              </w:rPr>
            </w:pPr>
            <w:r w:rsidRPr="00D26D51">
              <w:rPr>
                <w:rFonts w:ascii="Times New Roman" w:eastAsia="Times New Roman" w:hAnsi="Times New Roman" w:cs="Times New Roman"/>
                <w:color w:val="000000"/>
                <w:sz w:val="18"/>
                <w:lang w:eastAsia="en-CA"/>
              </w:rPr>
              <w:t>10,001-15,000</w:t>
            </w:r>
          </w:p>
          <w:p w14:paraId="3BBFF80F"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lang w:eastAsia="en-CA"/>
              </w:rPr>
            </w:pPr>
            <w:r w:rsidRPr="00D26D51">
              <w:rPr>
                <w:rFonts w:ascii="Times New Roman" w:eastAsia="Times New Roman" w:hAnsi="Times New Roman" w:cs="Times New Roman"/>
                <w:color w:val="000000"/>
                <w:sz w:val="18"/>
                <w:lang w:eastAsia="en-CA"/>
              </w:rPr>
              <w:t>15,001-25,000</w:t>
            </w:r>
          </w:p>
          <w:p w14:paraId="4E9C20BB"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lang w:eastAsia="en-CA"/>
              </w:rPr>
            </w:pPr>
            <w:r w:rsidRPr="00D26D51">
              <w:rPr>
                <w:rFonts w:ascii="Times New Roman" w:eastAsia="Times New Roman" w:hAnsi="Times New Roman" w:cs="Times New Roman"/>
                <w:color w:val="000000"/>
                <w:sz w:val="18"/>
                <w:lang w:eastAsia="en-CA"/>
              </w:rPr>
              <w:t>25,001-40,000</w:t>
            </w:r>
          </w:p>
          <w:p w14:paraId="56A07222"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eastAsia="Times New Roman" w:hAnsi="Times New Roman" w:cs="Times New Roman"/>
                <w:color w:val="000000"/>
                <w:sz w:val="18"/>
                <w:lang w:eastAsia="en-CA"/>
              </w:rPr>
              <w:t>40,000+</w:t>
            </w:r>
          </w:p>
        </w:tc>
        <w:tc>
          <w:tcPr>
            <w:tcW w:w="1170" w:type="dxa"/>
            <w:tcBorders>
              <w:top w:val="nil"/>
              <w:bottom w:val="nil"/>
            </w:tcBorders>
            <w:noWrap/>
          </w:tcPr>
          <w:p w14:paraId="64477823"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15%</w:t>
            </w:r>
          </w:p>
          <w:p w14:paraId="24D8C53C"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25%</w:t>
            </w:r>
          </w:p>
          <w:p w14:paraId="2B136591"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23%</w:t>
            </w:r>
          </w:p>
          <w:p w14:paraId="222C2C31"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25%</w:t>
            </w:r>
          </w:p>
          <w:p w14:paraId="13A81657"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10%</w:t>
            </w:r>
          </w:p>
          <w:p w14:paraId="326DC679"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2%</w:t>
            </w:r>
          </w:p>
        </w:tc>
      </w:tr>
      <w:tr w:rsidR="00D26D51" w:rsidRPr="00D26D51" w14:paraId="28B0649D" w14:textId="77777777" w:rsidTr="00D26D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tcBorders>
              <w:top w:val="nil"/>
              <w:bottom w:val="nil"/>
            </w:tcBorders>
            <w:noWrap/>
          </w:tcPr>
          <w:p w14:paraId="6894D0BE" w14:textId="77777777" w:rsidR="00D26D51" w:rsidRPr="00D26D51" w:rsidRDefault="00D26D51" w:rsidP="00D26D51">
            <w:pPr>
              <w:spacing w:before="60"/>
              <w:rPr>
                <w:rFonts w:ascii="Times New Roman" w:hAnsi="Times New Roman" w:cs="Times New Roman"/>
                <w:b w:val="0"/>
                <w:sz w:val="18"/>
                <w:szCs w:val="18"/>
              </w:rPr>
            </w:pPr>
            <w:r w:rsidRPr="00D26D51">
              <w:rPr>
                <w:rFonts w:ascii="Times New Roman" w:hAnsi="Times New Roman" w:cs="Times New Roman"/>
                <w:b w:val="0"/>
                <w:sz w:val="18"/>
                <w:szCs w:val="18"/>
              </w:rPr>
              <w:t>Ownership time (years)</w:t>
            </w:r>
          </w:p>
        </w:tc>
        <w:tc>
          <w:tcPr>
            <w:tcW w:w="5310" w:type="dxa"/>
            <w:tcBorders>
              <w:top w:val="nil"/>
              <w:bottom w:val="nil"/>
            </w:tcBorders>
          </w:tcPr>
          <w:p w14:paraId="3018E9D5" w14:textId="77777777" w:rsidR="00D26D51" w:rsidRPr="00D26D51" w:rsidRDefault="00D26D51" w:rsidP="00D26D51">
            <w:pPr>
              <w:spacing w:before="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lang w:eastAsia="en-CA"/>
              </w:rPr>
            </w:pPr>
            <w:r w:rsidRPr="00D26D51">
              <w:rPr>
                <w:rFonts w:ascii="Times New Roman" w:eastAsia="Times New Roman" w:hAnsi="Times New Roman" w:cs="Times New Roman"/>
                <w:color w:val="000000"/>
                <w:sz w:val="18"/>
                <w:lang w:eastAsia="en-CA"/>
              </w:rPr>
              <w:t>1 – 3</w:t>
            </w:r>
          </w:p>
          <w:p w14:paraId="46CF5DEE" w14:textId="77777777" w:rsidR="00D26D51" w:rsidRPr="00D26D51" w:rsidRDefault="00D26D51" w:rsidP="00D26D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lang w:eastAsia="en-CA"/>
              </w:rPr>
            </w:pPr>
            <w:r w:rsidRPr="00D26D51">
              <w:rPr>
                <w:rFonts w:ascii="Times New Roman" w:eastAsia="Times New Roman" w:hAnsi="Times New Roman" w:cs="Times New Roman"/>
                <w:color w:val="000000"/>
                <w:sz w:val="18"/>
                <w:lang w:eastAsia="en-CA"/>
              </w:rPr>
              <w:t>4 – 6</w:t>
            </w:r>
          </w:p>
          <w:p w14:paraId="1C534D3A" w14:textId="77777777" w:rsidR="00D26D51" w:rsidRPr="00D26D51" w:rsidRDefault="00D26D51" w:rsidP="00D26D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lang w:eastAsia="en-CA"/>
              </w:rPr>
            </w:pPr>
            <w:r w:rsidRPr="00D26D51">
              <w:rPr>
                <w:rFonts w:ascii="Times New Roman" w:eastAsia="Times New Roman" w:hAnsi="Times New Roman" w:cs="Times New Roman"/>
                <w:color w:val="000000"/>
                <w:sz w:val="18"/>
                <w:lang w:eastAsia="en-CA"/>
              </w:rPr>
              <w:t>7 – 9</w:t>
            </w:r>
          </w:p>
          <w:p w14:paraId="42C674C6" w14:textId="77777777" w:rsidR="00D26D51" w:rsidRPr="00D26D51" w:rsidRDefault="00D26D51" w:rsidP="00D26D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eastAsia="Times New Roman" w:hAnsi="Times New Roman" w:cs="Times New Roman"/>
                <w:color w:val="000000"/>
                <w:sz w:val="18"/>
                <w:lang w:eastAsia="en-CA"/>
              </w:rPr>
              <w:t>10+</w:t>
            </w:r>
          </w:p>
        </w:tc>
        <w:tc>
          <w:tcPr>
            <w:tcW w:w="1170" w:type="dxa"/>
            <w:tcBorders>
              <w:top w:val="nil"/>
              <w:bottom w:val="nil"/>
            </w:tcBorders>
            <w:noWrap/>
          </w:tcPr>
          <w:p w14:paraId="527AAD70" w14:textId="77777777" w:rsidR="00D26D51" w:rsidRPr="00D26D51" w:rsidRDefault="00D26D51" w:rsidP="00D26D51">
            <w:pPr>
              <w:spacing w:before="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10%</w:t>
            </w:r>
          </w:p>
          <w:p w14:paraId="475C95E7" w14:textId="77777777" w:rsidR="00D26D51" w:rsidRPr="00D26D51" w:rsidRDefault="00D26D51" w:rsidP="00D26D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35%</w:t>
            </w:r>
          </w:p>
          <w:p w14:paraId="45EF8E31" w14:textId="77777777" w:rsidR="00D26D51" w:rsidRPr="00D26D51" w:rsidRDefault="00D26D51" w:rsidP="00D26D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27%</w:t>
            </w:r>
          </w:p>
          <w:p w14:paraId="122ECE63" w14:textId="77777777" w:rsidR="00D26D51" w:rsidRPr="00D26D51" w:rsidRDefault="00D26D51" w:rsidP="00D26D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28%</w:t>
            </w:r>
          </w:p>
        </w:tc>
      </w:tr>
      <w:tr w:rsidR="00D26D51" w:rsidRPr="00D26D51" w14:paraId="56B2BD69" w14:textId="77777777" w:rsidTr="00D26D51">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nil"/>
              <w:bottom w:val="nil"/>
            </w:tcBorders>
            <w:noWrap/>
          </w:tcPr>
          <w:p w14:paraId="12109ACD" w14:textId="77777777" w:rsidR="00D26D51" w:rsidRPr="00D26D51" w:rsidRDefault="00D26D51" w:rsidP="00D26D51">
            <w:pPr>
              <w:spacing w:after="60"/>
              <w:rPr>
                <w:rFonts w:ascii="Times New Roman" w:hAnsi="Times New Roman" w:cs="Times New Roman"/>
                <w:b w:val="0"/>
                <w:i/>
                <w:sz w:val="18"/>
                <w:szCs w:val="18"/>
                <w:u w:val="single"/>
              </w:rPr>
            </w:pPr>
            <w:r w:rsidRPr="00D26D51">
              <w:rPr>
                <w:rFonts w:ascii="Times New Roman" w:hAnsi="Times New Roman" w:cs="Times New Roman"/>
                <w:b w:val="0"/>
                <w:i/>
                <w:sz w:val="18"/>
                <w:szCs w:val="18"/>
                <w:u w:val="single"/>
              </w:rPr>
              <w:t xml:space="preserve">Independent variables </w:t>
            </w:r>
          </w:p>
        </w:tc>
        <w:tc>
          <w:tcPr>
            <w:tcW w:w="5310" w:type="dxa"/>
            <w:tcBorders>
              <w:top w:val="nil"/>
              <w:bottom w:val="nil"/>
            </w:tcBorders>
          </w:tcPr>
          <w:p w14:paraId="220F740E" w14:textId="77777777" w:rsidR="00D26D51" w:rsidRPr="00D26D51" w:rsidRDefault="00D26D51" w:rsidP="00D26D51">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170" w:type="dxa"/>
            <w:tcBorders>
              <w:top w:val="nil"/>
              <w:bottom w:val="nil"/>
            </w:tcBorders>
            <w:noWrap/>
          </w:tcPr>
          <w:p w14:paraId="45E3FECC" w14:textId="77777777" w:rsidR="00D26D51" w:rsidRPr="00D26D51" w:rsidRDefault="00D26D51" w:rsidP="00D26D51">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D26D51" w:rsidRPr="00D26D51" w14:paraId="665C13E1" w14:textId="77777777" w:rsidTr="00D26D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tcBorders>
              <w:top w:val="nil"/>
              <w:bottom w:val="nil"/>
            </w:tcBorders>
            <w:noWrap/>
            <w:hideMark/>
          </w:tcPr>
          <w:p w14:paraId="2219552A" w14:textId="77777777" w:rsidR="00D26D51" w:rsidRPr="00D26D51" w:rsidRDefault="00D26D51" w:rsidP="00D26D51">
            <w:pPr>
              <w:rPr>
                <w:rFonts w:ascii="Times New Roman" w:hAnsi="Times New Roman" w:cs="Times New Roman"/>
                <w:b w:val="0"/>
                <w:i/>
                <w:sz w:val="18"/>
                <w:szCs w:val="18"/>
              </w:rPr>
            </w:pPr>
            <w:r w:rsidRPr="00D26D51">
              <w:rPr>
                <w:rFonts w:ascii="Times New Roman" w:hAnsi="Times New Roman" w:cs="Times New Roman"/>
                <w:b w:val="0"/>
                <w:i/>
                <w:sz w:val="18"/>
                <w:szCs w:val="18"/>
              </w:rPr>
              <w:t>Householder Age:</w:t>
            </w:r>
          </w:p>
          <w:p w14:paraId="40E4F4F0" w14:textId="77777777" w:rsidR="00D26D51" w:rsidRPr="00D26D51" w:rsidRDefault="00D26D51" w:rsidP="00D26D51">
            <w:pPr>
              <w:rPr>
                <w:rFonts w:ascii="Times New Roman" w:hAnsi="Times New Roman" w:cs="Times New Roman"/>
                <w:b w:val="0"/>
                <w:sz w:val="18"/>
                <w:szCs w:val="18"/>
              </w:rPr>
            </w:pPr>
            <w:r w:rsidRPr="00D26D51">
              <w:rPr>
                <w:rFonts w:ascii="Times New Roman" w:hAnsi="Times New Roman" w:cs="Times New Roman"/>
                <w:b w:val="0"/>
                <w:sz w:val="18"/>
                <w:szCs w:val="18"/>
              </w:rPr>
              <w:t xml:space="preserve">   Young adults 18-24</w:t>
            </w:r>
          </w:p>
          <w:p w14:paraId="2A957C5F" w14:textId="77777777" w:rsidR="00D26D51" w:rsidRPr="00D26D51" w:rsidRDefault="00D26D51" w:rsidP="00D26D51">
            <w:pPr>
              <w:rPr>
                <w:rFonts w:ascii="Times New Roman" w:hAnsi="Times New Roman" w:cs="Times New Roman"/>
                <w:b w:val="0"/>
                <w:sz w:val="18"/>
                <w:szCs w:val="18"/>
              </w:rPr>
            </w:pPr>
            <w:r w:rsidRPr="00D26D51">
              <w:rPr>
                <w:rFonts w:ascii="Times New Roman" w:hAnsi="Times New Roman" w:cs="Times New Roman"/>
                <w:b w:val="0"/>
                <w:sz w:val="18"/>
                <w:szCs w:val="18"/>
              </w:rPr>
              <w:t xml:space="preserve">   Adulthood 25-34</w:t>
            </w:r>
          </w:p>
          <w:p w14:paraId="43D1128A" w14:textId="77777777" w:rsidR="00D26D51" w:rsidRPr="00D26D51" w:rsidRDefault="00D26D51" w:rsidP="00D26D51">
            <w:pPr>
              <w:rPr>
                <w:rFonts w:ascii="Times New Roman" w:hAnsi="Times New Roman" w:cs="Times New Roman"/>
                <w:b w:val="0"/>
                <w:sz w:val="18"/>
                <w:szCs w:val="18"/>
              </w:rPr>
            </w:pPr>
            <w:r w:rsidRPr="00D26D51">
              <w:rPr>
                <w:rFonts w:ascii="Times New Roman" w:hAnsi="Times New Roman" w:cs="Times New Roman"/>
                <w:b w:val="0"/>
                <w:sz w:val="18"/>
                <w:szCs w:val="18"/>
              </w:rPr>
              <w:t xml:space="preserve">   Middle age 35-54</w:t>
            </w:r>
          </w:p>
          <w:p w14:paraId="46C123A8" w14:textId="77777777" w:rsidR="00D26D51" w:rsidRPr="00D26D51" w:rsidRDefault="00D26D51" w:rsidP="00D26D51">
            <w:pPr>
              <w:rPr>
                <w:rFonts w:ascii="Times New Roman" w:hAnsi="Times New Roman" w:cs="Times New Roman"/>
                <w:b w:val="0"/>
                <w:sz w:val="18"/>
                <w:szCs w:val="18"/>
              </w:rPr>
            </w:pPr>
            <w:r w:rsidRPr="00D26D51">
              <w:rPr>
                <w:rFonts w:ascii="Times New Roman" w:hAnsi="Times New Roman" w:cs="Times New Roman"/>
                <w:b w:val="0"/>
                <w:sz w:val="18"/>
                <w:szCs w:val="18"/>
              </w:rPr>
              <w:t xml:space="preserve">   Older age 55+ </w:t>
            </w:r>
          </w:p>
        </w:tc>
        <w:tc>
          <w:tcPr>
            <w:tcW w:w="5310" w:type="dxa"/>
            <w:tcBorders>
              <w:top w:val="nil"/>
              <w:bottom w:val="nil"/>
            </w:tcBorders>
          </w:tcPr>
          <w:p w14:paraId="7A81B09B" w14:textId="77777777" w:rsidR="00D26D51" w:rsidRPr="00D26D51" w:rsidRDefault="00D26D51" w:rsidP="00D26D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5C611C93" w14:textId="77777777" w:rsidR="00D26D51" w:rsidRPr="00D26D51" w:rsidRDefault="00D26D51" w:rsidP="00D26D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1 if householder’s age group is young adult; 0 otherwise</w:t>
            </w:r>
          </w:p>
          <w:p w14:paraId="14920D65" w14:textId="77777777" w:rsidR="00D26D51" w:rsidRPr="00D26D51" w:rsidRDefault="00D26D51" w:rsidP="00D26D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1 if householder’s age group is adulthood; 0 otherwise</w:t>
            </w:r>
          </w:p>
          <w:p w14:paraId="421894F0" w14:textId="77777777" w:rsidR="00D26D51" w:rsidRPr="00D26D51" w:rsidRDefault="00D26D51" w:rsidP="00D26D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1 if householder’s age group is middle age; 0 otherwise</w:t>
            </w:r>
          </w:p>
          <w:p w14:paraId="44168C56" w14:textId="77777777" w:rsidR="00D26D51" w:rsidRPr="00D26D51" w:rsidRDefault="00D26D51" w:rsidP="00D26D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1 if householder’s age group is older age; 0 otherwise</w:t>
            </w:r>
          </w:p>
        </w:tc>
        <w:tc>
          <w:tcPr>
            <w:tcW w:w="1170" w:type="dxa"/>
            <w:tcBorders>
              <w:top w:val="nil"/>
              <w:bottom w:val="nil"/>
            </w:tcBorders>
            <w:noWrap/>
            <w:hideMark/>
          </w:tcPr>
          <w:p w14:paraId="30128E38" w14:textId="77777777" w:rsidR="00D26D51" w:rsidRPr="00D26D51" w:rsidRDefault="00D26D51" w:rsidP="00D26D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52E6BF0D" w14:textId="77777777" w:rsidR="00D26D51" w:rsidRPr="00D26D51" w:rsidRDefault="00D26D51" w:rsidP="00D26D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4%</w:t>
            </w:r>
          </w:p>
          <w:p w14:paraId="793C4536" w14:textId="77777777" w:rsidR="00D26D51" w:rsidRPr="00D26D51" w:rsidRDefault="00D26D51" w:rsidP="00D26D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14%</w:t>
            </w:r>
          </w:p>
          <w:p w14:paraId="1838339D" w14:textId="77777777" w:rsidR="00D26D51" w:rsidRPr="00D26D51" w:rsidRDefault="00D26D51" w:rsidP="00D26D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63%</w:t>
            </w:r>
          </w:p>
          <w:p w14:paraId="3F20BF6A" w14:textId="77777777" w:rsidR="00D26D51" w:rsidRPr="00D26D51" w:rsidRDefault="00D26D51" w:rsidP="00D26D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20%</w:t>
            </w:r>
          </w:p>
        </w:tc>
      </w:tr>
      <w:tr w:rsidR="00D26D51" w:rsidRPr="00D26D51" w14:paraId="3BA5FDFA" w14:textId="77777777" w:rsidTr="00D26D51">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nil"/>
              <w:bottom w:val="nil"/>
            </w:tcBorders>
            <w:noWrap/>
            <w:hideMark/>
          </w:tcPr>
          <w:p w14:paraId="75739ECA" w14:textId="77777777" w:rsidR="00D26D51" w:rsidRPr="00D26D51" w:rsidRDefault="00D26D51" w:rsidP="00D26D51">
            <w:pPr>
              <w:spacing w:before="60"/>
              <w:rPr>
                <w:rFonts w:ascii="Times New Roman" w:hAnsi="Times New Roman" w:cs="Times New Roman"/>
                <w:b w:val="0"/>
                <w:sz w:val="18"/>
                <w:szCs w:val="18"/>
              </w:rPr>
            </w:pPr>
            <w:r w:rsidRPr="00D26D51">
              <w:rPr>
                <w:rFonts w:ascii="Times New Roman" w:hAnsi="Times New Roman" w:cs="Times New Roman"/>
                <w:b w:val="0"/>
                <w:sz w:val="18"/>
                <w:szCs w:val="18"/>
              </w:rPr>
              <w:t>Female householder</w:t>
            </w:r>
          </w:p>
        </w:tc>
        <w:tc>
          <w:tcPr>
            <w:tcW w:w="5310" w:type="dxa"/>
            <w:tcBorders>
              <w:top w:val="nil"/>
              <w:bottom w:val="nil"/>
            </w:tcBorders>
          </w:tcPr>
          <w:p w14:paraId="6F9F957B" w14:textId="77777777" w:rsidR="00D26D51" w:rsidRPr="00D26D51" w:rsidRDefault="00D26D51" w:rsidP="00D26D51">
            <w:pPr>
              <w:spacing w:before="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1 if householder is female; 0 otherwise</w:t>
            </w:r>
          </w:p>
        </w:tc>
        <w:tc>
          <w:tcPr>
            <w:tcW w:w="1170" w:type="dxa"/>
            <w:tcBorders>
              <w:top w:val="nil"/>
              <w:bottom w:val="nil"/>
            </w:tcBorders>
            <w:noWrap/>
            <w:hideMark/>
          </w:tcPr>
          <w:p w14:paraId="58367150" w14:textId="77777777" w:rsidR="00D26D51" w:rsidRPr="00D26D51" w:rsidRDefault="00D26D51" w:rsidP="00D26D51">
            <w:pPr>
              <w:spacing w:before="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55%</w:t>
            </w:r>
          </w:p>
        </w:tc>
      </w:tr>
      <w:tr w:rsidR="00D26D51" w:rsidRPr="00D26D51" w14:paraId="2C7A13B3" w14:textId="77777777" w:rsidTr="00D26D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tcBorders>
              <w:top w:val="nil"/>
              <w:bottom w:val="nil"/>
            </w:tcBorders>
            <w:noWrap/>
          </w:tcPr>
          <w:p w14:paraId="6A0D3995" w14:textId="77777777" w:rsidR="00D26D51" w:rsidRPr="00D26D51" w:rsidRDefault="00D26D51" w:rsidP="00D26D51">
            <w:pPr>
              <w:rPr>
                <w:rFonts w:ascii="Times New Roman" w:hAnsi="Times New Roman" w:cs="Times New Roman"/>
                <w:b w:val="0"/>
                <w:sz w:val="18"/>
                <w:szCs w:val="18"/>
              </w:rPr>
            </w:pPr>
            <w:r w:rsidRPr="00D26D51">
              <w:rPr>
                <w:rFonts w:ascii="Times New Roman" w:hAnsi="Times New Roman" w:cs="Times New Roman"/>
                <w:b w:val="0"/>
                <w:sz w:val="18"/>
                <w:szCs w:val="18"/>
              </w:rPr>
              <w:t>Retired householder</w:t>
            </w:r>
          </w:p>
        </w:tc>
        <w:tc>
          <w:tcPr>
            <w:tcW w:w="5310" w:type="dxa"/>
            <w:tcBorders>
              <w:top w:val="nil"/>
              <w:bottom w:val="nil"/>
            </w:tcBorders>
          </w:tcPr>
          <w:p w14:paraId="1866FA33" w14:textId="77777777" w:rsidR="00D26D51" w:rsidRPr="00D26D51" w:rsidRDefault="00D26D51" w:rsidP="00D26D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1 if householder is retired; 0 otherwise</w:t>
            </w:r>
          </w:p>
        </w:tc>
        <w:tc>
          <w:tcPr>
            <w:tcW w:w="1170" w:type="dxa"/>
            <w:tcBorders>
              <w:top w:val="nil"/>
              <w:bottom w:val="nil"/>
            </w:tcBorders>
            <w:noWrap/>
          </w:tcPr>
          <w:p w14:paraId="41992DAD" w14:textId="77777777" w:rsidR="00D26D51" w:rsidRPr="00D26D51" w:rsidRDefault="00D26D51" w:rsidP="00D26D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26%</w:t>
            </w:r>
          </w:p>
        </w:tc>
      </w:tr>
      <w:tr w:rsidR="00D26D51" w:rsidRPr="00D26D51" w14:paraId="3C416259" w14:textId="77777777" w:rsidTr="00D26D51">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nil"/>
              <w:bottom w:val="nil"/>
            </w:tcBorders>
            <w:noWrap/>
            <w:hideMark/>
          </w:tcPr>
          <w:p w14:paraId="6252894D" w14:textId="77777777" w:rsidR="00D26D51" w:rsidRPr="00D26D51" w:rsidRDefault="00D26D51" w:rsidP="00D26D51">
            <w:pPr>
              <w:rPr>
                <w:rFonts w:ascii="Times New Roman" w:hAnsi="Times New Roman" w:cs="Times New Roman"/>
                <w:b w:val="0"/>
                <w:color w:val="000000"/>
                <w:sz w:val="18"/>
                <w:szCs w:val="18"/>
              </w:rPr>
            </w:pPr>
            <w:r w:rsidRPr="00D26D51">
              <w:rPr>
                <w:rFonts w:ascii="Times New Roman" w:hAnsi="Times New Roman" w:cs="Times New Roman"/>
                <w:b w:val="0"/>
                <w:color w:val="000000"/>
                <w:sz w:val="18"/>
                <w:szCs w:val="18"/>
              </w:rPr>
              <w:t xml:space="preserve">Household income </w:t>
            </w:r>
          </w:p>
        </w:tc>
        <w:tc>
          <w:tcPr>
            <w:tcW w:w="5310" w:type="dxa"/>
            <w:tcBorders>
              <w:top w:val="nil"/>
              <w:bottom w:val="nil"/>
            </w:tcBorders>
          </w:tcPr>
          <w:p w14:paraId="136A2F8F"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A categorical variable with six levels ranging from ‘‘Less than $25,000” to ‘‘Greater than $150,000”</w:t>
            </w:r>
          </w:p>
        </w:tc>
        <w:tc>
          <w:tcPr>
            <w:tcW w:w="1170" w:type="dxa"/>
            <w:tcBorders>
              <w:top w:val="nil"/>
              <w:bottom w:val="nil"/>
            </w:tcBorders>
            <w:noWrap/>
            <w:hideMark/>
          </w:tcPr>
          <w:p w14:paraId="6BAF3998"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$87,500</w:t>
            </w:r>
          </w:p>
        </w:tc>
      </w:tr>
      <w:tr w:rsidR="00D26D51" w:rsidRPr="00D26D51" w14:paraId="0F01E2AA" w14:textId="77777777" w:rsidTr="00D26D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tcBorders>
              <w:top w:val="nil"/>
              <w:bottom w:val="nil"/>
            </w:tcBorders>
            <w:noWrap/>
          </w:tcPr>
          <w:p w14:paraId="3366B9FD" w14:textId="77777777" w:rsidR="00D26D51" w:rsidRPr="00D26D51" w:rsidRDefault="00D26D51" w:rsidP="00D26D51">
            <w:pPr>
              <w:rPr>
                <w:rFonts w:ascii="Times New Roman" w:hAnsi="Times New Roman" w:cs="Times New Roman"/>
                <w:b w:val="0"/>
                <w:color w:val="000000"/>
                <w:sz w:val="18"/>
                <w:szCs w:val="18"/>
              </w:rPr>
            </w:pPr>
            <w:r w:rsidRPr="00D26D51">
              <w:rPr>
                <w:rFonts w:ascii="Times New Roman" w:hAnsi="Times New Roman" w:cs="Times New Roman"/>
                <w:b w:val="0"/>
                <w:color w:val="000000"/>
                <w:sz w:val="18"/>
                <w:szCs w:val="18"/>
              </w:rPr>
              <w:t>Number of children</w:t>
            </w:r>
          </w:p>
        </w:tc>
        <w:tc>
          <w:tcPr>
            <w:tcW w:w="5310" w:type="dxa"/>
            <w:tcBorders>
              <w:top w:val="nil"/>
              <w:bottom w:val="nil"/>
            </w:tcBorders>
          </w:tcPr>
          <w:p w14:paraId="06F9E798" w14:textId="77777777" w:rsidR="00D26D51" w:rsidRPr="00D26D51" w:rsidRDefault="00D26D51" w:rsidP="00D26D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Number of children less than 18 years old in the household.</w:t>
            </w:r>
          </w:p>
        </w:tc>
        <w:tc>
          <w:tcPr>
            <w:tcW w:w="1170" w:type="dxa"/>
            <w:tcBorders>
              <w:top w:val="nil"/>
              <w:bottom w:val="nil"/>
            </w:tcBorders>
            <w:noWrap/>
          </w:tcPr>
          <w:p w14:paraId="3C366D0A" w14:textId="77777777" w:rsidR="00D26D51" w:rsidRPr="00D26D51" w:rsidRDefault="00D26D51" w:rsidP="00D26D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0.45</w:t>
            </w:r>
          </w:p>
        </w:tc>
      </w:tr>
      <w:tr w:rsidR="00D26D51" w:rsidRPr="00D26D51" w14:paraId="333722FE" w14:textId="77777777" w:rsidTr="003A2515">
        <w:trPr>
          <w:trHeight w:val="1253"/>
          <w:jc w:val="center"/>
        </w:trPr>
        <w:tc>
          <w:tcPr>
            <w:cnfStyle w:val="001000000000" w:firstRow="0" w:lastRow="0" w:firstColumn="1" w:lastColumn="0" w:oddVBand="0" w:evenVBand="0" w:oddHBand="0" w:evenHBand="0" w:firstRowFirstColumn="0" w:firstRowLastColumn="0" w:lastRowFirstColumn="0" w:lastRowLastColumn="0"/>
            <w:tcW w:w="2880" w:type="dxa"/>
            <w:tcBorders>
              <w:top w:val="nil"/>
              <w:bottom w:val="nil"/>
            </w:tcBorders>
            <w:noWrap/>
          </w:tcPr>
          <w:p w14:paraId="566158EA" w14:textId="77777777" w:rsidR="00D26D51" w:rsidRPr="00D26D51" w:rsidRDefault="00D26D51" w:rsidP="00D26D51">
            <w:pPr>
              <w:rPr>
                <w:rFonts w:ascii="Times New Roman" w:hAnsi="Times New Roman" w:cs="Times New Roman"/>
                <w:b w:val="0"/>
                <w:i/>
                <w:color w:val="000000"/>
                <w:sz w:val="18"/>
                <w:szCs w:val="18"/>
              </w:rPr>
            </w:pPr>
            <w:r w:rsidRPr="00D26D51">
              <w:rPr>
                <w:rFonts w:ascii="Times New Roman" w:hAnsi="Times New Roman" w:cs="Times New Roman"/>
                <w:b w:val="0"/>
                <w:i/>
                <w:color w:val="000000"/>
                <w:sz w:val="18"/>
                <w:szCs w:val="18"/>
              </w:rPr>
              <w:t>Education of householder:</w:t>
            </w:r>
          </w:p>
          <w:p w14:paraId="6F9CFBF2" w14:textId="77777777" w:rsidR="00D26D51" w:rsidRPr="00D26D51" w:rsidRDefault="00D26D51" w:rsidP="00D26D51">
            <w:pPr>
              <w:rPr>
                <w:rFonts w:ascii="Times New Roman" w:hAnsi="Times New Roman" w:cs="Times New Roman"/>
                <w:b w:val="0"/>
                <w:color w:val="000000"/>
                <w:sz w:val="18"/>
                <w:szCs w:val="18"/>
              </w:rPr>
            </w:pPr>
            <w:r w:rsidRPr="00D26D51">
              <w:rPr>
                <w:rFonts w:ascii="Times New Roman" w:hAnsi="Times New Roman" w:cs="Times New Roman"/>
                <w:b w:val="0"/>
                <w:color w:val="000000"/>
                <w:sz w:val="18"/>
                <w:szCs w:val="18"/>
              </w:rPr>
              <w:t xml:space="preserve">   No certificate </w:t>
            </w:r>
          </w:p>
          <w:p w14:paraId="747A652D" w14:textId="77777777" w:rsidR="00D26D51" w:rsidRPr="00D26D51" w:rsidRDefault="00D26D51" w:rsidP="00D26D51">
            <w:pPr>
              <w:rPr>
                <w:rFonts w:ascii="Times New Roman" w:hAnsi="Times New Roman" w:cs="Times New Roman"/>
                <w:b w:val="0"/>
                <w:color w:val="000000"/>
                <w:sz w:val="18"/>
                <w:szCs w:val="18"/>
              </w:rPr>
            </w:pPr>
            <w:r w:rsidRPr="00D26D51">
              <w:rPr>
                <w:rFonts w:ascii="Times New Roman" w:hAnsi="Times New Roman" w:cs="Times New Roman"/>
                <w:b w:val="0"/>
                <w:color w:val="000000"/>
                <w:sz w:val="18"/>
                <w:szCs w:val="18"/>
              </w:rPr>
              <w:t xml:space="preserve">   High school diploma</w:t>
            </w:r>
          </w:p>
          <w:p w14:paraId="16886FB4" w14:textId="77777777" w:rsidR="00D26D51" w:rsidRPr="00D26D51" w:rsidRDefault="00D26D51" w:rsidP="00D26D51">
            <w:pPr>
              <w:rPr>
                <w:rFonts w:ascii="Times New Roman" w:hAnsi="Times New Roman" w:cs="Times New Roman"/>
                <w:b w:val="0"/>
                <w:color w:val="000000"/>
                <w:sz w:val="18"/>
                <w:szCs w:val="18"/>
              </w:rPr>
            </w:pPr>
            <w:r w:rsidRPr="00D26D51">
              <w:rPr>
                <w:rFonts w:ascii="Times New Roman" w:hAnsi="Times New Roman" w:cs="Times New Roman"/>
                <w:b w:val="0"/>
                <w:color w:val="000000"/>
                <w:sz w:val="18"/>
                <w:szCs w:val="18"/>
              </w:rPr>
              <w:t xml:space="preserve">   College degree</w:t>
            </w:r>
          </w:p>
          <w:p w14:paraId="0B3205B7" w14:textId="77777777" w:rsidR="00D26D51" w:rsidRPr="00D26D51" w:rsidRDefault="00D26D51" w:rsidP="00D26D51">
            <w:pPr>
              <w:rPr>
                <w:rFonts w:ascii="Times New Roman" w:hAnsi="Times New Roman" w:cs="Times New Roman"/>
                <w:b w:val="0"/>
                <w:color w:val="000000"/>
                <w:sz w:val="18"/>
                <w:szCs w:val="18"/>
              </w:rPr>
            </w:pPr>
            <w:r w:rsidRPr="00D26D51">
              <w:rPr>
                <w:rFonts w:ascii="Times New Roman" w:hAnsi="Times New Roman" w:cs="Times New Roman"/>
                <w:b w:val="0"/>
                <w:sz w:val="18"/>
                <w:szCs w:val="18"/>
              </w:rPr>
              <w:t xml:space="preserve">   Bachelor’s degree or above</w:t>
            </w:r>
          </w:p>
        </w:tc>
        <w:tc>
          <w:tcPr>
            <w:tcW w:w="5310" w:type="dxa"/>
            <w:tcBorders>
              <w:top w:val="nil"/>
              <w:bottom w:val="nil"/>
            </w:tcBorders>
          </w:tcPr>
          <w:p w14:paraId="1911EF3C"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60139BA6"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1 if householder carries no certificate; 0 otherwise</w:t>
            </w:r>
          </w:p>
          <w:p w14:paraId="6B471AC0"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 xml:space="preserve">1 if householder’s education is </w:t>
            </w:r>
            <w:r w:rsidRPr="00D26D51">
              <w:rPr>
                <w:rFonts w:ascii="Times New Roman" w:hAnsi="Times New Roman" w:cs="Times New Roman"/>
                <w:color w:val="000000"/>
                <w:sz w:val="18"/>
                <w:szCs w:val="18"/>
              </w:rPr>
              <w:t>high school diploma</w:t>
            </w:r>
            <w:r w:rsidRPr="00D26D51">
              <w:rPr>
                <w:rFonts w:ascii="Times New Roman" w:hAnsi="Times New Roman" w:cs="Times New Roman"/>
                <w:sz w:val="18"/>
                <w:szCs w:val="18"/>
              </w:rPr>
              <w:t>; 0 otherwise</w:t>
            </w:r>
          </w:p>
          <w:p w14:paraId="21DA23B9"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 xml:space="preserve">1 if householder’s education is </w:t>
            </w:r>
            <w:r w:rsidRPr="00D26D51">
              <w:rPr>
                <w:rFonts w:ascii="Times New Roman" w:hAnsi="Times New Roman" w:cs="Times New Roman"/>
                <w:color w:val="000000"/>
                <w:sz w:val="18"/>
                <w:szCs w:val="18"/>
              </w:rPr>
              <w:t>college degree</w:t>
            </w:r>
            <w:r w:rsidRPr="00D26D51">
              <w:rPr>
                <w:rFonts w:ascii="Times New Roman" w:hAnsi="Times New Roman" w:cs="Times New Roman"/>
                <w:sz w:val="18"/>
                <w:szCs w:val="18"/>
              </w:rPr>
              <w:t>; 0 otherwise</w:t>
            </w:r>
          </w:p>
          <w:p w14:paraId="4899404E"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 xml:space="preserve">1 if householder’s education is </w:t>
            </w:r>
            <w:r w:rsidRPr="00D26D51">
              <w:rPr>
                <w:rFonts w:ascii="Times New Roman" w:hAnsi="Times New Roman" w:cs="Times New Roman"/>
                <w:color w:val="000000"/>
                <w:sz w:val="18"/>
                <w:szCs w:val="18"/>
              </w:rPr>
              <w:t>bachelor’s degree or above</w:t>
            </w:r>
            <w:r w:rsidRPr="00D26D51">
              <w:rPr>
                <w:rFonts w:ascii="Times New Roman" w:hAnsi="Times New Roman" w:cs="Times New Roman"/>
                <w:sz w:val="18"/>
                <w:szCs w:val="18"/>
              </w:rPr>
              <w:t>; 0 otherwise</w:t>
            </w:r>
          </w:p>
        </w:tc>
        <w:tc>
          <w:tcPr>
            <w:tcW w:w="1170" w:type="dxa"/>
            <w:tcBorders>
              <w:top w:val="nil"/>
              <w:bottom w:val="nil"/>
            </w:tcBorders>
            <w:noWrap/>
          </w:tcPr>
          <w:p w14:paraId="3A44D0D8"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highlight w:val="yellow"/>
              </w:rPr>
            </w:pPr>
          </w:p>
          <w:p w14:paraId="7D0CC682"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3%</w:t>
            </w:r>
          </w:p>
          <w:p w14:paraId="6E285379"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18%</w:t>
            </w:r>
          </w:p>
          <w:p w14:paraId="1C1738AD"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34%</w:t>
            </w:r>
          </w:p>
          <w:p w14:paraId="41E61818"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45%</w:t>
            </w:r>
          </w:p>
        </w:tc>
      </w:tr>
      <w:tr w:rsidR="00D26D51" w:rsidRPr="00D26D51" w14:paraId="06689E2E" w14:textId="77777777" w:rsidTr="00D26D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tcBorders>
              <w:top w:val="nil"/>
              <w:bottom w:val="nil"/>
            </w:tcBorders>
            <w:noWrap/>
          </w:tcPr>
          <w:p w14:paraId="65462EAE" w14:textId="77777777" w:rsidR="00D26D51" w:rsidRPr="00D26D51" w:rsidRDefault="00D26D51" w:rsidP="00D26D51">
            <w:pPr>
              <w:spacing w:before="60"/>
              <w:rPr>
                <w:rFonts w:ascii="Times New Roman" w:hAnsi="Times New Roman" w:cs="Times New Roman"/>
                <w:b w:val="0"/>
                <w:color w:val="000000"/>
                <w:sz w:val="18"/>
                <w:szCs w:val="18"/>
              </w:rPr>
            </w:pPr>
            <w:r w:rsidRPr="00D26D51">
              <w:rPr>
                <w:rFonts w:ascii="Times New Roman" w:hAnsi="Times New Roman" w:cs="Times New Roman"/>
                <w:b w:val="0"/>
                <w:sz w:val="18"/>
                <w:szCs w:val="18"/>
              </w:rPr>
              <w:t xml:space="preserve">Number of vehicles </w:t>
            </w:r>
          </w:p>
        </w:tc>
        <w:tc>
          <w:tcPr>
            <w:tcW w:w="5310" w:type="dxa"/>
            <w:tcBorders>
              <w:top w:val="nil"/>
              <w:bottom w:val="nil"/>
            </w:tcBorders>
          </w:tcPr>
          <w:p w14:paraId="5079C332" w14:textId="77777777" w:rsidR="00D26D51" w:rsidRPr="00D26D51" w:rsidRDefault="00D26D51" w:rsidP="00D26D51">
            <w:pPr>
              <w:spacing w:before="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Number of registered vehicles in the household</w:t>
            </w:r>
          </w:p>
        </w:tc>
        <w:tc>
          <w:tcPr>
            <w:tcW w:w="1170" w:type="dxa"/>
            <w:tcBorders>
              <w:top w:val="nil"/>
              <w:bottom w:val="nil"/>
            </w:tcBorders>
            <w:noWrap/>
          </w:tcPr>
          <w:p w14:paraId="6A4223E9" w14:textId="77777777" w:rsidR="00D26D51" w:rsidRPr="00D26D51" w:rsidRDefault="00D26D51" w:rsidP="00D26D51">
            <w:pPr>
              <w:spacing w:before="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1.68</w:t>
            </w:r>
          </w:p>
        </w:tc>
      </w:tr>
      <w:tr w:rsidR="00D26D51" w:rsidRPr="00D26D51" w14:paraId="2FB586DA" w14:textId="77777777" w:rsidTr="00D26D51">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nil"/>
              <w:bottom w:val="nil"/>
            </w:tcBorders>
            <w:noWrap/>
          </w:tcPr>
          <w:p w14:paraId="7688F9D6" w14:textId="77777777" w:rsidR="00D26D51" w:rsidRPr="00D26D51" w:rsidRDefault="00D26D51" w:rsidP="00D26D51">
            <w:pPr>
              <w:spacing w:after="60"/>
              <w:rPr>
                <w:rFonts w:ascii="Times New Roman" w:hAnsi="Times New Roman" w:cs="Times New Roman"/>
                <w:b w:val="0"/>
                <w:sz w:val="18"/>
                <w:szCs w:val="18"/>
              </w:rPr>
            </w:pPr>
            <w:r w:rsidRPr="00D26D51">
              <w:rPr>
                <w:rFonts w:ascii="Times New Roman" w:hAnsi="Times New Roman" w:cs="Times New Roman"/>
                <w:b w:val="0"/>
                <w:sz w:val="18"/>
                <w:szCs w:val="18"/>
              </w:rPr>
              <w:t>Leased</w:t>
            </w:r>
          </w:p>
        </w:tc>
        <w:tc>
          <w:tcPr>
            <w:tcW w:w="5310" w:type="dxa"/>
            <w:tcBorders>
              <w:top w:val="nil"/>
              <w:bottom w:val="nil"/>
            </w:tcBorders>
          </w:tcPr>
          <w:p w14:paraId="7FE5909B" w14:textId="77777777" w:rsidR="00D26D51" w:rsidRPr="00D26D51" w:rsidRDefault="00D26D51" w:rsidP="00D26D51">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1 if household’s primary vehicle is leased; 0 otherwise</w:t>
            </w:r>
          </w:p>
        </w:tc>
        <w:tc>
          <w:tcPr>
            <w:tcW w:w="1170" w:type="dxa"/>
            <w:tcBorders>
              <w:top w:val="nil"/>
              <w:bottom w:val="nil"/>
            </w:tcBorders>
            <w:noWrap/>
          </w:tcPr>
          <w:p w14:paraId="24E992E8" w14:textId="77777777" w:rsidR="00D26D51" w:rsidRPr="00D26D51" w:rsidRDefault="00D26D51" w:rsidP="00D26D51">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7%</w:t>
            </w:r>
          </w:p>
        </w:tc>
      </w:tr>
      <w:tr w:rsidR="00D26D51" w:rsidRPr="00D26D51" w14:paraId="1C9C1176" w14:textId="77777777" w:rsidTr="00D26D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tcBorders>
              <w:top w:val="nil"/>
              <w:bottom w:val="nil"/>
            </w:tcBorders>
            <w:noWrap/>
          </w:tcPr>
          <w:p w14:paraId="6203385A" w14:textId="631B479E" w:rsidR="00D26D51" w:rsidRPr="00D26D51" w:rsidRDefault="00D26D51" w:rsidP="00D26D51">
            <w:pPr>
              <w:rPr>
                <w:rFonts w:ascii="Times New Roman" w:hAnsi="Times New Roman" w:cs="Times New Roman"/>
                <w:b w:val="0"/>
                <w:i/>
                <w:sz w:val="18"/>
                <w:szCs w:val="20"/>
              </w:rPr>
            </w:pPr>
            <w:r w:rsidRPr="00D26D51">
              <w:rPr>
                <w:rFonts w:ascii="Times New Roman" w:hAnsi="Times New Roman" w:cs="Times New Roman"/>
                <w:b w:val="0"/>
                <w:i/>
                <w:sz w:val="18"/>
                <w:szCs w:val="20"/>
              </w:rPr>
              <w:t xml:space="preserve">Preferred vehicle </w:t>
            </w:r>
            <w:r w:rsidR="007B1A0B">
              <w:rPr>
                <w:rFonts w:ascii="Times New Roman" w:hAnsi="Times New Roman" w:cs="Times New Roman"/>
                <w:b w:val="0"/>
                <w:i/>
                <w:sz w:val="18"/>
                <w:szCs w:val="20"/>
              </w:rPr>
              <w:t>class</w:t>
            </w:r>
            <w:r w:rsidRPr="00D26D51">
              <w:rPr>
                <w:rFonts w:ascii="Times New Roman" w:hAnsi="Times New Roman" w:cs="Times New Roman"/>
                <w:b w:val="0"/>
                <w:i/>
                <w:sz w:val="18"/>
                <w:szCs w:val="20"/>
              </w:rPr>
              <w:t>:</w:t>
            </w:r>
          </w:p>
          <w:p w14:paraId="3095C8C3" w14:textId="77777777" w:rsidR="00D26D51" w:rsidRPr="00D26D51" w:rsidRDefault="00D26D51" w:rsidP="00D26D51">
            <w:pPr>
              <w:rPr>
                <w:rFonts w:ascii="Times New Roman" w:hAnsi="Times New Roman" w:cs="Times New Roman"/>
                <w:b w:val="0"/>
                <w:sz w:val="18"/>
                <w:szCs w:val="18"/>
              </w:rPr>
            </w:pPr>
            <w:r w:rsidRPr="00D26D51">
              <w:rPr>
                <w:rFonts w:ascii="Times New Roman" w:hAnsi="Times New Roman" w:cs="Times New Roman"/>
                <w:b w:val="0"/>
                <w:sz w:val="18"/>
                <w:szCs w:val="20"/>
              </w:rPr>
              <w:t xml:space="preserve">   </w:t>
            </w:r>
            <w:r w:rsidRPr="00D26D51">
              <w:rPr>
                <w:rFonts w:ascii="Times New Roman" w:hAnsi="Times New Roman" w:cs="Times New Roman"/>
                <w:b w:val="0"/>
                <w:sz w:val="18"/>
                <w:szCs w:val="18"/>
              </w:rPr>
              <w:t>Economy/intermediate</w:t>
            </w:r>
          </w:p>
          <w:p w14:paraId="7D43A22D" w14:textId="77777777" w:rsidR="00D26D51" w:rsidRPr="00D26D51" w:rsidRDefault="00D26D51" w:rsidP="00D26D51">
            <w:pPr>
              <w:rPr>
                <w:rFonts w:ascii="Times New Roman" w:hAnsi="Times New Roman" w:cs="Times New Roman"/>
                <w:b w:val="0"/>
                <w:sz w:val="18"/>
                <w:szCs w:val="18"/>
              </w:rPr>
            </w:pPr>
            <w:r w:rsidRPr="00D26D51">
              <w:rPr>
                <w:rFonts w:ascii="Times New Roman" w:hAnsi="Times New Roman" w:cs="Times New Roman"/>
                <w:b w:val="0"/>
                <w:sz w:val="18"/>
                <w:szCs w:val="18"/>
              </w:rPr>
              <w:t xml:space="preserve">   Full/luxury sedan</w:t>
            </w:r>
          </w:p>
          <w:p w14:paraId="26B1812D" w14:textId="77777777" w:rsidR="00D26D51" w:rsidRPr="00D26D51" w:rsidRDefault="00D26D51" w:rsidP="00822B02">
            <w:pPr>
              <w:rPr>
                <w:rFonts w:ascii="Times New Roman" w:hAnsi="Times New Roman" w:cs="Times New Roman"/>
                <w:b w:val="0"/>
                <w:sz w:val="18"/>
                <w:szCs w:val="20"/>
              </w:rPr>
            </w:pPr>
            <w:r w:rsidRPr="00D26D51">
              <w:rPr>
                <w:rFonts w:ascii="Times New Roman" w:hAnsi="Times New Roman" w:cs="Times New Roman"/>
                <w:b w:val="0"/>
                <w:sz w:val="18"/>
                <w:szCs w:val="18"/>
              </w:rPr>
              <w:t xml:space="preserve">   SUV/van/pickup</w:t>
            </w:r>
          </w:p>
        </w:tc>
        <w:tc>
          <w:tcPr>
            <w:tcW w:w="5310" w:type="dxa"/>
            <w:tcBorders>
              <w:top w:val="nil"/>
              <w:bottom w:val="nil"/>
            </w:tcBorders>
          </w:tcPr>
          <w:p w14:paraId="02B55353" w14:textId="77777777" w:rsidR="00D26D51" w:rsidRPr="00D26D51" w:rsidRDefault="00D26D51" w:rsidP="00D26D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014A3E92" w14:textId="1DA2537E" w:rsidR="00D26D51" w:rsidRPr="007E772E" w:rsidRDefault="00D26D51" w:rsidP="00D26D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 xml:space="preserve">1 if preferred </w:t>
            </w:r>
            <w:r w:rsidRPr="007E772E">
              <w:rPr>
                <w:rFonts w:ascii="Times New Roman" w:hAnsi="Times New Roman" w:cs="Times New Roman"/>
                <w:sz w:val="18"/>
                <w:szCs w:val="18"/>
              </w:rPr>
              <w:t xml:space="preserve">vehicle </w:t>
            </w:r>
            <w:r w:rsidR="007B1A0B" w:rsidRPr="007E772E">
              <w:rPr>
                <w:rFonts w:ascii="Times New Roman" w:hAnsi="Times New Roman" w:cs="Times New Roman"/>
                <w:sz w:val="18"/>
                <w:szCs w:val="20"/>
              </w:rPr>
              <w:t>class</w:t>
            </w:r>
            <w:r w:rsidR="007E772E" w:rsidRPr="007E772E">
              <w:rPr>
                <w:rFonts w:ascii="Times New Roman" w:hAnsi="Times New Roman" w:cs="Times New Roman"/>
                <w:sz w:val="18"/>
                <w:szCs w:val="20"/>
              </w:rPr>
              <w:t xml:space="preserve"> </w:t>
            </w:r>
            <w:r w:rsidRPr="007E772E">
              <w:rPr>
                <w:rFonts w:ascii="Times New Roman" w:hAnsi="Times New Roman" w:cs="Times New Roman"/>
                <w:sz w:val="18"/>
                <w:szCs w:val="18"/>
              </w:rPr>
              <w:t>is economy/intermediate; 0 otherwise</w:t>
            </w:r>
          </w:p>
          <w:p w14:paraId="184F08FD" w14:textId="7769CBC2" w:rsidR="00D26D51" w:rsidRPr="007E772E" w:rsidRDefault="00D26D51" w:rsidP="00D26D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E772E">
              <w:rPr>
                <w:rFonts w:ascii="Times New Roman" w:hAnsi="Times New Roman" w:cs="Times New Roman"/>
                <w:sz w:val="18"/>
                <w:szCs w:val="18"/>
              </w:rPr>
              <w:t xml:space="preserve">1 if preferred vehicle </w:t>
            </w:r>
            <w:r w:rsidR="007B1A0B" w:rsidRPr="007E772E">
              <w:rPr>
                <w:rFonts w:ascii="Times New Roman" w:hAnsi="Times New Roman" w:cs="Times New Roman"/>
                <w:sz w:val="18"/>
                <w:szCs w:val="20"/>
              </w:rPr>
              <w:t>class</w:t>
            </w:r>
            <w:r w:rsidR="007E772E" w:rsidRPr="007E772E">
              <w:rPr>
                <w:rFonts w:ascii="Times New Roman" w:hAnsi="Times New Roman" w:cs="Times New Roman"/>
                <w:sz w:val="18"/>
                <w:szCs w:val="20"/>
              </w:rPr>
              <w:t xml:space="preserve"> </w:t>
            </w:r>
            <w:r w:rsidRPr="007E772E">
              <w:rPr>
                <w:rFonts w:ascii="Times New Roman" w:hAnsi="Times New Roman" w:cs="Times New Roman"/>
                <w:sz w:val="18"/>
                <w:szCs w:val="18"/>
              </w:rPr>
              <w:t>is full/luxury sedan; 0 otherwise</w:t>
            </w:r>
          </w:p>
          <w:p w14:paraId="2B1880E3" w14:textId="30BABA27" w:rsidR="00D26D51" w:rsidRPr="00D26D51" w:rsidRDefault="00D26D51" w:rsidP="00822B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E772E">
              <w:rPr>
                <w:rFonts w:ascii="Times New Roman" w:hAnsi="Times New Roman" w:cs="Times New Roman"/>
                <w:sz w:val="18"/>
                <w:szCs w:val="18"/>
              </w:rPr>
              <w:t xml:space="preserve">1 if preferred vehicle </w:t>
            </w:r>
            <w:r w:rsidR="007B1A0B" w:rsidRPr="007E772E">
              <w:rPr>
                <w:rFonts w:ascii="Times New Roman" w:hAnsi="Times New Roman" w:cs="Times New Roman"/>
                <w:sz w:val="18"/>
                <w:szCs w:val="20"/>
              </w:rPr>
              <w:t>class</w:t>
            </w:r>
            <w:r w:rsidR="007E772E" w:rsidRPr="007E772E">
              <w:rPr>
                <w:rFonts w:ascii="Times New Roman" w:hAnsi="Times New Roman" w:cs="Times New Roman"/>
                <w:sz w:val="18"/>
                <w:szCs w:val="20"/>
              </w:rPr>
              <w:t xml:space="preserve"> </w:t>
            </w:r>
            <w:r w:rsidRPr="007E772E">
              <w:rPr>
                <w:rFonts w:ascii="Times New Roman" w:hAnsi="Times New Roman" w:cs="Times New Roman"/>
                <w:sz w:val="18"/>
                <w:szCs w:val="18"/>
              </w:rPr>
              <w:t>is SUV</w:t>
            </w:r>
            <w:r w:rsidRPr="00D26D51">
              <w:rPr>
                <w:rFonts w:ascii="Times New Roman" w:hAnsi="Times New Roman" w:cs="Times New Roman"/>
                <w:sz w:val="18"/>
                <w:szCs w:val="18"/>
              </w:rPr>
              <w:t>/van/pickup; 0 otherwise</w:t>
            </w:r>
          </w:p>
        </w:tc>
        <w:tc>
          <w:tcPr>
            <w:tcW w:w="1170" w:type="dxa"/>
            <w:tcBorders>
              <w:top w:val="nil"/>
              <w:bottom w:val="nil"/>
            </w:tcBorders>
            <w:noWrap/>
          </w:tcPr>
          <w:p w14:paraId="661546E8" w14:textId="77777777" w:rsidR="00D26D51" w:rsidRPr="00D26D51" w:rsidRDefault="00D26D51" w:rsidP="00D26D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594E1868" w14:textId="77777777" w:rsidR="00D26D51" w:rsidRPr="00D26D51" w:rsidRDefault="00D26D51" w:rsidP="00D26D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18%</w:t>
            </w:r>
          </w:p>
          <w:p w14:paraId="240B3DBA" w14:textId="77777777" w:rsidR="00D26D51" w:rsidRPr="00D26D51" w:rsidRDefault="00D26D51" w:rsidP="00D26D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40%</w:t>
            </w:r>
          </w:p>
          <w:p w14:paraId="5E4BCA48" w14:textId="77777777" w:rsidR="00D26D51" w:rsidRPr="00D26D51" w:rsidRDefault="00D26D51" w:rsidP="00822B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42%</w:t>
            </w:r>
          </w:p>
        </w:tc>
      </w:tr>
      <w:tr w:rsidR="00D26D51" w:rsidRPr="00D26D51" w14:paraId="76030B00" w14:textId="77777777" w:rsidTr="00D26D51">
        <w:trPr>
          <w:jc w:val="center"/>
        </w:trPr>
        <w:tc>
          <w:tcPr>
            <w:cnfStyle w:val="001000000000" w:firstRow="0" w:lastRow="0" w:firstColumn="1" w:lastColumn="0" w:oddVBand="0" w:evenVBand="0" w:oddHBand="0" w:evenHBand="0" w:firstRowFirstColumn="0" w:firstRowLastColumn="0" w:lastRowFirstColumn="0" w:lastRowLastColumn="0"/>
            <w:tcW w:w="2880" w:type="dxa"/>
            <w:tcBorders>
              <w:top w:val="nil"/>
              <w:bottom w:val="nil"/>
            </w:tcBorders>
            <w:noWrap/>
          </w:tcPr>
          <w:p w14:paraId="2A56A586" w14:textId="77777777" w:rsidR="00D26D51" w:rsidRPr="00D26D51" w:rsidRDefault="00D26D51" w:rsidP="00D26D51">
            <w:pPr>
              <w:rPr>
                <w:rFonts w:ascii="Times New Roman" w:hAnsi="Times New Roman" w:cs="Times New Roman"/>
                <w:b w:val="0"/>
                <w:sz w:val="18"/>
                <w:szCs w:val="18"/>
              </w:rPr>
            </w:pPr>
            <w:r w:rsidRPr="00D26D51">
              <w:rPr>
                <w:rFonts w:ascii="Times New Roman" w:hAnsi="Times New Roman" w:cs="Times New Roman"/>
                <w:b w:val="0"/>
                <w:i/>
                <w:sz w:val="18"/>
                <w:szCs w:val="18"/>
              </w:rPr>
              <w:t>Province</w:t>
            </w:r>
            <w:r w:rsidRPr="00D26D51">
              <w:rPr>
                <w:rFonts w:ascii="Times New Roman" w:hAnsi="Times New Roman" w:cs="Times New Roman"/>
                <w:b w:val="0"/>
                <w:sz w:val="18"/>
                <w:szCs w:val="18"/>
              </w:rPr>
              <w:t>:</w:t>
            </w:r>
          </w:p>
          <w:p w14:paraId="5918CE5C" w14:textId="77777777" w:rsidR="00D26D51" w:rsidRPr="00D26D51" w:rsidRDefault="00D26D51" w:rsidP="00D26D51">
            <w:pPr>
              <w:rPr>
                <w:rFonts w:ascii="Times New Roman" w:hAnsi="Times New Roman" w:cs="Times New Roman"/>
                <w:b w:val="0"/>
                <w:sz w:val="18"/>
                <w:szCs w:val="20"/>
              </w:rPr>
            </w:pPr>
            <w:r w:rsidRPr="00D26D51">
              <w:rPr>
                <w:rFonts w:ascii="Times New Roman" w:hAnsi="Times New Roman" w:cs="Times New Roman"/>
                <w:b w:val="0"/>
                <w:sz w:val="18"/>
                <w:szCs w:val="20"/>
              </w:rPr>
              <w:t xml:space="preserve">   Newfoundland and Labrador</w:t>
            </w:r>
          </w:p>
          <w:p w14:paraId="27B1809B" w14:textId="77777777" w:rsidR="00D26D51" w:rsidRPr="00D26D51" w:rsidRDefault="00D26D51" w:rsidP="00D26D51">
            <w:pPr>
              <w:rPr>
                <w:rFonts w:ascii="Times New Roman" w:hAnsi="Times New Roman" w:cs="Times New Roman"/>
                <w:b w:val="0"/>
                <w:sz w:val="18"/>
                <w:szCs w:val="20"/>
              </w:rPr>
            </w:pPr>
            <w:r w:rsidRPr="00D26D51">
              <w:rPr>
                <w:rFonts w:ascii="Times New Roman" w:hAnsi="Times New Roman" w:cs="Times New Roman"/>
                <w:b w:val="0"/>
                <w:sz w:val="18"/>
                <w:szCs w:val="20"/>
              </w:rPr>
              <w:t xml:space="preserve">   Prince Edward Island</w:t>
            </w:r>
          </w:p>
          <w:p w14:paraId="5F9F8456" w14:textId="77777777" w:rsidR="00D26D51" w:rsidRPr="00D26D51" w:rsidRDefault="00D26D51" w:rsidP="00D26D51">
            <w:pPr>
              <w:rPr>
                <w:rFonts w:ascii="Times New Roman" w:hAnsi="Times New Roman" w:cs="Times New Roman"/>
                <w:b w:val="0"/>
                <w:sz w:val="18"/>
                <w:szCs w:val="20"/>
              </w:rPr>
            </w:pPr>
            <w:r w:rsidRPr="00D26D51">
              <w:rPr>
                <w:rFonts w:ascii="Times New Roman" w:hAnsi="Times New Roman" w:cs="Times New Roman"/>
                <w:b w:val="0"/>
                <w:sz w:val="18"/>
                <w:szCs w:val="20"/>
              </w:rPr>
              <w:t xml:space="preserve">   Nova Scotia</w:t>
            </w:r>
          </w:p>
          <w:p w14:paraId="05A4C2C5" w14:textId="77777777" w:rsidR="00D26D51" w:rsidRPr="00D26D51" w:rsidRDefault="00D26D51" w:rsidP="00D26D51">
            <w:pPr>
              <w:rPr>
                <w:rFonts w:ascii="Times New Roman" w:hAnsi="Times New Roman" w:cs="Times New Roman"/>
                <w:b w:val="0"/>
                <w:sz w:val="18"/>
                <w:szCs w:val="20"/>
              </w:rPr>
            </w:pPr>
            <w:r w:rsidRPr="00D26D51">
              <w:rPr>
                <w:rFonts w:ascii="Times New Roman" w:hAnsi="Times New Roman" w:cs="Times New Roman"/>
                <w:b w:val="0"/>
                <w:sz w:val="18"/>
                <w:szCs w:val="20"/>
              </w:rPr>
              <w:t xml:space="preserve">   New Brunswick</w:t>
            </w:r>
          </w:p>
          <w:p w14:paraId="1CD0A5C8" w14:textId="77777777" w:rsidR="00D26D51" w:rsidRPr="00D26D51" w:rsidRDefault="00D26D51" w:rsidP="00D26D51">
            <w:pPr>
              <w:rPr>
                <w:rFonts w:ascii="Times New Roman" w:hAnsi="Times New Roman" w:cs="Times New Roman"/>
                <w:b w:val="0"/>
                <w:sz w:val="18"/>
                <w:szCs w:val="20"/>
              </w:rPr>
            </w:pPr>
            <w:r w:rsidRPr="00D26D51">
              <w:rPr>
                <w:rFonts w:ascii="Times New Roman" w:hAnsi="Times New Roman" w:cs="Times New Roman"/>
                <w:b w:val="0"/>
                <w:sz w:val="18"/>
                <w:szCs w:val="20"/>
              </w:rPr>
              <w:t xml:space="preserve">   Quebec</w:t>
            </w:r>
          </w:p>
          <w:p w14:paraId="0B74B590" w14:textId="77777777" w:rsidR="00D26D51" w:rsidRPr="00D26D51" w:rsidRDefault="00D26D51" w:rsidP="00D26D51">
            <w:pPr>
              <w:rPr>
                <w:rFonts w:ascii="Times New Roman" w:hAnsi="Times New Roman" w:cs="Times New Roman"/>
                <w:b w:val="0"/>
                <w:sz w:val="18"/>
                <w:szCs w:val="20"/>
              </w:rPr>
            </w:pPr>
            <w:r w:rsidRPr="00D26D51">
              <w:rPr>
                <w:rFonts w:ascii="Times New Roman" w:hAnsi="Times New Roman" w:cs="Times New Roman"/>
                <w:b w:val="0"/>
                <w:sz w:val="18"/>
                <w:szCs w:val="20"/>
              </w:rPr>
              <w:t xml:space="preserve">   Ontario</w:t>
            </w:r>
          </w:p>
          <w:p w14:paraId="176608DE" w14:textId="77777777" w:rsidR="00D26D51" w:rsidRPr="00D26D51" w:rsidRDefault="00D26D51" w:rsidP="00D26D51">
            <w:pPr>
              <w:rPr>
                <w:rFonts w:ascii="Times New Roman" w:hAnsi="Times New Roman" w:cs="Times New Roman"/>
                <w:b w:val="0"/>
                <w:sz w:val="18"/>
                <w:szCs w:val="20"/>
              </w:rPr>
            </w:pPr>
            <w:r w:rsidRPr="00D26D51">
              <w:rPr>
                <w:rFonts w:ascii="Times New Roman" w:hAnsi="Times New Roman" w:cs="Times New Roman"/>
                <w:b w:val="0"/>
                <w:sz w:val="18"/>
                <w:szCs w:val="20"/>
              </w:rPr>
              <w:t xml:space="preserve">   Manitoba</w:t>
            </w:r>
          </w:p>
          <w:p w14:paraId="406EDEED" w14:textId="77777777" w:rsidR="00D26D51" w:rsidRPr="00D26D51" w:rsidRDefault="00D26D51" w:rsidP="00D26D51">
            <w:pPr>
              <w:rPr>
                <w:rFonts w:ascii="Times New Roman" w:hAnsi="Times New Roman" w:cs="Times New Roman"/>
                <w:b w:val="0"/>
                <w:sz w:val="18"/>
                <w:szCs w:val="20"/>
              </w:rPr>
            </w:pPr>
            <w:r w:rsidRPr="00D26D51">
              <w:rPr>
                <w:rFonts w:ascii="Times New Roman" w:hAnsi="Times New Roman" w:cs="Times New Roman"/>
                <w:b w:val="0"/>
                <w:sz w:val="18"/>
                <w:szCs w:val="20"/>
              </w:rPr>
              <w:t xml:space="preserve">   Saskatchewan</w:t>
            </w:r>
          </w:p>
          <w:p w14:paraId="786AFF5D" w14:textId="77777777" w:rsidR="00D26D51" w:rsidRPr="00D26D51" w:rsidRDefault="00D26D51" w:rsidP="00D26D51">
            <w:pPr>
              <w:rPr>
                <w:rFonts w:ascii="Times New Roman" w:hAnsi="Times New Roman" w:cs="Times New Roman"/>
                <w:b w:val="0"/>
                <w:sz w:val="18"/>
                <w:szCs w:val="20"/>
              </w:rPr>
            </w:pPr>
            <w:r w:rsidRPr="00D26D51">
              <w:rPr>
                <w:rFonts w:ascii="Times New Roman" w:hAnsi="Times New Roman" w:cs="Times New Roman"/>
                <w:b w:val="0"/>
                <w:sz w:val="18"/>
                <w:szCs w:val="20"/>
              </w:rPr>
              <w:t xml:space="preserve">   Alberta</w:t>
            </w:r>
          </w:p>
          <w:p w14:paraId="3BD387C0" w14:textId="77777777" w:rsidR="00D26D51" w:rsidRPr="00D26D51" w:rsidRDefault="00D26D51" w:rsidP="00D26D51">
            <w:pPr>
              <w:spacing w:after="60"/>
              <w:rPr>
                <w:rFonts w:ascii="Times New Roman" w:hAnsi="Times New Roman" w:cs="Times New Roman"/>
                <w:b w:val="0"/>
                <w:sz w:val="18"/>
                <w:szCs w:val="20"/>
              </w:rPr>
            </w:pPr>
            <w:r w:rsidRPr="00D26D51">
              <w:rPr>
                <w:rFonts w:ascii="Times New Roman" w:hAnsi="Times New Roman" w:cs="Times New Roman"/>
                <w:b w:val="0"/>
                <w:sz w:val="18"/>
                <w:szCs w:val="20"/>
              </w:rPr>
              <w:t xml:space="preserve">   British Columbia</w:t>
            </w:r>
          </w:p>
        </w:tc>
        <w:tc>
          <w:tcPr>
            <w:tcW w:w="5310" w:type="dxa"/>
            <w:tcBorders>
              <w:top w:val="nil"/>
              <w:bottom w:val="nil"/>
            </w:tcBorders>
          </w:tcPr>
          <w:p w14:paraId="3D0B990E"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00FB92CB"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1 if household lives in Newfoundland and Labrador; 0 otherwise</w:t>
            </w:r>
          </w:p>
          <w:p w14:paraId="4E3B2E04"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1 if household lives in Prince Edward Island; 0 otherwise</w:t>
            </w:r>
          </w:p>
          <w:p w14:paraId="4F61391A"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1 if household lives in Nova Scotia; 0 otherwise</w:t>
            </w:r>
          </w:p>
          <w:p w14:paraId="5FD88418"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1 if household lives in New Brunswick; 0 otherwise</w:t>
            </w:r>
          </w:p>
          <w:p w14:paraId="10506AE8"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1 if household lives in Quebec; 0 otherwise</w:t>
            </w:r>
          </w:p>
          <w:p w14:paraId="7822061E"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1 if household lives in Ontario; 0 otherwise</w:t>
            </w:r>
          </w:p>
          <w:p w14:paraId="4C51A3CF"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1 if household lives in Manitoba; 0 otherwise</w:t>
            </w:r>
          </w:p>
          <w:p w14:paraId="7306203A"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1 if household lives in Saskatchewan; 0 otherwise</w:t>
            </w:r>
          </w:p>
          <w:p w14:paraId="4D0F3DB7"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1 if household lives in Alberta; 0 otherwise</w:t>
            </w:r>
          </w:p>
          <w:p w14:paraId="5CBF7E01" w14:textId="77777777" w:rsidR="00D26D51" w:rsidRPr="00D26D51" w:rsidRDefault="00D26D51" w:rsidP="00D26D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1 if household lives in British Columbia; 0 otherwise</w:t>
            </w:r>
          </w:p>
        </w:tc>
        <w:tc>
          <w:tcPr>
            <w:tcW w:w="1170" w:type="dxa"/>
            <w:tcBorders>
              <w:top w:val="nil"/>
              <w:bottom w:val="nil"/>
            </w:tcBorders>
            <w:noWrap/>
          </w:tcPr>
          <w:p w14:paraId="3951D51D"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136990D4"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3%</w:t>
            </w:r>
          </w:p>
          <w:p w14:paraId="53E5DFF1"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1%</w:t>
            </w:r>
          </w:p>
          <w:p w14:paraId="34CD12F8"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5%</w:t>
            </w:r>
          </w:p>
          <w:p w14:paraId="3A5D7595"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4%</w:t>
            </w:r>
          </w:p>
          <w:p w14:paraId="2E74A587"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22%</w:t>
            </w:r>
          </w:p>
          <w:p w14:paraId="4BFF020F"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29%</w:t>
            </w:r>
          </w:p>
          <w:p w14:paraId="10FEE75F"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5%</w:t>
            </w:r>
          </w:p>
          <w:p w14:paraId="1DFEECE6"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4%</w:t>
            </w:r>
          </w:p>
          <w:p w14:paraId="57D2EEAC"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12%</w:t>
            </w:r>
          </w:p>
          <w:p w14:paraId="521B2263"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15%</w:t>
            </w:r>
          </w:p>
        </w:tc>
      </w:tr>
      <w:tr w:rsidR="00D26D51" w:rsidRPr="00D26D51" w14:paraId="440D8C81" w14:textId="77777777" w:rsidTr="00D26D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tcBorders>
              <w:top w:val="nil"/>
              <w:bottom w:val="single" w:sz="4" w:space="0" w:color="auto"/>
            </w:tcBorders>
            <w:noWrap/>
          </w:tcPr>
          <w:p w14:paraId="6DC9F370" w14:textId="77777777" w:rsidR="00D26D51" w:rsidRPr="00D26D51" w:rsidRDefault="00D26D51" w:rsidP="00D26D51">
            <w:pPr>
              <w:rPr>
                <w:rFonts w:ascii="Times New Roman" w:hAnsi="Times New Roman" w:cs="Times New Roman"/>
                <w:b w:val="0"/>
                <w:i/>
                <w:sz w:val="18"/>
                <w:szCs w:val="18"/>
              </w:rPr>
            </w:pPr>
            <w:r w:rsidRPr="00D26D51">
              <w:rPr>
                <w:rFonts w:ascii="Times New Roman" w:hAnsi="Times New Roman" w:cs="Times New Roman"/>
                <w:b w:val="0"/>
                <w:i/>
                <w:sz w:val="18"/>
                <w:szCs w:val="18"/>
              </w:rPr>
              <w:t>Level of urbanization:</w:t>
            </w:r>
          </w:p>
          <w:p w14:paraId="778CF403" w14:textId="77777777" w:rsidR="00D26D51" w:rsidRPr="00D26D51" w:rsidRDefault="00D26D51" w:rsidP="00D26D51">
            <w:pPr>
              <w:rPr>
                <w:rFonts w:ascii="Times New Roman" w:hAnsi="Times New Roman" w:cs="Times New Roman"/>
                <w:b w:val="0"/>
                <w:sz w:val="18"/>
                <w:szCs w:val="18"/>
              </w:rPr>
            </w:pPr>
            <w:r w:rsidRPr="00D26D51">
              <w:rPr>
                <w:rFonts w:ascii="Times New Roman" w:hAnsi="Times New Roman" w:cs="Times New Roman"/>
                <w:b w:val="0"/>
                <w:sz w:val="18"/>
                <w:szCs w:val="18"/>
              </w:rPr>
              <w:t xml:space="preserve">   Low</w:t>
            </w:r>
          </w:p>
          <w:p w14:paraId="757A1FAE" w14:textId="77777777" w:rsidR="00D26D51" w:rsidRPr="00D26D51" w:rsidRDefault="00D26D51" w:rsidP="00D26D51">
            <w:pPr>
              <w:rPr>
                <w:rFonts w:ascii="Times New Roman" w:hAnsi="Times New Roman" w:cs="Times New Roman"/>
                <w:b w:val="0"/>
                <w:sz w:val="18"/>
                <w:szCs w:val="18"/>
              </w:rPr>
            </w:pPr>
            <w:r w:rsidRPr="00D26D51">
              <w:rPr>
                <w:rFonts w:ascii="Times New Roman" w:hAnsi="Times New Roman" w:cs="Times New Roman"/>
                <w:b w:val="0"/>
                <w:sz w:val="18"/>
                <w:szCs w:val="18"/>
              </w:rPr>
              <w:t xml:space="preserve">   Medium</w:t>
            </w:r>
          </w:p>
          <w:p w14:paraId="691E5B82" w14:textId="77777777" w:rsidR="00D26D51" w:rsidRPr="00D26D51" w:rsidRDefault="00D26D51" w:rsidP="00D26D51">
            <w:pPr>
              <w:rPr>
                <w:rFonts w:ascii="Times New Roman" w:hAnsi="Times New Roman" w:cs="Times New Roman"/>
                <w:b w:val="0"/>
                <w:i/>
                <w:sz w:val="18"/>
                <w:szCs w:val="18"/>
              </w:rPr>
            </w:pPr>
            <w:r w:rsidRPr="00D26D51">
              <w:rPr>
                <w:rFonts w:ascii="Times New Roman" w:hAnsi="Times New Roman" w:cs="Times New Roman"/>
                <w:b w:val="0"/>
                <w:sz w:val="18"/>
                <w:szCs w:val="18"/>
              </w:rPr>
              <w:t xml:space="preserve">   High</w:t>
            </w:r>
          </w:p>
        </w:tc>
        <w:tc>
          <w:tcPr>
            <w:tcW w:w="5310" w:type="dxa"/>
            <w:tcBorders>
              <w:top w:val="nil"/>
              <w:bottom w:val="single" w:sz="4" w:space="0" w:color="auto"/>
            </w:tcBorders>
          </w:tcPr>
          <w:p w14:paraId="4CA96976" w14:textId="77777777" w:rsidR="00D26D51" w:rsidRPr="00D26D51" w:rsidRDefault="00D26D51" w:rsidP="00D26D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1A3FA88A" w14:textId="77777777" w:rsidR="00D26D51" w:rsidRPr="00D26D51" w:rsidRDefault="00D26D51" w:rsidP="00D26D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1 if urban-rural index is 0 to 3; 0 otherwise</w:t>
            </w:r>
          </w:p>
          <w:p w14:paraId="1731735A" w14:textId="77777777" w:rsidR="00D26D51" w:rsidRPr="00D26D51" w:rsidRDefault="00D26D51" w:rsidP="00D26D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1 if urban-rural index is 4 to 6; 0 otherwise</w:t>
            </w:r>
          </w:p>
          <w:p w14:paraId="5F230688" w14:textId="77777777" w:rsidR="00D26D51" w:rsidRPr="00D26D51" w:rsidRDefault="00D26D51" w:rsidP="00D26D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1 if urban-rural index is 7 to 10; 0 otherwise</w:t>
            </w:r>
          </w:p>
        </w:tc>
        <w:tc>
          <w:tcPr>
            <w:tcW w:w="1170" w:type="dxa"/>
            <w:tcBorders>
              <w:top w:val="nil"/>
              <w:bottom w:val="single" w:sz="4" w:space="0" w:color="auto"/>
            </w:tcBorders>
            <w:noWrap/>
          </w:tcPr>
          <w:p w14:paraId="5DBE6A25" w14:textId="77777777" w:rsidR="00D26D51" w:rsidRPr="00D26D51" w:rsidRDefault="00D26D51" w:rsidP="00D26D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6CFAE601" w14:textId="77777777" w:rsidR="00D26D51" w:rsidRPr="00D26D51" w:rsidRDefault="00D26D51" w:rsidP="00D26D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12%</w:t>
            </w:r>
          </w:p>
          <w:p w14:paraId="7056A906" w14:textId="77777777" w:rsidR="00D26D51" w:rsidRPr="00D26D51" w:rsidRDefault="00D26D51" w:rsidP="00D26D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53%</w:t>
            </w:r>
          </w:p>
          <w:p w14:paraId="479F4457" w14:textId="77777777" w:rsidR="00D26D51" w:rsidRPr="00D26D51" w:rsidRDefault="00D26D51" w:rsidP="00D26D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35%</w:t>
            </w:r>
          </w:p>
        </w:tc>
      </w:tr>
    </w:tbl>
    <w:p w14:paraId="54AF73D0" w14:textId="77777777" w:rsidR="000C78CD" w:rsidRDefault="000C78CD" w:rsidP="00D26D51">
      <w:pPr>
        <w:rPr>
          <w:rFonts w:ascii="Times New Roman" w:hAnsi="Times New Roman" w:cs="Times New Roman"/>
          <w:color w:val="000000"/>
        </w:rPr>
      </w:pPr>
      <w:r w:rsidRPr="00C01B32">
        <w:rPr>
          <w:rFonts w:ascii="Times New Roman" w:hAnsi="Times New Roman" w:cs="Times New Roman"/>
          <w:color w:val="000000"/>
        </w:rPr>
        <w:lastRenderedPageBreak/>
        <w:t xml:space="preserve">The dependent variables, annual mileage and ownership period, along with independent variables are defined in Table </w:t>
      </w:r>
      <w:r>
        <w:rPr>
          <w:rFonts w:ascii="Times New Roman" w:hAnsi="Times New Roman" w:cs="Times New Roman"/>
          <w:color w:val="000000"/>
        </w:rPr>
        <w:t>4.</w:t>
      </w:r>
      <w:r w:rsidRPr="00C01B32">
        <w:rPr>
          <w:rFonts w:ascii="Times New Roman" w:hAnsi="Times New Roman" w:cs="Times New Roman"/>
          <w:color w:val="000000"/>
        </w:rPr>
        <w:t>3. Geographical variables are captured by province as well as level of urbanization according to the location where a household resides. For that, we use an index of urbanization called the “urban-rural index,” which ranges from 0 to 10. It is derived based on a household’s locational position in a geographic dissemination area (Ferguson et al., 2018) where higher values are associated with a more urbanized area (Higgins et al., 2017). With respect to vehicle fleet, the number of cars, type of ownership, and households’ preferred vehicle classes are investigated. Socioeconomic variables include age, sex, income, number of children, and education.</w:t>
      </w:r>
    </w:p>
    <w:p w14:paraId="56D414F7" w14:textId="19C7A2B2" w:rsidR="00D26D51" w:rsidRPr="00D26D51" w:rsidRDefault="00D26D51" w:rsidP="00D26D51">
      <w:pPr>
        <w:rPr>
          <w:rFonts w:ascii="Times New Roman" w:hAnsi="Times New Roman" w:cs="Times New Roman"/>
          <w:color w:val="000000"/>
        </w:rPr>
      </w:pPr>
      <w:r w:rsidRPr="00D26D51">
        <w:rPr>
          <w:rFonts w:ascii="Times New Roman" w:hAnsi="Times New Roman" w:cs="Times New Roman"/>
          <w:color w:val="000000"/>
        </w:rPr>
        <w:t xml:space="preserve">Table </w:t>
      </w:r>
      <w:r w:rsidR="00B957FF">
        <w:rPr>
          <w:rFonts w:ascii="Times New Roman" w:hAnsi="Times New Roman" w:cs="Times New Roman"/>
          <w:color w:val="000000"/>
        </w:rPr>
        <w:t>4.</w:t>
      </w:r>
      <w:r w:rsidRPr="00D26D51">
        <w:rPr>
          <w:rFonts w:ascii="Times New Roman" w:hAnsi="Times New Roman" w:cs="Times New Roman"/>
          <w:color w:val="000000"/>
        </w:rPr>
        <w:t xml:space="preserve">4 </w:t>
      </w:r>
      <w:r w:rsidR="00C01B32" w:rsidRPr="00C01B32">
        <w:rPr>
          <w:rFonts w:ascii="Times New Roman" w:hAnsi="Times New Roman" w:cs="Times New Roman"/>
          <w:color w:val="000000"/>
        </w:rPr>
        <w:t>summarizes the results of the bivariate ordered probit model. The effect of household income on annual mileage is positive, which is in line with the results obtained in Cervero and Kockelman’s (1997) study which found that income affected vehicle usage even more so than number of vehicles in a household. Ownership period is also positively affected by household income suggesting that households with higher income tend to keep their vehicles for longer period of time.</w:t>
      </w:r>
      <w:r w:rsidR="007B1A0B">
        <w:rPr>
          <w:rFonts w:ascii="Times New Roman" w:hAnsi="Times New Roman" w:cs="Times New Roman"/>
          <w:color w:val="000000"/>
        </w:rPr>
        <w:t xml:space="preserve"> </w:t>
      </w:r>
      <w:r w:rsidR="003658FD">
        <w:rPr>
          <w:rFonts w:ascii="Times New Roman" w:hAnsi="Times New Roman" w:cs="Times New Roman"/>
          <w:color w:val="000000"/>
        </w:rPr>
        <w:t>Both results</w:t>
      </w:r>
      <w:r w:rsidR="007B1A0B">
        <w:rPr>
          <w:rFonts w:ascii="Times New Roman" w:hAnsi="Times New Roman" w:cs="Times New Roman"/>
          <w:color w:val="000000"/>
        </w:rPr>
        <w:t xml:space="preserve"> make sense as households with higher income are expected to</w:t>
      </w:r>
      <w:r w:rsidR="003658FD">
        <w:rPr>
          <w:rFonts w:ascii="Times New Roman" w:hAnsi="Times New Roman" w:cs="Times New Roman"/>
          <w:color w:val="000000"/>
        </w:rPr>
        <w:t xml:space="preserve"> make more leisure trips and to</w:t>
      </w:r>
      <w:r w:rsidR="007B1A0B">
        <w:rPr>
          <w:rFonts w:ascii="Times New Roman" w:hAnsi="Times New Roman" w:cs="Times New Roman"/>
          <w:color w:val="000000"/>
        </w:rPr>
        <w:t xml:space="preserve"> buy more </w:t>
      </w:r>
      <w:r w:rsidR="003658FD">
        <w:rPr>
          <w:rFonts w:ascii="Times New Roman" w:hAnsi="Times New Roman" w:cs="Times New Roman"/>
          <w:color w:val="000000"/>
        </w:rPr>
        <w:t>durable and expensive</w:t>
      </w:r>
      <w:r w:rsidR="007B1A0B">
        <w:rPr>
          <w:rFonts w:ascii="Times New Roman" w:hAnsi="Times New Roman" w:cs="Times New Roman"/>
          <w:color w:val="000000"/>
        </w:rPr>
        <w:t xml:space="preserve"> vehicles. </w:t>
      </w:r>
    </w:p>
    <w:p w14:paraId="21353B59" w14:textId="77777777" w:rsidR="00822B02" w:rsidRDefault="00C01B32" w:rsidP="00C01B32">
      <w:pPr>
        <w:rPr>
          <w:rFonts w:ascii="Times New Roman" w:hAnsi="Times New Roman" w:cs="Times New Roman"/>
          <w:color w:val="000000"/>
        </w:rPr>
      </w:pPr>
      <w:r w:rsidRPr="00C01B32">
        <w:rPr>
          <w:rFonts w:ascii="Times New Roman" w:hAnsi="Times New Roman" w:cs="Times New Roman"/>
          <w:color w:val="000000"/>
        </w:rPr>
        <w:t xml:space="preserve">Number of children has a positive impact on annual vehicle mileage. This result reflects the additional mobility needed for households with children and echoes the result obtained in Cirillo and Liu’s (2013) study in which household size positively affected vehicle usage. Number of children has a negative impact on ownership period suggesting that households with more children </w:t>
      </w:r>
      <w:r w:rsidRPr="00C01B32">
        <w:rPr>
          <w:rFonts w:ascii="Times New Roman" w:hAnsi="Times New Roman" w:cs="Times New Roman"/>
          <w:color w:val="000000"/>
        </w:rPr>
        <w:lastRenderedPageBreak/>
        <w:t>tend to switch their primary vehicle more often. This finding is most likely due to the households’ need for more spacious vehicle types as the household size expands.</w:t>
      </w:r>
    </w:p>
    <w:p w14:paraId="1232833A" w14:textId="77777777" w:rsidR="00C01B32" w:rsidRPr="00C01B32" w:rsidRDefault="00C01B32" w:rsidP="00C01B32">
      <w:pPr>
        <w:rPr>
          <w:rFonts w:ascii="Times New Roman" w:hAnsi="Times New Roman" w:cs="Times New Roman"/>
          <w:color w:val="000000"/>
        </w:rPr>
      </w:pPr>
      <w:r w:rsidRPr="00C01B32">
        <w:rPr>
          <w:rFonts w:ascii="Times New Roman" w:hAnsi="Times New Roman" w:cs="Times New Roman"/>
          <w:color w:val="000000"/>
        </w:rPr>
        <w:t>With regard to the household head’s characteristics, education has a positive impact on annual mileage, which is in line with the results of Cirillo and Liu’s (2013) study in which householders with a higher education level had higher vehicle usage. Ownership period is also positively influenced by education of householder. Retired householders are less likely to have higher mileage most probably because they generally make fewer trips than employed people (Scott et al., 2009). Retired householders are, however, expected to hold their vehicles longer. Similarly, a female householder is associated with lower mileage and a longer holding period.</w:t>
      </w:r>
    </w:p>
    <w:p w14:paraId="36E0FCE5" w14:textId="77777777" w:rsidR="00C01B32" w:rsidRPr="00C01B32" w:rsidRDefault="00C01B32" w:rsidP="00C01B32">
      <w:pPr>
        <w:rPr>
          <w:rFonts w:ascii="Times New Roman" w:hAnsi="Times New Roman" w:cs="Times New Roman"/>
          <w:color w:val="000000"/>
        </w:rPr>
      </w:pPr>
      <w:r w:rsidRPr="00C01B32">
        <w:rPr>
          <w:rFonts w:ascii="Times New Roman" w:hAnsi="Times New Roman" w:cs="Times New Roman"/>
          <w:color w:val="000000"/>
        </w:rPr>
        <w:t>While a household head’s age has an insignificant impact on vehicle usage (Cervero and Murakami 2010), its impact is strongly significant for ownership period. The results show that there is a positive non-linear relationship between the age of household head and ownership period.</w:t>
      </w:r>
    </w:p>
    <w:p w14:paraId="7052B933" w14:textId="77777777" w:rsidR="00C01B32" w:rsidRPr="00C01B32" w:rsidRDefault="00C01B32" w:rsidP="00C01B32">
      <w:pPr>
        <w:rPr>
          <w:rFonts w:ascii="Times New Roman" w:hAnsi="Times New Roman" w:cs="Times New Roman"/>
          <w:color w:val="000000"/>
        </w:rPr>
      </w:pPr>
      <w:r w:rsidRPr="00C01B32">
        <w:rPr>
          <w:rFonts w:ascii="Times New Roman" w:hAnsi="Times New Roman" w:cs="Times New Roman"/>
          <w:color w:val="000000"/>
        </w:rPr>
        <w:t>Regarding vehicle fleet variables, there is a positive relationship between annual mileage and number of vehicles registered by the household, which is similar to the result obtained in Cervero and Kockelman (1997). This relationship is also positive for the ownership period, most probably because multi-vehicle households keep their primary vehicle for a longer period of time since they add to their fleet rather than replacing.</w:t>
      </w:r>
    </w:p>
    <w:p w14:paraId="3097DBD4" w14:textId="77777777" w:rsidR="00C01B32" w:rsidRPr="00C01B32" w:rsidRDefault="00C01B32" w:rsidP="00C01B32">
      <w:pPr>
        <w:rPr>
          <w:rFonts w:ascii="Times New Roman" w:hAnsi="Times New Roman" w:cs="Times New Roman"/>
          <w:color w:val="000000"/>
        </w:rPr>
      </w:pPr>
      <w:r w:rsidRPr="00C01B32">
        <w:rPr>
          <w:rFonts w:ascii="Times New Roman" w:hAnsi="Times New Roman" w:cs="Times New Roman"/>
          <w:color w:val="000000"/>
        </w:rPr>
        <w:lastRenderedPageBreak/>
        <w:t>Results also show that if the primary vehicle is leased, higher annual mileage and lower ownership period are anticipated, most likely because leasers switch their vehicles more often and hence have a shorter holding period.</w:t>
      </w:r>
    </w:p>
    <w:p w14:paraId="4CD9290F" w14:textId="77777777" w:rsidR="00C01B32" w:rsidRPr="00C01B32" w:rsidRDefault="00C01B32" w:rsidP="00C01B32">
      <w:pPr>
        <w:rPr>
          <w:rFonts w:ascii="Times New Roman" w:hAnsi="Times New Roman" w:cs="Times New Roman"/>
          <w:color w:val="000000"/>
        </w:rPr>
      </w:pPr>
      <w:r w:rsidRPr="00C01B32">
        <w:rPr>
          <w:rFonts w:ascii="Times New Roman" w:hAnsi="Times New Roman" w:cs="Times New Roman"/>
          <w:color w:val="000000"/>
        </w:rPr>
        <w:t>With respect to vehicle class, a household interested in an economy/intermediate vehicle is expected to have lower annual mileage compared to other classes. Also, households choosing an economy/intermediate vehicle are associated with longer ownership period, perhaps because such households are attracted by better fuel economy over the ownership period, and thus keep their vehicles longer.</w:t>
      </w:r>
    </w:p>
    <w:p w14:paraId="6EFEC3D1" w14:textId="77777777" w:rsidR="00D26D51" w:rsidRPr="00D26D51" w:rsidRDefault="00D26D51" w:rsidP="00D26D51">
      <w:pPr>
        <w:rPr>
          <w:rFonts w:ascii="Times New Roman" w:hAnsi="Times New Roman" w:cs="Times New Roman"/>
          <w:color w:val="000000"/>
        </w:rPr>
      </w:pPr>
      <w:r w:rsidRPr="00D26D51">
        <w:rPr>
          <w:rFonts w:ascii="Times New Roman" w:hAnsi="Times New Roman" w:cs="Times New Roman"/>
          <w:color w:val="000000"/>
        </w:rPr>
        <w:br w:type="page"/>
      </w:r>
    </w:p>
    <w:p w14:paraId="3EAB2BE7" w14:textId="77777777" w:rsidR="00D26D51" w:rsidRPr="000C437C" w:rsidRDefault="000C437C" w:rsidP="000C437C">
      <w:pPr>
        <w:pStyle w:val="Caption"/>
        <w:ind w:firstLine="0"/>
        <w:rPr>
          <w:rFonts w:ascii="Times New Roman" w:hAnsi="Times New Roman" w:cs="Times New Roman"/>
          <w:i w:val="0"/>
          <w:iCs w:val="0"/>
          <w:color w:val="000000"/>
          <w:sz w:val="24"/>
          <w:szCs w:val="24"/>
        </w:rPr>
      </w:pPr>
      <w:bookmarkStart w:id="98" w:name="_Toc528649808"/>
      <w:r w:rsidRPr="000C437C">
        <w:rPr>
          <w:rFonts w:ascii="Times New Roman" w:hAnsi="Times New Roman" w:cs="Times New Roman"/>
          <w:i w:val="0"/>
          <w:iCs w:val="0"/>
          <w:color w:val="000000"/>
          <w:sz w:val="24"/>
          <w:szCs w:val="24"/>
        </w:rPr>
        <w:lastRenderedPageBreak/>
        <w:t>Table 4.</w:t>
      </w:r>
      <w:r w:rsidRPr="000C437C">
        <w:rPr>
          <w:rFonts w:ascii="Times New Roman" w:hAnsi="Times New Roman" w:cs="Times New Roman"/>
          <w:i w:val="0"/>
          <w:iCs w:val="0"/>
          <w:color w:val="000000"/>
          <w:sz w:val="24"/>
          <w:szCs w:val="24"/>
        </w:rPr>
        <w:fldChar w:fldCharType="begin"/>
      </w:r>
      <w:r w:rsidRPr="000C437C">
        <w:rPr>
          <w:rFonts w:ascii="Times New Roman" w:hAnsi="Times New Roman" w:cs="Times New Roman"/>
          <w:i w:val="0"/>
          <w:iCs w:val="0"/>
          <w:color w:val="000000"/>
          <w:sz w:val="24"/>
          <w:szCs w:val="24"/>
        </w:rPr>
        <w:instrText xml:space="preserve"> SEQ Table_4. \* ARABIC </w:instrText>
      </w:r>
      <w:r w:rsidRPr="000C437C">
        <w:rPr>
          <w:rFonts w:ascii="Times New Roman" w:hAnsi="Times New Roman" w:cs="Times New Roman"/>
          <w:i w:val="0"/>
          <w:iCs w:val="0"/>
          <w:color w:val="000000"/>
          <w:sz w:val="24"/>
          <w:szCs w:val="24"/>
        </w:rPr>
        <w:fldChar w:fldCharType="separate"/>
      </w:r>
      <w:r w:rsidR="00BC70AE">
        <w:rPr>
          <w:rFonts w:ascii="Times New Roman" w:hAnsi="Times New Roman" w:cs="Times New Roman"/>
          <w:i w:val="0"/>
          <w:iCs w:val="0"/>
          <w:noProof/>
          <w:color w:val="000000"/>
          <w:sz w:val="24"/>
          <w:szCs w:val="24"/>
        </w:rPr>
        <w:t>4</w:t>
      </w:r>
      <w:r w:rsidRPr="000C437C">
        <w:rPr>
          <w:rFonts w:ascii="Times New Roman" w:hAnsi="Times New Roman" w:cs="Times New Roman"/>
          <w:i w:val="0"/>
          <w:iCs w:val="0"/>
          <w:color w:val="000000"/>
          <w:sz w:val="24"/>
          <w:szCs w:val="24"/>
        </w:rPr>
        <w:fldChar w:fldCharType="end"/>
      </w:r>
      <w:r w:rsidRPr="000C437C">
        <w:rPr>
          <w:rFonts w:ascii="Times New Roman" w:hAnsi="Times New Roman" w:cs="Times New Roman"/>
          <w:i w:val="0"/>
          <w:iCs w:val="0"/>
          <w:color w:val="000000"/>
          <w:sz w:val="24"/>
          <w:szCs w:val="24"/>
        </w:rPr>
        <w:t xml:space="preserve"> </w:t>
      </w:r>
      <w:r w:rsidR="00D26D51" w:rsidRPr="000C437C">
        <w:rPr>
          <w:rFonts w:ascii="Times New Roman" w:hAnsi="Times New Roman" w:cs="Times New Roman"/>
          <w:i w:val="0"/>
          <w:iCs w:val="0"/>
          <w:color w:val="000000"/>
          <w:sz w:val="24"/>
          <w:szCs w:val="24"/>
        </w:rPr>
        <w:t>Estimation results for bivariate ordered probit model of annual mileage and investment time</w:t>
      </w:r>
      <w:bookmarkEnd w:id="98"/>
    </w:p>
    <w:tbl>
      <w:tblPr>
        <w:tblStyle w:val="PlainTable211"/>
        <w:tblW w:w="0" w:type="auto"/>
        <w:tblLayout w:type="fixed"/>
        <w:tblLook w:val="04A0" w:firstRow="1" w:lastRow="0" w:firstColumn="1" w:lastColumn="0" w:noHBand="0" w:noVBand="1"/>
      </w:tblPr>
      <w:tblGrid>
        <w:gridCol w:w="3780"/>
        <w:gridCol w:w="2160"/>
        <w:gridCol w:w="1980"/>
      </w:tblGrid>
      <w:tr w:rsidR="00D26D51" w:rsidRPr="00D26D51" w14:paraId="697C4A4A" w14:textId="77777777" w:rsidTr="00D26D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noWrap/>
          </w:tcPr>
          <w:p w14:paraId="47C003E0" w14:textId="77777777" w:rsidR="00D26D51" w:rsidRPr="00D26D51" w:rsidRDefault="00D26D51" w:rsidP="00D26D51">
            <w:pPr>
              <w:spacing w:before="60" w:after="60"/>
              <w:rPr>
                <w:rFonts w:ascii="Times New Roman" w:hAnsi="Times New Roman" w:cs="Times New Roman"/>
                <w:b w:val="0"/>
                <w:sz w:val="18"/>
                <w:szCs w:val="18"/>
              </w:rPr>
            </w:pPr>
            <w:r w:rsidRPr="00D26D51">
              <w:rPr>
                <w:rFonts w:ascii="Times New Roman" w:hAnsi="Times New Roman" w:cs="Times New Roman"/>
                <w:b w:val="0"/>
                <w:sz w:val="18"/>
                <w:szCs w:val="18"/>
              </w:rPr>
              <w:t xml:space="preserve">Variable </w:t>
            </w:r>
          </w:p>
        </w:tc>
        <w:tc>
          <w:tcPr>
            <w:tcW w:w="2160" w:type="dxa"/>
          </w:tcPr>
          <w:p w14:paraId="2C6182BD" w14:textId="77777777" w:rsidR="00D26D51" w:rsidRPr="00D26D51" w:rsidRDefault="00D26D51" w:rsidP="00D26D51">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D26D51">
              <w:rPr>
                <w:rFonts w:ascii="Times New Roman" w:hAnsi="Times New Roman" w:cs="Times New Roman"/>
                <w:b w:val="0"/>
                <w:sz w:val="18"/>
                <w:szCs w:val="18"/>
              </w:rPr>
              <w:t>Annual mileage (km)</w:t>
            </w:r>
          </w:p>
        </w:tc>
        <w:tc>
          <w:tcPr>
            <w:tcW w:w="1980" w:type="dxa"/>
          </w:tcPr>
          <w:p w14:paraId="33E168C0" w14:textId="77777777" w:rsidR="00D26D51" w:rsidRPr="00D26D51" w:rsidRDefault="00D26D51" w:rsidP="00D26D51">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D26D51">
              <w:rPr>
                <w:rFonts w:ascii="Times New Roman" w:hAnsi="Times New Roman" w:cs="Times New Roman"/>
                <w:b w:val="0"/>
                <w:sz w:val="18"/>
                <w:szCs w:val="18"/>
              </w:rPr>
              <w:t>Ownership time</w:t>
            </w:r>
            <w:r w:rsidRPr="00D26D51">
              <w:rPr>
                <w:rFonts w:ascii="Times New Roman" w:hAnsi="Times New Roman" w:cs="Times New Roman"/>
                <w:b w:val="0"/>
                <w:sz w:val="18"/>
                <w:szCs w:val="18"/>
              </w:rPr>
              <w:br/>
              <w:t>(years)</w:t>
            </w:r>
          </w:p>
        </w:tc>
      </w:tr>
      <w:tr w:rsidR="00D26D51" w:rsidRPr="00D26D51" w14:paraId="1349B0B3" w14:textId="77777777" w:rsidTr="00D26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Borders>
              <w:bottom w:val="nil"/>
            </w:tcBorders>
            <w:noWrap/>
            <w:hideMark/>
          </w:tcPr>
          <w:p w14:paraId="603AF018" w14:textId="77777777" w:rsidR="00D26D51" w:rsidRPr="00D26D51" w:rsidRDefault="00D26D51" w:rsidP="00D26D51">
            <w:pPr>
              <w:spacing w:before="60" w:after="60"/>
              <w:rPr>
                <w:rFonts w:ascii="Times New Roman" w:hAnsi="Times New Roman" w:cs="Times New Roman"/>
                <w:b w:val="0"/>
                <w:sz w:val="18"/>
                <w:szCs w:val="18"/>
              </w:rPr>
            </w:pPr>
            <w:r w:rsidRPr="00D26D51">
              <w:rPr>
                <w:rFonts w:ascii="Times New Roman" w:hAnsi="Times New Roman" w:cs="Times New Roman"/>
                <w:b w:val="0"/>
                <w:sz w:val="18"/>
                <w:szCs w:val="18"/>
              </w:rPr>
              <w:t>Constant</w:t>
            </w:r>
          </w:p>
        </w:tc>
        <w:tc>
          <w:tcPr>
            <w:tcW w:w="2160" w:type="dxa"/>
            <w:tcBorders>
              <w:bottom w:val="nil"/>
            </w:tcBorders>
          </w:tcPr>
          <w:p w14:paraId="5019A22F" w14:textId="77777777" w:rsidR="00D26D51" w:rsidRPr="00D26D51" w:rsidRDefault="00D26D51" w:rsidP="00D26D51">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0.920***</w:t>
            </w:r>
          </w:p>
        </w:tc>
        <w:tc>
          <w:tcPr>
            <w:tcW w:w="1980" w:type="dxa"/>
            <w:tcBorders>
              <w:bottom w:val="nil"/>
            </w:tcBorders>
          </w:tcPr>
          <w:p w14:paraId="026FBA46" w14:textId="77777777" w:rsidR="00D26D51" w:rsidRPr="00D26D51" w:rsidRDefault="00D26D51" w:rsidP="00D26D51">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0.658***</w:t>
            </w:r>
          </w:p>
        </w:tc>
      </w:tr>
      <w:tr w:rsidR="00D26D51" w:rsidRPr="00D26D51" w14:paraId="7B0B6F3D" w14:textId="77777777" w:rsidTr="00D26D51">
        <w:tc>
          <w:tcPr>
            <w:cnfStyle w:val="001000000000" w:firstRow="0" w:lastRow="0" w:firstColumn="1" w:lastColumn="0" w:oddVBand="0" w:evenVBand="0" w:oddHBand="0" w:evenHBand="0" w:firstRowFirstColumn="0" w:firstRowLastColumn="0" w:lastRowFirstColumn="0" w:lastRowLastColumn="0"/>
            <w:tcW w:w="3780" w:type="dxa"/>
            <w:tcBorders>
              <w:top w:val="nil"/>
              <w:bottom w:val="nil"/>
            </w:tcBorders>
            <w:noWrap/>
            <w:hideMark/>
          </w:tcPr>
          <w:p w14:paraId="0D0C8F63" w14:textId="77777777" w:rsidR="00D26D51" w:rsidRPr="00D26D51" w:rsidRDefault="00D26D51" w:rsidP="00D26D51">
            <w:pPr>
              <w:rPr>
                <w:rFonts w:ascii="Times New Roman" w:hAnsi="Times New Roman" w:cs="Times New Roman"/>
                <w:b w:val="0"/>
                <w:i/>
                <w:sz w:val="18"/>
                <w:szCs w:val="18"/>
              </w:rPr>
            </w:pPr>
            <w:r w:rsidRPr="00D26D51">
              <w:rPr>
                <w:rFonts w:ascii="Times New Roman" w:hAnsi="Times New Roman" w:cs="Times New Roman"/>
                <w:b w:val="0"/>
                <w:i/>
                <w:sz w:val="18"/>
                <w:szCs w:val="18"/>
              </w:rPr>
              <w:t>Household age (ref = Young adults 18-24):</w:t>
            </w:r>
          </w:p>
          <w:p w14:paraId="35E5709A" w14:textId="77777777" w:rsidR="00D26D51" w:rsidRPr="00D26D51" w:rsidRDefault="00D26D51" w:rsidP="00D26D51">
            <w:pPr>
              <w:rPr>
                <w:rFonts w:ascii="Times New Roman" w:hAnsi="Times New Roman" w:cs="Times New Roman"/>
                <w:b w:val="0"/>
                <w:sz w:val="18"/>
                <w:szCs w:val="18"/>
              </w:rPr>
            </w:pPr>
            <w:r w:rsidRPr="00D26D51">
              <w:rPr>
                <w:rFonts w:ascii="Times New Roman" w:hAnsi="Times New Roman" w:cs="Times New Roman"/>
                <w:b w:val="0"/>
                <w:sz w:val="18"/>
                <w:szCs w:val="18"/>
              </w:rPr>
              <w:t xml:space="preserve">   Adulthood 25-34</w:t>
            </w:r>
          </w:p>
          <w:p w14:paraId="3E1DA128" w14:textId="77777777" w:rsidR="00D26D51" w:rsidRPr="00D26D51" w:rsidRDefault="00D26D51" w:rsidP="00D26D51">
            <w:pPr>
              <w:rPr>
                <w:rFonts w:ascii="Times New Roman" w:hAnsi="Times New Roman" w:cs="Times New Roman"/>
                <w:b w:val="0"/>
                <w:sz w:val="18"/>
                <w:szCs w:val="18"/>
              </w:rPr>
            </w:pPr>
            <w:r w:rsidRPr="00D26D51">
              <w:rPr>
                <w:rFonts w:ascii="Times New Roman" w:hAnsi="Times New Roman" w:cs="Times New Roman"/>
                <w:b w:val="0"/>
                <w:sz w:val="18"/>
                <w:szCs w:val="18"/>
              </w:rPr>
              <w:t xml:space="preserve">   Middle age 35-54</w:t>
            </w:r>
          </w:p>
          <w:p w14:paraId="11BC53E0" w14:textId="77777777" w:rsidR="00D26D51" w:rsidRPr="00D26D51" w:rsidRDefault="00D26D51" w:rsidP="00D26D51">
            <w:pPr>
              <w:rPr>
                <w:rFonts w:ascii="Times New Roman" w:hAnsi="Times New Roman" w:cs="Times New Roman"/>
                <w:b w:val="0"/>
                <w:sz w:val="18"/>
                <w:szCs w:val="18"/>
              </w:rPr>
            </w:pPr>
            <w:r w:rsidRPr="00D26D51">
              <w:rPr>
                <w:rFonts w:ascii="Times New Roman" w:hAnsi="Times New Roman" w:cs="Times New Roman"/>
                <w:b w:val="0"/>
                <w:sz w:val="18"/>
                <w:szCs w:val="18"/>
              </w:rPr>
              <w:t xml:space="preserve">   Older age 55+ </w:t>
            </w:r>
          </w:p>
        </w:tc>
        <w:tc>
          <w:tcPr>
            <w:tcW w:w="2160" w:type="dxa"/>
            <w:tcBorders>
              <w:top w:val="nil"/>
              <w:bottom w:val="nil"/>
            </w:tcBorders>
          </w:tcPr>
          <w:p w14:paraId="00EA71C6"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3D1B71A7" w14:textId="77777777" w:rsidR="00D26D51" w:rsidRPr="00D26D51" w:rsidRDefault="00D26D51" w:rsidP="00D26D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-0.021</w:t>
            </w:r>
          </w:p>
          <w:p w14:paraId="60E3DA66" w14:textId="77777777" w:rsidR="00D26D51" w:rsidRPr="00D26D51" w:rsidRDefault="00D26D51" w:rsidP="00D26D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-0.009</w:t>
            </w:r>
          </w:p>
          <w:p w14:paraId="203E7258"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-0.025</w:t>
            </w:r>
          </w:p>
        </w:tc>
        <w:tc>
          <w:tcPr>
            <w:tcW w:w="1980" w:type="dxa"/>
            <w:tcBorders>
              <w:top w:val="nil"/>
              <w:bottom w:val="nil"/>
            </w:tcBorders>
          </w:tcPr>
          <w:p w14:paraId="16B5540B" w14:textId="77777777" w:rsidR="00D26D51" w:rsidRPr="00D26D51" w:rsidRDefault="00D26D51" w:rsidP="00D26D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4565D4B5" w14:textId="77777777" w:rsidR="00D26D51" w:rsidRPr="00D26D51" w:rsidRDefault="00D26D51" w:rsidP="00D26D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0.185***</w:t>
            </w:r>
          </w:p>
          <w:p w14:paraId="6E9DEBC2" w14:textId="77777777" w:rsidR="00D26D51" w:rsidRPr="00D26D51" w:rsidRDefault="00D26D51" w:rsidP="00D26D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0.419***</w:t>
            </w:r>
          </w:p>
          <w:p w14:paraId="3B6A60AC" w14:textId="77777777" w:rsidR="00D26D51" w:rsidRPr="00D26D51" w:rsidRDefault="00D26D51" w:rsidP="00D26D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0.434***</w:t>
            </w:r>
          </w:p>
        </w:tc>
      </w:tr>
      <w:tr w:rsidR="00D26D51" w:rsidRPr="00D26D51" w14:paraId="2686869D" w14:textId="77777777" w:rsidTr="00D26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Borders>
              <w:top w:val="nil"/>
              <w:bottom w:val="nil"/>
            </w:tcBorders>
            <w:noWrap/>
            <w:hideMark/>
          </w:tcPr>
          <w:p w14:paraId="00B75F51" w14:textId="77777777" w:rsidR="00D26D51" w:rsidRPr="00D26D51" w:rsidRDefault="00D26D51" w:rsidP="00D26D51">
            <w:pPr>
              <w:rPr>
                <w:rFonts w:ascii="Times New Roman" w:hAnsi="Times New Roman" w:cs="Times New Roman"/>
                <w:b w:val="0"/>
                <w:sz w:val="18"/>
                <w:szCs w:val="18"/>
              </w:rPr>
            </w:pPr>
            <w:r w:rsidRPr="00D26D51">
              <w:rPr>
                <w:rFonts w:ascii="Times New Roman" w:hAnsi="Times New Roman" w:cs="Times New Roman"/>
                <w:b w:val="0"/>
                <w:sz w:val="18"/>
                <w:szCs w:val="18"/>
              </w:rPr>
              <w:t>Female householder</w:t>
            </w:r>
          </w:p>
        </w:tc>
        <w:tc>
          <w:tcPr>
            <w:tcW w:w="2160" w:type="dxa"/>
            <w:tcBorders>
              <w:top w:val="nil"/>
              <w:bottom w:val="nil"/>
            </w:tcBorders>
          </w:tcPr>
          <w:p w14:paraId="15D04620" w14:textId="77777777" w:rsidR="00D26D51" w:rsidRPr="00D26D51" w:rsidRDefault="00D26D51" w:rsidP="00D26D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-0.254***</w:t>
            </w:r>
          </w:p>
        </w:tc>
        <w:tc>
          <w:tcPr>
            <w:tcW w:w="1980" w:type="dxa"/>
            <w:tcBorders>
              <w:top w:val="nil"/>
              <w:bottom w:val="nil"/>
            </w:tcBorders>
          </w:tcPr>
          <w:p w14:paraId="721EE6BB" w14:textId="77777777" w:rsidR="00D26D51" w:rsidRPr="00D26D51" w:rsidRDefault="00D26D51" w:rsidP="00D26D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0.105***</w:t>
            </w:r>
          </w:p>
        </w:tc>
      </w:tr>
      <w:tr w:rsidR="00D26D51" w:rsidRPr="00D26D51" w14:paraId="3037F279" w14:textId="77777777" w:rsidTr="00D26D51">
        <w:tc>
          <w:tcPr>
            <w:cnfStyle w:val="001000000000" w:firstRow="0" w:lastRow="0" w:firstColumn="1" w:lastColumn="0" w:oddVBand="0" w:evenVBand="0" w:oddHBand="0" w:evenHBand="0" w:firstRowFirstColumn="0" w:firstRowLastColumn="0" w:lastRowFirstColumn="0" w:lastRowLastColumn="0"/>
            <w:tcW w:w="3780" w:type="dxa"/>
            <w:tcBorders>
              <w:top w:val="nil"/>
              <w:bottom w:val="nil"/>
            </w:tcBorders>
            <w:noWrap/>
          </w:tcPr>
          <w:p w14:paraId="11E6FBD8" w14:textId="77777777" w:rsidR="00D26D51" w:rsidRPr="00D26D51" w:rsidRDefault="00D26D51" w:rsidP="00D26D51">
            <w:pPr>
              <w:rPr>
                <w:rFonts w:ascii="Times New Roman" w:hAnsi="Times New Roman" w:cs="Times New Roman"/>
                <w:b w:val="0"/>
                <w:sz w:val="18"/>
                <w:szCs w:val="18"/>
              </w:rPr>
            </w:pPr>
            <w:r w:rsidRPr="00D26D51">
              <w:rPr>
                <w:rFonts w:ascii="Times New Roman" w:hAnsi="Times New Roman" w:cs="Times New Roman"/>
                <w:b w:val="0"/>
                <w:sz w:val="18"/>
                <w:szCs w:val="18"/>
              </w:rPr>
              <w:t>Retired householder</w:t>
            </w:r>
          </w:p>
        </w:tc>
        <w:tc>
          <w:tcPr>
            <w:tcW w:w="2160" w:type="dxa"/>
            <w:tcBorders>
              <w:top w:val="nil"/>
              <w:bottom w:val="nil"/>
            </w:tcBorders>
          </w:tcPr>
          <w:p w14:paraId="655859E5"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-0.251***</w:t>
            </w:r>
          </w:p>
        </w:tc>
        <w:tc>
          <w:tcPr>
            <w:tcW w:w="1980" w:type="dxa"/>
            <w:tcBorders>
              <w:top w:val="nil"/>
              <w:bottom w:val="nil"/>
            </w:tcBorders>
          </w:tcPr>
          <w:p w14:paraId="097D8A86"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0.054**</w:t>
            </w:r>
          </w:p>
        </w:tc>
      </w:tr>
      <w:tr w:rsidR="00D26D51" w:rsidRPr="00D26D51" w14:paraId="75EDF34F" w14:textId="77777777" w:rsidTr="00D26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Borders>
              <w:top w:val="nil"/>
              <w:bottom w:val="nil"/>
            </w:tcBorders>
            <w:noWrap/>
            <w:hideMark/>
          </w:tcPr>
          <w:p w14:paraId="6D5DE3D8" w14:textId="77777777" w:rsidR="00D26D51" w:rsidRPr="00D26D51" w:rsidRDefault="00D26D51" w:rsidP="00D26D51">
            <w:pPr>
              <w:rPr>
                <w:rFonts w:ascii="Times New Roman" w:hAnsi="Times New Roman" w:cs="Times New Roman"/>
                <w:b w:val="0"/>
                <w:color w:val="000000"/>
                <w:sz w:val="18"/>
                <w:szCs w:val="18"/>
              </w:rPr>
            </w:pPr>
            <w:r w:rsidRPr="00D26D51">
              <w:rPr>
                <w:rFonts w:ascii="Times New Roman" w:hAnsi="Times New Roman" w:cs="Times New Roman"/>
                <w:b w:val="0"/>
                <w:color w:val="000000"/>
                <w:sz w:val="18"/>
                <w:szCs w:val="18"/>
              </w:rPr>
              <w:t>Household income</w:t>
            </w:r>
          </w:p>
        </w:tc>
        <w:tc>
          <w:tcPr>
            <w:tcW w:w="2160" w:type="dxa"/>
            <w:tcBorders>
              <w:top w:val="nil"/>
              <w:bottom w:val="nil"/>
            </w:tcBorders>
          </w:tcPr>
          <w:p w14:paraId="45FAD825" w14:textId="77777777" w:rsidR="00D26D51" w:rsidRPr="00D26D51" w:rsidRDefault="00D26D51" w:rsidP="00D26D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0.051***</w:t>
            </w:r>
          </w:p>
        </w:tc>
        <w:tc>
          <w:tcPr>
            <w:tcW w:w="1980" w:type="dxa"/>
            <w:tcBorders>
              <w:top w:val="nil"/>
              <w:bottom w:val="nil"/>
            </w:tcBorders>
          </w:tcPr>
          <w:p w14:paraId="4342D4E3" w14:textId="77777777" w:rsidR="00D26D51" w:rsidRPr="00D26D51" w:rsidRDefault="00D26D51" w:rsidP="00D26D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0.004*</w:t>
            </w:r>
          </w:p>
        </w:tc>
      </w:tr>
      <w:tr w:rsidR="00D26D51" w:rsidRPr="00D26D51" w14:paraId="2D3CD508" w14:textId="77777777" w:rsidTr="00D26D51">
        <w:tc>
          <w:tcPr>
            <w:cnfStyle w:val="001000000000" w:firstRow="0" w:lastRow="0" w:firstColumn="1" w:lastColumn="0" w:oddVBand="0" w:evenVBand="0" w:oddHBand="0" w:evenHBand="0" w:firstRowFirstColumn="0" w:firstRowLastColumn="0" w:lastRowFirstColumn="0" w:lastRowLastColumn="0"/>
            <w:tcW w:w="3780" w:type="dxa"/>
            <w:tcBorders>
              <w:top w:val="nil"/>
              <w:bottom w:val="nil"/>
            </w:tcBorders>
            <w:noWrap/>
          </w:tcPr>
          <w:p w14:paraId="449C1EA7" w14:textId="77777777" w:rsidR="00D26D51" w:rsidRPr="00D26D51" w:rsidRDefault="00D26D51" w:rsidP="00D26D51">
            <w:pPr>
              <w:rPr>
                <w:rFonts w:ascii="Times New Roman" w:hAnsi="Times New Roman" w:cs="Times New Roman"/>
                <w:b w:val="0"/>
                <w:color w:val="000000"/>
                <w:sz w:val="18"/>
                <w:szCs w:val="18"/>
              </w:rPr>
            </w:pPr>
            <w:r w:rsidRPr="00D26D51">
              <w:rPr>
                <w:rFonts w:ascii="Times New Roman" w:hAnsi="Times New Roman" w:cs="Times New Roman"/>
                <w:b w:val="0"/>
                <w:color w:val="000000"/>
                <w:sz w:val="18"/>
                <w:szCs w:val="18"/>
              </w:rPr>
              <w:t>Number of children</w:t>
            </w:r>
          </w:p>
        </w:tc>
        <w:tc>
          <w:tcPr>
            <w:tcW w:w="2160" w:type="dxa"/>
            <w:tcBorders>
              <w:top w:val="nil"/>
              <w:bottom w:val="nil"/>
            </w:tcBorders>
          </w:tcPr>
          <w:p w14:paraId="3450B75F"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0.071***</w:t>
            </w:r>
          </w:p>
        </w:tc>
        <w:tc>
          <w:tcPr>
            <w:tcW w:w="1980" w:type="dxa"/>
            <w:tcBorders>
              <w:top w:val="nil"/>
              <w:bottom w:val="nil"/>
            </w:tcBorders>
          </w:tcPr>
          <w:p w14:paraId="17979506"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-0.060***</w:t>
            </w:r>
          </w:p>
        </w:tc>
      </w:tr>
      <w:tr w:rsidR="00D26D51" w:rsidRPr="00D26D51" w14:paraId="042A6BBF" w14:textId="77777777" w:rsidTr="00D26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Borders>
              <w:top w:val="nil"/>
              <w:bottom w:val="nil"/>
            </w:tcBorders>
            <w:noWrap/>
          </w:tcPr>
          <w:p w14:paraId="11C5632F" w14:textId="77777777" w:rsidR="00D26D51" w:rsidRPr="00D26D51" w:rsidRDefault="00D26D51" w:rsidP="00D26D51">
            <w:pPr>
              <w:rPr>
                <w:rFonts w:ascii="Times New Roman" w:hAnsi="Times New Roman" w:cs="Times New Roman"/>
                <w:b w:val="0"/>
                <w:color w:val="000000"/>
                <w:sz w:val="18"/>
                <w:szCs w:val="18"/>
              </w:rPr>
            </w:pPr>
            <w:r w:rsidRPr="00D26D51">
              <w:rPr>
                <w:rFonts w:ascii="Times New Roman" w:hAnsi="Times New Roman" w:cs="Times New Roman"/>
                <w:b w:val="0"/>
                <w:color w:val="000000"/>
                <w:sz w:val="18"/>
                <w:szCs w:val="18"/>
              </w:rPr>
              <w:t>Education of householder</w:t>
            </w:r>
          </w:p>
        </w:tc>
        <w:tc>
          <w:tcPr>
            <w:tcW w:w="2160" w:type="dxa"/>
            <w:tcBorders>
              <w:top w:val="nil"/>
              <w:bottom w:val="nil"/>
            </w:tcBorders>
          </w:tcPr>
          <w:p w14:paraId="5C7ABC4B" w14:textId="77777777" w:rsidR="00D26D51" w:rsidRPr="00D26D51" w:rsidRDefault="00D26D51" w:rsidP="00D26D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0.039***</w:t>
            </w:r>
          </w:p>
        </w:tc>
        <w:tc>
          <w:tcPr>
            <w:tcW w:w="1980" w:type="dxa"/>
            <w:tcBorders>
              <w:top w:val="nil"/>
              <w:bottom w:val="nil"/>
            </w:tcBorders>
          </w:tcPr>
          <w:p w14:paraId="6B966841" w14:textId="77777777" w:rsidR="00D26D51" w:rsidRPr="00D26D51" w:rsidRDefault="00D26D51" w:rsidP="00D26D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0.029***</w:t>
            </w:r>
          </w:p>
        </w:tc>
      </w:tr>
      <w:tr w:rsidR="00D26D51" w:rsidRPr="00D26D51" w14:paraId="5E2A311E" w14:textId="77777777" w:rsidTr="00D26D51">
        <w:tc>
          <w:tcPr>
            <w:cnfStyle w:val="001000000000" w:firstRow="0" w:lastRow="0" w:firstColumn="1" w:lastColumn="0" w:oddVBand="0" w:evenVBand="0" w:oddHBand="0" w:evenHBand="0" w:firstRowFirstColumn="0" w:firstRowLastColumn="0" w:lastRowFirstColumn="0" w:lastRowLastColumn="0"/>
            <w:tcW w:w="3780" w:type="dxa"/>
            <w:tcBorders>
              <w:top w:val="nil"/>
              <w:bottom w:val="nil"/>
            </w:tcBorders>
            <w:noWrap/>
          </w:tcPr>
          <w:p w14:paraId="6A7421AD" w14:textId="77777777" w:rsidR="00D26D51" w:rsidRPr="00D26D51" w:rsidRDefault="00D26D51" w:rsidP="00D26D51">
            <w:pPr>
              <w:rPr>
                <w:rFonts w:ascii="Times New Roman" w:hAnsi="Times New Roman" w:cs="Times New Roman"/>
                <w:b w:val="0"/>
                <w:sz w:val="18"/>
                <w:szCs w:val="18"/>
              </w:rPr>
            </w:pPr>
            <w:r w:rsidRPr="00D26D51">
              <w:rPr>
                <w:rFonts w:ascii="Times New Roman" w:hAnsi="Times New Roman" w:cs="Times New Roman"/>
                <w:b w:val="0"/>
                <w:sz w:val="18"/>
                <w:szCs w:val="18"/>
              </w:rPr>
              <w:t xml:space="preserve">Number of vehicles </w:t>
            </w:r>
          </w:p>
        </w:tc>
        <w:tc>
          <w:tcPr>
            <w:tcW w:w="2160" w:type="dxa"/>
            <w:tcBorders>
              <w:top w:val="nil"/>
              <w:bottom w:val="nil"/>
            </w:tcBorders>
          </w:tcPr>
          <w:p w14:paraId="043CD8E5"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0.050***</w:t>
            </w:r>
          </w:p>
        </w:tc>
        <w:tc>
          <w:tcPr>
            <w:tcW w:w="1980" w:type="dxa"/>
            <w:tcBorders>
              <w:top w:val="nil"/>
              <w:bottom w:val="nil"/>
            </w:tcBorders>
          </w:tcPr>
          <w:p w14:paraId="2D598403"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0.110***</w:t>
            </w:r>
          </w:p>
        </w:tc>
      </w:tr>
      <w:tr w:rsidR="00D26D51" w:rsidRPr="00D26D51" w14:paraId="6F219024" w14:textId="77777777" w:rsidTr="00D26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Borders>
              <w:top w:val="nil"/>
              <w:bottom w:val="nil"/>
            </w:tcBorders>
            <w:noWrap/>
          </w:tcPr>
          <w:p w14:paraId="13AB376C" w14:textId="77777777" w:rsidR="00D26D51" w:rsidRPr="00D26D51" w:rsidRDefault="00D26D51" w:rsidP="00D26D51">
            <w:pPr>
              <w:spacing w:after="60"/>
              <w:rPr>
                <w:rFonts w:ascii="Times New Roman" w:hAnsi="Times New Roman" w:cs="Times New Roman"/>
                <w:b w:val="0"/>
                <w:sz w:val="18"/>
                <w:szCs w:val="18"/>
              </w:rPr>
            </w:pPr>
            <w:r w:rsidRPr="00D26D51">
              <w:rPr>
                <w:rFonts w:ascii="Times New Roman" w:hAnsi="Times New Roman" w:cs="Times New Roman"/>
                <w:b w:val="0"/>
                <w:sz w:val="18"/>
                <w:szCs w:val="18"/>
              </w:rPr>
              <w:t>Leased</w:t>
            </w:r>
          </w:p>
        </w:tc>
        <w:tc>
          <w:tcPr>
            <w:tcW w:w="2160" w:type="dxa"/>
            <w:tcBorders>
              <w:top w:val="nil"/>
              <w:bottom w:val="nil"/>
            </w:tcBorders>
          </w:tcPr>
          <w:p w14:paraId="2A79F6D0" w14:textId="77777777" w:rsidR="00D26D51" w:rsidRPr="00D26D51" w:rsidRDefault="00D26D51" w:rsidP="00D26D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0.168***</w:t>
            </w:r>
          </w:p>
        </w:tc>
        <w:tc>
          <w:tcPr>
            <w:tcW w:w="1980" w:type="dxa"/>
            <w:tcBorders>
              <w:top w:val="nil"/>
              <w:bottom w:val="nil"/>
            </w:tcBorders>
          </w:tcPr>
          <w:p w14:paraId="23FE5578" w14:textId="77777777" w:rsidR="00D26D51" w:rsidRPr="00D26D51" w:rsidRDefault="00D26D51" w:rsidP="00D26D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-0.722***</w:t>
            </w:r>
          </w:p>
        </w:tc>
      </w:tr>
      <w:tr w:rsidR="00D26D51" w:rsidRPr="00D26D51" w14:paraId="42303029" w14:textId="77777777" w:rsidTr="00D26D51">
        <w:tc>
          <w:tcPr>
            <w:cnfStyle w:val="001000000000" w:firstRow="0" w:lastRow="0" w:firstColumn="1" w:lastColumn="0" w:oddVBand="0" w:evenVBand="0" w:oddHBand="0" w:evenHBand="0" w:firstRowFirstColumn="0" w:firstRowLastColumn="0" w:lastRowFirstColumn="0" w:lastRowLastColumn="0"/>
            <w:tcW w:w="3780" w:type="dxa"/>
            <w:tcBorders>
              <w:top w:val="nil"/>
              <w:bottom w:val="nil"/>
            </w:tcBorders>
            <w:noWrap/>
          </w:tcPr>
          <w:p w14:paraId="75A3B414" w14:textId="77777777" w:rsidR="00D26D51" w:rsidRPr="00D26D51" w:rsidRDefault="00D26D51" w:rsidP="00D26D51">
            <w:pPr>
              <w:rPr>
                <w:rFonts w:ascii="Times New Roman" w:hAnsi="Times New Roman" w:cs="Times New Roman"/>
                <w:b w:val="0"/>
                <w:i/>
                <w:sz w:val="18"/>
                <w:szCs w:val="18"/>
              </w:rPr>
            </w:pPr>
            <w:r w:rsidRPr="00D26D51">
              <w:rPr>
                <w:rFonts w:ascii="Times New Roman" w:hAnsi="Times New Roman" w:cs="Times New Roman"/>
                <w:b w:val="0"/>
                <w:i/>
                <w:sz w:val="18"/>
                <w:szCs w:val="18"/>
              </w:rPr>
              <w:t>Preferred vehicle size (ref = SUV/van/pickup):</w:t>
            </w:r>
          </w:p>
          <w:p w14:paraId="24405EF9" w14:textId="77777777" w:rsidR="00D26D51" w:rsidRPr="00D26D51" w:rsidRDefault="00D26D51" w:rsidP="00D26D51">
            <w:pPr>
              <w:rPr>
                <w:rFonts w:ascii="Times New Roman" w:hAnsi="Times New Roman" w:cs="Times New Roman"/>
                <w:b w:val="0"/>
                <w:sz w:val="18"/>
                <w:szCs w:val="18"/>
              </w:rPr>
            </w:pPr>
            <w:r w:rsidRPr="00D26D51">
              <w:rPr>
                <w:rFonts w:ascii="Times New Roman" w:hAnsi="Times New Roman" w:cs="Times New Roman"/>
                <w:b w:val="0"/>
                <w:sz w:val="18"/>
                <w:szCs w:val="18"/>
              </w:rPr>
              <w:t xml:space="preserve">   Economy/intermediate</w:t>
            </w:r>
          </w:p>
          <w:p w14:paraId="54884C19" w14:textId="77777777" w:rsidR="00D26D51" w:rsidRPr="00D26D51" w:rsidRDefault="00D26D51" w:rsidP="00D26D51">
            <w:pPr>
              <w:spacing w:after="60"/>
              <w:rPr>
                <w:rFonts w:ascii="Times New Roman" w:hAnsi="Times New Roman" w:cs="Times New Roman"/>
                <w:b w:val="0"/>
                <w:sz w:val="18"/>
                <w:szCs w:val="18"/>
              </w:rPr>
            </w:pPr>
            <w:r w:rsidRPr="00D26D51">
              <w:rPr>
                <w:rFonts w:ascii="Times New Roman" w:hAnsi="Times New Roman" w:cs="Times New Roman"/>
                <w:b w:val="0"/>
                <w:sz w:val="18"/>
                <w:szCs w:val="18"/>
              </w:rPr>
              <w:t xml:space="preserve">   Full/luxury sedan</w:t>
            </w:r>
          </w:p>
        </w:tc>
        <w:tc>
          <w:tcPr>
            <w:tcW w:w="2160" w:type="dxa"/>
            <w:tcBorders>
              <w:top w:val="nil"/>
              <w:bottom w:val="nil"/>
            </w:tcBorders>
          </w:tcPr>
          <w:p w14:paraId="0BDC4C87"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1D708AAC"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-0.277***</w:t>
            </w:r>
          </w:p>
          <w:p w14:paraId="0184A1BC"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-0.089***</w:t>
            </w:r>
          </w:p>
        </w:tc>
        <w:tc>
          <w:tcPr>
            <w:tcW w:w="1980" w:type="dxa"/>
            <w:tcBorders>
              <w:top w:val="nil"/>
              <w:bottom w:val="nil"/>
            </w:tcBorders>
          </w:tcPr>
          <w:p w14:paraId="583D5414"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43CF789B"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0.205***</w:t>
            </w:r>
          </w:p>
          <w:p w14:paraId="0952A27C"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0.079***</w:t>
            </w:r>
          </w:p>
        </w:tc>
      </w:tr>
      <w:tr w:rsidR="00D26D51" w:rsidRPr="00D26D51" w14:paraId="1B682EE0" w14:textId="77777777" w:rsidTr="00D26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Borders>
              <w:top w:val="nil"/>
              <w:bottom w:val="nil"/>
            </w:tcBorders>
            <w:noWrap/>
          </w:tcPr>
          <w:p w14:paraId="4DB468D0" w14:textId="77777777" w:rsidR="00D26D51" w:rsidRPr="00D26D51" w:rsidRDefault="00D26D51" w:rsidP="00D26D51">
            <w:pPr>
              <w:rPr>
                <w:rFonts w:ascii="Times New Roman" w:hAnsi="Times New Roman" w:cs="Times New Roman"/>
                <w:b w:val="0"/>
                <w:i/>
                <w:sz w:val="18"/>
                <w:szCs w:val="18"/>
              </w:rPr>
            </w:pPr>
            <w:r w:rsidRPr="00D26D51">
              <w:rPr>
                <w:rFonts w:ascii="Times New Roman" w:hAnsi="Times New Roman" w:cs="Times New Roman"/>
                <w:b w:val="0"/>
                <w:i/>
                <w:sz w:val="18"/>
                <w:szCs w:val="18"/>
              </w:rPr>
              <w:t>Province (ref = Ontario):</w:t>
            </w:r>
          </w:p>
          <w:p w14:paraId="1D25DE30" w14:textId="77777777" w:rsidR="00D26D51" w:rsidRPr="00D26D51" w:rsidRDefault="00D26D51" w:rsidP="00D26D51">
            <w:pPr>
              <w:rPr>
                <w:rFonts w:ascii="Times New Roman" w:hAnsi="Times New Roman" w:cs="Times New Roman"/>
                <w:b w:val="0"/>
                <w:sz w:val="18"/>
                <w:szCs w:val="18"/>
              </w:rPr>
            </w:pPr>
            <w:r w:rsidRPr="00D26D51">
              <w:rPr>
                <w:rFonts w:ascii="Times New Roman" w:hAnsi="Times New Roman" w:cs="Times New Roman"/>
                <w:b w:val="0"/>
                <w:sz w:val="18"/>
                <w:szCs w:val="18"/>
              </w:rPr>
              <w:t xml:space="preserve">   Newfoundland and Labrador</w:t>
            </w:r>
          </w:p>
          <w:p w14:paraId="50C99D1F" w14:textId="77777777" w:rsidR="00D26D51" w:rsidRPr="00D26D51" w:rsidRDefault="00D26D51" w:rsidP="00D26D51">
            <w:pPr>
              <w:rPr>
                <w:rFonts w:ascii="Times New Roman" w:hAnsi="Times New Roman" w:cs="Times New Roman"/>
                <w:b w:val="0"/>
                <w:sz w:val="18"/>
                <w:szCs w:val="18"/>
              </w:rPr>
            </w:pPr>
            <w:r w:rsidRPr="00D26D51">
              <w:rPr>
                <w:rFonts w:ascii="Times New Roman" w:hAnsi="Times New Roman" w:cs="Times New Roman"/>
                <w:b w:val="0"/>
                <w:sz w:val="18"/>
                <w:szCs w:val="18"/>
              </w:rPr>
              <w:t xml:space="preserve">   Prince Edward Island</w:t>
            </w:r>
          </w:p>
          <w:p w14:paraId="619D8540" w14:textId="77777777" w:rsidR="00D26D51" w:rsidRPr="00D26D51" w:rsidRDefault="00D26D51" w:rsidP="00D26D51">
            <w:pPr>
              <w:rPr>
                <w:rFonts w:ascii="Times New Roman" w:hAnsi="Times New Roman" w:cs="Times New Roman"/>
                <w:b w:val="0"/>
                <w:sz w:val="18"/>
                <w:szCs w:val="18"/>
              </w:rPr>
            </w:pPr>
            <w:r w:rsidRPr="00D26D51">
              <w:rPr>
                <w:rFonts w:ascii="Times New Roman" w:hAnsi="Times New Roman" w:cs="Times New Roman"/>
                <w:b w:val="0"/>
                <w:sz w:val="18"/>
                <w:szCs w:val="18"/>
              </w:rPr>
              <w:t xml:space="preserve">   Nova Scotia</w:t>
            </w:r>
          </w:p>
          <w:p w14:paraId="730DE407" w14:textId="77777777" w:rsidR="00D26D51" w:rsidRPr="00D26D51" w:rsidRDefault="00D26D51" w:rsidP="00D26D51">
            <w:pPr>
              <w:rPr>
                <w:rFonts w:ascii="Times New Roman" w:hAnsi="Times New Roman" w:cs="Times New Roman"/>
                <w:b w:val="0"/>
                <w:sz w:val="18"/>
                <w:szCs w:val="18"/>
              </w:rPr>
            </w:pPr>
            <w:r w:rsidRPr="00D26D51">
              <w:rPr>
                <w:rFonts w:ascii="Times New Roman" w:hAnsi="Times New Roman" w:cs="Times New Roman"/>
                <w:b w:val="0"/>
                <w:sz w:val="18"/>
                <w:szCs w:val="18"/>
              </w:rPr>
              <w:t xml:space="preserve">   New Brunswick</w:t>
            </w:r>
          </w:p>
          <w:p w14:paraId="76F1E371" w14:textId="77777777" w:rsidR="00D26D51" w:rsidRPr="00D26D51" w:rsidRDefault="00D26D51" w:rsidP="00D26D51">
            <w:pPr>
              <w:rPr>
                <w:rFonts w:ascii="Times New Roman" w:hAnsi="Times New Roman" w:cs="Times New Roman"/>
                <w:b w:val="0"/>
                <w:sz w:val="18"/>
                <w:szCs w:val="18"/>
              </w:rPr>
            </w:pPr>
            <w:r w:rsidRPr="00D26D51">
              <w:rPr>
                <w:rFonts w:ascii="Times New Roman" w:hAnsi="Times New Roman" w:cs="Times New Roman"/>
                <w:b w:val="0"/>
                <w:sz w:val="18"/>
                <w:szCs w:val="18"/>
              </w:rPr>
              <w:t xml:space="preserve">   Quebec</w:t>
            </w:r>
          </w:p>
          <w:p w14:paraId="38AF4C7B" w14:textId="77777777" w:rsidR="00D26D51" w:rsidRPr="00D26D51" w:rsidRDefault="00D26D51" w:rsidP="00D26D51">
            <w:pPr>
              <w:rPr>
                <w:rFonts w:ascii="Times New Roman" w:hAnsi="Times New Roman" w:cs="Times New Roman"/>
                <w:b w:val="0"/>
                <w:sz w:val="18"/>
                <w:szCs w:val="18"/>
              </w:rPr>
            </w:pPr>
            <w:r w:rsidRPr="00D26D51">
              <w:rPr>
                <w:rFonts w:ascii="Times New Roman" w:hAnsi="Times New Roman" w:cs="Times New Roman"/>
                <w:b w:val="0"/>
                <w:sz w:val="18"/>
                <w:szCs w:val="18"/>
              </w:rPr>
              <w:t xml:space="preserve">   Manitoba</w:t>
            </w:r>
          </w:p>
          <w:p w14:paraId="3815C9D9" w14:textId="77777777" w:rsidR="00D26D51" w:rsidRPr="00D26D51" w:rsidRDefault="00D26D51" w:rsidP="00D26D51">
            <w:pPr>
              <w:rPr>
                <w:rFonts w:ascii="Times New Roman" w:hAnsi="Times New Roman" w:cs="Times New Roman"/>
                <w:b w:val="0"/>
                <w:sz w:val="18"/>
                <w:szCs w:val="18"/>
              </w:rPr>
            </w:pPr>
            <w:r w:rsidRPr="00D26D51">
              <w:rPr>
                <w:rFonts w:ascii="Times New Roman" w:hAnsi="Times New Roman" w:cs="Times New Roman"/>
                <w:b w:val="0"/>
                <w:sz w:val="18"/>
                <w:szCs w:val="18"/>
              </w:rPr>
              <w:t xml:space="preserve">   Saskatchewan</w:t>
            </w:r>
          </w:p>
          <w:p w14:paraId="36ED6864" w14:textId="77777777" w:rsidR="00D26D51" w:rsidRPr="00D26D51" w:rsidRDefault="00D26D51" w:rsidP="00D26D51">
            <w:pPr>
              <w:rPr>
                <w:rFonts w:ascii="Times New Roman" w:hAnsi="Times New Roman" w:cs="Times New Roman"/>
                <w:b w:val="0"/>
                <w:sz w:val="18"/>
                <w:szCs w:val="18"/>
              </w:rPr>
            </w:pPr>
            <w:r w:rsidRPr="00D26D51">
              <w:rPr>
                <w:rFonts w:ascii="Times New Roman" w:hAnsi="Times New Roman" w:cs="Times New Roman"/>
                <w:b w:val="0"/>
                <w:sz w:val="18"/>
                <w:szCs w:val="18"/>
              </w:rPr>
              <w:t xml:space="preserve">   Alberta</w:t>
            </w:r>
          </w:p>
          <w:p w14:paraId="4CCAA702" w14:textId="77777777" w:rsidR="00D26D51" w:rsidRPr="00D26D51" w:rsidRDefault="00D26D51" w:rsidP="00D26D51">
            <w:pPr>
              <w:spacing w:after="60"/>
              <w:rPr>
                <w:rFonts w:ascii="Times New Roman" w:hAnsi="Times New Roman" w:cs="Times New Roman"/>
                <w:b w:val="0"/>
                <w:sz w:val="18"/>
                <w:szCs w:val="18"/>
              </w:rPr>
            </w:pPr>
            <w:r w:rsidRPr="00D26D51">
              <w:rPr>
                <w:rFonts w:ascii="Times New Roman" w:hAnsi="Times New Roman" w:cs="Times New Roman"/>
                <w:b w:val="0"/>
                <w:sz w:val="18"/>
                <w:szCs w:val="18"/>
              </w:rPr>
              <w:t xml:space="preserve">   British Columbia</w:t>
            </w:r>
          </w:p>
        </w:tc>
        <w:tc>
          <w:tcPr>
            <w:tcW w:w="2160" w:type="dxa"/>
            <w:tcBorders>
              <w:top w:val="nil"/>
              <w:bottom w:val="nil"/>
            </w:tcBorders>
          </w:tcPr>
          <w:p w14:paraId="1575DA09" w14:textId="77777777" w:rsidR="00D26D51" w:rsidRPr="00D26D51" w:rsidRDefault="00D26D51" w:rsidP="00D26D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653A4ABB" w14:textId="77777777" w:rsidR="00D26D51" w:rsidRPr="00D26D51" w:rsidRDefault="00D26D51" w:rsidP="00D26D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-0.060</w:t>
            </w:r>
          </w:p>
          <w:p w14:paraId="0851E25F" w14:textId="77777777" w:rsidR="00D26D51" w:rsidRPr="00D26D51" w:rsidRDefault="00D26D51" w:rsidP="00D26D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0.077</w:t>
            </w:r>
          </w:p>
          <w:p w14:paraId="48660258" w14:textId="77777777" w:rsidR="00D26D51" w:rsidRPr="00D26D51" w:rsidRDefault="00D26D51" w:rsidP="00D26D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0.082**</w:t>
            </w:r>
          </w:p>
          <w:p w14:paraId="0C74CDC7" w14:textId="77777777" w:rsidR="00D26D51" w:rsidRPr="00D26D51" w:rsidRDefault="00D26D51" w:rsidP="00D26D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0.117***</w:t>
            </w:r>
          </w:p>
          <w:p w14:paraId="7806FCAB" w14:textId="77777777" w:rsidR="00D26D51" w:rsidRPr="00D26D51" w:rsidRDefault="00D26D51" w:rsidP="00D26D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0.055**</w:t>
            </w:r>
          </w:p>
          <w:p w14:paraId="3F1820DC" w14:textId="77777777" w:rsidR="00D26D51" w:rsidRPr="00D26D51" w:rsidRDefault="00D26D51" w:rsidP="00D26D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-0.193***</w:t>
            </w:r>
          </w:p>
          <w:p w14:paraId="1BB171C3" w14:textId="77777777" w:rsidR="00D26D51" w:rsidRPr="00D26D51" w:rsidRDefault="00D26D51" w:rsidP="00D26D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-0.106***</w:t>
            </w:r>
          </w:p>
          <w:p w14:paraId="01661784" w14:textId="77777777" w:rsidR="00D26D51" w:rsidRPr="00D26D51" w:rsidRDefault="00D26D51" w:rsidP="00D26D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-0.138***</w:t>
            </w:r>
          </w:p>
          <w:p w14:paraId="44A0D5FB" w14:textId="77777777" w:rsidR="00D26D51" w:rsidRPr="00D26D51" w:rsidRDefault="00D26D51" w:rsidP="00D26D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-0.226***</w:t>
            </w:r>
          </w:p>
        </w:tc>
        <w:tc>
          <w:tcPr>
            <w:tcW w:w="1980" w:type="dxa"/>
            <w:tcBorders>
              <w:top w:val="nil"/>
              <w:bottom w:val="nil"/>
            </w:tcBorders>
          </w:tcPr>
          <w:p w14:paraId="693DCC68" w14:textId="77777777" w:rsidR="00D26D51" w:rsidRPr="00D26D51" w:rsidRDefault="00D26D51" w:rsidP="00D26D51">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02D7AF5D" w14:textId="77777777" w:rsidR="00D26D51" w:rsidRPr="00D26D51" w:rsidRDefault="00D26D51" w:rsidP="00D26D51">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-0.334***</w:t>
            </w:r>
          </w:p>
          <w:p w14:paraId="276F46BF" w14:textId="77777777" w:rsidR="00D26D51" w:rsidRPr="00D26D51" w:rsidRDefault="00D26D51" w:rsidP="00D26D51">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-0.386***</w:t>
            </w:r>
          </w:p>
          <w:p w14:paraId="72F9DD8F" w14:textId="77777777" w:rsidR="00D26D51" w:rsidRPr="00D26D51" w:rsidRDefault="00D26D51" w:rsidP="00D26D51">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-0.249***</w:t>
            </w:r>
          </w:p>
          <w:p w14:paraId="76B5B56D" w14:textId="77777777" w:rsidR="00D26D51" w:rsidRPr="00D26D51" w:rsidRDefault="00D26D51" w:rsidP="00D26D51">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-0.229***</w:t>
            </w:r>
          </w:p>
          <w:p w14:paraId="33FE07D1" w14:textId="77777777" w:rsidR="00D26D51" w:rsidRPr="00D26D51" w:rsidRDefault="00D26D51" w:rsidP="00D26D51">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-0.340***</w:t>
            </w:r>
          </w:p>
          <w:p w14:paraId="337EA216" w14:textId="77777777" w:rsidR="00D26D51" w:rsidRPr="00D26D51" w:rsidRDefault="00D26D51" w:rsidP="00D26D51">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0.095**</w:t>
            </w:r>
          </w:p>
          <w:p w14:paraId="1C1CF292" w14:textId="77777777" w:rsidR="00D26D51" w:rsidRPr="00D26D51" w:rsidRDefault="00D26D51" w:rsidP="00D26D51">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-0.048</w:t>
            </w:r>
          </w:p>
          <w:p w14:paraId="1D9296F2" w14:textId="77777777" w:rsidR="00D26D51" w:rsidRPr="00D26D51" w:rsidRDefault="00D26D51" w:rsidP="00D26D51">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0.108***</w:t>
            </w:r>
          </w:p>
          <w:p w14:paraId="1BB57578" w14:textId="77777777" w:rsidR="00D26D51" w:rsidRPr="00D26D51" w:rsidRDefault="00D26D51" w:rsidP="00D26D51">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0.190***</w:t>
            </w:r>
          </w:p>
        </w:tc>
      </w:tr>
      <w:tr w:rsidR="00D26D51" w:rsidRPr="00D26D51" w14:paraId="7196B2D9" w14:textId="77777777" w:rsidTr="00D26D51">
        <w:tc>
          <w:tcPr>
            <w:cnfStyle w:val="001000000000" w:firstRow="0" w:lastRow="0" w:firstColumn="1" w:lastColumn="0" w:oddVBand="0" w:evenVBand="0" w:oddHBand="0" w:evenHBand="0" w:firstRowFirstColumn="0" w:firstRowLastColumn="0" w:lastRowFirstColumn="0" w:lastRowLastColumn="0"/>
            <w:tcW w:w="3780" w:type="dxa"/>
            <w:tcBorders>
              <w:top w:val="nil"/>
              <w:bottom w:val="nil"/>
            </w:tcBorders>
            <w:noWrap/>
          </w:tcPr>
          <w:p w14:paraId="06DAF649" w14:textId="77777777" w:rsidR="00D26D51" w:rsidRPr="00D26D51" w:rsidRDefault="00D26D51" w:rsidP="00D26D51">
            <w:pPr>
              <w:rPr>
                <w:rFonts w:ascii="Times New Roman" w:hAnsi="Times New Roman" w:cs="Times New Roman"/>
                <w:b w:val="0"/>
                <w:i/>
                <w:sz w:val="18"/>
                <w:szCs w:val="18"/>
              </w:rPr>
            </w:pPr>
            <w:r w:rsidRPr="00D26D51">
              <w:rPr>
                <w:rFonts w:ascii="Times New Roman" w:hAnsi="Times New Roman" w:cs="Times New Roman"/>
                <w:b w:val="0"/>
                <w:i/>
                <w:sz w:val="18"/>
                <w:szCs w:val="18"/>
              </w:rPr>
              <w:t>Level of urbanization (ref = Low):</w:t>
            </w:r>
          </w:p>
          <w:p w14:paraId="1926F6C2" w14:textId="77777777" w:rsidR="00D26D51" w:rsidRPr="00D26D51" w:rsidRDefault="00D26D51" w:rsidP="00D26D51">
            <w:pPr>
              <w:rPr>
                <w:rFonts w:ascii="Times New Roman" w:hAnsi="Times New Roman" w:cs="Times New Roman"/>
                <w:b w:val="0"/>
                <w:sz w:val="18"/>
                <w:szCs w:val="18"/>
              </w:rPr>
            </w:pPr>
            <w:r w:rsidRPr="00D26D51">
              <w:rPr>
                <w:rFonts w:ascii="Times New Roman" w:hAnsi="Times New Roman" w:cs="Times New Roman"/>
                <w:b w:val="0"/>
                <w:sz w:val="18"/>
                <w:szCs w:val="18"/>
              </w:rPr>
              <w:t xml:space="preserve">   Medium</w:t>
            </w:r>
          </w:p>
          <w:p w14:paraId="06D538B6" w14:textId="77777777" w:rsidR="00D26D51" w:rsidRPr="00D26D51" w:rsidRDefault="00D26D51" w:rsidP="00D26D51">
            <w:pPr>
              <w:rPr>
                <w:rFonts w:ascii="Times New Roman" w:hAnsi="Times New Roman" w:cs="Times New Roman"/>
                <w:b w:val="0"/>
                <w:sz w:val="18"/>
                <w:szCs w:val="18"/>
              </w:rPr>
            </w:pPr>
            <w:r w:rsidRPr="00D26D51">
              <w:rPr>
                <w:rFonts w:ascii="Times New Roman" w:hAnsi="Times New Roman" w:cs="Times New Roman"/>
                <w:b w:val="0"/>
                <w:sz w:val="18"/>
                <w:szCs w:val="18"/>
              </w:rPr>
              <w:t xml:space="preserve">   High</w:t>
            </w:r>
          </w:p>
        </w:tc>
        <w:tc>
          <w:tcPr>
            <w:tcW w:w="2160" w:type="dxa"/>
            <w:tcBorders>
              <w:top w:val="nil"/>
              <w:bottom w:val="nil"/>
            </w:tcBorders>
          </w:tcPr>
          <w:p w14:paraId="3CED557D"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77F57F2A"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0.096***</w:t>
            </w:r>
          </w:p>
          <w:p w14:paraId="201C5789"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-0.095***</w:t>
            </w:r>
          </w:p>
        </w:tc>
        <w:tc>
          <w:tcPr>
            <w:tcW w:w="1980" w:type="dxa"/>
            <w:tcBorders>
              <w:top w:val="nil"/>
              <w:bottom w:val="nil"/>
            </w:tcBorders>
          </w:tcPr>
          <w:p w14:paraId="7A56DE2F"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w:t>
            </w:r>
          </w:p>
        </w:tc>
      </w:tr>
      <w:tr w:rsidR="00D26D51" w:rsidRPr="00D26D51" w14:paraId="4D8A7F9C" w14:textId="77777777" w:rsidTr="00D26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Borders>
              <w:top w:val="nil"/>
              <w:bottom w:val="nil"/>
            </w:tcBorders>
            <w:noWrap/>
          </w:tcPr>
          <w:p w14:paraId="3D581FC0" w14:textId="77777777" w:rsidR="00D26D51" w:rsidRPr="00D26D51" w:rsidRDefault="00D26D51" w:rsidP="00D26D51">
            <w:pPr>
              <w:spacing w:before="60"/>
              <w:rPr>
                <w:rFonts w:ascii="Times New Roman" w:hAnsi="Times New Roman" w:cs="Times New Roman"/>
                <w:b w:val="0"/>
                <w:i/>
                <w:sz w:val="18"/>
                <w:szCs w:val="18"/>
              </w:rPr>
            </w:pPr>
            <w:r w:rsidRPr="00D26D51">
              <w:rPr>
                <w:rFonts w:ascii="Times New Roman" w:hAnsi="Times New Roman" w:cs="Times New Roman"/>
                <w:b w:val="0"/>
                <w:i/>
                <w:sz w:val="18"/>
                <w:szCs w:val="18"/>
              </w:rPr>
              <w:t>Threshold values (annual mileage in km):</w:t>
            </w:r>
          </w:p>
          <w:p w14:paraId="78C6D865" w14:textId="77777777" w:rsidR="00D26D51" w:rsidRPr="00D26D51" w:rsidRDefault="00D26D51" w:rsidP="00D26D51">
            <w:pPr>
              <w:rPr>
                <w:rFonts w:ascii="Times New Roman" w:hAnsi="Times New Roman" w:cs="Times New Roman"/>
                <w:b w:val="0"/>
                <w:sz w:val="18"/>
                <w:szCs w:val="18"/>
              </w:rPr>
            </w:pPr>
            <w:r w:rsidRPr="00D26D51">
              <w:rPr>
                <w:rFonts w:ascii="Times New Roman" w:hAnsi="Times New Roman" w:cs="Times New Roman"/>
                <w:b w:val="0"/>
                <w:sz w:val="18"/>
                <w:szCs w:val="18"/>
              </w:rPr>
              <w:t xml:space="preserve">   5k - 10k and 10k - 15k</w:t>
            </w:r>
          </w:p>
          <w:p w14:paraId="7F689E1D" w14:textId="77777777" w:rsidR="00D26D51" w:rsidRPr="00D26D51" w:rsidRDefault="00D26D51" w:rsidP="00D26D51">
            <w:pPr>
              <w:rPr>
                <w:rFonts w:ascii="Times New Roman" w:hAnsi="Times New Roman" w:cs="Times New Roman"/>
                <w:b w:val="0"/>
                <w:sz w:val="18"/>
                <w:szCs w:val="18"/>
              </w:rPr>
            </w:pPr>
            <w:r w:rsidRPr="00D26D51">
              <w:rPr>
                <w:rFonts w:ascii="Times New Roman" w:hAnsi="Times New Roman" w:cs="Times New Roman"/>
                <w:b w:val="0"/>
                <w:sz w:val="18"/>
                <w:szCs w:val="18"/>
              </w:rPr>
              <w:t xml:space="preserve">   10k - 15k and 15k - 25k</w:t>
            </w:r>
          </w:p>
          <w:p w14:paraId="6B86AF73" w14:textId="77777777" w:rsidR="00D26D51" w:rsidRPr="00D26D51" w:rsidRDefault="00D26D51" w:rsidP="00D26D51">
            <w:pPr>
              <w:rPr>
                <w:rFonts w:ascii="Times New Roman" w:hAnsi="Times New Roman" w:cs="Times New Roman"/>
                <w:b w:val="0"/>
                <w:sz w:val="18"/>
                <w:szCs w:val="18"/>
              </w:rPr>
            </w:pPr>
            <w:r w:rsidRPr="00D26D51">
              <w:rPr>
                <w:rFonts w:ascii="Times New Roman" w:hAnsi="Times New Roman" w:cs="Times New Roman"/>
                <w:b w:val="0"/>
                <w:sz w:val="18"/>
                <w:szCs w:val="18"/>
              </w:rPr>
              <w:t xml:space="preserve">   15k - 25k and 25k - 40k</w:t>
            </w:r>
          </w:p>
          <w:p w14:paraId="2905C4CB" w14:textId="77777777" w:rsidR="00D26D51" w:rsidRPr="00D26D51" w:rsidRDefault="00D26D51" w:rsidP="00D26D51">
            <w:pPr>
              <w:spacing w:after="60"/>
              <w:rPr>
                <w:rFonts w:ascii="Times New Roman" w:hAnsi="Times New Roman" w:cs="Times New Roman"/>
                <w:b w:val="0"/>
                <w:sz w:val="18"/>
                <w:szCs w:val="18"/>
              </w:rPr>
            </w:pPr>
            <w:r w:rsidRPr="00D26D51">
              <w:rPr>
                <w:rFonts w:ascii="Times New Roman" w:hAnsi="Times New Roman" w:cs="Times New Roman"/>
                <w:b w:val="0"/>
                <w:sz w:val="18"/>
                <w:szCs w:val="18"/>
              </w:rPr>
              <w:t xml:space="preserve">   25k - 40k and 40k+</w:t>
            </w:r>
          </w:p>
        </w:tc>
        <w:tc>
          <w:tcPr>
            <w:tcW w:w="2160" w:type="dxa"/>
            <w:tcBorders>
              <w:top w:val="nil"/>
              <w:bottom w:val="nil"/>
            </w:tcBorders>
          </w:tcPr>
          <w:p w14:paraId="5D5B5684" w14:textId="77777777" w:rsidR="00D26D51" w:rsidRPr="00D26D51" w:rsidRDefault="00D26D51" w:rsidP="00D26D51">
            <w:pPr>
              <w:spacing w:before="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1412FDB1" w14:textId="77777777" w:rsidR="00D26D51" w:rsidRPr="00D26D51" w:rsidRDefault="00D26D51" w:rsidP="00D26D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0.821***</w:t>
            </w:r>
          </w:p>
          <w:p w14:paraId="379B2CD1" w14:textId="77777777" w:rsidR="00D26D51" w:rsidRPr="00D26D51" w:rsidRDefault="00D26D51" w:rsidP="00D26D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1.448***</w:t>
            </w:r>
          </w:p>
          <w:p w14:paraId="57132CA2" w14:textId="77777777" w:rsidR="00D26D51" w:rsidRPr="00D26D51" w:rsidRDefault="00D26D51" w:rsidP="00D26D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2.316***</w:t>
            </w:r>
          </w:p>
          <w:p w14:paraId="15A43379" w14:textId="77777777" w:rsidR="00D26D51" w:rsidRPr="00D26D51" w:rsidRDefault="00D26D51" w:rsidP="00D26D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3.139***</w:t>
            </w:r>
          </w:p>
        </w:tc>
        <w:tc>
          <w:tcPr>
            <w:tcW w:w="1980" w:type="dxa"/>
            <w:tcBorders>
              <w:top w:val="nil"/>
              <w:bottom w:val="nil"/>
            </w:tcBorders>
          </w:tcPr>
          <w:p w14:paraId="57575CA8" w14:textId="77777777" w:rsidR="00D26D51" w:rsidRPr="00D26D51" w:rsidRDefault="00D26D51" w:rsidP="00D26D51">
            <w:pPr>
              <w:spacing w:before="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w:t>
            </w:r>
          </w:p>
        </w:tc>
      </w:tr>
      <w:tr w:rsidR="00D26D51" w:rsidRPr="00D26D51" w14:paraId="4CB79C75" w14:textId="77777777" w:rsidTr="00D26D51">
        <w:tc>
          <w:tcPr>
            <w:cnfStyle w:val="001000000000" w:firstRow="0" w:lastRow="0" w:firstColumn="1" w:lastColumn="0" w:oddVBand="0" w:evenVBand="0" w:oddHBand="0" w:evenHBand="0" w:firstRowFirstColumn="0" w:firstRowLastColumn="0" w:lastRowFirstColumn="0" w:lastRowLastColumn="0"/>
            <w:tcW w:w="3780" w:type="dxa"/>
            <w:tcBorders>
              <w:top w:val="nil"/>
              <w:bottom w:val="nil"/>
            </w:tcBorders>
            <w:noWrap/>
          </w:tcPr>
          <w:p w14:paraId="554E50B2" w14:textId="77777777" w:rsidR="00D26D51" w:rsidRPr="00D26D51" w:rsidRDefault="00D26D51" w:rsidP="00D26D51">
            <w:pPr>
              <w:rPr>
                <w:rFonts w:ascii="Times New Roman" w:hAnsi="Times New Roman" w:cs="Times New Roman"/>
                <w:b w:val="0"/>
                <w:i/>
                <w:sz w:val="18"/>
                <w:szCs w:val="18"/>
              </w:rPr>
            </w:pPr>
            <w:r w:rsidRPr="00D26D51">
              <w:rPr>
                <w:rFonts w:ascii="Times New Roman" w:hAnsi="Times New Roman" w:cs="Times New Roman"/>
                <w:b w:val="0"/>
                <w:i/>
                <w:sz w:val="18"/>
                <w:szCs w:val="18"/>
              </w:rPr>
              <w:t>Threshold values (ownership time in years):</w:t>
            </w:r>
          </w:p>
          <w:p w14:paraId="387AB261" w14:textId="77777777" w:rsidR="00D26D51" w:rsidRPr="00D26D51" w:rsidRDefault="00D26D51" w:rsidP="00D26D51">
            <w:pPr>
              <w:rPr>
                <w:rFonts w:ascii="Times New Roman" w:hAnsi="Times New Roman" w:cs="Times New Roman"/>
                <w:b w:val="0"/>
                <w:sz w:val="18"/>
                <w:szCs w:val="18"/>
              </w:rPr>
            </w:pPr>
            <w:r w:rsidRPr="00D26D51">
              <w:rPr>
                <w:rFonts w:ascii="Times New Roman" w:hAnsi="Times New Roman" w:cs="Times New Roman"/>
                <w:b w:val="0"/>
                <w:sz w:val="18"/>
                <w:szCs w:val="18"/>
              </w:rPr>
              <w:t xml:space="preserve">   4 to 6 and 7 to 10</w:t>
            </w:r>
          </w:p>
          <w:p w14:paraId="5619F46D" w14:textId="77777777" w:rsidR="00D26D51" w:rsidRPr="00D26D51" w:rsidRDefault="00D26D51" w:rsidP="00D26D51">
            <w:pPr>
              <w:spacing w:after="60"/>
              <w:rPr>
                <w:rFonts w:ascii="Times New Roman" w:hAnsi="Times New Roman" w:cs="Times New Roman"/>
                <w:b w:val="0"/>
                <w:sz w:val="18"/>
                <w:szCs w:val="18"/>
              </w:rPr>
            </w:pPr>
            <w:r w:rsidRPr="00D26D51">
              <w:rPr>
                <w:rFonts w:ascii="Times New Roman" w:hAnsi="Times New Roman" w:cs="Times New Roman"/>
                <w:b w:val="0"/>
                <w:sz w:val="18"/>
                <w:szCs w:val="18"/>
              </w:rPr>
              <w:t xml:space="preserve">   7 to 10 and 10+</w:t>
            </w:r>
          </w:p>
        </w:tc>
        <w:tc>
          <w:tcPr>
            <w:tcW w:w="2160" w:type="dxa"/>
            <w:tcBorders>
              <w:top w:val="nil"/>
              <w:bottom w:val="nil"/>
            </w:tcBorders>
          </w:tcPr>
          <w:p w14:paraId="3CC2D47C"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195E7F8D"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w:t>
            </w:r>
          </w:p>
        </w:tc>
        <w:tc>
          <w:tcPr>
            <w:tcW w:w="1980" w:type="dxa"/>
            <w:tcBorders>
              <w:top w:val="nil"/>
              <w:bottom w:val="nil"/>
            </w:tcBorders>
          </w:tcPr>
          <w:p w14:paraId="59500A48"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6EA73FA0"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1.216***</w:t>
            </w:r>
          </w:p>
          <w:p w14:paraId="2140C44E"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1.980***</w:t>
            </w:r>
          </w:p>
        </w:tc>
      </w:tr>
      <w:tr w:rsidR="00D26D51" w:rsidRPr="00D26D51" w14:paraId="1D401864" w14:textId="77777777" w:rsidTr="00D26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Borders>
              <w:top w:val="nil"/>
              <w:bottom w:val="single" w:sz="4" w:space="0" w:color="auto"/>
            </w:tcBorders>
            <w:noWrap/>
          </w:tcPr>
          <w:p w14:paraId="3AFA1037" w14:textId="77777777" w:rsidR="00D26D51" w:rsidRPr="00D26D51" w:rsidRDefault="00D26D51" w:rsidP="00D26D51">
            <w:pPr>
              <w:spacing w:after="60"/>
              <w:rPr>
                <w:rFonts w:ascii="Times New Roman" w:hAnsi="Times New Roman" w:cs="Times New Roman"/>
                <w:b w:val="0"/>
                <w:sz w:val="18"/>
                <w:szCs w:val="18"/>
              </w:rPr>
            </w:pPr>
            <w:r w:rsidRPr="00D26D51">
              <w:rPr>
                <w:rFonts w:ascii="Times New Roman" w:hAnsi="Times New Roman" w:cs="Times New Roman"/>
                <w:b w:val="0"/>
                <w:sz w:val="18"/>
                <w:szCs w:val="18"/>
              </w:rPr>
              <w:t xml:space="preserve">Correlation coefficient </w:t>
            </w:r>
          </w:p>
        </w:tc>
        <w:tc>
          <w:tcPr>
            <w:tcW w:w="2160" w:type="dxa"/>
            <w:tcBorders>
              <w:top w:val="nil"/>
              <w:bottom w:val="single" w:sz="4" w:space="0" w:color="auto"/>
            </w:tcBorders>
          </w:tcPr>
          <w:p w14:paraId="264CF469" w14:textId="77777777" w:rsidR="00D26D51" w:rsidRPr="00D26D51" w:rsidRDefault="00D26D51" w:rsidP="00D26D51">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-0.064***</w:t>
            </w:r>
          </w:p>
        </w:tc>
        <w:tc>
          <w:tcPr>
            <w:tcW w:w="1980" w:type="dxa"/>
            <w:tcBorders>
              <w:top w:val="nil"/>
              <w:bottom w:val="single" w:sz="4" w:space="0" w:color="auto"/>
            </w:tcBorders>
          </w:tcPr>
          <w:p w14:paraId="71491F3B" w14:textId="77777777" w:rsidR="00D26D51" w:rsidRPr="00D26D51" w:rsidRDefault="00D26D51" w:rsidP="00D26D51">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D26D51" w:rsidRPr="00D26D51" w14:paraId="1D77265B" w14:textId="77777777" w:rsidTr="00D26D51">
        <w:tc>
          <w:tcPr>
            <w:cnfStyle w:val="001000000000" w:firstRow="0" w:lastRow="0" w:firstColumn="1" w:lastColumn="0" w:oddVBand="0" w:evenVBand="0" w:oddHBand="0" w:evenHBand="0" w:firstRowFirstColumn="0" w:firstRowLastColumn="0" w:lastRowFirstColumn="0" w:lastRowLastColumn="0"/>
            <w:tcW w:w="3780" w:type="dxa"/>
            <w:tcBorders>
              <w:top w:val="single" w:sz="4" w:space="0" w:color="auto"/>
              <w:bottom w:val="nil"/>
            </w:tcBorders>
            <w:noWrap/>
          </w:tcPr>
          <w:p w14:paraId="3EF474D7" w14:textId="77777777" w:rsidR="00D26D51" w:rsidRPr="00D26D51" w:rsidRDefault="00D26D51" w:rsidP="00D26D51">
            <w:pPr>
              <w:spacing w:before="120"/>
              <w:rPr>
                <w:rFonts w:ascii="Times New Roman" w:hAnsi="Times New Roman" w:cs="Times New Roman"/>
                <w:b w:val="0"/>
                <w:sz w:val="18"/>
                <w:szCs w:val="18"/>
              </w:rPr>
            </w:pPr>
            <w:r w:rsidRPr="00D26D51">
              <w:rPr>
                <w:rFonts w:ascii="Times New Roman" w:hAnsi="Times New Roman" w:cs="Times New Roman"/>
                <w:b w:val="0"/>
                <w:sz w:val="18"/>
                <w:szCs w:val="18"/>
              </w:rPr>
              <w:t>SUMMARY STATISTICS</w:t>
            </w:r>
          </w:p>
          <w:p w14:paraId="43334501" w14:textId="77777777" w:rsidR="00D26D51" w:rsidRPr="00D26D51" w:rsidRDefault="00D26D51" w:rsidP="00D26D51">
            <w:pPr>
              <w:rPr>
                <w:rFonts w:ascii="Times New Roman" w:hAnsi="Times New Roman" w:cs="Times New Roman"/>
                <w:b w:val="0"/>
                <w:sz w:val="18"/>
                <w:szCs w:val="18"/>
              </w:rPr>
            </w:pPr>
            <w:r w:rsidRPr="00D26D51">
              <w:rPr>
                <w:rFonts w:ascii="Times New Roman" w:hAnsi="Times New Roman" w:cs="Times New Roman"/>
                <w:b w:val="0"/>
                <w:sz w:val="18"/>
                <w:szCs w:val="18"/>
              </w:rPr>
              <w:t xml:space="preserve">   N</w:t>
            </w:r>
          </w:p>
          <w:p w14:paraId="20EB1C98" w14:textId="77777777" w:rsidR="00D26D51" w:rsidRPr="00D26D51" w:rsidRDefault="00D26D51" w:rsidP="00D26D51">
            <w:pPr>
              <w:rPr>
                <w:rFonts w:ascii="Times New Roman" w:hAnsi="Times New Roman" w:cs="Times New Roman"/>
                <w:b w:val="0"/>
                <w:sz w:val="18"/>
                <w:szCs w:val="18"/>
              </w:rPr>
            </w:pPr>
            <w:r w:rsidRPr="00D26D51">
              <w:rPr>
                <w:rFonts w:ascii="Times New Roman" w:hAnsi="Times New Roman" w:cs="Times New Roman"/>
                <w:b w:val="0"/>
                <w:sz w:val="18"/>
                <w:szCs w:val="18"/>
              </w:rPr>
              <w:t xml:space="preserve">   Log likelihood function</w:t>
            </w:r>
          </w:p>
          <w:p w14:paraId="76B4B5E7" w14:textId="77777777" w:rsidR="00D26D51" w:rsidRPr="00D26D51" w:rsidRDefault="00D26D51" w:rsidP="00D26D51">
            <w:pPr>
              <w:rPr>
                <w:rFonts w:ascii="Times New Roman" w:hAnsi="Times New Roman" w:cs="Times New Roman"/>
                <w:b w:val="0"/>
                <w:sz w:val="18"/>
                <w:szCs w:val="18"/>
              </w:rPr>
            </w:pPr>
            <w:r w:rsidRPr="00D26D51">
              <w:rPr>
                <w:rFonts w:ascii="Times New Roman" w:hAnsi="Times New Roman" w:cs="Times New Roman"/>
                <w:b w:val="0"/>
                <w:sz w:val="18"/>
                <w:szCs w:val="18"/>
              </w:rPr>
              <w:t xml:space="preserve">   Restricted log likelihood</w:t>
            </w:r>
          </w:p>
        </w:tc>
        <w:tc>
          <w:tcPr>
            <w:tcW w:w="2160" w:type="dxa"/>
            <w:tcBorders>
              <w:top w:val="single" w:sz="4" w:space="0" w:color="auto"/>
              <w:bottom w:val="nil"/>
            </w:tcBorders>
          </w:tcPr>
          <w:p w14:paraId="0DB35216" w14:textId="77777777" w:rsidR="00D26D51" w:rsidRPr="00D26D51" w:rsidRDefault="00D26D51" w:rsidP="00D26D51">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3360D083"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19,707</w:t>
            </w:r>
          </w:p>
          <w:p w14:paraId="242C061C"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-56194</w:t>
            </w:r>
          </w:p>
          <w:p w14:paraId="47F335D1" w14:textId="77777777" w:rsidR="00D26D51" w:rsidRPr="00D26D51" w:rsidRDefault="00D26D51" w:rsidP="00D26D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26D51">
              <w:rPr>
                <w:rFonts w:ascii="Times New Roman" w:hAnsi="Times New Roman" w:cs="Times New Roman"/>
                <w:sz w:val="18"/>
                <w:szCs w:val="18"/>
              </w:rPr>
              <w:t>-57952</w:t>
            </w:r>
          </w:p>
        </w:tc>
        <w:tc>
          <w:tcPr>
            <w:tcW w:w="1980" w:type="dxa"/>
            <w:tcBorders>
              <w:top w:val="single" w:sz="4" w:space="0" w:color="auto"/>
              <w:bottom w:val="nil"/>
            </w:tcBorders>
          </w:tcPr>
          <w:p w14:paraId="58645E01" w14:textId="77777777" w:rsidR="00D26D51" w:rsidRPr="00D26D51" w:rsidRDefault="00D26D51" w:rsidP="00D26D51">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D26D51" w:rsidRPr="00D26D51" w14:paraId="6CBDF9C2" w14:textId="77777777" w:rsidTr="00D26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Borders>
              <w:top w:val="nil"/>
            </w:tcBorders>
            <w:noWrap/>
          </w:tcPr>
          <w:p w14:paraId="7F072A4D" w14:textId="77777777" w:rsidR="00D26D51" w:rsidRPr="00D26D51" w:rsidRDefault="00D26D51" w:rsidP="00D26D51">
            <w:pPr>
              <w:spacing w:after="60"/>
              <w:rPr>
                <w:rFonts w:ascii="Times New Roman" w:hAnsi="Times New Roman" w:cs="Times New Roman"/>
                <w:b w:val="0"/>
                <w:color w:val="000000"/>
                <w:sz w:val="18"/>
                <w:szCs w:val="18"/>
              </w:rPr>
            </w:pPr>
            <w:r w:rsidRPr="00D26D51">
              <w:rPr>
                <w:rFonts w:ascii="Times New Roman" w:hAnsi="Times New Roman" w:cs="Times New Roman"/>
                <w:b w:val="0"/>
                <w:color w:val="000000"/>
                <w:sz w:val="18"/>
                <w:szCs w:val="18"/>
              </w:rPr>
              <w:t xml:space="preserve">   McFadden Pseudo R-squared </w:t>
            </w:r>
          </w:p>
        </w:tc>
        <w:tc>
          <w:tcPr>
            <w:tcW w:w="2160" w:type="dxa"/>
            <w:tcBorders>
              <w:top w:val="nil"/>
            </w:tcBorders>
          </w:tcPr>
          <w:p w14:paraId="50EEC37C" w14:textId="77777777" w:rsidR="00D26D51" w:rsidRPr="00D26D51" w:rsidRDefault="00D26D51" w:rsidP="00D26D51">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D26D51">
              <w:rPr>
                <w:rFonts w:ascii="Times New Roman" w:hAnsi="Times New Roman" w:cs="Times New Roman"/>
                <w:color w:val="000000"/>
                <w:sz w:val="18"/>
                <w:szCs w:val="18"/>
              </w:rPr>
              <w:t>0.031</w:t>
            </w:r>
          </w:p>
        </w:tc>
        <w:tc>
          <w:tcPr>
            <w:tcW w:w="1980" w:type="dxa"/>
            <w:tcBorders>
              <w:top w:val="nil"/>
            </w:tcBorders>
          </w:tcPr>
          <w:p w14:paraId="72CE3B18" w14:textId="77777777" w:rsidR="00D26D51" w:rsidRPr="00D26D51" w:rsidRDefault="00D26D51" w:rsidP="00D26D51">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p>
        </w:tc>
      </w:tr>
      <w:tr w:rsidR="00D26D51" w:rsidRPr="00D26D51" w14:paraId="1DFF93A7" w14:textId="77777777" w:rsidTr="00D26D51">
        <w:tc>
          <w:tcPr>
            <w:cnfStyle w:val="001000000000" w:firstRow="0" w:lastRow="0" w:firstColumn="1" w:lastColumn="0" w:oddVBand="0" w:evenVBand="0" w:oddHBand="0" w:evenHBand="0" w:firstRowFirstColumn="0" w:firstRowLastColumn="0" w:lastRowFirstColumn="0" w:lastRowLastColumn="0"/>
            <w:tcW w:w="7920" w:type="dxa"/>
            <w:gridSpan w:val="3"/>
            <w:tcBorders>
              <w:bottom w:val="nil"/>
            </w:tcBorders>
            <w:noWrap/>
          </w:tcPr>
          <w:p w14:paraId="4F237300" w14:textId="77777777" w:rsidR="00D26D51" w:rsidRPr="00D26D51" w:rsidRDefault="00D26D51" w:rsidP="00D26D51">
            <w:pPr>
              <w:spacing w:before="60"/>
              <w:rPr>
                <w:rFonts w:ascii="Times New Roman" w:eastAsia="Times New Roman" w:hAnsi="Times New Roman" w:cs="Times New Roman"/>
                <w:b w:val="0"/>
                <w:sz w:val="18"/>
                <w:szCs w:val="18"/>
              </w:rPr>
            </w:pPr>
            <w:r w:rsidRPr="00D26D51">
              <w:rPr>
                <w:rFonts w:ascii="Times New Roman" w:eastAsia="Times New Roman" w:hAnsi="Times New Roman" w:cs="Times New Roman"/>
                <w:b w:val="0"/>
                <w:sz w:val="18"/>
                <w:szCs w:val="18"/>
              </w:rPr>
              <w:t>***, **, * indicate statistical significance at 1%, 5% and 10% significance level, respectively.</w:t>
            </w:r>
          </w:p>
        </w:tc>
      </w:tr>
    </w:tbl>
    <w:p w14:paraId="7AD83603" w14:textId="77777777" w:rsidR="008A1CD2" w:rsidRDefault="008A1CD2" w:rsidP="008A1CD2">
      <w:pPr>
        <w:rPr>
          <w:rFonts w:ascii="Times New Roman" w:hAnsi="Times New Roman" w:cs="Times New Roman"/>
          <w:color w:val="000000"/>
        </w:rPr>
      </w:pPr>
      <w:r w:rsidRPr="00C01B32">
        <w:rPr>
          <w:rFonts w:ascii="Times New Roman" w:hAnsi="Times New Roman" w:cs="Times New Roman"/>
          <w:color w:val="000000"/>
        </w:rPr>
        <w:lastRenderedPageBreak/>
        <w:t>The results of geographical variables show that the level of urbanization has a significant, non-linear impact on vehicle usage (Ewing and Cervero, 2001). Households living in a medium urbanized area (suburbs) are associated with higher mileage compared to those in areas characterized by a low level of urbanization (rural areas). In contrast, those living in places with a higher level of urbanization (downtown core or central business district) are associated with lower mileage due to shorter distances in between destinations compared to rural areas. Changes in urban levels of household location were also investigated in Cirillo and Liu’s (2013) study in which households living in dense urbanized areas tend to drive less.</w:t>
      </w:r>
    </w:p>
    <w:p w14:paraId="70D04089" w14:textId="4F080EDD" w:rsidR="00C01B32" w:rsidRPr="00C01B32" w:rsidRDefault="00C01B32" w:rsidP="00C01B32">
      <w:pPr>
        <w:rPr>
          <w:rFonts w:ascii="Times New Roman" w:hAnsi="Times New Roman" w:cs="Times New Roman"/>
          <w:color w:val="000000"/>
        </w:rPr>
      </w:pPr>
      <w:r w:rsidRPr="00C01B32">
        <w:rPr>
          <w:rFonts w:ascii="Times New Roman" w:hAnsi="Times New Roman" w:cs="Times New Roman"/>
          <w:color w:val="000000"/>
        </w:rPr>
        <w:t>With regard to province, households living in Nova Scotia, New Brunswick, and Quebec are associated with higher annual mileage compared to Ontario. This finding is in line with commuting distance results as the average daily commuting distances in these provinces are among the longest in Canada (Statistics Canada, 2016). The coefficients for Newfoundland and Labrador and Prince Edward Island were insignificant.</w:t>
      </w:r>
    </w:p>
    <w:p w14:paraId="0048C3EE" w14:textId="207ABBAA" w:rsidR="00C01B32" w:rsidRDefault="00C01B32" w:rsidP="00C01B32">
      <w:pPr>
        <w:rPr>
          <w:rFonts w:ascii="Times New Roman" w:hAnsi="Times New Roman" w:cs="Times New Roman"/>
          <w:color w:val="000000"/>
        </w:rPr>
      </w:pPr>
      <w:r w:rsidRPr="00C01B32">
        <w:rPr>
          <w:rFonts w:ascii="Times New Roman" w:hAnsi="Times New Roman" w:cs="Times New Roman"/>
          <w:color w:val="000000"/>
        </w:rPr>
        <w:t>With respect to ownership period, the Atlantic provinces and Quebec (i.e., all provinces east of Ontario) have a shorter holding period, while the western provinces, Manitoba, Alberta, and British Columbia, are associated with longer ownership period.</w:t>
      </w:r>
      <w:r w:rsidR="003658FD">
        <w:rPr>
          <w:rFonts w:ascii="Times New Roman" w:hAnsi="Times New Roman" w:cs="Times New Roman"/>
          <w:color w:val="000000"/>
        </w:rPr>
        <w:t xml:space="preserve"> The shorter vehicle ownership period in </w:t>
      </w:r>
      <w:r w:rsidR="00CC4A52">
        <w:rPr>
          <w:rFonts w:ascii="Times New Roman" w:hAnsi="Times New Roman" w:cs="Times New Roman"/>
          <w:color w:val="000000"/>
        </w:rPr>
        <w:t xml:space="preserve">the </w:t>
      </w:r>
      <w:r w:rsidR="003658FD">
        <w:rPr>
          <w:rFonts w:ascii="Times New Roman" w:hAnsi="Times New Roman" w:cs="Times New Roman"/>
          <w:color w:val="000000"/>
        </w:rPr>
        <w:t>Atlantic provinces can be due to proximity to the ocean</w:t>
      </w:r>
      <w:r w:rsidR="00CC4A52">
        <w:rPr>
          <w:rFonts w:ascii="Times New Roman" w:hAnsi="Times New Roman" w:cs="Times New Roman"/>
          <w:color w:val="000000"/>
        </w:rPr>
        <w:t>,</w:t>
      </w:r>
      <w:r w:rsidR="003658FD">
        <w:rPr>
          <w:rFonts w:ascii="Times New Roman" w:hAnsi="Times New Roman" w:cs="Times New Roman"/>
          <w:color w:val="000000"/>
        </w:rPr>
        <w:t xml:space="preserve"> which decreases </w:t>
      </w:r>
      <w:r w:rsidR="00CC4A52">
        <w:rPr>
          <w:rFonts w:ascii="Times New Roman" w:hAnsi="Times New Roman" w:cs="Times New Roman"/>
          <w:color w:val="000000"/>
        </w:rPr>
        <w:t xml:space="preserve">a </w:t>
      </w:r>
      <w:r w:rsidR="003658FD">
        <w:rPr>
          <w:rFonts w:ascii="Times New Roman" w:hAnsi="Times New Roman" w:cs="Times New Roman"/>
          <w:color w:val="000000"/>
        </w:rPr>
        <w:t>vehicle’s longevity.</w:t>
      </w:r>
      <w:r w:rsidRPr="00C01B32">
        <w:rPr>
          <w:rFonts w:ascii="Times New Roman" w:hAnsi="Times New Roman" w:cs="Times New Roman"/>
          <w:color w:val="000000"/>
        </w:rPr>
        <w:t xml:space="preserve"> The coefficient for Saskatchewan was insignificant.</w:t>
      </w:r>
    </w:p>
    <w:p w14:paraId="02913431" w14:textId="77777777" w:rsidR="00D26D51" w:rsidRPr="0014385C" w:rsidRDefault="00D26D51" w:rsidP="00E1100F">
      <w:pPr>
        <w:pStyle w:val="Heading2"/>
        <w:numPr>
          <w:ilvl w:val="1"/>
          <w:numId w:val="9"/>
        </w:numPr>
        <w:rPr>
          <w:rFonts w:ascii="Times New Roman" w:hAnsi="Times New Roman"/>
          <w:color w:val="000000"/>
        </w:rPr>
      </w:pPr>
      <w:bookmarkStart w:id="99" w:name="_Toc528650894"/>
      <w:r w:rsidRPr="0014385C">
        <w:rPr>
          <w:rFonts w:ascii="Times New Roman" w:hAnsi="Times New Roman"/>
          <w:color w:val="000000"/>
        </w:rPr>
        <w:lastRenderedPageBreak/>
        <w:t>Conclusion and Policy Implications</w:t>
      </w:r>
      <w:bookmarkEnd w:id="99"/>
    </w:p>
    <w:p w14:paraId="178BEE28" w14:textId="77777777" w:rsidR="00C01B32" w:rsidRPr="00C01B32" w:rsidRDefault="00C01B32" w:rsidP="00C01B32">
      <w:pPr>
        <w:rPr>
          <w:rFonts w:ascii="Times New Roman" w:hAnsi="Times New Roman" w:cs="Times New Roman"/>
          <w:color w:val="000000"/>
        </w:rPr>
      </w:pPr>
      <w:r w:rsidRPr="00C01B32">
        <w:rPr>
          <w:rFonts w:ascii="Times New Roman" w:hAnsi="Times New Roman" w:cs="Times New Roman"/>
          <w:color w:val="000000"/>
        </w:rPr>
        <w:t>In Canada, battery electric vehicles (BEVs) lag far behind their gasoline counterparts in terms of market share. The high initial price of BEVs is considered as one of the main barriers to adopting these vehicles (Lebeau et al., 2012). In this study, we analyzed the economic suitability of BEVs for Canadian households according to their specific conditions using TCO model. We also investigated household characteristics and geographic determinants of annual mileage and ownership period by estimating a bivariate ordered probit model.</w:t>
      </w:r>
    </w:p>
    <w:p w14:paraId="6E3C38C7" w14:textId="77777777" w:rsidR="00C01B32" w:rsidRPr="00C01B32" w:rsidRDefault="00C01B32" w:rsidP="00C01B32">
      <w:pPr>
        <w:rPr>
          <w:rFonts w:ascii="Times New Roman" w:hAnsi="Times New Roman" w:cs="Times New Roman"/>
          <w:color w:val="000000"/>
        </w:rPr>
      </w:pPr>
      <w:r w:rsidRPr="00C01B32">
        <w:rPr>
          <w:rFonts w:ascii="Times New Roman" w:hAnsi="Times New Roman" w:cs="Times New Roman"/>
          <w:color w:val="000000"/>
        </w:rPr>
        <w:t>Applying the TCO calculations for all users in our sample, we find that even with today’s electric vehicles present in the market, that are considered to have high purchase price, 18% of Canadian households are BEV-suited.</w:t>
      </w:r>
    </w:p>
    <w:p w14:paraId="175B1674" w14:textId="77777777" w:rsidR="00C01B32" w:rsidRPr="00C01B32" w:rsidRDefault="00C01B32" w:rsidP="00C01B32">
      <w:pPr>
        <w:rPr>
          <w:rFonts w:ascii="Times New Roman" w:hAnsi="Times New Roman" w:cs="Times New Roman"/>
          <w:color w:val="000000"/>
        </w:rPr>
      </w:pPr>
      <w:r w:rsidRPr="00C01B32">
        <w:rPr>
          <w:rFonts w:ascii="Times New Roman" w:hAnsi="Times New Roman" w:cs="Times New Roman"/>
          <w:color w:val="000000"/>
        </w:rPr>
        <w:t>Yet, the question still remains as to why the market share of BEVs in Canada is nothing close to this number? Part of the answer certainly comes from a low awareness and lack of information regarding the economic benefits of BEVs over the period of ownership. Dumortier et al. (2015) found that increasing consumers’ awareness about the total cost of owning an electric vehicle has a potential to raise consumers’ preferences toward these vehicles. The present study aims to provide such information along with profiles of households that are suited for a BEV purchase by investigating the most influential factors in the TCO model, annual mileage and ownership period.</w:t>
      </w:r>
    </w:p>
    <w:p w14:paraId="1C792E71" w14:textId="77777777" w:rsidR="00C01B32" w:rsidRPr="00C01B32" w:rsidRDefault="00C01B32" w:rsidP="00C01B32">
      <w:pPr>
        <w:rPr>
          <w:rFonts w:ascii="Times New Roman" w:hAnsi="Times New Roman" w:cs="Times New Roman"/>
          <w:color w:val="000000"/>
        </w:rPr>
      </w:pPr>
      <w:r w:rsidRPr="00C01B32">
        <w:rPr>
          <w:rFonts w:ascii="Times New Roman" w:hAnsi="Times New Roman" w:cs="Times New Roman"/>
          <w:color w:val="000000"/>
        </w:rPr>
        <w:lastRenderedPageBreak/>
        <w:t>We find that a household with higher income that lives in areas with a medium level of urbanization (suburbs) and has an educated, middle-aged household head is more likely to benefit economically from a BEV purchase. This information along with the results of the TCO model can make prospective buyers aware of the savings they could make through the years of ownership if their mileage is high enough, and thus increase the possibility of switching to a BEV for their next purchase (Dumortier et al. 2015).</w:t>
      </w:r>
    </w:p>
    <w:p w14:paraId="6FF777C5" w14:textId="77777777" w:rsidR="00C01B32" w:rsidRPr="00C01B32" w:rsidRDefault="00C01B32" w:rsidP="00C01B32">
      <w:pPr>
        <w:rPr>
          <w:rFonts w:ascii="Times New Roman" w:hAnsi="Times New Roman" w:cs="Times New Roman"/>
          <w:color w:val="000000"/>
        </w:rPr>
      </w:pPr>
      <w:r w:rsidRPr="00C01B32">
        <w:rPr>
          <w:rFonts w:ascii="Times New Roman" w:hAnsi="Times New Roman" w:cs="Times New Roman"/>
          <w:color w:val="000000"/>
        </w:rPr>
        <w:t xml:space="preserve">Based on our results, we make three remarks concerning policy. First, consumers should become more knowledgeable about the potential benefits of BEVs according to their preferred vehicle classes and typical driving patterns. Previous surveys have found that a vast majority of consumers have little knowledge about the specifics of plug-in electric vehicles such as the real costs over years of ownership, electric charging locations and operation, available incentives, and maximum ranges covered by these vehicles (Krause et al. 2013; Kurani et al. 2016). Providing prospective car buyers with relative advantages of BEVs through information has the potential to further increase the market share of BEVs (Hagman et al., 2016). Second, marketing strategies could be targeted towards those consumers with higher annual mileages and longer ownership periods based on the results obtained from our bivariate ordered probit model. For instance, households with higher social status who live in suburban areas are good starting points for both marketing and information campaigns. Third, financial incentives should be granted to BEV buyers, at least in the short run (until 2020), to increase the cost efficiency of these vehicles </w:t>
      </w:r>
      <w:r w:rsidRPr="00C01B32">
        <w:rPr>
          <w:rFonts w:ascii="Times New Roman" w:hAnsi="Times New Roman" w:cs="Times New Roman"/>
          <w:color w:val="000000"/>
        </w:rPr>
        <w:lastRenderedPageBreak/>
        <w:t>compared to equivalent ICEs. This can be achieved through both purchase rebates and tax credits (Zhang et al., 2016).</w:t>
      </w:r>
    </w:p>
    <w:p w14:paraId="03BAAECA" w14:textId="77777777" w:rsidR="00C01B32" w:rsidRPr="00C01B32" w:rsidRDefault="00C01B32" w:rsidP="00C01B32">
      <w:pPr>
        <w:rPr>
          <w:rFonts w:ascii="Times New Roman" w:hAnsi="Times New Roman" w:cs="Times New Roman"/>
          <w:color w:val="000000"/>
        </w:rPr>
      </w:pPr>
      <w:r w:rsidRPr="00C01B32">
        <w:rPr>
          <w:rFonts w:ascii="Times New Roman" w:hAnsi="Times New Roman" w:cs="Times New Roman"/>
          <w:color w:val="000000"/>
        </w:rPr>
        <w:t xml:space="preserve">We acknowledge that our study focuses on cost factors only. Other determining factors such as range, charging time, and environmental aspects, or a combination of these factors, could be the topic of future studies to compare BEVs with conventional vehicles. Another limitation is the consideration of only three models of BEVs. It would be interesting to study other available models and compare those to equivalent ICEs within the Canadian market. Also, the seven vehicle classes investigated in the current analysis were grouped into three larger segments due to the lack of a wide variety of BEV models in the market. For instance, as we write this paper, there is no plug-in electric pickup available in the global auto market. </w:t>
      </w:r>
    </w:p>
    <w:p w14:paraId="2BD0365A" w14:textId="77777777" w:rsidR="00C01B32" w:rsidRDefault="00C01B32" w:rsidP="00C01B32">
      <w:pPr>
        <w:rPr>
          <w:rFonts w:ascii="Times New Roman" w:hAnsi="Times New Roman" w:cs="Times New Roman"/>
          <w:color w:val="000000"/>
        </w:rPr>
      </w:pPr>
      <w:r w:rsidRPr="00C01B32">
        <w:rPr>
          <w:rFonts w:ascii="Times New Roman" w:hAnsi="Times New Roman" w:cs="Times New Roman"/>
          <w:color w:val="000000"/>
        </w:rPr>
        <w:t>The findings in this paper could provide policy makers and marketing strategists with the most effective policy measures and BEV education campaigns based on consumer characteristics/situations in order to increase BEV uptake in Canada. With increasing improvements being made to BEV batteries to extend their ranges, by providing financial incentives to temporarily reduce the initial costs gap, and by educating people about their own driving patterns and also BEVs’ long-term economic benefits, we expect a rapid BEV adoption rate in the near to medium term in Canada. The results of this study provide some reasons for that optimism.</w:t>
      </w:r>
    </w:p>
    <w:p w14:paraId="4896BF7B" w14:textId="77777777" w:rsidR="008A1CD2" w:rsidRDefault="008A1CD2" w:rsidP="00C01B32">
      <w:pPr>
        <w:rPr>
          <w:rFonts w:ascii="Times New Roman" w:hAnsi="Times New Roman" w:cs="Times New Roman"/>
          <w:color w:val="000000"/>
        </w:rPr>
      </w:pPr>
    </w:p>
    <w:p w14:paraId="6DC1F2A9" w14:textId="77777777" w:rsidR="00D26D51" w:rsidRPr="00D26D51" w:rsidRDefault="00D26D51" w:rsidP="00E1100F">
      <w:pPr>
        <w:pStyle w:val="ListParagraph"/>
        <w:numPr>
          <w:ilvl w:val="1"/>
          <w:numId w:val="9"/>
        </w:numPr>
        <w:outlineLvl w:val="1"/>
        <w:rPr>
          <w:rFonts w:ascii="Times New Roman" w:hAnsi="Times New Roman" w:cs="Times New Roman"/>
          <w:b/>
          <w:color w:val="000000"/>
        </w:rPr>
      </w:pPr>
      <w:bookmarkStart w:id="100" w:name="_Toc528650895"/>
      <w:r w:rsidRPr="00D26D51">
        <w:rPr>
          <w:rFonts w:ascii="Times New Roman" w:hAnsi="Times New Roman" w:cs="Times New Roman"/>
          <w:b/>
          <w:color w:val="000000"/>
        </w:rPr>
        <w:lastRenderedPageBreak/>
        <w:t>Acknowledgements</w:t>
      </w:r>
      <w:bookmarkEnd w:id="100"/>
    </w:p>
    <w:p w14:paraId="448720AD" w14:textId="77777777" w:rsidR="00D26D51" w:rsidRPr="00D26D51" w:rsidRDefault="00D26D51" w:rsidP="00D26D51">
      <w:pPr>
        <w:rPr>
          <w:rFonts w:ascii="Times New Roman" w:hAnsi="Times New Roman" w:cs="Times New Roman"/>
          <w:color w:val="000000"/>
        </w:rPr>
      </w:pPr>
      <w:r w:rsidRPr="00D26D51">
        <w:rPr>
          <w:rFonts w:ascii="Times New Roman" w:hAnsi="Times New Roman" w:cs="Times New Roman"/>
          <w:color w:val="000000"/>
        </w:rPr>
        <w:t xml:space="preserve">This work was supported by the Social Sciences and Humanities Research Council of Canada (Grant Number </w:t>
      </w:r>
      <w:r w:rsidRPr="00D26D51">
        <w:rPr>
          <w:rFonts w:ascii="Times New Roman" w:hAnsi="Times New Roman" w:cs="Times New Roman"/>
          <w:color w:val="000000"/>
          <w:lang w:val="en-US"/>
        </w:rPr>
        <w:t>886-2013-0001</w:t>
      </w:r>
      <w:r w:rsidRPr="00D26D51">
        <w:rPr>
          <w:rFonts w:ascii="Times New Roman" w:hAnsi="Times New Roman" w:cs="Times New Roman"/>
          <w:color w:val="000000"/>
        </w:rPr>
        <w:t>).</w:t>
      </w:r>
    </w:p>
    <w:p w14:paraId="0EFD5A40" w14:textId="77777777" w:rsidR="00D26D51" w:rsidRPr="00D26D51" w:rsidRDefault="00D26D51" w:rsidP="00E1100F">
      <w:pPr>
        <w:pStyle w:val="ListParagraph"/>
        <w:numPr>
          <w:ilvl w:val="1"/>
          <w:numId w:val="9"/>
        </w:numPr>
        <w:outlineLvl w:val="1"/>
        <w:rPr>
          <w:rFonts w:ascii="Times New Roman" w:hAnsi="Times New Roman" w:cs="Times New Roman"/>
          <w:b/>
          <w:color w:val="000000"/>
        </w:rPr>
      </w:pPr>
      <w:bookmarkStart w:id="101" w:name="_Toc528650896"/>
      <w:r w:rsidRPr="00D26D51">
        <w:rPr>
          <w:rFonts w:ascii="Times New Roman" w:hAnsi="Times New Roman" w:cs="Times New Roman"/>
          <w:b/>
          <w:color w:val="000000"/>
        </w:rPr>
        <w:t>References</w:t>
      </w:r>
      <w:bookmarkEnd w:id="101"/>
    </w:p>
    <w:p w14:paraId="287C1514" w14:textId="77777777" w:rsidR="00D26D51" w:rsidRPr="00D26D51" w:rsidRDefault="00D26D51" w:rsidP="00822B02">
      <w:pPr>
        <w:spacing w:line="360" w:lineRule="auto"/>
        <w:ind w:firstLine="0"/>
        <w:rPr>
          <w:rFonts w:ascii="Times New Roman" w:hAnsi="Times New Roman" w:cs="Times New Roman"/>
          <w:color w:val="000000"/>
        </w:rPr>
      </w:pPr>
      <w:r w:rsidRPr="00D26D51">
        <w:rPr>
          <w:rFonts w:ascii="Times New Roman" w:hAnsi="Times New Roman" w:cs="Times New Roman"/>
          <w:color w:val="000000"/>
        </w:rPr>
        <w:t>Al-Alawi, B.M., Bradley, T.H. 2013. Total cost of ownership, payback, and consumer preference modeling of plug-in hybrid electric vehicles. Applied Energy 103, 488–506.</w:t>
      </w:r>
    </w:p>
    <w:p w14:paraId="3B417336" w14:textId="77777777" w:rsidR="00D26D51" w:rsidRPr="00D26D51" w:rsidRDefault="00D26D51" w:rsidP="00822B02">
      <w:pPr>
        <w:spacing w:line="360" w:lineRule="auto"/>
        <w:ind w:firstLine="0"/>
        <w:rPr>
          <w:rFonts w:ascii="Times New Roman" w:hAnsi="Times New Roman" w:cs="Times New Roman"/>
          <w:color w:val="000000"/>
        </w:rPr>
      </w:pPr>
      <w:r w:rsidRPr="00D26D51">
        <w:rPr>
          <w:rFonts w:ascii="Times New Roman" w:hAnsi="Times New Roman" w:cs="Times New Roman"/>
          <w:color w:val="000000"/>
        </w:rPr>
        <w:t xml:space="preserve">Bank of Canada. 2018. Interest rates.  </w:t>
      </w:r>
      <w:r w:rsidRPr="00D26D51">
        <w:rPr>
          <w:rFonts w:ascii="Times New Roman" w:hAnsi="Times New Roman" w:cs="Times New Roman"/>
          <w:color w:val="000000"/>
          <w:u w:val="single"/>
        </w:rPr>
        <w:t>https://www.bankofcanada.ca/rates/daily-digest/</w:t>
      </w:r>
      <w:r w:rsidRPr="00D26D51">
        <w:rPr>
          <w:rFonts w:ascii="Times New Roman" w:hAnsi="Times New Roman" w:cs="Times New Roman"/>
          <w:color w:val="000000"/>
        </w:rPr>
        <w:t>, Accessed 25 October 2018.</w:t>
      </w:r>
    </w:p>
    <w:p w14:paraId="58EDBB61" w14:textId="77777777" w:rsidR="00D26D51" w:rsidRPr="00D26D51" w:rsidRDefault="00D26D51" w:rsidP="00822B02">
      <w:pPr>
        <w:spacing w:line="360" w:lineRule="auto"/>
        <w:ind w:firstLine="0"/>
        <w:rPr>
          <w:rFonts w:ascii="Times New Roman" w:hAnsi="Times New Roman" w:cs="Times New Roman"/>
          <w:color w:val="000000"/>
        </w:rPr>
      </w:pPr>
      <w:r w:rsidRPr="00D26D51">
        <w:rPr>
          <w:rFonts w:ascii="Times New Roman" w:hAnsi="Times New Roman" w:cs="Times New Roman"/>
          <w:color w:val="000000"/>
        </w:rPr>
        <w:t xml:space="preserve">Canadian Automobile Association (CAA). 2017. Driving Costs Calculator. </w:t>
      </w:r>
      <w:r w:rsidRPr="00D26D51">
        <w:rPr>
          <w:rFonts w:ascii="Times New Roman" w:hAnsi="Times New Roman" w:cs="Times New Roman"/>
          <w:color w:val="000000"/>
          <w:u w:val="single"/>
        </w:rPr>
        <w:t>https://www.caa.ca/carcosts/</w:t>
      </w:r>
      <w:r w:rsidRPr="00D26D51">
        <w:rPr>
          <w:rFonts w:ascii="Times New Roman" w:hAnsi="Times New Roman" w:cs="Times New Roman"/>
          <w:color w:val="000000"/>
        </w:rPr>
        <w:t>, Accessed 25 October 2018.</w:t>
      </w:r>
    </w:p>
    <w:p w14:paraId="333A4D22" w14:textId="77777777" w:rsidR="00D26D51" w:rsidRPr="00D26D51" w:rsidRDefault="00D26D51" w:rsidP="00822B02">
      <w:pPr>
        <w:spacing w:line="360" w:lineRule="auto"/>
        <w:ind w:firstLine="0"/>
        <w:rPr>
          <w:rFonts w:ascii="Times New Roman" w:hAnsi="Times New Roman" w:cs="Times New Roman"/>
          <w:color w:val="000000"/>
        </w:rPr>
      </w:pPr>
      <w:r w:rsidRPr="00D26D51">
        <w:rPr>
          <w:rFonts w:ascii="Times New Roman" w:hAnsi="Times New Roman" w:cs="Times New Roman"/>
          <w:color w:val="000000"/>
        </w:rPr>
        <w:t>Cervero, R., Kockelman, K. 1997. Travel demand and the 3Ds: density, diversity, and design. Transportation Research Part D: Transport and Environment 2, 199–219.</w:t>
      </w:r>
    </w:p>
    <w:p w14:paraId="5EADE379" w14:textId="77777777" w:rsidR="00D26D51" w:rsidRPr="00D26D51" w:rsidRDefault="00D26D51" w:rsidP="00822B02">
      <w:pPr>
        <w:spacing w:line="360" w:lineRule="auto"/>
        <w:ind w:firstLine="0"/>
        <w:rPr>
          <w:rFonts w:ascii="Times New Roman" w:hAnsi="Times New Roman" w:cs="Times New Roman"/>
          <w:color w:val="000000"/>
        </w:rPr>
      </w:pPr>
      <w:r w:rsidRPr="00D26D51">
        <w:rPr>
          <w:rFonts w:ascii="Times New Roman" w:hAnsi="Times New Roman" w:cs="Times New Roman"/>
          <w:color w:val="000000"/>
        </w:rPr>
        <w:t>Cervero, R., Murakami, J. 2010. Effects of built environments on vehicle miles traveled: evidence from 370 US urbanized areas. Environment and Planning A 42, 400–418.</w:t>
      </w:r>
    </w:p>
    <w:p w14:paraId="4FFC75CB" w14:textId="77777777" w:rsidR="00D26D51" w:rsidRPr="00D26D51" w:rsidRDefault="00D26D51" w:rsidP="00822B02">
      <w:pPr>
        <w:spacing w:line="360" w:lineRule="auto"/>
        <w:ind w:firstLine="0"/>
        <w:rPr>
          <w:rFonts w:ascii="Times New Roman" w:hAnsi="Times New Roman" w:cs="Times New Roman"/>
          <w:color w:val="000000"/>
        </w:rPr>
      </w:pPr>
      <w:r w:rsidRPr="00D26D51">
        <w:rPr>
          <w:rFonts w:ascii="Times New Roman" w:hAnsi="Times New Roman" w:cs="Times New Roman"/>
          <w:color w:val="000000"/>
        </w:rPr>
        <w:t>Cirillo, C., Liu, Y. 2013. Vehicle ownership modeling framework for the state of Maryland : analysis and trends from 2001 and 2009 NHTS data. Journal of Urban Planning and Development 138, 1–11.</w:t>
      </w:r>
    </w:p>
    <w:p w14:paraId="233FC89C" w14:textId="77777777" w:rsidR="00D26D51" w:rsidRPr="00D26D51" w:rsidRDefault="00D26D51" w:rsidP="00822B02">
      <w:pPr>
        <w:spacing w:line="360" w:lineRule="auto"/>
        <w:ind w:firstLine="0"/>
        <w:rPr>
          <w:rFonts w:ascii="Times New Roman" w:hAnsi="Times New Roman" w:cs="Times New Roman"/>
          <w:color w:val="000000"/>
        </w:rPr>
      </w:pPr>
      <w:r w:rsidRPr="00D26D51">
        <w:rPr>
          <w:rFonts w:ascii="Times New Roman" w:hAnsi="Times New Roman" w:cs="Times New Roman"/>
          <w:color w:val="000000"/>
        </w:rPr>
        <w:t>Dumortier, J., Siddiki, S., Carley, S., Cisney, J., Krause, R.M., Lane, B.W., Rupp, J.A., Graham, J.D. 2015. Effects of providing total cost of ownership information on consumers’ intent to purchase a hybrid or plug-in electric vehicle. Transportation Research Part A: Policy and Practice 72, 71–86.</w:t>
      </w:r>
    </w:p>
    <w:p w14:paraId="60FFD6AC" w14:textId="77777777" w:rsidR="00D26D51" w:rsidRPr="00D26D51" w:rsidRDefault="00D26D51" w:rsidP="00822B02">
      <w:pPr>
        <w:spacing w:line="360" w:lineRule="auto"/>
        <w:ind w:firstLine="0"/>
        <w:rPr>
          <w:rFonts w:ascii="Times New Roman" w:hAnsi="Times New Roman" w:cs="Times New Roman"/>
          <w:color w:val="000000"/>
        </w:rPr>
      </w:pPr>
      <w:r w:rsidRPr="00D26D51">
        <w:rPr>
          <w:rFonts w:ascii="Times New Roman" w:hAnsi="Times New Roman" w:cs="Times New Roman"/>
          <w:color w:val="000000"/>
        </w:rPr>
        <w:lastRenderedPageBreak/>
        <w:t>Environment and Climate Change Canada. 2018. National Inventory Report 1990-2016: Greenhouse Gas Sources and Sinks in Canada. Environment and Climate Change Canada, Gatineau, QC (Cat. No. EN81-4/1E-PDF).</w:t>
      </w:r>
    </w:p>
    <w:p w14:paraId="51DB61B2" w14:textId="77777777" w:rsidR="00D26D51" w:rsidRPr="00D26D51" w:rsidRDefault="00D26D51" w:rsidP="00822B02">
      <w:pPr>
        <w:spacing w:line="360" w:lineRule="auto"/>
        <w:ind w:firstLine="0"/>
        <w:rPr>
          <w:rFonts w:ascii="Times New Roman" w:hAnsi="Times New Roman" w:cs="Times New Roman"/>
          <w:color w:val="000000"/>
        </w:rPr>
      </w:pPr>
      <w:r w:rsidRPr="00D26D51">
        <w:rPr>
          <w:rFonts w:ascii="Times New Roman" w:hAnsi="Times New Roman" w:cs="Times New Roman"/>
          <w:color w:val="000000"/>
        </w:rPr>
        <w:t>Ewing, R., Cervero, R. 2001. Travel and the built environment: a synthesis. Transportation Research Record: Journal of the Transportation Research Board 1780, 87–114.</w:t>
      </w:r>
    </w:p>
    <w:p w14:paraId="683FC201" w14:textId="77777777" w:rsidR="00D26D51" w:rsidRPr="00D26D51" w:rsidRDefault="00D26D51" w:rsidP="00822B02">
      <w:pPr>
        <w:spacing w:line="360" w:lineRule="auto"/>
        <w:ind w:firstLine="0"/>
        <w:rPr>
          <w:rFonts w:ascii="Times New Roman" w:hAnsi="Times New Roman" w:cs="Times New Roman"/>
          <w:color w:val="000000"/>
        </w:rPr>
      </w:pPr>
      <w:r w:rsidRPr="00D26D51">
        <w:rPr>
          <w:rFonts w:ascii="Times New Roman" w:hAnsi="Times New Roman" w:cs="Times New Roman"/>
          <w:color w:val="000000"/>
        </w:rPr>
        <w:t>Ferguson, M., Mohamed, M., Higgins, C.D., Abotalebi, E., Kanaroglou, P. 2018. How open are Canadian households to electric vehicles? A national latent class choice analysis with willingness-to-pay and metropolitan characterization. Transportation Research Part D: Transport and Environment 58, 208–224.</w:t>
      </w:r>
    </w:p>
    <w:p w14:paraId="7102801E" w14:textId="77777777" w:rsidR="00D26D51" w:rsidRPr="00D26D51" w:rsidRDefault="00D26D51" w:rsidP="00822B02">
      <w:pPr>
        <w:spacing w:line="360" w:lineRule="auto"/>
        <w:ind w:firstLine="0"/>
        <w:rPr>
          <w:rFonts w:ascii="Times New Roman" w:hAnsi="Times New Roman" w:cs="Times New Roman"/>
          <w:color w:val="000000"/>
        </w:rPr>
      </w:pPr>
      <w:r w:rsidRPr="00D26D51">
        <w:rPr>
          <w:rFonts w:ascii="Times New Roman" w:hAnsi="Times New Roman" w:cs="Times New Roman"/>
          <w:color w:val="000000"/>
        </w:rPr>
        <w:t>Graham-Rowe, E., Gardner, B., Abraham, C., Skippon, S., Dittmar, H., Hutchins, R., Stannard, J. 2012. Mainstream consumers driving plug-in battery-electric and plug-in hybrid electric cars: a qualitative analysis of responses and evaluations. Transportation Research Part A: Policy and Practice 46, 140–153.</w:t>
      </w:r>
    </w:p>
    <w:p w14:paraId="07FA0459" w14:textId="77777777" w:rsidR="00D26D51" w:rsidRPr="00D26D51" w:rsidRDefault="00D26D51" w:rsidP="00822B02">
      <w:pPr>
        <w:spacing w:line="360" w:lineRule="auto"/>
        <w:ind w:firstLine="0"/>
        <w:rPr>
          <w:rFonts w:ascii="Times New Roman" w:hAnsi="Times New Roman" w:cs="Times New Roman"/>
          <w:color w:val="000000"/>
        </w:rPr>
      </w:pPr>
      <w:r w:rsidRPr="00D26D51">
        <w:rPr>
          <w:rFonts w:ascii="Times New Roman" w:hAnsi="Times New Roman" w:cs="Times New Roman"/>
          <w:color w:val="000000"/>
        </w:rPr>
        <w:t>Hagman, J., Ritzén, S., Janhager Stier, J., Susilo, Y. 2016. Total cost of ownership and its potential implications for battery electric vehicle diffusion. Research in Transportation Business &amp; Management 18, 11–17.</w:t>
      </w:r>
    </w:p>
    <w:p w14:paraId="1D859124" w14:textId="77777777" w:rsidR="00D26D51" w:rsidRPr="00D26D51" w:rsidRDefault="00D26D51" w:rsidP="00822B02">
      <w:pPr>
        <w:spacing w:line="360" w:lineRule="auto"/>
        <w:ind w:firstLine="0"/>
        <w:rPr>
          <w:rFonts w:ascii="Times New Roman" w:hAnsi="Times New Roman" w:cs="Times New Roman"/>
          <w:color w:val="000000"/>
        </w:rPr>
      </w:pPr>
      <w:r w:rsidRPr="00D26D51">
        <w:rPr>
          <w:rFonts w:ascii="Times New Roman" w:hAnsi="Times New Roman" w:cs="Times New Roman"/>
          <w:color w:val="000000"/>
        </w:rPr>
        <w:t>Hidrue, M.K., Parsons, G.R., Kempton, W., Gardner, M.P. 2011. Willingness to pay for electric vehicles and their attributes. Resource and Energy Economics 33, 686–705.</w:t>
      </w:r>
    </w:p>
    <w:p w14:paraId="281DDE82" w14:textId="77777777" w:rsidR="00D26D51" w:rsidRPr="00D26D51" w:rsidRDefault="00D26D51" w:rsidP="00822B02">
      <w:pPr>
        <w:spacing w:line="360" w:lineRule="auto"/>
        <w:ind w:firstLine="0"/>
        <w:rPr>
          <w:rFonts w:ascii="Times New Roman" w:hAnsi="Times New Roman" w:cs="Times New Roman"/>
          <w:color w:val="000000"/>
        </w:rPr>
      </w:pPr>
      <w:r w:rsidRPr="00D26D51">
        <w:rPr>
          <w:rFonts w:ascii="Times New Roman" w:hAnsi="Times New Roman" w:cs="Times New Roman"/>
          <w:color w:val="000000"/>
        </w:rPr>
        <w:t>Higgins, C.D., Mohamed, M., Ferguson, M.R. 2017. Size matters: how vehicle body type affects consumer preferences for electric vehicles. Transportation Research Part A: Policy and Practice 100, 182–201.</w:t>
      </w:r>
    </w:p>
    <w:p w14:paraId="1CEDDF32" w14:textId="77777777" w:rsidR="00D26D51" w:rsidRPr="00D26D51" w:rsidRDefault="00D26D51" w:rsidP="00822B02">
      <w:pPr>
        <w:spacing w:line="360" w:lineRule="auto"/>
        <w:ind w:firstLine="0"/>
        <w:rPr>
          <w:rFonts w:ascii="Times New Roman" w:hAnsi="Times New Roman" w:cs="Times New Roman"/>
          <w:color w:val="000000"/>
        </w:rPr>
      </w:pPr>
      <w:r w:rsidRPr="00D26D51">
        <w:rPr>
          <w:rFonts w:ascii="Times New Roman" w:hAnsi="Times New Roman" w:cs="Times New Roman"/>
          <w:color w:val="000000"/>
        </w:rPr>
        <w:t>International Energy Agency (IEA). 2017. Global EV Outlook 2017: Two Million and Counting. IEA Publications, France.</w:t>
      </w:r>
    </w:p>
    <w:p w14:paraId="6C983CF4" w14:textId="77777777" w:rsidR="00C01B32" w:rsidRDefault="00D26D51" w:rsidP="00822B02">
      <w:pPr>
        <w:spacing w:line="360" w:lineRule="auto"/>
        <w:ind w:firstLine="0"/>
        <w:rPr>
          <w:rFonts w:ascii="Times New Roman" w:hAnsi="Times New Roman" w:cs="Times New Roman"/>
          <w:color w:val="000000"/>
        </w:rPr>
      </w:pPr>
      <w:r w:rsidRPr="00D26D51">
        <w:rPr>
          <w:rFonts w:ascii="Times New Roman" w:hAnsi="Times New Roman" w:cs="Times New Roman"/>
          <w:color w:val="000000"/>
        </w:rPr>
        <w:lastRenderedPageBreak/>
        <w:t>Khan, M., Kockelman, K.M. 2012. Predicting the market potential of plug-in electric vehicles using multiday GPS data. Energy Policy 46, 225–233.</w:t>
      </w:r>
    </w:p>
    <w:p w14:paraId="27675AE6" w14:textId="77777777" w:rsidR="00C01B32" w:rsidRDefault="00C01B32" w:rsidP="00822B02">
      <w:pPr>
        <w:spacing w:line="360" w:lineRule="auto"/>
        <w:ind w:firstLine="0"/>
        <w:rPr>
          <w:rFonts w:ascii="Times New Roman" w:hAnsi="Times New Roman" w:cs="Times New Roman"/>
          <w:color w:val="000000"/>
        </w:rPr>
      </w:pPr>
      <w:r w:rsidRPr="00C01B32">
        <w:rPr>
          <w:rFonts w:ascii="Times New Roman" w:hAnsi="Times New Roman" w:cs="Times New Roman"/>
          <w:color w:val="000000"/>
        </w:rPr>
        <w:t>Krause, R.M., Sanya, R.C, Lane, B.W., Graham, J.D. 2013. Perception and reality: public knowledge of plug-in electric vehicles in 21 U.S. cities. Energy Policy 63, 433-440.</w:t>
      </w:r>
    </w:p>
    <w:p w14:paraId="4316DF94" w14:textId="77777777" w:rsidR="00D26D51" w:rsidRDefault="00D26D51" w:rsidP="00822B02">
      <w:pPr>
        <w:spacing w:line="360" w:lineRule="auto"/>
        <w:ind w:firstLine="0"/>
        <w:rPr>
          <w:rFonts w:ascii="Times New Roman" w:hAnsi="Times New Roman" w:cs="Times New Roman"/>
          <w:color w:val="000000"/>
        </w:rPr>
      </w:pPr>
      <w:r w:rsidRPr="00D26D51">
        <w:rPr>
          <w:rFonts w:ascii="Times New Roman" w:hAnsi="Times New Roman" w:cs="Times New Roman"/>
          <w:color w:val="000000"/>
        </w:rPr>
        <w:t xml:space="preserve">Krupa, J.S., Rizzo, D.M., Eppstein, M.J., Lanute, D.B., Gaalema, D.E., Lakkaraju, K., Warrender, C.E. 2014. </w:t>
      </w:r>
      <w:hyperlink r:id="rId45" w:history="1">
        <w:r w:rsidRPr="00BA6F83">
          <w:rPr>
            <w:rStyle w:val="Hyperlink"/>
            <w:rFonts w:ascii="Times New Roman" w:hAnsi="Times New Roman" w:cs="Times New Roman"/>
            <w:color w:val="auto"/>
            <w:u w:val="none"/>
          </w:rPr>
          <w:t>Analysis of a consumer survey on plug-in hybrid electric vehicles</w:t>
        </w:r>
      </w:hyperlink>
      <w:r w:rsidRPr="00BA6F83">
        <w:rPr>
          <w:rFonts w:ascii="Times New Roman" w:hAnsi="Times New Roman" w:cs="Times New Roman"/>
        </w:rPr>
        <w:t>. </w:t>
      </w:r>
      <w:hyperlink r:id="rId46" w:history="1">
        <w:r w:rsidRPr="00BA6F83">
          <w:rPr>
            <w:rStyle w:val="Hyperlink"/>
            <w:rFonts w:ascii="Times New Roman" w:hAnsi="Times New Roman" w:cs="Times New Roman"/>
            <w:color w:val="auto"/>
            <w:u w:val="none"/>
          </w:rPr>
          <w:t>Transportation Research Part A: Policy and Practice</w:t>
        </w:r>
      </w:hyperlink>
      <w:r w:rsidRPr="00D26D51">
        <w:rPr>
          <w:rFonts w:ascii="Times New Roman" w:hAnsi="Times New Roman" w:cs="Times New Roman"/>
          <w:color w:val="000000"/>
        </w:rPr>
        <w:t xml:space="preserve"> 64, 14-31.</w:t>
      </w:r>
    </w:p>
    <w:p w14:paraId="5F8C092E" w14:textId="77777777" w:rsidR="00C01B32" w:rsidRPr="00D26D51" w:rsidRDefault="00C01B32" w:rsidP="00822B02">
      <w:pPr>
        <w:spacing w:line="360" w:lineRule="auto"/>
        <w:ind w:firstLine="0"/>
        <w:rPr>
          <w:rFonts w:ascii="Times New Roman" w:hAnsi="Times New Roman" w:cs="Times New Roman"/>
          <w:color w:val="000000"/>
        </w:rPr>
      </w:pPr>
      <w:r w:rsidRPr="00C01B32">
        <w:rPr>
          <w:rFonts w:ascii="Times New Roman" w:hAnsi="Times New Roman" w:cs="Times New Roman"/>
          <w:color w:val="000000"/>
        </w:rPr>
        <w:t>Kurani, K.S., Caperello, N., TyreeHageman, J. 2016. New Car Buyers' Valuation of Zero-Emission Vehicles: California. Institute of Transportation Studies, University of California, Davis, California (Research Report UCD-ITS-RR-16-05).</w:t>
      </w:r>
    </w:p>
    <w:p w14:paraId="1A491071" w14:textId="77777777" w:rsidR="00D26D51" w:rsidRPr="00D26D51" w:rsidRDefault="00D26D51" w:rsidP="00822B02">
      <w:pPr>
        <w:spacing w:line="360" w:lineRule="auto"/>
        <w:ind w:firstLine="0"/>
        <w:rPr>
          <w:rFonts w:ascii="Times New Roman" w:hAnsi="Times New Roman" w:cs="Times New Roman"/>
          <w:color w:val="000000"/>
        </w:rPr>
      </w:pPr>
      <w:r w:rsidRPr="00D26D51">
        <w:rPr>
          <w:rFonts w:ascii="Times New Roman" w:hAnsi="Times New Roman" w:cs="Times New Roman"/>
          <w:color w:val="000000"/>
        </w:rPr>
        <w:t>Lebeau, K., Van Mierlo, J., Lebeau, P., Mairesse, O., Macharis, C. 2012. The market potential for plug-in hybrid and battery electric vehicles in Flanders: a choice-based conjoint analysis. Transportation Research Part D: Transport and Environment 17, 592–597.</w:t>
      </w:r>
    </w:p>
    <w:p w14:paraId="000873A8" w14:textId="77777777" w:rsidR="00D26D51" w:rsidRPr="00D26D51" w:rsidRDefault="00D26D51" w:rsidP="00822B02">
      <w:pPr>
        <w:spacing w:line="360" w:lineRule="auto"/>
        <w:ind w:firstLine="0"/>
        <w:rPr>
          <w:rFonts w:ascii="Times New Roman" w:hAnsi="Times New Roman" w:cs="Times New Roman"/>
          <w:color w:val="000000"/>
        </w:rPr>
      </w:pPr>
      <w:r w:rsidRPr="00D26D51">
        <w:rPr>
          <w:rFonts w:ascii="Times New Roman" w:hAnsi="Times New Roman" w:cs="Times New Roman"/>
          <w:color w:val="000000"/>
        </w:rPr>
        <w:t>Letmathe, P., Suares, M. 2017. A consumer-oriented total cost of ownership model for different vehicle types in Germany.” Transportation Research Part D: Transport and Environment 57 314–335.</w:t>
      </w:r>
    </w:p>
    <w:p w14:paraId="5F4994C6" w14:textId="77777777" w:rsidR="00D26D51" w:rsidRPr="00D26D51" w:rsidRDefault="00D26D51" w:rsidP="00822B02">
      <w:pPr>
        <w:spacing w:line="360" w:lineRule="auto"/>
        <w:ind w:firstLine="0"/>
        <w:rPr>
          <w:rFonts w:ascii="Times New Roman" w:hAnsi="Times New Roman" w:cs="Times New Roman"/>
          <w:color w:val="000000"/>
        </w:rPr>
      </w:pPr>
      <w:r w:rsidRPr="00D26D51">
        <w:rPr>
          <w:rFonts w:ascii="Times New Roman" w:hAnsi="Times New Roman" w:cs="Times New Roman"/>
          <w:color w:val="000000"/>
        </w:rPr>
        <w:t xml:space="preserve">Natural Resources Canada. 2018. Electricity Facts. </w:t>
      </w:r>
      <w:r w:rsidRPr="00D26D51">
        <w:rPr>
          <w:rFonts w:ascii="Times New Roman" w:hAnsi="Times New Roman" w:cs="Times New Roman"/>
          <w:color w:val="000000"/>
          <w:u w:val="single"/>
        </w:rPr>
        <w:t xml:space="preserve">https://www.nrcan.gc.ca/energy/facts/electricity/20068 </w:t>
      </w:r>
      <w:r w:rsidRPr="00D26D51">
        <w:rPr>
          <w:rFonts w:ascii="Times New Roman" w:hAnsi="Times New Roman" w:cs="Times New Roman"/>
          <w:color w:val="000000"/>
        </w:rPr>
        <w:t>, Accessed 25 October 2018.</w:t>
      </w:r>
    </w:p>
    <w:p w14:paraId="24DD583C" w14:textId="77777777" w:rsidR="00D26D51" w:rsidRPr="00D26D51" w:rsidRDefault="008A32EE" w:rsidP="00822B02">
      <w:pPr>
        <w:spacing w:line="360" w:lineRule="auto"/>
        <w:ind w:firstLine="0"/>
        <w:rPr>
          <w:rFonts w:ascii="Times New Roman" w:hAnsi="Times New Roman" w:cs="Times New Roman"/>
          <w:color w:val="000000"/>
        </w:rPr>
      </w:pPr>
      <w:r w:rsidRPr="008A32EE">
        <w:rPr>
          <w:rFonts w:ascii="Times New Roman" w:hAnsi="Times New Roman" w:cs="Times New Roman"/>
          <w:color w:val="000000"/>
        </w:rPr>
        <w:t>Plötz</w:t>
      </w:r>
      <w:r w:rsidR="00D26D51" w:rsidRPr="00D26D51">
        <w:rPr>
          <w:rFonts w:ascii="Times New Roman" w:hAnsi="Times New Roman" w:cs="Times New Roman"/>
          <w:color w:val="000000"/>
        </w:rPr>
        <w:t>, P., Schneider, U., Globisch, J., Dütschke, E. 2014. “Who will buy electric vehicles? Identifying early adopters in Germany.” Transportation Research Part A: Policy and Practice 67, 96–109.</w:t>
      </w:r>
    </w:p>
    <w:p w14:paraId="5A8EB0EA" w14:textId="77777777" w:rsidR="00D26D51" w:rsidRPr="00D26D51" w:rsidRDefault="00D26D51" w:rsidP="00822B02">
      <w:pPr>
        <w:spacing w:line="360" w:lineRule="auto"/>
        <w:ind w:firstLine="0"/>
        <w:rPr>
          <w:rFonts w:ascii="Times New Roman" w:hAnsi="Times New Roman" w:cs="Times New Roman"/>
          <w:color w:val="000000"/>
        </w:rPr>
      </w:pPr>
      <w:r w:rsidRPr="00D26D51">
        <w:rPr>
          <w:rFonts w:ascii="Times New Roman" w:hAnsi="Times New Roman" w:cs="Times New Roman"/>
          <w:color w:val="000000"/>
        </w:rPr>
        <w:t>Plug ‘n Drive, 2017. Driving EV uptake in the Greater Toronto and Hamilton Area. Plug ‘n Drive, Toronto, ON.</w:t>
      </w:r>
    </w:p>
    <w:p w14:paraId="2F25E6E9" w14:textId="77777777" w:rsidR="00D26D51" w:rsidRPr="00D26D51" w:rsidRDefault="00D26D51" w:rsidP="00822B02">
      <w:pPr>
        <w:spacing w:line="360" w:lineRule="auto"/>
        <w:ind w:firstLine="0"/>
        <w:rPr>
          <w:rFonts w:ascii="Times New Roman" w:hAnsi="Times New Roman" w:cs="Times New Roman"/>
          <w:color w:val="000000"/>
        </w:rPr>
      </w:pPr>
      <w:r w:rsidRPr="00D26D51">
        <w:rPr>
          <w:rFonts w:ascii="Times New Roman" w:hAnsi="Times New Roman" w:cs="Times New Roman"/>
          <w:color w:val="000000"/>
        </w:rPr>
        <w:lastRenderedPageBreak/>
        <w:t>Potoglou, D., Kanaroglou, P.S. 2007. Household demand and willingness to pay for clean vehicles. Transportation Research Part D: Transport and Environment 12, 264–274.</w:t>
      </w:r>
    </w:p>
    <w:p w14:paraId="5C1853AE" w14:textId="77777777" w:rsidR="00D26D51" w:rsidRPr="00D26D51" w:rsidRDefault="00D26D51" w:rsidP="00822B02">
      <w:pPr>
        <w:spacing w:line="360" w:lineRule="auto"/>
        <w:ind w:firstLine="0"/>
        <w:rPr>
          <w:rFonts w:ascii="Times New Roman" w:hAnsi="Times New Roman" w:cs="Times New Roman"/>
          <w:color w:val="000000"/>
        </w:rPr>
      </w:pPr>
      <w:r w:rsidRPr="00D26D51">
        <w:rPr>
          <w:rFonts w:ascii="Times New Roman" w:hAnsi="Times New Roman" w:cs="Times New Roman"/>
          <w:color w:val="000000"/>
        </w:rPr>
        <w:t xml:space="preserve">Scott, </w:t>
      </w:r>
      <w:smartTag w:uri="urn:schemas-microsoft-com:office:smarttags" w:element="PersonName">
        <w:r w:rsidRPr="00D26D51">
          <w:rPr>
            <w:rFonts w:ascii="Times New Roman" w:hAnsi="Times New Roman" w:cs="Times New Roman"/>
            <w:color w:val="000000"/>
          </w:rPr>
          <w:t>D</w:t>
        </w:r>
      </w:smartTag>
      <w:r w:rsidRPr="00D26D51">
        <w:rPr>
          <w:rFonts w:ascii="Times New Roman" w:hAnsi="Times New Roman" w:cs="Times New Roman"/>
          <w:color w:val="000000"/>
        </w:rPr>
        <w:t>.M., Newbold, K.B., Spinney, J.E.L., Mercado, R.G., Páez, A. and Kanaroglou, P.S. 2009. New insights into senior travel behavior: the Canadian experience. Growth and Change 40, 140-168.</w:t>
      </w:r>
    </w:p>
    <w:p w14:paraId="2C4F2EA7" w14:textId="77777777" w:rsidR="00D26D51" w:rsidRPr="00D26D51" w:rsidRDefault="00D26D51" w:rsidP="00822B02">
      <w:pPr>
        <w:spacing w:line="360" w:lineRule="auto"/>
        <w:ind w:firstLine="0"/>
        <w:rPr>
          <w:rFonts w:ascii="Times New Roman" w:hAnsi="Times New Roman" w:cs="Times New Roman"/>
          <w:color w:val="000000"/>
        </w:rPr>
      </w:pPr>
      <w:r w:rsidRPr="00D26D51">
        <w:rPr>
          <w:rFonts w:ascii="Times New Roman" w:hAnsi="Times New Roman" w:cs="Times New Roman"/>
          <w:color w:val="000000"/>
        </w:rPr>
        <w:t xml:space="preserve">Statistics Canada. 2016. Data Products, 2016 Census. </w:t>
      </w:r>
      <w:hyperlink r:id="rId47" w:history="1">
        <w:r w:rsidRPr="00D26D51">
          <w:rPr>
            <w:rStyle w:val="Hyperlink"/>
            <w:rFonts w:ascii="Times New Roman" w:hAnsi="Times New Roman" w:cs="Times New Roman"/>
          </w:rPr>
          <w:t>https://www12.statcan.gc.ca/census-recensement/2016/dp-pd/index-eng.cfm</w:t>
        </w:r>
      </w:hyperlink>
      <w:r w:rsidRPr="00D26D51">
        <w:rPr>
          <w:rFonts w:ascii="Times New Roman" w:hAnsi="Times New Roman" w:cs="Times New Roman"/>
          <w:color w:val="000000"/>
        </w:rPr>
        <w:t>, Accessed 25 October 2018.</w:t>
      </w:r>
    </w:p>
    <w:p w14:paraId="74BD7A7B" w14:textId="77777777" w:rsidR="00D26D51" w:rsidRDefault="00D26D51" w:rsidP="00822B02">
      <w:pPr>
        <w:spacing w:line="360" w:lineRule="auto"/>
        <w:ind w:firstLine="0"/>
        <w:rPr>
          <w:rFonts w:ascii="Times New Roman" w:hAnsi="Times New Roman" w:cs="Times New Roman"/>
          <w:color w:val="000000"/>
        </w:rPr>
      </w:pPr>
      <w:r w:rsidRPr="00D26D51">
        <w:rPr>
          <w:rFonts w:ascii="Times New Roman" w:hAnsi="Times New Roman" w:cs="Times New Roman"/>
          <w:color w:val="000000"/>
        </w:rPr>
        <w:t>Wu, G., Inderbitzin, A., Bening, C. 2015. “Total cost of ownership of electric vehicles compared to conventional vehicles: a probabilistic analysis and projection across market segments. Energy Policy 80, 196–214.</w:t>
      </w:r>
    </w:p>
    <w:p w14:paraId="2410BB45" w14:textId="77777777" w:rsidR="008A32EE" w:rsidRDefault="008A32EE" w:rsidP="00822B02">
      <w:pPr>
        <w:spacing w:line="360" w:lineRule="auto"/>
        <w:ind w:firstLine="0"/>
        <w:rPr>
          <w:rFonts w:ascii="Times New Roman" w:hAnsi="Times New Roman" w:cs="Times New Roman"/>
          <w:color w:val="000000"/>
        </w:rPr>
      </w:pPr>
      <w:r w:rsidRPr="008A32EE">
        <w:rPr>
          <w:rFonts w:ascii="Times New Roman" w:hAnsi="Times New Roman" w:cs="Times New Roman"/>
          <w:color w:val="000000"/>
        </w:rPr>
        <w:t>Zhang Y., Qian Z., Sprei, F., Li, B. 2016. The impact of car specifications, prices and incentives for battery electric vehicles in Norway: choices of heterogeneous consumers. Transportation Research Part C: Emerging Technologies 69, 386-401.</w:t>
      </w:r>
    </w:p>
    <w:p w14:paraId="30ECFFD6" w14:textId="77777777" w:rsidR="008A32EE" w:rsidRDefault="008A32EE" w:rsidP="00822B02">
      <w:pPr>
        <w:spacing w:line="360" w:lineRule="auto"/>
        <w:ind w:firstLine="0"/>
        <w:rPr>
          <w:rFonts w:ascii="Times New Roman" w:hAnsi="Times New Roman" w:cs="Times New Roman"/>
          <w:color w:val="000000"/>
        </w:rPr>
      </w:pPr>
    </w:p>
    <w:p w14:paraId="0F1F904F" w14:textId="77777777" w:rsidR="008A32EE" w:rsidRPr="00D26D51" w:rsidRDefault="008A32EE" w:rsidP="00822B02">
      <w:pPr>
        <w:spacing w:line="360" w:lineRule="auto"/>
        <w:ind w:firstLine="0"/>
        <w:rPr>
          <w:rFonts w:ascii="Times New Roman" w:hAnsi="Times New Roman" w:cs="Times New Roman"/>
          <w:color w:val="000000"/>
        </w:rPr>
      </w:pPr>
    </w:p>
    <w:p w14:paraId="48EFD8D3" w14:textId="77777777" w:rsidR="003C3597" w:rsidRDefault="003C3597" w:rsidP="00822B02">
      <w:pPr>
        <w:tabs>
          <w:tab w:val="left" w:pos="4504"/>
        </w:tabs>
        <w:rPr>
          <w:rFonts w:ascii="Times New Roman" w:hAnsi="Times New Roman" w:cs="Times New Roman"/>
          <w:color w:val="000000"/>
        </w:rPr>
      </w:pPr>
    </w:p>
    <w:p w14:paraId="5A3CBFD4" w14:textId="77777777" w:rsidR="008A1CD2" w:rsidRDefault="008A1CD2" w:rsidP="00822B02">
      <w:pPr>
        <w:tabs>
          <w:tab w:val="left" w:pos="4504"/>
        </w:tabs>
        <w:rPr>
          <w:rFonts w:ascii="Times New Roman" w:hAnsi="Times New Roman" w:cs="Times New Roman"/>
          <w:color w:val="000000"/>
        </w:rPr>
      </w:pPr>
    </w:p>
    <w:p w14:paraId="24982C2B" w14:textId="77777777" w:rsidR="008A1CD2" w:rsidRDefault="008A1CD2" w:rsidP="00822B02">
      <w:pPr>
        <w:tabs>
          <w:tab w:val="left" w:pos="4504"/>
        </w:tabs>
        <w:rPr>
          <w:rFonts w:ascii="Times New Roman" w:hAnsi="Times New Roman" w:cs="Times New Roman"/>
          <w:color w:val="000000"/>
        </w:rPr>
      </w:pPr>
    </w:p>
    <w:p w14:paraId="7CE33E17" w14:textId="77777777" w:rsidR="008A1CD2" w:rsidRPr="005E5785" w:rsidRDefault="008A1CD2" w:rsidP="00822B02">
      <w:pPr>
        <w:tabs>
          <w:tab w:val="left" w:pos="4504"/>
        </w:tabs>
        <w:rPr>
          <w:rFonts w:ascii="Times New Roman" w:hAnsi="Times New Roman" w:cs="Times New Roman"/>
          <w:color w:val="000000"/>
        </w:rPr>
      </w:pPr>
    </w:p>
    <w:p w14:paraId="345E0459" w14:textId="77777777" w:rsidR="00D26D51" w:rsidRPr="007E62D4" w:rsidRDefault="00D26D51" w:rsidP="00550848">
      <w:pPr>
        <w:pStyle w:val="Heading1"/>
        <w:jc w:val="center"/>
      </w:pPr>
      <w:bookmarkStart w:id="102" w:name="_Toc528650897"/>
      <w:bookmarkEnd w:id="102"/>
    </w:p>
    <w:p w14:paraId="15D9A12D" w14:textId="77777777" w:rsidR="00D26D51" w:rsidRPr="00822B02" w:rsidRDefault="00D26D51" w:rsidP="00F85B74">
      <w:pPr>
        <w:spacing w:before="240" w:after="240"/>
        <w:ind w:firstLine="0"/>
        <w:jc w:val="center"/>
        <w:rPr>
          <w:rFonts w:ascii="Times New Roman" w:hAnsi="Times New Roman" w:cs="Times New Roman"/>
          <w:b/>
          <w:sz w:val="28"/>
        </w:rPr>
      </w:pPr>
      <w:r w:rsidRPr="00822B02">
        <w:rPr>
          <w:rFonts w:ascii="Times New Roman" w:hAnsi="Times New Roman" w:cs="Times New Roman"/>
          <w:b/>
          <w:sz w:val="28"/>
        </w:rPr>
        <w:t>Conclusions and Future Research</w:t>
      </w:r>
    </w:p>
    <w:p w14:paraId="38FECEBB" w14:textId="17C2A1D7" w:rsidR="00C00E6D" w:rsidRDefault="0033141A" w:rsidP="007E772E">
      <w:pPr>
        <w:rPr>
          <w:rFonts w:ascii="Times New Roman" w:hAnsi="Times New Roman" w:cs="Times New Roman"/>
        </w:rPr>
      </w:pPr>
      <w:r w:rsidRPr="005E5785">
        <w:rPr>
          <w:rFonts w:ascii="Times New Roman" w:hAnsi="Times New Roman" w:cs="Times New Roman"/>
        </w:rPr>
        <w:t>This dissertation investigated prospects for electric vehicle adoption among Canadian consumers.</w:t>
      </w:r>
      <w:r w:rsidR="00C00E6D" w:rsidRPr="00C00E6D">
        <w:rPr>
          <w:rFonts w:eastAsiaTheme="minorEastAsia" w:hAnsi="Calibri"/>
          <w:color w:val="000000" w:themeColor="text1"/>
          <w:kern w:val="24"/>
          <w:sz w:val="48"/>
          <w:szCs w:val="48"/>
          <w:lang w:val="en-US" w:eastAsia="en-CA"/>
        </w:rPr>
        <w:t xml:space="preserve"> </w:t>
      </w:r>
      <w:r w:rsidR="00C00E6D">
        <w:rPr>
          <w:rFonts w:ascii="Times New Roman" w:hAnsi="Times New Roman"/>
          <w:lang w:val="en-US"/>
        </w:rPr>
        <w:t xml:space="preserve">The aim </w:t>
      </w:r>
      <w:r w:rsidR="00CC4A52">
        <w:rPr>
          <w:rFonts w:ascii="Times New Roman" w:hAnsi="Times New Roman"/>
          <w:lang w:val="en-US"/>
        </w:rPr>
        <w:t>wa</w:t>
      </w:r>
      <w:r w:rsidR="00C00E6D">
        <w:rPr>
          <w:rFonts w:ascii="Times New Roman" w:hAnsi="Times New Roman"/>
          <w:lang w:val="en-US"/>
        </w:rPr>
        <w:t xml:space="preserve">s to </w:t>
      </w:r>
      <w:r w:rsidR="00C00E6D" w:rsidRPr="00C00E6D">
        <w:rPr>
          <w:rFonts w:ascii="Times New Roman" w:hAnsi="Times New Roman"/>
          <w:lang w:val="en-US"/>
        </w:rPr>
        <w:t xml:space="preserve">develop a decision-making framework to accelerate </w:t>
      </w:r>
      <w:r w:rsidR="00CC4A52">
        <w:rPr>
          <w:rFonts w:ascii="Times New Roman" w:hAnsi="Times New Roman"/>
          <w:lang w:val="en-US"/>
        </w:rPr>
        <w:t xml:space="preserve">the </w:t>
      </w:r>
      <w:r w:rsidR="00C00E6D" w:rsidRPr="00C00E6D">
        <w:rPr>
          <w:rFonts w:ascii="Times New Roman" w:hAnsi="Times New Roman"/>
          <w:lang w:val="en-US"/>
        </w:rPr>
        <w:t xml:space="preserve">EV adoption rate in Canada, by providing quantitative estimates of </w:t>
      </w:r>
      <w:r w:rsidR="00C00E6D" w:rsidRPr="007E772E">
        <w:rPr>
          <w:rFonts w:ascii="Times New Roman" w:hAnsi="Times New Roman" w:cs="Times New Roman"/>
          <w:bCs/>
          <w:lang w:val="en-US"/>
        </w:rPr>
        <w:t>consumer preferences,</w:t>
      </w:r>
      <w:r w:rsidR="00C00E6D" w:rsidRPr="00C00E6D">
        <w:rPr>
          <w:rFonts w:ascii="Times New Roman" w:hAnsi="Times New Roman"/>
        </w:rPr>
        <w:t xml:space="preserve"> </w:t>
      </w:r>
      <w:r w:rsidR="00C00E6D" w:rsidRPr="007E772E">
        <w:rPr>
          <w:rFonts w:ascii="Times New Roman" w:hAnsi="Times New Roman" w:cs="Times New Roman"/>
          <w:bCs/>
          <w:lang w:val="en-US"/>
        </w:rPr>
        <w:t xml:space="preserve">regulations and policies, </w:t>
      </w:r>
      <w:r w:rsidR="00C00E6D" w:rsidRPr="00C00E6D">
        <w:rPr>
          <w:rFonts w:ascii="Times New Roman" w:hAnsi="Times New Roman" w:cs="Times New Roman"/>
          <w:lang w:val="en-US"/>
        </w:rPr>
        <w:t>and</w:t>
      </w:r>
      <w:r w:rsidR="00C00E6D" w:rsidRPr="00C00E6D">
        <w:rPr>
          <w:rFonts w:ascii="Times New Roman" w:hAnsi="Times New Roman"/>
        </w:rPr>
        <w:t xml:space="preserve"> </w:t>
      </w:r>
      <w:r w:rsidR="00C00E6D" w:rsidRPr="007E772E">
        <w:rPr>
          <w:rFonts w:ascii="Times New Roman" w:hAnsi="Times New Roman" w:cs="Times New Roman"/>
          <w:bCs/>
          <w:lang w:val="en-US"/>
        </w:rPr>
        <w:t xml:space="preserve">economic suitability </w:t>
      </w:r>
      <w:r w:rsidR="00C00E6D" w:rsidRPr="00C00E6D">
        <w:rPr>
          <w:rFonts w:ascii="Times New Roman" w:hAnsi="Times New Roman" w:cs="Times New Roman"/>
          <w:lang w:val="en-US"/>
        </w:rPr>
        <w:t xml:space="preserve">of electric vehicles. </w:t>
      </w:r>
      <w:r w:rsidR="00C00E6D" w:rsidRPr="00C00E6D">
        <w:rPr>
          <w:rFonts w:ascii="Times New Roman" w:hAnsi="Times New Roman"/>
          <w:lang w:val="en-US"/>
        </w:rPr>
        <w:t xml:space="preserve">Overall, the results of this research </w:t>
      </w:r>
      <w:r w:rsidR="00CC4A52">
        <w:rPr>
          <w:rFonts w:ascii="Times New Roman" w:hAnsi="Times New Roman"/>
          <w:lang w:val="en-US"/>
        </w:rPr>
        <w:t>are</w:t>
      </w:r>
      <w:r w:rsidR="00C00E6D" w:rsidRPr="00C00E6D">
        <w:rPr>
          <w:rFonts w:ascii="Times New Roman" w:hAnsi="Times New Roman"/>
          <w:lang w:val="en-US"/>
        </w:rPr>
        <w:t xml:space="preserve"> useful for policy makers as the profiles of households with preference towards EVs as well as those who are economically suited to purchase </w:t>
      </w:r>
      <w:r w:rsidR="00CC4A52">
        <w:rPr>
          <w:rFonts w:ascii="Times New Roman" w:hAnsi="Times New Roman"/>
          <w:lang w:val="en-US"/>
        </w:rPr>
        <w:t>an EV</w:t>
      </w:r>
      <w:r w:rsidR="00C00E6D" w:rsidRPr="00C00E6D">
        <w:rPr>
          <w:rFonts w:ascii="Times New Roman" w:hAnsi="Times New Roman"/>
          <w:lang w:val="en-US"/>
        </w:rPr>
        <w:t xml:space="preserve"> are obtained here.</w:t>
      </w:r>
      <w:r w:rsidR="00757A3D">
        <w:rPr>
          <w:rFonts w:ascii="Times New Roman" w:hAnsi="Times New Roman"/>
          <w:lang w:val="en-US"/>
        </w:rPr>
        <w:t xml:space="preserve"> This thesis suggests that </w:t>
      </w:r>
      <w:r w:rsidR="00757A3D">
        <w:rPr>
          <w:rFonts w:ascii="Times New Roman" w:hAnsi="Times New Roman" w:cs="Times New Roman"/>
        </w:rPr>
        <w:t>p</w:t>
      </w:r>
      <w:r w:rsidR="00C00E6D" w:rsidRPr="00C00E6D">
        <w:rPr>
          <w:rFonts w:ascii="Times New Roman" w:hAnsi="Times New Roman" w:cs="Times New Roman"/>
        </w:rPr>
        <w:t>olicy makers and car manufacturers</w:t>
      </w:r>
      <w:r w:rsidR="00420098">
        <w:rPr>
          <w:rFonts w:ascii="Times New Roman" w:hAnsi="Times New Roman" w:cs="Times New Roman"/>
        </w:rPr>
        <w:t xml:space="preserve"> should</w:t>
      </w:r>
      <w:r w:rsidR="00C00E6D" w:rsidRPr="00C00E6D">
        <w:rPr>
          <w:rFonts w:ascii="Times New Roman" w:hAnsi="Times New Roman" w:cs="Times New Roman"/>
        </w:rPr>
        <w:t xml:space="preserve"> focus on </w:t>
      </w:r>
      <w:r w:rsidR="00420098">
        <w:rPr>
          <w:rFonts w:ascii="Times New Roman" w:hAnsi="Times New Roman" w:cs="Times New Roman"/>
        </w:rPr>
        <w:t xml:space="preserve">specific </w:t>
      </w:r>
      <w:r w:rsidR="00C00E6D" w:rsidRPr="00C00E6D">
        <w:rPr>
          <w:rFonts w:ascii="Times New Roman" w:hAnsi="Times New Roman" w:cs="Times New Roman"/>
        </w:rPr>
        <w:t>group of users</w:t>
      </w:r>
      <w:r w:rsidR="00757A3D">
        <w:rPr>
          <w:rFonts w:ascii="Times New Roman" w:hAnsi="Times New Roman" w:cs="Times New Roman"/>
        </w:rPr>
        <w:t xml:space="preserve"> with relative preferences towards EVs</w:t>
      </w:r>
      <w:r w:rsidR="00420098">
        <w:rPr>
          <w:rFonts w:ascii="Times New Roman" w:hAnsi="Times New Roman" w:cs="Times New Roman"/>
        </w:rPr>
        <w:t xml:space="preserve"> based on the results of this thesis. For instance, households</w:t>
      </w:r>
      <w:r w:rsidR="00C00E6D" w:rsidRPr="00C00E6D">
        <w:rPr>
          <w:rFonts w:ascii="Times New Roman" w:hAnsi="Times New Roman" w:cs="Times New Roman"/>
        </w:rPr>
        <w:t xml:space="preserve"> </w:t>
      </w:r>
      <w:r w:rsidR="00420098">
        <w:rPr>
          <w:rFonts w:ascii="Times New Roman" w:hAnsi="Times New Roman" w:cs="Times New Roman"/>
        </w:rPr>
        <w:t>with high socio-economic status</w:t>
      </w:r>
      <w:r w:rsidR="00C00E6D" w:rsidRPr="00C00E6D">
        <w:rPr>
          <w:rFonts w:ascii="Times New Roman" w:hAnsi="Times New Roman" w:cs="Times New Roman"/>
        </w:rPr>
        <w:t xml:space="preserve"> </w:t>
      </w:r>
      <w:r w:rsidR="00420098">
        <w:rPr>
          <w:rFonts w:ascii="Times New Roman" w:hAnsi="Times New Roman" w:cs="Times New Roman"/>
        </w:rPr>
        <w:t>who</w:t>
      </w:r>
      <w:r w:rsidR="00C00E6D" w:rsidRPr="00C00E6D">
        <w:rPr>
          <w:rFonts w:ascii="Times New Roman" w:hAnsi="Times New Roman" w:cs="Times New Roman"/>
        </w:rPr>
        <w:t xml:space="preserve"> are younger </w:t>
      </w:r>
      <w:r w:rsidR="00420098">
        <w:rPr>
          <w:rFonts w:ascii="Times New Roman" w:hAnsi="Times New Roman" w:cs="Times New Roman"/>
        </w:rPr>
        <w:t xml:space="preserve">and possess </w:t>
      </w:r>
      <w:r w:rsidR="00C00E6D" w:rsidRPr="00C00E6D">
        <w:rPr>
          <w:rFonts w:ascii="Times New Roman" w:hAnsi="Times New Roman" w:cs="Times New Roman"/>
        </w:rPr>
        <w:t>progressive attitudes</w:t>
      </w:r>
      <w:r w:rsidR="00420098">
        <w:rPr>
          <w:rFonts w:ascii="Times New Roman" w:hAnsi="Times New Roman" w:cs="Times New Roman"/>
        </w:rPr>
        <w:t xml:space="preserve"> are a good target</w:t>
      </w:r>
      <w:r w:rsidR="00C00E6D" w:rsidRPr="00C00E6D">
        <w:rPr>
          <w:rFonts w:ascii="Times New Roman" w:hAnsi="Times New Roman" w:cs="Times New Roman"/>
        </w:rPr>
        <w:t>.</w:t>
      </w:r>
      <w:r w:rsidR="00C00E6D">
        <w:rPr>
          <w:rFonts w:ascii="Times New Roman" w:hAnsi="Times New Roman"/>
        </w:rPr>
        <w:t xml:space="preserve"> </w:t>
      </w:r>
      <w:r w:rsidR="00420098">
        <w:rPr>
          <w:rFonts w:ascii="Times New Roman" w:hAnsi="Times New Roman"/>
        </w:rPr>
        <w:t xml:space="preserve">Also, </w:t>
      </w:r>
      <w:r w:rsidR="00C00E6D" w:rsidRPr="00C00E6D">
        <w:rPr>
          <w:rFonts w:ascii="Times New Roman" w:hAnsi="Times New Roman" w:cs="Times New Roman"/>
        </w:rPr>
        <w:t>households</w:t>
      </w:r>
      <w:r w:rsidR="00757A3D">
        <w:rPr>
          <w:rFonts w:ascii="Times New Roman" w:hAnsi="Times New Roman" w:cs="Times New Roman"/>
        </w:rPr>
        <w:t xml:space="preserve"> who</w:t>
      </w:r>
      <w:r w:rsidR="00C00E6D" w:rsidRPr="00C00E6D">
        <w:rPr>
          <w:rFonts w:ascii="Times New Roman" w:hAnsi="Times New Roman" w:cs="Times New Roman"/>
        </w:rPr>
        <w:t xml:space="preserve"> live in suburbs and have higher mileages</w:t>
      </w:r>
      <w:r w:rsidR="00757A3D">
        <w:rPr>
          <w:rFonts w:ascii="Times New Roman" w:hAnsi="Times New Roman" w:cs="Times New Roman"/>
        </w:rPr>
        <w:t xml:space="preserve"> are the most suited to purchase a battery electric vehicle from an economic point of view. </w:t>
      </w:r>
    </w:p>
    <w:p w14:paraId="590902D4" w14:textId="1E7C15C1" w:rsidR="00D26D51" w:rsidRDefault="00C00E6D" w:rsidP="00D26D51">
      <w:pPr>
        <w:rPr>
          <w:rFonts w:ascii="Times New Roman" w:hAnsi="Times New Roman" w:cs="Times New Roman"/>
        </w:rPr>
      </w:pPr>
      <w:r>
        <w:rPr>
          <w:rFonts w:ascii="Times New Roman" w:hAnsi="Times New Roman" w:cs="Times New Roman"/>
        </w:rPr>
        <w:t>We suspect that the low rate of EV adoption in Canada is because of the existence of some lagging EV adoption regions (i.e.</w:t>
      </w:r>
      <w:r w:rsidR="00CC4A52">
        <w:rPr>
          <w:rFonts w:ascii="Times New Roman" w:hAnsi="Times New Roman" w:cs="Times New Roman"/>
        </w:rPr>
        <w:t>,</w:t>
      </w:r>
      <w:r>
        <w:rPr>
          <w:rFonts w:ascii="Times New Roman" w:hAnsi="Times New Roman" w:cs="Times New Roman"/>
        </w:rPr>
        <w:t xml:space="preserve"> Atlantic Canada and Prairies). A detailed investigation of </w:t>
      </w:r>
      <w:r w:rsidR="00CC4A52">
        <w:rPr>
          <w:rFonts w:ascii="Times New Roman" w:hAnsi="Times New Roman" w:cs="Times New Roman"/>
        </w:rPr>
        <w:t xml:space="preserve">the </w:t>
      </w:r>
      <w:r w:rsidRPr="00C00E6D">
        <w:rPr>
          <w:rFonts w:ascii="Times New Roman" w:hAnsi="Times New Roman" w:cs="Times New Roman"/>
          <w:lang w:val="en-US"/>
        </w:rPr>
        <w:t xml:space="preserve">EV adoption gap between </w:t>
      </w:r>
      <w:r w:rsidRPr="007E772E">
        <w:rPr>
          <w:rFonts w:ascii="Times New Roman" w:hAnsi="Times New Roman" w:cs="Times New Roman"/>
          <w:bCs/>
          <w:lang w:val="en-US"/>
        </w:rPr>
        <w:t xml:space="preserve">Atlantic </w:t>
      </w:r>
      <w:r w:rsidRPr="00C00E6D">
        <w:rPr>
          <w:rFonts w:ascii="Times New Roman" w:hAnsi="Times New Roman" w:cs="Times New Roman"/>
          <w:lang w:val="en-US"/>
        </w:rPr>
        <w:t xml:space="preserve">and </w:t>
      </w:r>
      <w:r w:rsidRPr="007E772E">
        <w:rPr>
          <w:rFonts w:ascii="Times New Roman" w:hAnsi="Times New Roman" w:cs="Times New Roman"/>
          <w:bCs/>
          <w:lang w:val="en-US"/>
        </w:rPr>
        <w:t>leading</w:t>
      </w:r>
      <w:r w:rsidRPr="00C00E6D">
        <w:rPr>
          <w:rFonts w:ascii="Times New Roman" w:hAnsi="Times New Roman" w:cs="Times New Roman"/>
          <w:lang w:val="en-US"/>
        </w:rPr>
        <w:t xml:space="preserve"> provinces in Canada</w:t>
      </w:r>
      <w:r>
        <w:rPr>
          <w:rFonts w:ascii="Times New Roman" w:hAnsi="Times New Roman" w:cs="Times New Roman"/>
          <w:lang w:val="en-US"/>
        </w:rPr>
        <w:t xml:space="preserve"> provide</w:t>
      </w:r>
      <w:r w:rsidR="00CC4A52">
        <w:rPr>
          <w:rFonts w:ascii="Times New Roman" w:hAnsi="Times New Roman" w:cs="Times New Roman"/>
          <w:lang w:val="en-US"/>
        </w:rPr>
        <w:t>s</w:t>
      </w:r>
      <w:r>
        <w:rPr>
          <w:rFonts w:ascii="Times New Roman" w:hAnsi="Times New Roman" w:cs="Times New Roman"/>
          <w:lang w:val="en-US"/>
        </w:rPr>
        <w:t xml:space="preserve"> valuable information</w:t>
      </w:r>
      <w:r w:rsidRPr="00C00E6D">
        <w:rPr>
          <w:rFonts w:ascii="Times New Roman" w:hAnsi="Times New Roman" w:cs="Times New Roman"/>
          <w:lang w:val="en-US"/>
        </w:rPr>
        <w:t xml:space="preserve"> regarding consumers’ mindsets and preferences</w:t>
      </w:r>
      <w:r>
        <w:rPr>
          <w:rFonts w:ascii="Times New Roman" w:hAnsi="Times New Roman" w:cs="Times New Roman"/>
          <w:lang w:val="en-US"/>
        </w:rPr>
        <w:t xml:space="preserve">. This thesis finds that </w:t>
      </w:r>
      <w:r w:rsidR="00CC4A52">
        <w:rPr>
          <w:rFonts w:ascii="Times New Roman" w:hAnsi="Times New Roman" w:cs="Times New Roman"/>
          <w:lang w:val="en-US"/>
        </w:rPr>
        <w:t xml:space="preserve">the </w:t>
      </w:r>
      <w:r>
        <w:rPr>
          <w:rFonts w:ascii="Times New Roman" w:hAnsi="Times New Roman" w:cs="Times New Roman"/>
          <w:lang w:val="en-US"/>
        </w:rPr>
        <w:t>l</w:t>
      </w:r>
      <w:r w:rsidRPr="00C00E6D">
        <w:rPr>
          <w:rFonts w:ascii="Times New Roman" w:hAnsi="Times New Roman" w:cs="Times New Roman"/>
          <w:lang w:val="en-US"/>
        </w:rPr>
        <w:t>ack of government incentive, uncertainty and limited awareness or exposure to EVs are some reason</w:t>
      </w:r>
      <w:r w:rsidR="00CC4A52">
        <w:rPr>
          <w:rFonts w:ascii="Times New Roman" w:hAnsi="Times New Roman" w:cs="Times New Roman"/>
          <w:lang w:val="en-US"/>
        </w:rPr>
        <w:t>s</w:t>
      </w:r>
      <w:r w:rsidRPr="00C00E6D">
        <w:rPr>
          <w:rFonts w:ascii="Times New Roman" w:hAnsi="Times New Roman" w:cs="Times New Roman"/>
          <w:lang w:val="en-US"/>
        </w:rPr>
        <w:t xml:space="preserve"> for the low adoption in Atlantic Canada</w:t>
      </w:r>
      <w:r>
        <w:rPr>
          <w:rFonts w:ascii="Times New Roman" w:hAnsi="Times New Roman" w:cs="Times New Roman"/>
          <w:lang w:val="en-US"/>
        </w:rPr>
        <w:t>. Hence, i</w:t>
      </w:r>
      <w:r w:rsidRPr="00C00E6D">
        <w:rPr>
          <w:rFonts w:ascii="Times New Roman" w:hAnsi="Times New Roman" w:cs="Times New Roman"/>
          <w:lang w:val="en-US"/>
        </w:rPr>
        <w:t xml:space="preserve">nformation campaigns </w:t>
      </w:r>
      <w:r>
        <w:rPr>
          <w:rFonts w:ascii="Times New Roman" w:hAnsi="Times New Roman" w:cs="Times New Roman"/>
          <w:lang w:val="en-US"/>
        </w:rPr>
        <w:t xml:space="preserve">are important policy </w:t>
      </w:r>
      <w:r w:rsidR="00CC4A52">
        <w:rPr>
          <w:rFonts w:ascii="Times New Roman" w:hAnsi="Times New Roman" w:cs="Times New Roman"/>
          <w:lang w:val="en-US"/>
        </w:rPr>
        <w:t>tools</w:t>
      </w:r>
      <w:r>
        <w:rPr>
          <w:rFonts w:ascii="Times New Roman" w:hAnsi="Times New Roman" w:cs="Times New Roman"/>
          <w:lang w:val="en-US"/>
        </w:rPr>
        <w:t xml:space="preserve"> that </w:t>
      </w:r>
      <w:r w:rsidRPr="00C00E6D">
        <w:rPr>
          <w:rFonts w:ascii="Times New Roman" w:hAnsi="Times New Roman" w:cs="Times New Roman"/>
          <w:lang w:val="en-US"/>
        </w:rPr>
        <w:t xml:space="preserve">could </w:t>
      </w:r>
      <w:r w:rsidRPr="00C00E6D">
        <w:rPr>
          <w:rFonts w:ascii="Times New Roman" w:hAnsi="Times New Roman" w:cs="Times New Roman"/>
          <w:lang w:val="en-US"/>
        </w:rPr>
        <w:lastRenderedPageBreak/>
        <w:t>make consumers more knowledgeable about potential benefits of EVs</w:t>
      </w:r>
      <w:r>
        <w:rPr>
          <w:rFonts w:ascii="Times New Roman" w:hAnsi="Times New Roman" w:cs="Times New Roman"/>
          <w:lang w:val="en-US"/>
        </w:rPr>
        <w:t xml:space="preserve">. Also, </w:t>
      </w:r>
      <w:r w:rsidRPr="00C00E6D">
        <w:rPr>
          <w:rFonts w:ascii="Times New Roman" w:hAnsi="Times New Roman" w:cs="Times New Roman"/>
          <w:bCs/>
        </w:rPr>
        <w:t>f</w:t>
      </w:r>
      <w:r w:rsidR="000C78CD" w:rsidRPr="007E772E">
        <w:rPr>
          <w:rFonts w:ascii="Times New Roman" w:hAnsi="Times New Roman" w:cs="Times New Roman"/>
          <w:bCs/>
        </w:rPr>
        <w:t xml:space="preserve">inancial incentives </w:t>
      </w:r>
      <w:r>
        <w:rPr>
          <w:rFonts w:ascii="Times New Roman" w:hAnsi="Times New Roman" w:cs="Times New Roman"/>
          <w:bCs/>
        </w:rPr>
        <w:t xml:space="preserve">are still an important policy tool that </w:t>
      </w:r>
      <w:r w:rsidR="000C78CD" w:rsidRPr="00C00E6D">
        <w:rPr>
          <w:rFonts w:ascii="Times New Roman" w:hAnsi="Times New Roman" w:cs="Times New Roman"/>
        </w:rPr>
        <w:t xml:space="preserve">could </w:t>
      </w:r>
      <w:r w:rsidRPr="00C00E6D">
        <w:rPr>
          <w:rFonts w:ascii="Times New Roman" w:hAnsi="Times New Roman" w:cs="Times New Roman"/>
        </w:rPr>
        <w:t>increase the attractiveness/cost efficiency of EVs</w:t>
      </w:r>
      <w:r w:rsidR="000C78CD" w:rsidRPr="00C00E6D">
        <w:rPr>
          <w:rFonts w:ascii="Times New Roman" w:hAnsi="Times New Roman" w:cs="Times New Roman"/>
        </w:rPr>
        <w:t>, at least in the short run</w:t>
      </w:r>
      <w:r>
        <w:rPr>
          <w:rFonts w:ascii="Times New Roman" w:hAnsi="Times New Roman" w:cs="Times New Roman"/>
        </w:rPr>
        <w:t>.</w:t>
      </w:r>
    </w:p>
    <w:p w14:paraId="49BE63CB" w14:textId="77777777" w:rsidR="0033141A" w:rsidRPr="00D26D51" w:rsidRDefault="0033141A" w:rsidP="00E1100F">
      <w:pPr>
        <w:pStyle w:val="ListParagraph"/>
        <w:numPr>
          <w:ilvl w:val="1"/>
          <w:numId w:val="10"/>
        </w:numPr>
        <w:ind w:left="357" w:hanging="357"/>
        <w:outlineLvl w:val="1"/>
        <w:rPr>
          <w:rFonts w:ascii="Times New Roman" w:hAnsi="Times New Roman" w:cs="Times New Roman"/>
          <w:b/>
        </w:rPr>
      </w:pPr>
      <w:bookmarkStart w:id="103" w:name="_Toc528650898"/>
      <w:r w:rsidRPr="00D26D51">
        <w:rPr>
          <w:rFonts w:ascii="Times New Roman" w:hAnsi="Times New Roman" w:cs="Times New Roman"/>
          <w:b/>
        </w:rPr>
        <w:t>Contributions and novel aspects</w:t>
      </w:r>
      <w:bookmarkEnd w:id="103"/>
      <w:r w:rsidRPr="00D26D51">
        <w:rPr>
          <w:rFonts w:ascii="Times New Roman" w:hAnsi="Times New Roman" w:cs="Times New Roman"/>
          <w:b/>
        </w:rPr>
        <w:t xml:space="preserve"> </w:t>
      </w:r>
    </w:p>
    <w:p w14:paraId="2807485A" w14:textId="77777777" w:rsidR="0033141A" w:rsidRPr="005E5785" w:rsidRDefault="0033141A" w:rsidP="00D26D51">
      <w:pPr>
        <w:tabs>
          <w:tab w:val="left" w:pos="5220"/>
        </w:tabs>
        <w:ind w:firstLine="0"/>
        <w:rPr>
          <w:rFonts w:ascii="Times New Roman" w:hAnsi="Times New Roman" w:cs="Times New Roman"/>
        </w:rPr>
      </w:pPr>
      <w:r w:rsidRPr="005E5785">
        <w:rPr>
          <w:rFonts w:ascii="Times New Roman" w:hAnsi="Times New Roman" w:cs="Times New Roman"/>
        </w:rPr>
        <w:t>There are several main contributions and novel aspects associated with this dissertation as follows.</w:t>
      </w:r>
    </w:p>
    <w:p w14:paraId="3A6F63DC" w14:textId="77777777" w:rsidR="0033141A" w:rsidRPr="005E5785" w:rsidRDefault="0033141A" w:rsidP="00F85B74">
      <w:pPr>
        <w:pStyle w:val="ListParagraph"/>
        <w:numPr>
          <w:ilvl w:val="0"/>
          <w:numId w:val="1"/>
        </w:numPr>
        <w:tabs>
          <w:tab w:val="left" w:pos="5220"/>
        </w:tabs>
        <w:rPr>
          <w:rFonts w:ascii="Times New Roman" w:hAnsi="Times New Roman" w:cs="Times New Roman"/>
        </w:rPr>
      </w:pPr>
      <w:r w:rsidRPr="005E5785">
        <w:rPr>
          <w:rFonts w:ascii="Times New Roman" w:hAnsi="Times New Roman" w:cs="Times New Roman"/>
        </w:rPr>
        <w:t>Comprehensive overview of SPACE</w:t>
      </w:r>
    </w:p>
    <w:p w14:paraId="5E56CD7B" w14:textId="77777777" w:rsidR="0033141A" w:rsidRPr="005E5785" w:rsidRDefault="0033141A" w:rsidP="00076EDC">
      <w:pPr>
        <w:tabs>
          <w:tab w:val="left" w:pos="5220"/>
        </w:tabs>
        <w:ind w:firstLine="0"/>
        <w:rPr>
          <w:rFonts w:ascii="Times New Roman" w:hAnsi="Times New Roman" w:cs="Times New Roman"/>
        </w:rPr>
      </w:pPr>
      <w:r w:rsidRPr="005E5785">
        <w:rPr>
          <w:rFonts w:ascii="Times New Roman" w:hAnsi="Times New Roman" w:cs="Times New Roman"/>
        </w:rPr>
        <w:t>Chapter 2 reviews important survey design dilemma and challenges in the course of developing and implementing the survey that are rarely discussed in the previous works. The use of survey panel, screening criteria, household conceptualization, the selection of alternatives, attributes and levels for SP scenarios, and the way cognitive burden was managed are all important decisions in the process of survey design while were not extensively discussed in the past works. Based on results of literature review, aspects of survey design are only partially discussed in previous EV studies and are mainly reported as part of the analyses that these surveys support. As a result, the construction of the survey instrument that underlies the analysis often remains somewhat in the background. Chapter 2 contributes to the literature by providing an informative overview of the development of a comprehensive survey instrument that was applied in a Canada-wide data collection effort to yield useful EV</w:t>
      </w:r>
      <w:r w:rsidR="00FC214F">
        <w:rPr>
          <w:rFonts w:ascii="Times New Roman" w:hAnsi="Times New Roman" w:cs="Times New Roman"/>
        </w:rPr>
        <w:t xml:space="preserve">-oriented data and information. </w:t>
      </w:r>
      <w:r w:rsidRPr="005E5785">
        <w:rPr>
          <w:rFonts w:ascii="Times New Roman" w:hAnsi="Times New Roman" w:cs="Times New Roman"/>
        </w:rPr>
        <w:t xml:space="preserve">The overview includes associated strategies, thought processes and significant decisions that were made in developing and implementing the survey. The aim is for some lessons that emerge to extend beyond those working </w:t>
      </w:r>
      <w:r w:rsidRPr="005E5785">
        <w:rPr>
          <w:rFonts w:ascii="Times New Roman" w:hAnsi="Times New Roman" w:cs="Times New Roman"/>
        </w:rPr>
        <w:lastRenderedPageBreak/>
        <w:t xml:space="preserve">within the EV domain. Another contribution is to address a gap in the EV-oriented literature where many surveys have been developed to this point around the world, but a thorough review of the thinking that went into these is not available, to the best of </w:t>
      </w:r>
      <w:r w:rsidR="00640087">
        <w:rPr>
          <w:rFonts w:ascii="Times New Roman" w:hAnsi="Times New Roman" w:cs="Times New Roman"/>
        </w:rPr>
        <w:t>my</w:t>
      </w:r>
      <w:r w:rsidRPr="005E5785">
        <w:rPr>
          <w:rFonts w:ascii="Times New Roman" w:hAnsi="Times New Roman" w:cs="Times New Roman"/>
        </w:rPr>
        <w:t xml:space="preserve"> knowledge.</w:t>
      </w:r>
    </w:p>
    <w:p w14:paraId="4315CA5D" w14:textId="77777777" w:rsidR="0033141A" w:rsidRPr="005E5785" w:rsidRDefault="0033141A" w:rsidP="002B7195">
      <w:pPr>
        <w:pStyle w:val="ListParagraph"/>
        <w:numPr>
          <w:ilvl w:val="0"/>
          <w:numId w:val="1"/>
        </w:numPr>
        <w:tabs>
          <w:tab w:val="left" w:pos="5220"/>
        </w:tabs>
        <w:rPr>
          <w:rFonts w:ascii="Times New Roman" w:hAnsi="Times New Roman" w:cs="Times New Roman"/>
        </w:rPr>
      </w:pPr>
      <w:r w:rsidRPr="005E5785">
        <w:rPr>
          <w:rFonts w:ascii="Times New Roman" w:hAnsi="Times New Roman" w:cs="Times New Roman"/>
        </w:rPr>
        <w:t>A comprehensive stated preference survey</w:t>
      </w:r>
    </w:p>
    <w:p w14:paraId="36013418" w14:textId="77777777" w:rsidR="0033141A" w:rsidRPr="005E5785" w:rsidRDefault="0033141A" w:rsidP="00D26D51">
      <w:pPr>
        <w:tabs>
          <w:tab w:val="left" w:pos="5220"/>
        </w:tabs>
        <w:ind w:firstLine="0"/>
        <w:rPr>
          <w:rFonts w:ascii="Times New Roman" w:hAnsi="Times New Roman" w:cs="Times New Roman"/>
        </w:rPr>
      </w:pPr>
      <w:r w:rsidRPr="005E5785">
        <w:rPr>
          <w:rFonts w:ascii="Times New Roman" w:hAnsi="Times New Roman" w:cs="Times New Roman"/>
        </w:rPr>
        <w:t>The sample collected with SPACE is the first of its kind in Canada with a comprehensive national scope and with large samples from all ten Canadian provinces, major metropolitan areas and in both official languages. A stated preference (SP) experiment is at the core of SPACE and is supported by an array of information on demographics, residential location and context, current vehicle ownership and vehicle purchase intentions, travel patterns and an assortment of attitudinal information, a combination of which that is rarely ob</w:t>
      </w:r>
      <w:r w:rsidR="00D26D51">
        <w:rPr>
          <w:rFonts w:ascii="Times New Roman" w:hAnsi="Times New Roman" w:cs="Times New Roman"/>
        </w:rPr>
        <w:t>served in the previous studies.</w:t>
      </w:r>
    </w:p>
    <w:p w14:paraId="67383C2E" w14:textId="77777777" w:rsidR="0033141A" w:rsidRPr="005E5785" w:rsidRDefault="0033141A" w:rsidP="002B7195">
      <w:pPr>
        <w:pStyle w:val="ListParagraph"/>
        <w:numPr>
          <w:ilvl w:val="0"/>
          <w:numId w:val="1"/>
        </w:numPr>
        <w:rPr>
          <w:rFonts w:ascii="Times New Roman" w:hAnsi="Times New Roman" w:cs="Times New Roman"/>
        </w:rPr>
      </w:pPr>
      <w:r w:rsidRPr="005E5785">
        <w:rPr>
          <w:rFonts w:ascii="Times New Roman" w:hAnsi="Times New Roman" w:cs="Times New Roman"/>
        </w:rPr>
        <w:t xml:space="preserve">Emphasis on Geography and Location </w:t>
      </w:r>
    </w:p>
    <w:p w14:paraId="4EF775AE" w14:textId="195B46E3" w:rsidR="000C78CD" w:rsidRDefault="0033141A" w:rsidP="00076EDC">
      <w:pPr>
        <w:ind w:firstLine="0"/>
        <w:rPr>
          <w:rFonts w:ascii="Times New Roman" w:hAnsi="Times New Roman" w:cs="Times New Roman"/>
        </w:rPr>
      </w:pPr>
      <w:r w:rsidRPr="005E5785">
        <w:rPr>
          <w:rFonts w:ascii="Times New Roman" w:hAnsi="Times New Roman" w:cs="Times New Roman"/>
        </w:rPr>
        <w:t>The survey is administered among a large panel of Canadians with 20,520 observations from every corner of the country (e.g. all provinces, urban-rural settings, etc.), and hence provides more in-depth coverage of geographical variations in EV preferences than previous studies. Collection of 6-digit postal codes can precisely locate our respondents, and identify the spatial context in which they would assess electric mobility.</w:t>
      </w:r>
      <w:r w:rsidR="00856A78">
        <w:rPr>
          <w:rFonts w:ascii="Times New Roman" w:hAnsi="Times New Roman" w:cs="Times New Roman"/>
        </w:rPr>
        <w:t xml:space="preserve"> Based on that, the “level of urbanization” index was developed</w:t>
      </w:r>
      <w:r w:rsidR="00CC4A52">
        <w:rPr>
          <w:rFonts w:ascii="Times New Roman" w:hAnsi="Times New Roman" w:cs="Times New Roman"/>
        </w:rPr>
        <w:t>,</w:t>
      </w:r>
      <w:r w:rsidR="00856A78">
        <w:rPr>
          <w:rFonts w:ascii="Times New Roman" w:hAnsi="Times New Roman" w:cs="Times New Roman"/>
        </w:rPr>
        <w:t xml:space="preserve"> which is used as one of the determinant</w:t>
      </w:r>
      <w:r w:rsidR="00CC4A52">
        <w:rPr>
          <w:rFonts w:ascii="Times New Roman" w:hAnsi="Times New Roman" w:cs="Times New Roman"/>
        </w:rPr>
        <w:t>s</w:t>
      </w:r>
      <w:r w:rsidR="00856A78">
        <w:rPr>
          <w:rFonts w:ascii="Times New Roman" w:hAnsi="Times New Roman" w:cs="Times New Roman"/>
        </w:rPr>
        <w:t xml:space="preserve"> of households’ annual mileages estimated </w:t>
      </w:r>
      <w:r w:rsidR="00CC4A52">
        <w:rPr>
          <w:rFonts w:ascii="Times New Roman" w:hAnsi="Times New Roman" w:cs="Times New Roman"/>
        </w:rPr>
        <w:t>using a</w:t>
      </w:r>
      <w:r w:rsidR="00856A78">
        <w:rPr>
          <w:rFonts w:ascii="Times New Roman" w:hAnsi="Times New Roman" w:cs="Times New Roman"/>
        </w:rPr>
        <w:t xml:space="preserve"> bivariate ordered probit model discussed in chapter 4. </w:t>
      </w:r>
      <w:r w:rsidRPr="005E5785">
        <w:rPr>
          <w:rFonts w:ascii="Times New Roman" w:hAnsi="Times New Roman" w:cs="Times New Roman"/>
        </w:rPr>
        <w:t xml:space="preserve"> </w:t>
      </w:r>
    </w:p>
    <w:p w14:paraId="3D65AAE0" w14:textId="77777777" w:rsidR="000C78CD" w:rsidRDefault="000C78CD" w:rsidP="00076EDC">
      <w:pPr>
        <w:ind w:firstLine="0"/>
        <w:rPr>
          <w:rFonts w:ascii="Times New Roman" w:hAnsi="Times New Roman" w:cs="Times New Roman"/>
        </w:rPr>
      </w:pPr>
    </w:p>
    <w:p w14:paraId="7369AB24" w14:textId="04EAC796" w:rsidR="0033141A" w:rsidRPr="005E5785" w:rsidRDefault="0033141A" w:rsidP="00076EDC">
      <w:pPr>
        <w:ind w:firstLine="0"/>
        <w:rPr>
          <w:rFonts w:ascii="Times New Roman" w:hAnsi="Times New Roman" w:cs="Times New Roman"/>
        </w:rPr>
      </w:pPr>
    </w:p>
    <w:p w14:paraId="37D77CA3" w14:textId="77777777" w:rsidR="0033141A" w:rsidRPr="005E5785" w:rsidRDefault="0033141A" w:rsidP="002B7195">
      <w:pPr>
        <w:pStyle w:val="ListParagraph"/>
        <w:numPr>
          <w:ilvl w:val="0"/>
          <w:numId w:val="1"/>
        </w:numPr>
        <w:rPr>
          <w:rFonts w:ascii="Times New Roman" w:hAnsi="Times New Roman" w:cs="Times New Roman"/>
        </w:rPr>
      </w:pPr>
      <w:r w:rsidRPr="005E5785">
        <w:rPr>
          <w:rFonts w:ascii="Times New Roman" w:hAnsi="Times New Roman" w:cs="Times New Roman"/>
        </w:rPr>
        <w:t xml:space="preserve">Context Sensitivity and vehicle body type conceptualization </w:t>
      </w:r>
    </w:p>
    <w:p w14:paraId="60D55D18" w14:textId="77777777" w:rsidR="0033141A" w:rsidRPr="005E5785" w:rsidRDefault="0033141A" w:rsidP="00D26D51">
      <w:pPr>
        <w:ind w:firstLine="0"/>
        <w:rPr>
          <w:rFonts w:ascii="Times New Roman" w:hAnsi="Times New Roman" w:cs="Times New Roman"/>
        </w:rPr>
      </w:pPr>
      <w:r w:rsidRPr="005E5785">
        <w:rPr>
          <w:rFonts w:ascii="Times New Roman" w:hAnsi="Times New Roman" w:cs="Times New Roman"/>
        </w:rPr>
        <w:t xml:space="preserve">There is an emphasis to the context, whereas SP scenarios are </w:t>
      </w:r>
      <w:r w:rsidRPr="005E5785">
        <w:rPr>
          <w:rFonts w:ascii="Times New Roman" w:hAnsi="Times New Roman" w:cs="Times New Roman"/>
          <w:i/>
        </w:rPr>
        <w:t>customized</w:t>
      </w:r>
      <w:r w:rsidRPr="005E5785">
        <w:rPr>
          <w:rFonts w:ascii="Times New Roman" w:hAnsi="Times New Roman" w:cs="Times New Roman"/>
        </w:rPr>
        <w:t xml:space="preserve"> based on the unique experience of each respondent: annual mileage, vehicle size, vehicle purchase plan, </w:t>
      </w:r>
      <w:r w:rsidR="008108F3">
        <w:rPr>
          <w:rFonts w:ascii="Times New Roman" w:hAnsi="Times New Roman" w:cs="Times New Roman"/>
        </w:rPr>
        <w:t>and vehicle anticipated price. T</w:t>
      </w:r>
      <w:r w:rsidRPr="005E5785">
        <w:rPr>
          <w:rFonts w:ascii="Times New Roman" w:hAnsi="Times New Roman" w:cs="Times New Roman"/>
        </w:rPr>
        <w:t xml:space="preserve">he levels associated with tailpipe emission, fueling/charging cost, and maintenance cost were adjusted based on respondent’s annual mileage and preferred vehicle size reported earlier in the survey. Respondents were faced with SP scenarios associated with their preferred vehicle body type that they specified earlier in the survey. This method added to the relevance and realism of the attribute levels being evaluated by the respondent </w:t>
      </w:r>
      <w:r w:rsidRPr="005E5785">
        <w:rPr>
          <w:rFonts w:ascii="Times New Roman" w:hAnsi="Times New Roman" w:cs="Times New Roman"/>
        </w:rPr>
        <w:fldChar w:fldCharType="begin" w:fldLock="1"/>
      </w:r>
      <w:r w:rsidRPr="005E5785">
        <w:rPr>
          <w:rFonts w:ascii="Times New Roman" w:hAnsi="Times New Roman" w:cs="Times New Roman"/>
        </w:rPr>
        <w:instrText>ADDIN CSL_CITATION { "citationItems" : [ { "id" : "ITEM-1", "itemData" : { "author" : [ { "dropping-particle" : "", "family" : "Rose", "given" : "John M.", "non-dropping-particle" : "", "parse-names" : false, "suffix" : "" }, { "dropping-particle" : "", "family" : "Bliemer", "given" : "Michiel C.J.", "non-dropping-particle" : "", "parse-names" : false, "suffix" : "" } ], "container-title" : "Elsevier", "id" : "ITEM-1", "issued" : { "date-parts" : [ [ "2008" ] ] }, "page" : "1-26", "title" : "Stated Preference Experimental Design Strategies", "type" : "article-journal" }, "uris" : [ "http://www.mendeley.com/documents/?uuid=b960fa02-42ef-4a5f-895e-d65f6f93cd54" ] }, { "id" : "ITEM-2", "itemData" : { "DOI" : "10.1016/j.tra.2013.01.015", "ISSN" : "09658564", "author" : [ { "dropping-particle" : "", "family" : "Beck", "given" : "Matthew J.", "non-dropping-particle" : "", "parse-names" : false, "suffix" : "" }, { "dropping-particle" : "", "family" : "Rose", "given" : "John M.", "non-dropping-particle" : "", "parse-names" : false, "suffix" : "" }, { "dropping-particle" : "", "family" : "Hensher", "given" : "David a.", "non-dropping-particle" : "", "parse-names" : false, "suffix" : "" } ], "container-title" : "Transportation Research Part A: Policy and Practice", "id" : "ITEM-2", "issued" : { "date-parts" : [ [ "2013", "4" ] ] }, "page" : "171-182", "title" : "Environmental attitudes and emissions charging: An example of policy implications for vehicle choice", "type" : "article-journal", "volume" : "50" }, "uris" : [ "http://www.mendeley.com/documents/?uuid=67a5eb8a-00a6-4ad6-ac4b-ad6c7d8f0a5f" ] } ], "mendeley" : { "formattedCitation" : "(Beck et al., 2013; Rose &amp; Bliemer, 2008)", "manualFormatting" : "(Beck et al. 2013; Rose and Bliemer 2008)", "plainTextFormattedCitation" : "(Beck et al., 2013; Rose &amp; Bliemer, 2008)", "previouslyFormattedCitation" : "(Beck et al., 2013; Rose &amp; Bliemer, 2008)" }, "properties" : {  }, "schema" : "https://github.com/citation-style-language/schema/raw/master/csl-citation.json" }</w:instrText>
      </w:r>
      <w:r w:rsidRPr="005E5785">
        <w:rPr>
          <w:rFonts w:ascii="Times New Roman" w:hAnsi="Times New Roman" w:cs="Times New Roman"/>
        </w:rPr>
        <w:fldChar w:fldCharType="separate"/>
      </w:r>
      <w:r w:rsidRPr="005E5785">
        <w:rPr>
          <w:rFonts w:ascii="Times New Roman" w:hAnsi="Times New Roman" w:cs="Times New Roman"/>
        </w:rPr>
        <w:t>(Beck et al. 2013; Rose and Bliemer 2008)</w:t>
      </w:r>
      <w:r w:rsidRPr="005E5785">
        <w:rPr>
          <w:rFonts w:ascii="Times New Roman" w:hAnsi="Times New Roman" w:cs="Times New Roman"/>
        </w:rPr>
        <w:fldChar w:fldCharType="end"/>
      </w:r>
      <w:r w:rsidRPr="005E5785">
        <w:rPr>
          <w:rFonts w:ascii="Times New Roman" w:hAnsi="Times New Roman" w:cs="Times New Roman"/>
        </w:rPr>
        <w:t>. For instance, a household interested in an economy size vehicle was faced with its matc</w:t>
      </w:r>
      <w:r w:rsidR="00D26D51">
        <w:rPr>
          <w:rFonts w:ascii="Times New Roman" w:hAnsi="Times New Roman" w:cs="Times New Roman"/>
        </w:rPr>
        <w:t>hing price or fuel cost levels.</w:t>
      </w:r>
    </w:p>
    <w:p w14:paraId="51F18637" w14:textId="77777777" w:rsidR="0033141A" w:rsidRPr="005E5785" w:rsidRDefault="0033141A" w:rsidP="002B7195">
      <w:pPr>
        <w:pStyle w:val="ListParagraph"/>
        <w:numPr>
          <w:ilvl w:val="0"/>
          <w:numId w:val="1"/>
        </w:numPr>
        <w:tabs>
          <w:tab w:val="left" w:pos="5220"/>
        </w:tabs>
        <w:rPr>
          <w:rFonts w:ascii="Times New Roman" w:hAnsi="Times New Roman" w:cs="Times New Roman"/>
        </w:rPr>
      </w:pPr>
      <w:r w:rsidRPr="005E5785">
        <w:rPr>
          <w:rFonts w:ascii="Times New Roman" w:hAnsi="Times New Roman" w:cs="Times New Roman"/>
        </w:rPr>
        <w:t xml:space="preserve">EV demand in a lagging adoption region </w:t>
      </w:r>
    </w:p>
    <w:p w14:paraId="39B6C61F" w14:textId="77777777" w:rsidR="0033141A" w:rsidRPr="005E5785" w:rsidRDefault="0033141A" w:rsidP="00076EDC">
      <w:pPr>
        <w:tabs>
          <w:tab w:val="left" w:pos="5220"/>
        </w:tabs>
        <w:ind w:firstLine="0"/>
        <w:rPr>
          <w:rFonts w:ascii="Times New Roman" w:hAnsi="Times New Roman" w:cs="Times New Roman"/>
        </w:rPr>
      </w:pPr>
      <w:r w:rsidRPr="005E5785">
        <w:rPr>
          <w:rFonts w:ascii="Times New Roman" w:hAnsi="Times New Roman" w:cs="Times New Roman"/>
        </w:rPr>
        <w:t xml:space="preserve">Atlantic Canada is a lagging region in terms of EV uptake while has not yet been investigated in that aspect. Until now, there is no evidence of such a study having been undertaken in a lagging adoption region around the globe. The results of chapter 3 provide a better understandings about why Atlantic Canada lags behind in relation to leading adoption provinces, and give insights about vehicle attributes and policies that are important to potential EV buyers. These results can be used to target specific population segments for EV marketing and to take prioritized provincial actions </w:t>
      </w:r>
      <w:r w:rsidRPr="005E5785">
        <w:rPr>
          <w:rFonts w:ascii="Times New Roman" w:hAnsi="Times New Roman" w:cs="Times New Roman"/>
        </w:rPr>
        <w:lastRenderedPageBreak/>
        <w:t>to accelerate EV uptake in Atlantic Canada since the study finds widespread openness to the idea of electric vehicles among Atlantic consumers.</w:t>
      </w:r>
    </w:p>
    <w:p w14:paraId="33DB5A72" w14:textId="77777777" w:rsidR="0033141A" w:rsidRPr="005E5785" w:rsidRDefault="0033141A" w:rsidP="002B7195">
      <w:pPr>
        <w:pStyle w:val="ListParagraph"/>
        <w:numPr>
          <w:ilvl w:val="0"/>
          <w:numId w:val="1"/>
        </w:numPr>
        <w:tabs>
          <w:tab w:val="left" w:pos="5220"/>
        </w:tabs>
        <w:rPr>
          <w:rFonts w:ascii="Times New Roman" w:hAnsi="Times New Roman" w:cs="Times New Roman"/>
        </w:rPr>
      </w:pPr>
      <w:r w:rsidRPr="005E5785">
        <w:rPr>
          <w:rFonts w:ascii="Times New Roman" w:hAnsi="Times New Roman" w:cs="Times New Roman"/>
        </w:rPr>
        <w:t xml:space="preserve">A comparison of Atlantic Canada and leading adoption provinces  </w:t>
      </w:r>
    </w:p>
    <w:p w14:paraId="01299053" w14:textId="77777777" w:rsidR="0033141A" w:rsidRPr="005E5785" w:rsidRDefault="0033141A" w:rsidP="00076EDC">
      <w:pPr>
        <w:tabs>
          <w:tab w:val="left" w:pos="5220"/>
        </w:tabs>
        <w:ind w:firstLine="0"/>
        <w:rPr>
          <w:rFonts w:ascii="Times New Roman" w:hAnsi="Times New Roman" w:cs="Times New Roman"/>
        </w:rPr>
      </w:pPr>
      <w:r w:rsidRPr="005E5785">
        <w:rPr>
          <w:rFonts w:ascii="Times New Roman" w:hAnsi="Times New Roman" w:cs="Times New Roman"/>
        </w:rPr>
        <w:t>We also compare the Atlantic model results with those of a separate latent class model obtained from leading ado</w:t>
      </w:r>
      <w:r w:rsidR="008108F3">
        <w:rPr>
          <w:rFonts w:ascii="Times New Roman" w:hAnsi="Times New Roman" w:cs="Times New Roman"/>
        </w:rPr>
        <w:t xml:space="preserve">ption provinces </w:t>
      </w:r>
      <w:r w:rsidRPr="005E5785">
        <w:rPr>
          <w:rFonts w:ascii="Times New Roman" w:hAnsi="Times New Roman" w:cs="Times New Roman"/>
        </w:rPr>
        <w:t>to further expand our understandings towards the attributes and incentives that play roles in households’ decisions toward an EV purchase. The class membership results show that there is a larger share of HEV orientation in Atlantic Canada – 30% as opposed to 20% in the model</w:t>
      </w:r>
      <w:r w:rsidR="008108F3">
        <w:rPr>
          <w:rFonts w:ascii="Times New Roman" w:hAnsi="Times New Roman" w:cs="Times New Roman"/>
        </w:rPr>
        <w:t xml:space="preserve"> obtained from leading provinces</w:t>
      </w:r>
      <w:r w:rsidRPr="005E5785">
        <w:rPr>
          <w:rFonts w:ascii="Times New Roman" w:hAnsi="Times New Roman" w:cs="Times New Roman"/>
        </w:rPr>
        <w:t>. However, plug-in classes (PHEV- and BEV-oriented) acc</w:t>
      </w:r>
      <w:r w:rsidR="008108F3">
        <w:rPr>
          <w:rFonts w:ascii="Times New Roman" w:hAnsi="Times New Roman" w:cs="Times New Roman"/>
        </w:rPr>
        <w:t>ount for a total of 40% in l</w:t>
      </w:r>
      <w:r w:rsidRPr="005E5785">
        <w:rPr>
          <w:rFonts w:ascii="Times New Roman" w:hAnsi="Times New Roman" w:cs="Times New Roman"/>
        </w:rPr>
        <w:t xml:space="preserve">eading </w:t>
      </w:r>
      <w:r w:rsidR="008108F3">
        <w:rPr>
          <w:rFonts w:ascii="Times New Roman" w:hAnsi="Times New Roman" w:cs="Times New Roman"/>
        </w:rPr>
        <w:t>provinces</w:t>
      </w:r>
      <w:r w:rsidRPr="005E5785">
        <w:rPr>
          <w:rFonts w:ascii="Times New Roman" w:hAnsi="Times New Roman" w:cs="Times New Roman"/>
        </w:rPr>
        <w:t xml:space="preserve">, but only 30% in Atlantic Canada. Hence, the plug-in orientation is simply less prevalent in Atlantic Canada. Based on the results, Atlantic households seem more uncertain about battery electric vehicles (BEVs) compared to consumers in leading adoption provinces, and thus a BEV-oriented class was not able to form in the Atlantic latent class model.  </w:t>
      </w:r>
    </w:p>
    <w:p w14:paraId="35E6AA9F" w14:textId="77777777" w:rsidR="0033141A" w:rsidRPr="005E5785" w:rsidRDefault="0033141A" w:rsidP="002B7195">
      <w:pPr>
        <w:pStyle w:val="ListParagraph"/>
        <w:numPr>
          <w:ilvl w:val="0"/>
          <w:numId w:val="1"/>
        </w:numPr>
        <w:tabs>
          <w:tab w:val="left" w:pos="5220"/>
        </w:tabs>
        <w:rPr>
          <w:rFonts w:ascii="Times New Roman" w:hAnsi="Times New Roman" w:cs="Times New Roman"/>
        </w:rPr>
      </w:pPr>
      <w:r w:rsidRPr="005E5785">
        <w:rPr>
          <w:rFonts w:ascii="Times New Roman" w:hAnsi="Times New Roman" w:cs="Times New Roman"/>
        </w:rPr>
        <w:t xml:space="preserve">The construction of “Total cost of ownership” (TCO) model </w:t>
      </w:r>
    </w:p>
    <w:p w14:paraId="6D2C678B" w14:textId="77777777" w:rsidR="0033141A" w:rsidRPr="005E5785" w:rsidRDefault="0033141A" w:rsidP="00076EDC">
      <w:pPr>
        <w:tabs>
          <w:tab w:val="left" w:pos="5220"/>
        </w:tabs>
        <w:ind w:firstLine="0"/>
        <w:rPr>
          <w:rFonts w:ascii="Times New Roman" w:hAnsi="Times New Roman" w:cs="Times New Roman"/>
        </w:rPr>
      </w:pPr>
      <w:r w:rsidRPr="005E5785">
        <w:rPr>
          <w:rFonts w:ascii="Times New Roman" w:hAnsi="Times New Roman" w:cs="Times New Roman"/>
        </w:rPr>
        <w:t xml:space="preserve">This study calculates and compares the TCO for commercially available BEVs and a comparable size of an ICE based on consumer context by using data from a sample of prospective car buyers in Canada. The study takes into consideration households’ specific situation: annual mileage, ownership time and preferred vehicle class, and reveals the share of households who are suited for a BEV purchase under a series of incentive and price scenarios. Such analysis has not been </w:t>
      </w:r>
      <w:r w:rsidRPr="005E5785">
        <w:rPr>
          <w:rFonts w:ascii="Times New Roman" w:hAnsi="Times New Roman" w:cs="Times New Roman"/>
        </w:rPr>
        <w:lastRenderedPageBreak/>
        <w:t>prominently featured in the literature, and no studies were found to analyze the Canadian market in this respect.</w:t>
      </w:r>
    </w:p>
    <w:p w14:paraId="5B8D367B" w14:textId="77777777" w:rsidR="0033141A" w:rsidRPr="00D26D51" w:rsidRDefault="0033141A" w:rsidP="002B7195">
      <w:pPr>
        <w:pStyle w:val="ListParagraph"/>
        <w:numPr>
          <w:ilvl w:val="0"/>
          <w:numId w:val="1"/>
        </w:numPr>
        <w:tabs>
          <w:tab w:val="left" w:pos="5220"/>
        </w:tabs>
        <w:rPr>
          <w:rFonts w:ascii="Times New Roman" w:hAnsi="Times New Roman" w:cs="Times New Roman"/>
        </w:rPr>
      </w:pPr>
      <w:r w:rsidRPr="005E5785">
        <w:rPr>
          <w:rFonts w:ascii="Times New Roman" w:hAnsi="Times New Roman" w:cs="Times New Roman"/>
        </w:rPr>
        <w:t>A bivariate ordered probit model to predict annual mileage and ownership time</w:t>
      </w:r>
    </w:p>
    <w:p w14:paraId="097AD6DE" w14:textId="76B21243" w:rsidR="0033141A" w:rsidRPr="005E5785" w:rsidRDefault="0033141A" w:rsidP="008A1CD2">
      <w:pPr>
        <w:tabs>
          <w:tab w:val="left" w:pos="5220"/>
        </w:tabs>
        <w:ind w:firstLine="0"/>
        <w:rPr>
          <w:rFonts w:ascii="Times New Roman" w:hAnsi="Times New Roman" w:cs="Times New Roman"/>
        </w:rPr>
      </w:pPr>
      <w:r w:rsidRPr="005E5785">
        <w:rPr>
          <w:rFonts w:ascii="Times New Roman" w:hAnsi="Times New Roman" w:cs="Times New Roman"/>
        </w:rPr>
        <w:t xml:space="preserve">This is the first study, to my knowledge, to utilize a bivariate ordered probit model to predict annual mileage and ownership </w:t>
      </w:r>
      <w:r w:rsidR="008108F3">
        <w:rPr>
          <w:rFonts w:ascii="Times New Roman" w:hAnsi="Times New Roman" w:cs="Times New Roman"/>
        </w:rPr>
        <w:t>period</w:t>
      </w:r>
      <w:r w:rsidRPr="005E5785">
        <w:rPr>
          <w:rFonts w:ascii="Times New Roman" w:hAnsi="Times New Roman" w:cs="Times New Roman"/>
        </w:rPr>
        <w:t xml:space="preserve">, the </w:t>
      </w:r>
      <w:r w:rsidR="008108F3">
        <w:rPr>
          <w:rFonts w:ascii="Times New Roman" w:hAnsi="Times New Roman" w:cs="Times New Roman"/>
        </w:rPr>
        <w:t>most</w:t>
      </w:r>
      <w:r w:rsidRPr="005E5785">
        <w:rPr>
          <w:rFonts w:ascii="Times New Roman" w:hAnsi="Times New Roman" w:cs="Times New Roman"/>
        </w:rPr>
        <w:t xml:space="preserve"> influencing variables in the TCO model. The model incorporates a suite of socioeconomic, vehicle fleet, and geographic variables and is </w:t>
      </w:r>
      <w:r w:rsidR="008A1CD2">
        <w:rPr>
          <w:rFonts w:ascii="Times New Roman" w:hAnsi="Times New Roman" w:cs="Times New Roman"/>
        </w:rPr>
        <w:t>independent from the TCO model.</w:t>
      </w:r>
    </w:p>
    <w:p w14:paraId="4891C928" w14:textId="77777777" w:rsidR="0033141A" w:rsidRPr="00E1100F" w:rsidRDefault="00D26D51" w:rsidP="00E1100F">
      <w:pPr>
        <w:pStyle w:val="ListParagraph"/>
        <w:numPr>
          <w:ilvl w:val="1"/>
          <w:numId w:val="10"/>
        </w:numPr>
        <w:ind w:left="357" w:hanging="357"/>
        <w:outlineLvl w:val="1"/>
        <w:rPr>
          <w:rFonts w:ascii="Times New Roman" w:hAnsi="Times New Roman" w:cs="Times New Roman"/>
          <w:b/>
        </w:rPr>
      </w:pPr>
      <w:bookmarkStart w:id="104" w:name="_Toc528650899"/>
      <w:r w:rsidRPr="00E1100F">
        <w:rPr>
          <w:rFonts w:ascii="Times New Roman" w:hAnsi="Times New Roman" w:cs="Times New Roman"/>
          <w:b/>
        </w:rPr>
        <w:t>Future research</w:t>
      </w:r>
      <w:bookmarkEnd w:id="104"/>
    </w:p>
    <w:p w14:paraId="1BDEDA73" w14:textId="77777777" w:rsidR="0033141A" w:rsidRPr="005E5785" w:rsidRDefault="0033141A" w:rsidP="00076EDC">
      <w:pPr>
        <w:tabs>
          <w:tab w:val="left" w:pos="5220"/>
        </w:tabs>
        <w:ind w:firstLine="0"/>
        <w:rPr>
          <w:rFonts w:ascii="Times New Roman" w:hAnsi="Times New Roman" w:cs="Times New Roman"/>
        </w:rPr>
      </w:pPr>
      <w:r w:rsidRPr="005E5785">
        <w:rPr>
          <w:rFonts w:ascii="Times New Roman" w:hAnsi="Times New Roman" w:cs="Times New Roman"/>
        </w:rPr>
        <w:t>Although the research makes a number of contributions, several important questions for future research can be discerned:</w:t>
      </w:r>
    </w:p>
    <w:p w14:paraId="4F6F3C3A" w14:textId="77777777" w:rsidR="0033141A" w:rsidRPr="005E5785" w:rsidRDefault="0033141A" w:rsidP="002B7195">
      <w:pPr>
        <w:pStyle w:val="ListParagraph"/>
        <w:numPr>
          <w:ilvl w:val="0"/>
          <w:numId w:val="2"/>
        </w:numPr>
        <w:tabs>
          <w:tab w:val="left" w:pos="5220"/>
        </w:tabs>
        <w:rPr>
          <w:rFonts w:ascii="Times New Roman" w:hAnsi="Times New Roman" w:cs="Times New Roman"/>
        </w:rPr>
      </w:pPr>
      <w:r w:rsidRPr="005E5785">
        <w:rPr>
          <w:rFonts w:ascii="Times New Roman" w:hAnsi="Times New Roman" w:cs="Times New Roman"/>
        </w:rPr>
        <w:t>Development of survey-oriented studies in other types of transportation research</w:t>
      </w:r>
    </w:p>
    <w:p w14:paraId="79665DBA" w14:textId="407C9116" w:rsidR="0033141A" w:rsidRPr="005E5785" w:rsidRDefault="0033141A" w:rsidP="00076EDC">
      <w:pPr>
        <w:pStyle w:val="ListParagraph"/>
        <w:tabs>
          <w:tab w:val="left" w:pos="5220"/>
        </w:tabs>
        <w:ind w:left="0" w:firstLine="0"/>
        <w:rPr>
          <w:rFonts w:ascii="Times New Roman" w:hAnsi="Times New Roman" w:cs="Times New Roman"/>
        </w:rPr>
      </w:pPr>
      <w:r w:rsidRPr="005E5785">
        <w:rPr>
          <w:rFonts w:ascii="Times New Roman" w:hAnsi="Times New Roman" w:cs="Times New Roman"/>
        </w:rPr>
        <w:t xml:space="preserve">Although the information provided in </w:t>
      </w:r>
      <w:r w:rsidR="008A1CD2">
        <w:rPr>
          <w:rFonts w:ascii="Times New Roman" w:hAnsi="Times New Roman" w:cs="Times New Roman"/>
        </w:rPr>
        <w:t>the present thesis</w:t>
      </w:r>
      <w:r w:rsidRPr="005E5785">
        <w:rPr>
          <w:rFonts w:ascii="Times New Roman" w:hAnsi="Times New Roman" w:cs="Times New Roman"/>
        </w:rPr>
        <w:t xml:space="preserve"> </w:t>
      </w:r>
      <w:r w:rsidR="008A1CD2">
        <w:rPr>
          <w:rFonts w:ascii="Times New Roman" w:hAnsi="Times New Roman" w:cs="Times New Roman"/>
        </w:rPr>
        <w:t>about</w:t>
      </w:r>
      <w:r w:rsidRPr="005E5785">
        <w:rPr>
          <w:rFonts w:ascii="Times New Roman" w:hAnsi="Times New Roman" w:cs="Times New Roman"/>
        </w:rPr>
        <w:t xml:space="preserve"> the </w:t>
      </w:r>
      <w:r w:rsidR="008A1CD2">
        <w:rPr>
          <w:rFonts w:ascii="Times New Roman" w:hAnsi="Times New Roman" w:cs="Times New Roman"/>
        </w:rPr>
        <w:t>development</w:t>
      </w:r>
      <w:r w:rsidRPr="005E5785">
        <w:rPr>
          <w:rFonts w:ascii="Times New Roman" w:hAnsi="Times New Roman" w:cs="Times New Roman"/>
        </w:rPr>
        <w:t xml:space="preserve"> and </w:t>
      </w:r>
      <w:r w:rsidR="008A1CD2">
        <w:rPr>
          <w:rFonts w:ascii="Times New Roman" w:hAnsi="Times New Roman" w:cs="Times New Roman"/>
        </w:rPr>
        <w:t>implementation</w:t>
      </w:r>
      <w:r w:rsidRPr="005E5785">
        <w:rPr>
          <w:rFonts w:ascii="Times New Roman" w:hAnsi="Times New Roman" w:cs="Times New Roman"/>
        </w:rPr>
        <w:t xml:space="preserve"> a survey instrument can go beyond the EV research domain, it is worthwhile to see similar works in other types of transportation research. A shortage of survey-oriented studies is currently evident throughout the transportation literature, whereas the focus of most studies are on final analysis of survey data than aspects of survey design itself. </w:t>
      </w:r>
    </w:p>
    <w:p w14:paraId="67268E8C" w14:textId="77777777" w:rsidR="0033141A" w:rsidRPr="005E5785" w:rsidRDefault="0033141A" w:rsidP="002B7195">
      <w:pPr>
        <w:pStyle w:val="ListParagraph"/>
        <w:numPr>
          <w:ilvl w:val="0"/>
          <w:numId w:val="2"/>
        </w:numPr>
        <w:tabs>
          <w:tab w:val="left" w:pos="5220"/>
        </w:tabs>
        <w:rPr>
          <w:rFonts w:ascii="Times New Roman" w:hAnsi="Times New Roman" w:cs="Times New Roman"/>
        </w:rPr>
      </w:pPr>
      <w:r w:rsidRPr="005E5785">
        <w:rPr>
          <w:rFonts w:ascii="Times New Roman" w:hAnsi="Times New Roman" w:cs="Times New Roman"/>
        </w:rPr>
        <w:t xml:space="preserve">A comparison of our survey instrument (SPACE) with similar surveys in the context of electric mobility and the outcomes that emerged from each can provide further knowledge about techniques and strategies that are most useful to be adopted by researchers. This can also reveal </w:t>
      </w:r>
      <w:r w:rsidRPr="005E5785">
        <w:rPr>
          <w:rFonts w:ascii="Times New Roman" w:hAnsi="Times New Roman" w:cs="Times New Roman"/>
        </w:rPr>
        <w:lastRenderedPageBreak/>
        <w:t xml:space="preserve">the best practices to further reduce cognitive burden and design a survey that is less labour-intensive. </w:t>
      </w:r>
    </w:p>
    <w:p w14:paraId="4D3772F1" w14:textId="77777777" w:rsidR="0033141A" w:rsidRDefault="0033141A" w:rsidP="002B7195">
      <w:pPr>
        <w:pStyle w:val="ListParagraph"/>
        <w:numPr>
          <w:ilvl w:val="0"/>
          <w:numId w:val="2"/>
        </w:numPr>
        <w:rPr>
          <w:rFonts w:ascii="Times New Roman" w:hAnsi="Times New Roman" w:cs="Times New Roman"/>
        </w:rPr>
      </w:pPr>
      <w:r w:rsidRPr="005E5785">
        <w:rPr>
          <w:rFonts w:ascii="Times New Roman" w:hAnsi="Times New Roman" w:cs="Times New Roman"/>
        </w:rPr>
        <w:t xml:space="preserve">Some variables that are not included in the current study are worth investigating in more depth. For instance, whether occupants of single detached dwellings with space for home charging infrastructure might be more willing to adapt an EV comparing with occupants of multi-storey apartments. </w:t>
      </w:r>
    </w:p>
    <w:p w14:paraId="79FDE646" w14:textId="352836DE" w:rsidR="009A78D4" w:rsidRPr="005E5785" w:rsidRDefault="009A78D4" w:rsidP="002B7195">
      <w:pPr>
        <w:pStyle w:val="ListParagraph"/>
        <w:numPr>
          <w:ilvl w:val="0"/>
          <w:numId w:val="2"/>
        </w:numPr>
        <w:rPr>
          <w:rFonts w:ascii="Times New Roman" w:hAnsi="Times New Roman" w:cs="Times New Roman"/>
        </w:rPr>
      </w:pPr>
      <w:r w:rsidRPr="005E5785">
        <w:rPr>
          <w:rFonts w:ascii="Times New Roman" w:hAnsi="Times New Roman" w:cs="Times New Roman"/>
        </w:rPr>
        <w:t>Identifying the locations of house</w:t>
      </w:r>
      <w:r>
        <w:rPr>
          <w:rFonts w:ascii="Times New Roman" w:hAnsi="Times New Roman" w:cs="Times New Roman"/>
        </w:rPr>
        <w:t xml:space="preserve">holds (postal codes) is a critical part of SPACE </w:t>
      </w:r>
      <w:r w:rsidRPr="005E5785">
        <w:rPr>
          <w:rFonts w:ascii="Times New Roman" w:hAnsi="Times New Roman" w:cs="Times New Roman"/>
        </w:rPr>
        <w:t xml:space="preserve">as it opens up </w:t>
      </w:r>
      <w:r w:rsidR="00856A78">
        <w:rPr>
          <w:rFonts w:ascii="Times New Roman" w:hAnsi="Times New Roman" w:cs="Times New Roman"/>
        </w:rPr>
        <w:t>opportunities</w:t>
      </w:r>
      <w:r w:rsidRPr="005E5785">
        <w:rPr>
          <w:rFonts w:ascii="Times New Roman" w:hAnsi="Times New Roman" w:cs="Times New Roman"/>
        </w:rPr>
        <w:t xml:space="preserve"> for </w:t>
      </w:r>
      <w:r w:rsidR="00856A78">
        <w:rPr>
          <w:rFonts w:ascii="Times New Roman" w:hAnsi="Times New Roman" w:cs="Times New Roman"/>
        </w:rPr>
        <w:t>future</w:t>
      </w:r>
      <w:r w:rsidRPr="005E5785">
        <w:rPr>
          <w:rFonts w:ascii="Times New Roman" w:hAnsi="Times New Roman" w:cs="Times New Roman"/>
        </w:rPr>
        <w:t xml:space="preserve"> studies</w:t>
      </w:r>
      <w:r w:rsidR="00856A78">
        <w:rPr>
          <w:rFonts w:ascii="Times New Roman" w:hAnsi="Times New Roman" w:cs="Times New Roman"/>
        </w:rPr>
        <w:t xml:space="preserve"> with a</w:t>
      </w:r>
      <w:r w:rsidR="00856A78" w:rsidRPr="005E5785">
        <w:rPr>
          <w:rFonts w:ascii="Times New Roman" w:hAnsi="Times New Roman" w:cs="Times New Roman"/>
        </w:rPr>
        <w:t xml:space="preserve"> more focused geographical analysis of </w:t>
      </w:r>
      <w:r w:rsidR="00856A78">
        <w:rPr>
          <w:rFonts w:ascii="Times New Roman" w:hAnsi="Times New Roman" w:cs="Times New Roman"/>
        </w:rPr>
        <w:t xml:space="preserve">potential </w:t>
      </w:r>
      <w:r w:rsidR="00856A78" w:rsidRPr="005E5785">
        <w:rPr>
          <w:rFonts w:ascii="Times New Roman" w:hAnsi="Times New Roman" w:cs="Times New Roman"/>
        </w:rPr>
        <w:t>EV</w:t>
      </w:r>
      <w:r w:rsidR="00856A78">
        <w:rPr>
          <w:rFonts w:ascii="Times New Roman" w:hAnsi="Times New Roman" w:cs="Times New Roman"/>
        </w:rPr>
        <w:t xml:space="preserve"> adopters.</w:t>
      </w:r>
      <w:r w:rsidR="00856A78" w:rsidRPr="005E5785">
        <w:rPr>
          <w:rFonts w:ascii="Times New Roman" w:hAnsi="Times New Roman" w:cs="Times New Roman"/>
        </w:rPr>
        <w:t xml:space="preserve"> </w:t>
      </w:r>
      <w:r w:rsidR="00420098">
        <w:rPr>
          <w:rFonts w:ascii="Times New Roman" w:hAnsi="Times New Roman" w:cs="Times New Roman"/>
        </w:rPr>
        <w:t xml:space="preserve">One possible research objective using postal codes could be to estimate </w:t>
      </w:r>
      <w:r w:rsidR="00856A78">
        <w:rPr>
          <w:rFonts w:ascii="Times New Roman" w:hAnsi="Times New Roman" w:cs="Times New Roman"/>
        </w:rPr>
        <w:t>the</w:t>
      </w:r>
      <w:r w:rsidRPr="005E5785">
        <w:rPr>
          <w:rFonts w:ascii="Times New Roman" w:hAnsi="Times New Roman" w:cs="Times New Roman"/>
        </w:rPr>
        <w:t xml:space="preserve"> optimum locations </w:t>
      </w:r>
      <w:r w:rsidR="00420098">
        <w:rPr>
          <w:rFonts w:ascii="Times New Roman" w:hAnsi="Times New Roman" w:cs="Times New Roman"/>
        </w:rPr>
        <w:t>of</w:t>
      </w:r>
      <w:r w:rsidRPr="005E5785">
        <w:rPr>
          <w:rFonts w:ascii="Times New Roman" w:hAnsi="Times New Roman" w:cs="Times New Roman"/>
        </w:rPr>
        <w:t xml:space="preserve"> public charging </w:t>
      </w:r>
      <w:r w:rsidR="00420098">
        <w:rPr>
          <w:rFonts w:ascii="Times New Roman" w:hAnsi="Times New Roman" w:cs="Times New Roman"/>
        </w:rPr>
        <w:t>stations</w:t>
      </w:r>
      <w:r w:rsidRPr="005E5785">
        <w:rPr>
          <w:rFonts w:ascii="Times New Roman" w:hAnsi="Times New Roman" w:cs="Times New Roman"/>
        </w:rPr>
        <w:t xml:space="preserve">, </w:t>
      </w:r>
      <w:r w:rsidR="00856A78">
        <w:rPr>
          <w:rFonts w:ascii="Times New Roman" w:hAnsi="Times New Roman" w:cs="Times New Roman"/>
        </w:rPr>
        <w:t xml:space="preserve">and </w:t>
      </w:r>
      <w:r w:rsidR="00420098">
        <w:rPr>
          <w:rFonts w:ascii="Times New Roman" w:hAnsi="Times New Roman" w:cs="Times New Roman"/>
        </w:rPr>
        <w:t>identify</w:t>
      </w:r>
      <w:r w:rsidRPr="005E5785">
        <w:rPr>
          <w:rFonts w:ascii="Times New Roman" w:hAnsi="Times New Roman" w:cs="Times New Roman"/>
        </w:rPr>
        <w:t xml:space="preserve"> </w:t>
      </w:r>
      <w:r w:rsidR="00420098">
        <w:rPr>
          <w:rFonts w:ascii="Times New Roman" w:hAnsi="Times New Roman" w:cs="Times New Roman"/>
        </w:rPr>
        <w:t>the</w:t>
      </w:r>
      <w:r w:rsidRPr="005E5785">
        <w:rPr>
          <w:rFonts w:ascii="Times New Roman" w:hAnsi="Times New Roman" w:cs="Times New Roman"/>
        </w:rPr>
        <w:t xml:space="preserve"> places with high demand in terms of home EV charging and its impact on the electricity distribution network.</w:t>
      </w:r>
    </w:p>
    <w:p w14:paraId="5CEBFA63" w14:textId="77777777" w:rsidR="008108F3" w:rsidRPr="00D31C2D" w:rsidRDefault="008108F3" w:rsidP="002B7195">
      <w:pPr>
        <w:pStyle w:val="ListParagraph"/>
        <w:numPr>
          <w:ilvl w:val="0"/>
          <w:numId w:val="2"/>
        </w:numPr>
        <w:tabs>
          <w:tab w:val="left" w:pos="5220"/>
        </w:tabs>
        <w:rPr>
          <w:rFonts w:ascii="Times New Roman" w:hAnsi="Times New Roman" w:cs="Times New Roman"/>
        </w:rPr>
      </w:pPr>
      <w:r w:rsidRPr="00D31C2D">
        <w:rPr>
          <w:rFonts w:ascii="Times New Roman" w:hAnsi="Times New Roman"/>
        </w:rPr>
        <w:t xml:space="preserve">More qualitative research methods such as research groups or </w:t>
      </w:r>
      <w:r w:rsidR="00D31C2D">
        <w:rPr>
          <w:rFonts w:ascii="Times New Roman" w:hAnsi="Times New Roman"/>
        </w:rPr>
        <w:t xml:space="preserve">face-to-face </w:t>
      </w:r>
      <w:r w:rsidRPr="00D31C2D">
        <w:rPr>
          <w:rFonts w:ascii="Times New Roman" w:hAnsi="Times New Roman"/>
        </w:rPr>
        <w:t>interviews can add further insights to better understand</w:t>
      </w:r>
      <w:r w:rsidR="00D31C2D" w:rsidRPr="00D31C2D">
        <w:rPr>
          <w:rFonts w:ascii="Times New Roman" w:hAnsi="Times New Roman"/>
        </w:rPr>
        <w:t xml:space="preserve"> factors that play role in consumer EV adoption in Canada generally and in lagging adoption regions specifically. </w:t>
      </w:r>
      <w:r w:rsidRPr="00D31C2D">
        <w:rPr>
          <w:rFonts w:ascii="Times New Roman" w:hAnsi="Times New Roman"/>
        </w:rPr>
        <w:t xml:space="preserve"> </w:t>
      </w:r>
    </w:p>
    <w:p w14:paraId="63F19F66" w14:textId="77777777" w:rsidR="008108F3" w:rsidRPr="00D31C2D" w:rsidRDefault="008108F3" w:rsidP="002B7195">
      <w:pPr>
        <w:pStyle w:val="ListParagraph"/>
        <w:numPr>
          <w:ilvl w:val="0"/>
          <w:numId w:val="2"/>
        </w:numPr>
        <w:tabs>
          <w:tab w:val="left" w:pos="5220"/>
        </w:tabs>
        <w:rPr>
          <w:rFonts w:ascii="Times New Roman" w:hAnsi="Times New Roman" w:cs="Times New Roman"/>
        </w:rPr>
      </w:pPr>
      <w:r w:rsidRPr="00D31C2D">
        <w:rPr>
          <w:rFonts w:ascii="Times New Roman" w:hAnsi="Times New Roman"/>
        </w:rPr>
        <w:t xml:space="preserve">Future studies </w:t>
      </w:r>
      <w:r w:rsidR="00D31C2D" w:rsidRPr="00D31C2D">
        <w:rPr>
          <w:rFonts w:ascii="Times New Roman" w:hAnsi="Times New Roman"/>
        </w:rPr>
        <w:t>could consider</w:t>
      </w:r>
      <w:r w:rsidRPr="00D31C2D">
        <w:rPr>
          <w:rFonts w:ascii="Times New Roman" w:hAnsi="Times New Roman"/>
        </w:rPr>
        <w:t xml:space="preserve"> focus</w:t>
      </w:r>
      <w:r w:rsidR="00D31C2D" w:rsidRPr="00D31C2D">
        <w:rPr>
          <w:rFonts w:ascii="Times New Roman" w:hAnsi="Times New Roman"/>
        </w:rPr>
        <w:t>ing</w:t>
      </w:r>
      <w:r w:rsidRPr="00D31C2D">
        <w:rPr>
          <w:rFonts w:ascii="Times New Roman" w:hAnsi="Times New Roman"/>
        </w:rPr>
        <w:t xml:space="preserve"> on other lagging adoption regions in Canada (e.g., the Prairies) and also worldwide to gain more insights towards the EV mindsets in those regions and to provide context for comparing the results.</w:t>
      </w:r>
    </w:p>
    <w:p w14:paraId="477CFA6D" w14:textId="77777777" w:rsidR="0033141A" w:rsidRDefault="00D31C2D" w:rsidP="002B7195">
      <w:pPr>
        <w:pStyle w:val="ListParagraph"/>
        <w:numPr>
          <w:ilvl w:val="0"/>
          <w:numId w:val="2"/>
        </w:numPr>
        <w:tabs>
          <w:tab w:val="left" w:pos="5220"/>
        </w:tabs>
        <w:rPr>
          <w:rFonts w:ascii="Times New Roman" w:hAnsi="Times New Roman" w:cs="Times New Roman"/>
        </w:rPr>
      </w:pPr>
      <w:r>
        <w:rPr>
          <w:rFonts w:ascii="Times New Roman" w:hAnsi="Times New Roman" w:cs="Times New Roman"/>
        </w:rPr>
        <w:t>Studies of other decision factors such as</w:t>
      </w:r>
      <w:r w:rsidR="0033141A" w:rsidRPr="005E5785">
        <w:rPr>
          <w:rFonts w:ascii="Times New Roman" w:hAnsi="Times New Roman" w:cs="Times New Roman"/>
        </w:rPr>
        <w:t xml:space="preserve"> range, charg</w:t>
      </w:r>
      <w:r>
        <w:rPr>
          <w:rFonts w:ascii="Times New Roman" w:hAnsi="Times New Roman" w:cs="Times New Roman"/>
        </w:rPr>
        <w:t>ing time, environmental aspects rather</w:t>
      </w:r>
      <w:r w:rsidR="0033141A" w:rsidRPr="005E5785">
        <w:rPr>
          <w:rFonts w:ascii="Times New Roman" w:hAnsi="Times New Roman" w:cs="Times New Roman"/>
        </w:rPr>
        <w:t xml:space="preserve"> than </w:t>
      </w:r>
      <w:r>
        <w:rPr>
          <w:rFonts w:ascii="Times New Roman" w:hAnsi="Times New Roman" w:cs="Times New Roman"/>
        </w:rPr>
        <w:t>economic factor</w:t>
      </w:r>
      <w:r w:rsidR="0033141A" w:rsidRPr="005E5785">
        <w:rPr>
          <w:rFonts w:ascii="Times New Roman" w:hAnsi="Times New Roman" w:cs="Times New Roman"/>
        </w:rPr>
        <w:t xml:space="preserve"> or a combination of these factors </w:t>
      </w:r>
      <w:r>
        <w:rPr>
          <w:rFonts w:ascii="Times New Roman" w:hAnsi="Times New Roman" w:cs="Times New Roman"/>
        </w:rPr>
        <w:t>can provide further insights about</w:t>
      </w:r>
      <w:r w:rsidR="0033141A" w:rsidRPr="005E5785">
        <w:rPr>
          <w:rFonts w:ascii="Times New Roman" w:hAnsi="Times New Roman" w:cs="Times New Roman"/>
        </w:rPr>
        <w:t xml:space="preserve"> suitability of BEVs compared to conventional vehicles among Canadian consumers.</w:t>
      </w:r>
    </w:p>
    <w:p w14:paraId="1BCDB94A" w14:textId="77777777" w:rsidR="008A1CD2" w:rsidRDefault="008A1CD2" w:rsidP="00FC214F">
      <w:pPr>
        <w:pStyle w:val="ListParagraph"/>
        <w:tabs>
          <w:tab w:val="left" w:pos="5220"/>
        </w:tabs>
        <w:ind w:left="0" w:firstLine="0"/>
        <w:rPr>
          <w:rFonts w:ascii="Times New Roman" w:hAnsi="Times New Roman" w:cs="Times New Roman"/>
        </w:rPr>
      </w:pPr>
    </w:p>
    <w:p w14:paraId="32D774B8" w14:textId="77777777" w:rsidR="0033141A" w:rsidRPr="00FC214F" w:rsidRDefault="00FC214F" w:rsidP="00E1100F">
      <w:pPr>
        <w:pStyle w:val="ListParagraph"/>
        <w:numPr>
          <w:ilvl w:val="1"/>
          <w:numId w:val="10"/>
        </w:numPr>
        <w:ind w:left="357" w:hanging="357"/>
        <w:outlineLvl w:val="1"/>
        <w:rPr>
          <w:rFonts w:ascii="Times New Roman" w:hAnsi="Times New Roman" w:cs="Times New Roman"/>
          <w:b/>
        </w:rPr>
      </w:pPr>
      <w:bookmarkStart w:id="105" w:name="_Toc528650900"/>
      <w:r w:rsidRPr="00FC214F">
        <w:rPr>
          <w:rFonts w:ascii="Times New Roman" w:hAnsi="Times New Roman" w:cs="Times New Roman"/>
          <w:b/>
        </w:rPr>
        <w:lastRenderedPageBreak/>
        <w:t>References</w:t>
      </w:r>
      <w:bookmarkEnd w:id="105"/>
      <w:r w:rsidRPr="00FC214F">
        <w:rPr>
          <w:rFonts w:ascii="Times New Roman" w:hAnsi="Times New Roman" w:cs="Times New Roman"/>
          <w:b/>
        </w:rPr>
        <w:t xml:space="preserve"> </w:t>
      </w:r>
    </w:p>
    <w:p w14:paraId="0EA578A2" w14:textId="77777777" w:rsidR="00FC214F" w:rsidRPr="00FC214F" w:rsidRDefault="00FC214F" w:rsidP="006C5B28">
      <w:pPr>
        <w:spacing w:line="360" w:lineRule="auto"/>
        <w:ind w:firstLine="0"/>
        <w:rPr>
          <w:rFonts w:ascii="Times New Roman" w:hAnsi="Times New Roman" w:cs="Times New Roman"/>
        </w:rPr>
      </w:pPr>
      <w:r w:rsidRPr="00FC214F">
        <w:rPr>
          <w:rFonts w:ascii="Times New Roman" w:hAnsi="Times New Roman" w:cs="Times New Roman"/>
        </w:rPr>
        <w:t>Beck, M.J., Rose, J.M. Hensher, D.A. 2013. Environmental attitudes and emissions charging: an example of policy implications for vehicle choice. Transportation Research Part A: Policy and Practice 50, 171–182.</w:t>
      </w:r>
    </w:p>
    <w:p w14:paraId="7D11A4C2" w14:textId="77777777" w:rsidR="00FC214F" w:rsidRPr="00FC214F" w:rsidRDefault="00FC214F" w:rsidP="006C5B28">
      <w:pPr>
        <w:spacing w:line="360" w:lineRule="auto"/>
        <w:ind w:firstLine="0"/>
        <w:rPr>
          <w:rFonts w:ascii="Times New Roman" w:hAnsi="Times New Roman" w:cs="Times New Roman"/>
        </w:rPr>
      </w:pPr>
      <w:r w:rsidRPr="00FC214F">
        <w:rPr>
          <w:rFonts w:ascii="Times New Roman" w:hAnsi="Times New Roman" w:cs="Times New Roman"/>
        </w:rPr>
        <w:t>Rose, J.M., Bliemer, M.C.J. 2008. Stated preference experimental design strategies.  In: Hensher, D.A., Button, K.J. (Eds.), Handbook of Transport Modelling, Second Edition. Emerald Group Publishing Ltd., Bingley, UK. pp. 151–180.</w:t>
      </w:r>
    </w:p>
    <w:p w14:paraId="28EA9260" w14:textId="77777777" w:rsidR="00E0778D" w:rsidRPr="005E5785" w:rsidRDefault="00E0778D" w:rsidP="00076EDC">
      <w:pPr>
        <w:rPr>
          <w:rFonts w:ascii="Times New Roman" w:hAnsi="Times New Roman" w:cs="Times New Roman"/>
        </w:rPr>
      </w:pPr>
    </w:p>
    <w:sectPr w:rsidR="00E0778D" w:rsidRPr="005E5785" w:rsidSect="006C5B28">
      <w:pgSz w:w="12240" w:h="15840"/>
      <w:pgMar w:top="2155" w:right="1418" w:bottom="2155"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D53E12" w14:textId="77777777" w:rsidR="00A27D2B" w:rsidRDefault="00A27D2B" w:rsidP="00B167FF">
      <w:r>
        <w:separator/>
      </w:r>
    </w:p>
  </w:endnote>
  <w:endnote w:type="continuationSeparator" w:id="0">
    <w:p w14:paraId="09BD3BEF" w14:textId="77777777" w:rsidR="00A27D2B" w:rsidRDefault="00A27D2B" w:rsidP="00B16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Light">
    <w:altName w:val="Roboto Light"/>
    <w:panose1 w:val="00000000000000000000"/>
    <w:charset w:val="4D"/>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505290078"/>
      <w:docPartObj>
        <w:docPartGallery w:val="Page Numbers (Bottom of Page)"/>
        <w:docPartUnique/>
      </w:docPartObj>
    </w:sdtPr>
    <w:sdtEndPr>
      <w:rPr>
        <w:noProof/>
      </w:rPr>
    </w:sdtEndPr>
    <w:sdtContent>
      <w:p w14:paraId="05569574" w14:textId="62D825BE" w:rsidR="00420098" w:rsidRPr="00E1100F" w:rsidRDefault="00420098">
        <w:pPr>
          <w:pStyle w:val="Footer"/>
          <w:jc w:val="center"/>
          <w:rPr>
            <w:rFonts w:ascii="Times New Roman" w:hAnsi="Times New Roman" w:cs="Times New Roman"/>
          </w:rPr>
        </w:pPr>
        <w:r w:rsidRPr="00E1100F">
          <w:rPr>
            <w:rFonts w:ascii="Times New Roman" w:hAnsi="Times New Roman" w:cs="Times New Roman"/>
          </w:rPr>
          <w:fldChar w:fldCharType="begin"/>
        </w:r>
        <w:r w:rsidRPr="00E1100F">
          <w:rPr>
            <w:rFonts w:ascii="Times New Roman" w:hAnsi="Times New Roman" w:cs="Times New Roman"/>
          </w:rPr>
          <w:instrText xml:space="preserve"> PAGE   \* MERGEFORMAT </w:instrText>
        </w:r>
        <w:r w:rsidRPr="00E1100F">
          <w:rPr>
            <w:rFonts w:ascii="Times New Roman" w:hAnsi="Times New Roman" w:cs="Times New Roman"/>
          </w:rPr>
          <w:fldChar w:fldCharType="separate"/>
        </w:r>
        <w:r w:rsidR="00BC70AE">
          <w:rPr>
            <w:rFonts w:ascii="Times New Roman" w:hAnsi="Times New Roman" w:cs="Times New Roman"/>
            <w:noProof/>
          </w:rPr>
          <w:t>x</w:t>
        </w:r>
        <w:r w:rsidRPr="00E1100F">
          <w:rPr>
            <w:rFonts w:ascii="Times New Roman" w:hAnsi="Times New Roman" w:cs="Times New Roman"/>
            <w:noProof/>
          </w:rPr>
          <w:fldChar w:fldCharType="end"/>
        </w:r>
      </w:p>
    </w:sdtContent>
  </w:sdt>
  <w:p w14:paraId="65B0478C" w14:textId="77777777" w:rsidR="00420098" w:rsidRDefault="00420098" w:rsidP="001C1412">
    <w:pPr>
      <w:pStyle w:val="Footer"/>
      <w:tabs>
        <w:tab w:val="clear" w:pos="4680"/>
        <w:tab w:val="clear" w:pos="9360"/>
        <w:tab w:val="left" w:pos="448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9808123"/>
      <w:docPartObj>
        <w:docPartGallery w:val="Page Numbers (Bottom of Page)"/>
        <w:docPartUnique/>
      </w:docPartObj>
    </w:sdtPr>
    <w:sdtEndPr>
      <w:rPr>
        <w:noProof/>
      </w:rPr>
    </w:sdtEndPr>
    <w:sdtContent>
      <w:p w14:paraId="57E8993B" w14:textId="71479537" w:rsidR="00420098" w:rsidRDefault="00420098" w:rsidP="00CB0C16">
        <w:pPr>
          <w:pStyle w:val="Footer"/>
          <w:tabs>
            <w:tab w:val="center" w:pos="5062"/>
          </w:tabs>
        </w:pPr>
        <w:r>
          <w:tab/>
        </w:r>
        <w:r>
          <w:tab/>
        </w:r>
        <w:r w:rsidRPr="00E1100F">
          <w:rPr>
            <w:rFonts w:ascii="Times New Roman" w:hAnsi="Times New Roman" w:cs="Times New Roman"/>
          </w:rPr>
          <w:fldChar w:fldCharType="begin"/>
        </w:r>
        <w:r w:rsidRPr="00E1100F">
          <w:rPr>
            <w:rFonts w:ascii="Times New Roman" w:hAnsi="Times New Roman" w:cs="Times New Roman"/>
          </w:rPr>
          <w:instrText xml:space="preserve"> PAGE   \* MERGEFORMAT </w:instrText>
        </w:r>
        <w:r w:rsidRPr="00E1100F">
          <w:rPr>
            <w:rFonts w:ascii="Times New Roman" w:hAnsi="Times New Roman" w:cs="Times New Roman"/>
          </w:rPr>
          <w:fldChar w:fldCharType="separate"/>
        </w:r>
        <w:r w:rsidR="00BC70AE">
          <w:rPr>
            <w:rFonts w:ascii="Times New Roman" w:hAnsi="Times New Roman" w:cs="Times New Roman"/>
            <w:noProof/>
          </w:rPr>
          <w:t>82</w:t>
        </w:r>
        <w:r w:rsidRPr="00E1100F">
          <w:rPr>
            <w:rFonts w:ascii="Times New Roman" w:hAnsi="Times New Roman" w:cs="Times New Roman"/>
            <w:noProof/>
          </w:rPr>
          <w:fldChar w:fldCharType="end"/>
        </w:r>
      </w:p>
    </w:sdtContent>
  </w:sdt>
  <w:p w14:paraId="114B5DE1" w14:textId="77777777" w:rsidR="00420098" w:rsidRDefault="00420098" w:rsidP="001C1412">
    <w:pPr>
      <w:pStyle w:val="Footer"/>
      <w:tabs>
        <w:tab w:val="clear" w:pos="4680"/>
        <w:tab w:val="clear" w:pos="9360"/>
        <w:tab w:val="left" w:pos="448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0B6BCB" w14:textId="77777777" w:rsidR="00A27D2B" w:rsidRDefault="00A27D2B" w:rsidP="00B167FF">
      <w:r>
        <w:separator/>
      </w:r>
    </w:p>
  </w:footnote>
  <w:footnote w:type="continuationSeparator" w:id="0">
    <w:p w14:paraId="07D02303" w14:textId="77777777" w:rsidR="00A27D2B" w:rsidRDefault="00A27D2B" w:rsidP="00B167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D9037" w14:textId="77777777" w:rsidR="00420098" w:rsidRDefault="00420098">
    <w:pPr>
      <w:pStyle w:val="Header"/>
    </w:pPr>
    <w:r w:rsidRPr="00924600">
      <w:rPr>
        <w:rFonts w:ascii="Times New Roman" w:hAnsi="Times New Roman" w:cs="Times New Roman"/>
        <w:sz w:val="22"/>
        <w:szCs w:val="22"/>
      </w:rPr>
      <w:t>Ph.D.</w:t>
    </w:r>
    <w:r>
      <w:rPr>
        <w:rFonts w:ascii="Times New Roman" w:hAnsi="Times New Roman" w:cs="Times New Roman"/>
        <w:sz w:val="22"/>
        <w:szCs w:val="22"/>
      </w:rPr>
      <w:t xml:space="preserve"> Thesis – Elnaz</w:t>
    </w:r>
    <w:r w:rsidRPr="00924600">
      <w:rPr>
        <w:rFonts w:ascii="Times New Roman" w:hAnsi="Times New Roman" w:cs="Times New Roman"/>
        <w:sz w:val="22"/>
        <w:szCs w:val="22"/>
      </w:rPr>
      <w:t xml:space="preserve"> Abotalebi; McMaster University, School of Geography and Earth Sciences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208BA"/>
    <w:multiLevelType w:val="multilevel"/>
    <w:tmpl w:val="83888F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C341C7"/>
    <w:multiLevelType w:val="multilevel"/>
    <w:tmpl w:val="1009001D"/>
    <w:lvl w:ilvl="0">
      <w:start w:val="1"/>
      <w:numFmt w:val="decimal"/>
      <w:lvlText w:val="%1)"/>
      <w:lvlJc w:val="left"/>
      <w:pPr>
        <w:ind w:left="360" w:hanging="360"/>
      </w:pPr>
      <w:rPr>
        <w:rFonts w:hint="default"/>
      </w:rPr>
    </w:lvl>
    <w:lvl w:ilvl="1">
      <w:start w:val="1"/>
      <w:numFmt w:val="lowerLetter"/>
      <w:lvlText w:val="%2)"/>
      <w:lvlJc w:val="left"/>
      <w:pPr>
        <w:ind w:left="108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C8878ED"/>
    <w:multiLevelType w:val="multilevel"/>
    <w:tmpl w:val="6F849F9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3857BE8"/>
    <w:multiLevelType w:val="multilevel"/>
    <w:tmpl w:val="0EF2A866"/>
    <w:lvl w:ilvl="0">
      <w:start w:val="1"/>
      <w:numFmt w:val="decimal"/>
      <w:pStyle w:val="Heading1"/>
      <w:suff w:val="space"/>
      <w:lvlText w:val="Chapter %1"/>
      <w:lvlJc w:val="left"/>
      <w:pPr>
        <w:ind w:left="0" w:firstLine="0"/>
      </w:pPr>
      <w:rPr>
        <w:rFonts w:ascii="Times New Roman" w:hAnsi="Times New Roman" w:cs="Times New Roman" w:hint="default"/>
        <w:sz w:val="28"/>
        <w:szCs w:val="28"/>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4" w15:restartNumberingAfterBreak="0">
    <w:nsid w:val="167422A8"/>
    <w:multiLevelType w:val="hybridMultilevel"/>
    <w:tmpl w:val="91A27D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F2440A"/>
    <w:multiLevelType w:val="multilevel"/>
    <w:tmpl w:val="FA46ED9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A665212"/>
    <w:multiLevelType w:val="multilevel"/>
    <w:tmpl w:val="B10246E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16C2BEA"/>
    <w:multiLevelType w:val="multilevel"/>
    <w:tmpl w:val="6212C568"/>
    <w:styleLink w:val="Style1"/>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AFA39E2"/>
    <w:multiLevelType w:val="multilevel"/>
    <w:tmpl w:val="6212C568"/>
    <w:styleLink w:val="Style3"/>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C444AD7"/>
    <w:multiLevelType w:val="hybridMultilevel"/>
    <w:tmpl w:val="E2D6C450"/>
    <w:lvl w:ilvl="0" w:tplc="B16AE220">
      <w:start w:val="1"/>
      <w:numFmt w:val="bullet"/>
      <w:lvlText w:val="•"/>
      <w:lvlJc w:val="left"/>
      <w:pPr>
        <w:tabs>
          <w:tab w:val="num" w:pos="720"/>
        </w:tabs>
        <w:ind w:left="720" w:hanging="360"/>
      </w:pPr>
      <w:rPr>
        <w:rFonts w:ascii="Arial" w:hAnsi="Arial" w:hint="default"/>
      </w:rPr>
    </w:lvl>
    <w:lvl w:ilvl="1" w:tplc="64C8B700" w:tentative="1">
      <w:start w:val="1"/>
      <w:numFmt w:val="bullet"/>
      <w:lvlText w:val="•"/>
      <w:lvlJc w:val="left"/>
      <w:pPr>
        <w:tabs>
          <w:tab w:val="num" w:pos="1440"/>
        </w:tabs>
        <w:ind w:left="1440" w:hanging="360"/>
      </w:pPr>
      <w:rPr>
        <w:rFonts w:ascii="Arial" w:hAnsi="Arial" w:hint="default"/>
      </w:rPr>
    </w:lvl>
    <w:lvl w:ilvl="2" w:tplc="1CF08F78" w:tentative="1">
      <w:start w:val="1"/>
      <w:numFmt w:val="bullet"/>
      <w:lvlText w:val="•"/>
      <w:lvlJc w:val="left"/>
      <w:pPr>
        <w:tabs>
          <w:tab w:val="num" w:pos="2160"/>
        </w:tabs>
        <w:ind w:left="2160" w:hanging="360"/>
      </w:pPr>
      <w:rPr>
        <w:rFonts w:ascii="Arial" w:hAnsi="Arial" w:hint="default"/>
      </w:rPr>
    </w:lvl>
    <w:lvl w:ilvl="3" w:tplc="8CB0E4CC" w:tentative="1">
      <w:start w:val="1"/>
      <w:numFmt w:val="bullet"/>
      <w:lvlText w:val="•"/>
      <w:lvlJc w:val="left"/>
      <w:pPr>
        <w:tabs>
          <w:tab w:val="num" w:pos="2880"/>
        </w:tabs>
        <w:ind w:left="2880" w:hanging="360"/>
      </w:pPr>
      <w:rPr>
        <w:rFonts w:ascii="Arial" w:hAnsi="Arial" w:hint="default"/>
      </w:rPr>
    </w:lvl>
    <w:lvl w:ilvl="4" w:tplc="E3C0EE3A" w:tentative="1">
      <w:start w:val="1"/>
      <w:numFmt w:val="bullet"/>
      <w:lvlText w:val="•"/>
      <w:lvlJc w:val="left"/>
      <w:pPr>
        <w:tabs>
          <w:tab w:val="num" w:pos="3600"/>
        </w:tabs>
        <w:ind w:left="3600" w:hanging="360"/>
      </w:pPr>
      <w:rPr>
        <w:rFonts w:ascii="Arial" w:hAnsi="Arial" w:hint="default"/>
      </w:rPr>
    </w:lvl>
    <w:lvl w:ilvl="5" w:tplc="BEDA33D6" w:tentative="1">
      <w:start w:val="1"/>
      <w:numFmt w:val="bullet"/>
      <w:lvlText w:val="•"/>
      <w:lvlJc w:val="left"/>
      <w:pPr>
        <w:tabs>
          <w:tab w:val="num" w:pos="4320"/>
        </w:tabs>
        <w:ind w:left="4320" w:hanging="360"/>
      </w:pPr>
      <w:rPr>
        <w:rFonts w:ascii="Arial" w:hAnsi="Arial" w:hint="default"/>
      </w:rPr>
    </w:lvl>
    <w:lvl w:ilvl="6" w:tplc="0A104D9C" w:tentative="1">
      <w:start w:val="1"/>
      <w:numFmt w:val="bullet"/>
      <w:lvlText w:val="•"/>
      <w:lvlJc w:val="left"/>
      <w:pPr>
        <w:tabs>
          <w:tab w:val="num" w:pos="5040"/>
        </w:tabs>
        <w:ind w:left="5040" w:hanging="360"/>
      </w:pPr>
      <w:rPr>
        <w:rFonts w:ascii="Arial" w:hAnsi="Arial" w:hint="default"/>
      </w:rPr>
    </w:lvl>
    <w:lvl w:ilvl="7" w:tplc="A9E06618" w:tentative="1">
      <w:start w:val="1"/>
      <w:numFmt w:val="bullet"/>
      <w:lvlText w:val="•"/>
      <w:lvlJc w:val="left"/>
      <w:pPr>
        <w:tabs>
          <w:tab w:val="num" w:pos="5760"/>
        </w:tabs>
        <w:ind w:left="5760" w:hanging="360"/>
      </w:pPr>
      <w:rPr>
        <w:rFonts w:ascii="Arial" w:hAnsi="Arial" w:hint="default"/>
      </w:rPr>
    </w:lvl>
    <w:lvl w:ilvl="8" w:tplc="0E06489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CA125D7"/>
    <w:multiLevelType w:val="multilevel"/>
    <w:tmpl w:val="1009001D"/>
    <w:numStyleLink w:val="Style2"/>
  </w:abstractNum>
  <w:abstractNum w:abstractNumId="11" w15:restartNumberingAfterBreak="0">
    <w:nsid w:val="6E0E6D92"/>
    <w:multiLevelType w:val="multilevel"/>
    <w:tmpl w:val="B45E11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3A01245"/>
    <w:multiLevelType w:val="multilevel"/>
    <w:tmpl w:val="1009001D"/>
    <w:styleLink w:val="Style2"/>
    <w:lvl w:ilvl="0">
      <w:start w:val="1"/>
      <w:numFmt w:val="decimal"/>
      <w:lvlText w:val="%1)"/>
      <w:lvlJc w:val="left"/>
      <w:pPr>
        <w:ind w:left="360" w:hanging="360"/>
      </w:pPr>
    </w:lvl>
    <w:lvl w:ilvl="1">
      <w:start w:val="1"/>
      <w:numFmt w:val="lowerLetter"/>
      <w:lvlText w:val="%2)"/>
      <w:lvlJc w:val="left"/>
      <w:pPr>
        <w:ind w:left="108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7AD3508B"/>
    <w:multiLevelType w:val="multilevel"/>
    <w:tmpl w:val="D16838E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0"/>
  </w:num>
  <w:num w:numId="2">
    <w:abstractNumId w:val="1"/>
  </w:num>
  <w:num w:numId="3">
    <w:abstractNumId w:val="7"/>
  </w:num>
  <w:num w:numId="4">
    <w:abstractNumId w:val="12"/>
  </w:num>
  <w:num w:numId="5">
    <w:abstractNumId w:val="8"/>
  </w:num>
  <w:num w:numId="6">
    <w:abstractNumId w:val="2"/>
  </w:num>
  <w:num w:numId="7">
    <w:abstractNumId w:val="0"/>
  </w:num>
  <w:num w:numId="8">
    <w:abstractNumId w:val="11"/>
  </w:num>
  <w:num w:numId="9">
    <w:abstractNumId w:val="6"/>
  </w:num>
  <w:num w:numId="10">
    <w:abstractNumId w:val="13"/>
  </w:num>
  <w:num w:numId="11">
    <w:abstractNumId w:val="5"/>
  </w:num>
  <w:num w:numId="12">
    <w:abstractNumId w:val="3"/>
  </w:num>
  <w:num w:numId="13">
    <w:abstractNumId w:val="4"/>
  </w:num>
  <w:num w:numId="14">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50B"/>
    <w:rsid w:val="000077F6"/>
    <w:rsid w:val="00011128"/>
    <w:rsid w:val="00017592"/>
    <w:rsid w:val="00022031"/>
    <w:rsid w:val="000266A9"/>
    <w:rsid w:val="00031A70"/>
    <w:rsid w:val="00035D30"/>
    <w:rsid w:val="000474AE"/>
    <w:rsid w:val="00051E02"/>
    <w:rsid w:val="00054D53"/>
    <w:rsid w:val="000556F1"/>
    <w:rsid w:val="00062F39"/>
    <w:rsid w:val="0006565D"/>
    <w:rsid w:val="00065A12"/>
    <w:rsid w:val="00067240"/>
    <w:rsid w:val="00067E87"/>
    <w:rsid w:val="00070956"/>
    <w:rsid w:val="00076EDC"/>
    <w:rsid w:val="00081C7B"/>
    <w:rsid w:val="00092815"/>
    <w:rsid w:val="00092C1A"/>
    <w:rsid w:val="00096AAF"/>
    <w:rsid w:val="000A038C"/>
    <w:rsid w:val="000A41EC"/>
    <w:rsid w:val="000B4DCA"/>
    <w:rsid w:val="000B5DE7"/>
    <w:rsid w:val="000C2C1D"/>
    <w:rsid w:val="000C2D62"/>
    <w:rsid w:val="000C437C"/>
    <w:rsid w:val="000C5F96"/>
    <w:rsid w:val="000C65F9"/>
    <w:rsid w:val="000C78CD"/>
    <w:rsid w:val="000D27A1"/>
    <w:rsid w:val="000D4DF0"/>
    <w:rsid w:val="000D6BE5"/>
    <w:rsid w:val="000D6C5D"/>
    <w:rsid w:val="000D7360"/>
    <w:rsid w:val="000E6CCA"/>
    <w:rsid w:val="000F52B5"/>
    <w:rsid w:val="000F58B7"/>
    <w:rsid w:val="00100EDD"/>
    <w:rsid w:val="00102C0E"/>
    <w:rsid w:val="00104D3A"/>
    <w:rsid w:val="00110838"/>
    <w:rsid w:val="001146B7"/>
    <w:rsid w:val="00117280"/>
    <w:rsid w:val="00122632"/>
    <w:rsid w:val="0013311E"/>
    <w:rsid w:val="00135A68"/>
    <w:rsid w:val="00135E3A"/>
    <w:rsid w:val="001377B2"/>
    <w:rsid w:val="00140B94"/>
    <w:rsid w:val="00141675"/>
    <w:rsid w:val="0014385C"/>
    <w:rsid w:val="00145793"/>
    <w:rsid w:val="00147BE9"/>
    <w:rsid w:val="001508D0"/>
    <w:rsid w:val="00153825"/>
    <w:rsid w:val="0015552E"/>
    <w:rsid w:val="0015608A"/>
    <w:rsid w:val="001675D4"/>
    <w:rsid w:val="0016789C"/>
    <w:rsid w:val="00173EE1"/>
    <w:rsid w:val="001745F9"/>
    <w:rsid w:val="001811A9"/>
    <w:rsid w:val="00182145"/>
    <w:rsid w:val="001822F4"/>
    <w:rsid w:val="001827EF"/>
    <w:rsid w:val="00184848"/>
    <w:rsid w:val="001A3BD2"/>
    <w:rsid w:val="001A7D9C"/>
    <w:rsid w:val="001B15C8"/>
    <w:rsid w:val="001B3DA5"/>
    <w:rsid w:val="001B4306"/>
    <w:rsid w:val="001B477B"/>
    <w:rsid w:val="001B48CB"/>
    <w:rsid w:val="001B5265"/>
    <w:rsid w:val="001B56E8"/>
    <w:rsid w:val="001B7214"/>
    <w:rsid w:val="001C1412"/>
    <w:rsid w:val="001C19A9"/>
    <w:rsid w:val="001C1CFB"/>
    <w:rsid w:val="001C6CFD"/>
    <w:rsid w:val="001D4F4F"/>
    <w:rsid w:val="001D71D4"/>
    <w:rsid w:val="001E1ECA"/>
    <w:rsid w:val="001E3809"/>
    <w:rsid w:val="001E634A"/>
    <w:rsid w:val="001F434C"/>
    <w:rsid w:val="001F5E3A"/>
    <w:rsid w:val="001F68D9"/>
    <w:rsid w:val="001F7513"/>
    <w:rsid w:val="00201290"/>
    <w:rsid w:val="00204BB6"/>
    <w:rsid w:val="00204C9A"/>
    <w:rsid w:val="00207E45"/>
    <w:rsid w:val="00211DF2"/>
    <w:rsid w:val="00217E52"/>
    <w:rsid w:val="002262DB"/>
    <w:rsid w:val="002332B2"/>
    <w:rsid w:val="0024090D"/>
    <w:rsid w:val="00245E6B"/>
    <w:rsid w:val="002476E5"/>
    <w:rsid w:val="002518ED"/>
    <w:rsid w:val="0025424A"/>
    <w:rsid w:val="00254875"/>
    <w:rsid w:val="00254EE2"/>
    <w:rsid w:val="00257CCF"/>
    <w:rsid w:val="00263E67"/>
    <w:rsid w:val="0026557E"/>
    <w:rsid w:val="00283365"/>
    <w:rsid w:val="00283723"/>
    <w:rsid w:val="00293D1B"/>
    <w:rsid w:val="002A067F"/>
    <w:rsid w:val="002A69C7"/>
    <w:rsid w:val="002A7324"/>
    <w:rsid w:val="002B2A1D"/>
    <w:rsid w:val="002B448D"/>
    <w:rsid w:val="002B4FB3"/>
    <w:rsid w:val="002B7195"/>
    <w:rsid w:val="002C0564"/>
    <w:rsid w:val="002C2C48"/>
    <w:rsid w:val="002C4354"/>
    <w:rsid w:val="002D0B9B"/>
    <w:rsid w:val="002D4F20"/>
    <w:rsid w:val="002D6801"/>
    <w:rsid w:val="002D68C2"/>
    <w:rsid w:val="002D7100"/>
    <w:rsid w:val="0030368A"/>
    <w:rsid w:val="00304064"/>
    <w:rsid w:val="0030585B"/>
    <w:rsid w:val="00312FF7"/>
    <w:rsid w:val="00323FED"/>
    <w:rsid w:val="00330F92"/>
    <w:rsid w:val="0033141A"/>
    <w:rsid w:val="003338CF"/>
    <w:rsid w:val="00334D1D"/>
    <w:rsid w:val="00341F8B"/>
    <w:rsid w:val="00342823"/>
    <w:rsid w:val="00345BEC"/>
    <w:rsid w:val="00347C08"/>
    <w:rsid w:val="003506BF"/>
    <w:rsid w:val="00351315"/>
    <w:rsid w:val="003544CE"/>
    <w:rsid w:val="00356D57"/>
    <w:rsid w:val="003658FD"/>
    <w:rsid w:val="003673E0"/>
    <w:rsid w:val="003709D8"/>
    <w:rsid w:val="00374395"/>
    <w:rsid w:val="00375B86"/>
    <w:rsid w:val="00381674"/>
    <w:rsid w:val="00386015"/>
    <w:rsid w:val="0039028B"/>
    <w:rsid w:val="00397B34"/>
    <w:rsid w:val="003A2515"/>
    <w:rsid w:val="003A4D95"/>
    <w:rsid w:val="003A5D26"/>
    <w:rsid w:val="003A6160"/>
    <w:rsid w:val="003B0E07"/>
    <w:rsid w:val="003B1085"/>
    <w:rsid w:val="003B250B"/>
    <w:rsid w:val="003B2D2A"/>
    <w:rsid w:val="003B35CD"/>
    <w:rsid w:val="003B3A07"/>
    <w:rsid w:val="003C16DF"/>
    <w:rsid w:val="003C3597"/>
    <w:rsid w:val="003C691C"/>
    <w:rsid w:val="003D5198"/>
    <w:rsid w:val="003D5BE1"/>
    <w:rsid w:val="003E3CE5"/>
    <w:rsid w:val="003F77C1"/>
    <w:rsid w:val="0040288B"/>
    <w:rsid w:val="00403E39"/>
    <w:rsid w:val="00407921"/>
    <w:rsid w:val="0041030C"/>
    <w:rsid w:val="004123D5"/>
    <w:rsid w:val="00416420"/>
    <w:rsid w:val="0041790E"/>
    <w:rsid w:val="00420098"/>
    <w:rsid w:val="004207E4"/>
    <w:rsid w:val="00426478"/>
    <w:rsid w:val="00427C84"/>
    <w:rsid w:val="004336D5"/>
    <w:rsid w:val="00442D53"/>
    <w:rsid w:val="00443E4C"/>
    <w:rsid w:val="0044796A"/>
    <w:rsid w:val="00451D13"/>
    <w:rsid w:val="00454653"/>
    <w:rsid w:val="00455C33"/>
    <w:rsid w:val="00460A52"/>
    <w:rsid w:val="0046152A"/>
    <w:rsid w:val="0046417E"/>
    <w:rsid w:val="00483C42"/>
    <w:rsid w:val="00484BCB"/>
    <w:rsid w:val="00485DA0"/>
    <w:rsid w:val="004862A5"/>
    <w:rsid w:val="004913F9"/>
    <w:rsid w:val="00491F80"/>
    <w:rsid w:val="004924FB"/>
    <w:rsid w:val="004940C6"/>
    <w:rsid w:val="00494208"/>
    <w:rsid w:val="00497374"/>
    <w:rsid w:val="004A2775"/>
    <w:rsid w:val="004A529A"/>
    <w:rsid w:val="004A568F"/>
    <w:rsid w:val="004B1279"/>
    <w:rsid w:val="004B245F"/>
    <w:rsid w:val="004B361C"/>
    <w:rsid w:val="004B486C"/>
    <w:rsid w:val="004C0B64"/>
    <w:rsid w:val="004C1024"/>
    <w:rsid w:val="004C4F4D"/>
    <w:rsid w:val="004C6FC4"/>
    <w:rsid w:val="004C7E4A"/>
    <w:rsid w:val="004D01AC"/>
    <w:rsid w:val="004D14D3"/>
    <w:rsid w:val="004D207C"/>
    <w:rsid w:val="004E0A23"/>
    <w:rsid w:val="004E0CDB"/>
    <w:rsid w:val="004E4DDA"/>
    <w:rsid w:val="004F095C"/>
    <w:rsid w:val="004F163E"/>
    <w:rsid w:val="004F253E"/>
    <w:rsid w:val="004F6CF7"/>
    <w:rsid w:val="00513E94"/>
    <w:rsid w:val="00514AA8"/>
    <w:rsid w:val="00520E6C"/>
    <w:rsid w:val="005211A3"/>
    <w:rsid w:val="00524D5C"/>
    <w:rsid w:val="00524EE0"/>
    <w:rsid w:val="005278B8"/>
    <w:rsid w:val="005348BB"/>
    <w:rsid w:val="005426AE"/>
    <w:rsid w:val="00543E2B"/>
    <w:rsid w:val="00545F67"/>
    <w:rsid w:val="005471ED"/>
    <w:rsid w:val="00550848"/>
    <w:rsid w:val="00551DB1"/>
    <w:rsid w:val="00553431"/>
    <w:rsid w:val="00555F82"/>
    <w:rsid w:val="0056182C"/>
    <w:rsid w:val="00565649"/>
    <w:rsid w:val="0057041D"/>
    <w:rsid w:val="00590B39"/>
    <w:rsid w:val="00591004"/>
    <w:rsid w:val="0059273F"/>
    <w:rsid w:val="0059326A"/>
    <w:rsid w:val="00593760"/>
    <w:rsid w:val="00596743"/>
    <w:rsid w:val="005978B7"/>
    <w:rsid w:val="00597E83"/>
    <w:rsid w:val="005A1CA7"/>
    <w:rsid w:val="005A4351"/>
    <w:rsid w:val="005A4515"/>
    <w:rsid w:val="005A5709"/>
    <w:rsid w:val="005A72D1"/>
    <w:rsid w:val="005B0597"/>
    <w:rsid w:val="005B185D"/>
    <w:rsid w:val="005B219C"/>
    <w:rsid w:val="005B249C"/>
    <w:rsid w:val="005B3887"/>
    <w:rsid w:val="005B54BB"/>
    <w:rsid w:val="005B6FD0"/>
    <w:rsid w:val="005C5827"/>
    <w:rsid w:val="005C6BE9"/>
    <w:rsid w:val="005C7FE5"/>
    <w:rsid w:val="005D060E"/>
    <w:rsid w:val="005E3B04"/>
    <w:rsid w:val="005E5785"/>
    <w:rsid w:val="005E5E92"/>
    <w:rsid w:val="005E74CE"/>
    <w:rsid w:val="005F6C4B"/>
    <w:rsid w:val="005F7DE3"/>
    <w:rsid w:val="006046AC"/>
    <w:rsid w:val="00612743"/>
    <w:rsid w:val="00613805"/>
    <w:rsid w:val="00613C18"/>
    <w:rsid w:val="006168A1"/>
    <w:rsid w:val="006168CC"/>
    <w:rsid w:val="00616F62"/>
    <w:rsid w:val="00621BF6"/>
    <w:rsid w:val="00632DE1"/>
    <w:rsid w:val="0063384C"/>
    <w:rsid w:val="006346CA"/>
    <w:rsid w:val="00635CB7"/>
    <w:rsid w:val="00636BE6"/>
    <w:rsid w:val="00637C3B"/>
    <w:rsid w:val="00640087"/>
    <w:rsid w:val="00642B8C"/>
    <w:rsid w:val="00650DEA"/>
    <w:rsid w:val="0065369B"/>
    <w:rsid w:val="00653BB9"/>
    <w:rsid w:val="006570CC"/>
    <w:rsid w:val="00661789"/>
    <w:rsid w:val="0067447D"/>
    <w:rsid w:val="00675E8B"/>
    <w:rsid w:val="00676072"/>
    <w:rsid w:val="006777C1"/>
    <w:rsid w:val="006826B8"/>
    <w:rsid w:val="00685203"/>
    <w:rsid w:val="0069064F"/>
    <w:rsid w:val="0069513A"/>
    <w:rsid w:val="00696E97"/>
    <w:rsid w:val="006A0A26"/>
    <w:rsid w:val="006A3EDE"/>
    <w:rsid w:val="006A69E2"/>
    <w:rsid w:val="006B04DC"/>
    <w:rsid w:val="006B11BA"/>
    <w:rsid w:val="006B2708"/>
    <w:rsid w:val="006B7C12"/>
    <w:rsid w:val="006C5B28"/>
    <w:rsid w:val="006D0E69"/>
    <w:rsid w:val="006D30EF"/>
    <w:rsid w:val="006D42E6"/>
    <w:rsid w:val="006E0B4A"/>
    <w:rsid w:val="006E10C8"/>
    <w:rsid w:val="006E12A4"/>
    <w:rsid w:val="006E596B"/>
    <w:rsid w:val="006F0F3D"/>
    <w:rsid w:val="006F60A2"/>
    <w:rsid w:val="00702952"/>
    <w:rsid w:val="007045BC"/>
    <w:rsid w:val="00711DF8"/>
    <w:rsid w:val="007169F6"/>
    <w:rsid w:val="0072515F"/>
    <w:rsid w:val="00732A5E"/>
    <w:rsid w:val="007429C0"/>
    <w:rsid w:val="00743315"/>
    <w:rsid w:val="00743DF6"/>
    <w:rsid w:val="00753852"/>
    <w:rsid w:val="00756E3B"/>
    <w:rsid w:val="00757A3D"/>
    <w:rsid w:val="00760079"/>
    <w:rsid w:val="00760B6D"/>
    <w:rsid w:val="007614B8"/>
    <w:rsid w:val="0076404B"/>
    <w:rsid w:val="00765604"/>
    <w:rsid w:val="007660EA"/>
    <w:rsid w:val="007701DC"/>
    <w:rsid w:val="00772798"/>
    <w:rsid w:val="007740BC"/>
    <w:rsid w:val="0078253A"/>
    <w:rsid w:val="007837CE"/>
    <w:rsid w:val="00785434"/>
    <w:rsid w:val="00785C1B"/>
    <w:rsid w:val="00790BA0"/>
    <w:rsid w:val="00793B6E"/>
    <w:rsid w:val="0079642D"/>
    <w:rsid w:val="007A4D22"/>
    <w:rsid w:val="007B1A0B"/>
    <w:rsid w:val="007B2D28"/>
    <w:rsid w:val="007B2F5C"/>
    <w:rsid w:val="007B5547"/>
    <w:rsid w:val="007B7D3D"/>
    <w:rsid w:val="007C7561"/>
    <w:rsid w:val="007D0B88"/>
    <w:rsid w:val="007D5828"/>
    <w:rsid w:val="007E04CC"/>
    <w:rsid w:val="007E37FF"/>
    <w:rsid w:val="007E5889"/>
    <w:rsid w:val="007E62D4"/>
    <w:rsid w:val="007E772E"/>
    <w:rsid w:val="007F2B78"/>
    <w:rsid w:val="007F3202"/>
    <w:rsid w:val="007F3F20"/>
    <w:rsid w:val="007F5017"/>
    <w:rsid w:val="00800D9D"/>
    <w:rsid w:val="00802C6A"/>
    <w:rsid w:val="008108F3"/>
    <w:rsid w:val="008110F9"/>
    <w:rsid w:val="00814C47"/>
    <w:rsid w:val="0081595C"/>
    <w:rsid w:val="008173B0"/>
    <w:rsid w:val="00822B02"/>
    <w:rsid w:val="0083559A"/>
    <w:rsid w:val="00837410"/>
    <w:rsid w:val="00837ED2"/>
    <w:rsid w:val="00840C3D"/>
    <w:rsid w:val="0084458D"/>
    <w:rsid w:val="00852B17"/>
    <w:rsid w:val="008537F0"/>
    <w:rsid w:val="00854D5A"/>
    <w:rsid w:val="008555DB"/>
    <w:rsid w:val="00855B08"/>
    <w:rsid w:val="00856A78"/>
    <w:rsid w:val="008608CE"/>
    <w:rsid w:val="00865733"/>
    <w:rsid w:val="00870786"/>
    <w:rsid w:val="00871AEB"/>
    <w:rsid w:val="00874514"/>
    <w:rsid w:val="0087719E"/>
    <w:rsid w:val="00881E30"/>
    <w:rsid w:val="008823AE"/>
    <w:rsid w:val="008919E1"/>
    <w:rsid w:val="008A0D82"/>
    <w:rsid w:val="008A1CD2"/>
    <w:rsid w:val="008A242A"/>
    <w:rsid w:val="008A32EE"/>
    <w:rsid w:val="008A473B"/>
    <w:rsid w:val="008A580C"/>
    <w:rsid w:val="008A7604"/>
    <w:rsid w:val="008B21CA"/>
    <w:rsid w:val="008B2796"/>
    <w:rsid w:val="008B5908"/>
    <w:rsid w:val="008C32DE"/>
    <w:rsid w:val="008E073E"/>
    <w:rsid w:val="008F31F7"/>
    <w:rsid w:val="008F7A22"/>
    <w:rsid w:val="0090205E"/>
    <w:rsid w:val="00902998"/>
    <w:rsid w:val="00911A2E"/>
    <w:rsid w:val="0091275E"/>
    <w:rsid w:val="00912DA8"/>
    <w:rsid w:val="00916027"/>
    <w:rsid w:val="00924600"/>
    <w:rsid w:val="0092599F"/>
    <w:rsid w:val="009264F1"/>
    <w:rsid w:val="0093099C"/>
    <w:rsid w:val="00934EE0"/>
    <w:rsid w:val="0094260A"/>
    <w:rsid w:val="00945A0C"/>
    <w:rsid w:val="0094725D"/>
    <w:rsid w:val="00950499"/>
    <w:rsid w:val="00950BCA"/>
    <w:rsid w:val="00961622"/>
    <w:rsid w:val="00964EF5"/>
    <w:rsid w:val="009658F8"/>
    <w:rsid w:val="0097233C"/>
    <w:rsid w:val="00972EA8"/>
    <w:rsid w:val="00982C3B"/>
    <w:rsid w:val="0098432C"/>
    <w:rsid w:val="0099022C"/>
    <w:rsid w:val="00990527"/>
    <w:rsid w:val="0099249B"/>
    <w:rsid w:val="00993537"/>
    <w:rsid w:val="00993C25"/>
    <w:rsid w:val="00995257"/>
    <w:rsid w:val="00997520"/>
    <w:rsid w:val="009A1AE8"/>
    <w:rsid w:val="009A21EA"/>
    <w:rsid w:val="009A315B"/>
    <w:rsid w:val="009A70C3"/>
    <w:rsid w:val="009A78D4"/>
    <w:rsid w:val="009B1EFE"/>
    <w:rsid w:val="009B4314"/>
    <w:rsid w:val="009B450D"/>
    <w:rsid w:val="009B5FB4"/>
    <w:rsid w:val="009C2319"/>
    <w:rsid w:val="009D1E9F"/>
    <w:rsid w:val="009D4D64"/>
    <w:rsid w:val="009D51AD"/>
    <w:rsid w:val="009D6CF9"/>
    <w:rsid w:val="009E3EDA"/>
    <w:rsid w:val="009E5272"/>
    <w:rsid w:val="009E7ED2"/>
    <w:rsid w:val="009F0B72"/>
    <w:rsid w:val="009F295D"/>
    <w:rsid w:val="009F4F19"/>
    <w:rsid w:val="009F6CB5"/>
    <w:rsid w:val="00A012A9"/>
    <w:rsid w:val="00A01B9F"/>
    <w:rsid w:val="00A03621"/>
    <w:rsid w:val="00A03789"/>
    <w:rsid w:val="00A05C07"/>
    <w:rsid w:val="00A06C2E"/>
    <w:rsid w:val="00A1084B"/>
    <w:rsid w:val="00A12B74"/>
    <w:rsid w:val="00A147DE"/>
    <w:rsid w:val="00A151C4"/>
    <w:rsid w:val="00A22AC0"/>
    <w:rsid w:val="00A24315"/>
    <w:rsid w:val="00A24593"/>
    <w:rsid w:val="00A27D2B"/>
    <w:rsid w:val="00A30450"/>
    <w:rsid w:val="00A3187C"/>
    <w:rsid w:val="00A31C59"/>
    <w:rsid w:val="00A34B1A"/>
    <w:rsid w:val="00A37904"/>
    <w:rsid w:val="00A40ECC"/>
    <w:rsid w:val="00A42983"/>
    <w:rsid w:val="00A44CC8"/>
    <w:rsid w:val="00A45C1F"/>
    <w:rsid w:val="00A46571"/>
    <w:rsid w:val="00A47F1F"/>
    <w:rsid w:val="00A53B83"/>
    <w:rsid w:val="00A55F80"/>
    <w:rsid w:val="00A643AD"/>
    <w:rsid w:val="00A7106D"/>
    <w:rsid w:val="00A730E0"/>
    <w:rsid w:val="00A8186B"/>
    <w:rsid w:val="00A87271"/>
    <w:rsid w:val="00A93D21"/>
    <w:rsid w:val="00AA03DC"/>
    <w:rsid w:val="00AA0DC5"/>
    <w:rsid w:val="00AB2CEC"/>
    <w:rsid w:val="00AB3A45"/>
    <w:rsid w:val="00AB5CAA"/>
    <w:rsid w:val="00AB6E85"/>
    <w:rsid w:val="00AB71AF"/>
    <w:rsid w:val="00AB7E6A"/>
    <w:rsid w:val="00AC1170"/>
    <w:rsid w:val="00AC2A84"/>
    <w:rsid w:val="00AC7BCA"/>
    <w:rsid w:val="00AD2C37"/>
    <w:rsid w:val="00AD3388"/>
    <w:rsid w:val="00AE2200"/>
    <w:rsid w:val="00AE6FEF"/>
    <w:rsid w:val="00AE7AE6"/>
    <w:rsid w:val="00AF26CA"/>
    <w:rsid w:val="00B00A98"/>
    <w:rsid w:val="00B0106B"/>
    <w:rsid w:val="00B02EB5"/>
    <w:rsid w:val="00B04AF7"/>
    <w:rsid w:val="00B128A7"/>
    <w:rsid w:val="00B13138"/>
    <w:rsid w:val="00B167FF"/>
    <w:rsid w:val="00B27139"/>
    <w:rsid w:val="00B4215D"/>
    <w:rsid w:val="00B46A89"/>
    <w:rsid w:val="00B54B15"/>
    <w:rsid w:val="00B5558A"/>
    <w:rsid w:val="00B573CB"/>
    <w:rsid w:val="00B6301E"/>
    <w:rsid w:val="00B64EE2"/>
    <w:rsid w:val="00B66970"/>
    <w:rsid w:val="00B7066F"/>
    <w:rsid w:val="00B86728"/>
    <w:rsid w:val="00B9094F"/>
    <w:rsid w:val="00B92CF2"/>
    <w:rsid w:val="00B957FF"/>
    <w:rsid w:val="00B95C41"/>
    <w:rsid w:val="00BA12DE"/>
    <w:rsid w:val="00BA6F83"/>
    <w:rsid w:val="00BB2E50"/>
    <w:rsid w:val="00BB41CC"/>
    <w:rsid w:val="00BB48F8"/>
    <w:rsid w:val="00BC2C36"/>
    <w:rsid w:val="00BC70AE"/>
    <w:rsid w:val="00BD047D"/>
    <w:rsid w:val="00BD366D"/>
    <w:rsid w:val="00BF03CB"/>
    <w:rsid w:val="00BF3067"/>
    <w:rsid w:val="00BF3690"/>
    <w:rsid w:val="00BF53B4"/>
    <w:rsid w:val="00C00E6D"/>
    <w:rsid w:val="00C013B4"/>
    <w:rsid w:val="00C01B32"/>
    <w:rsid w:val="00C03DF0"/>
    <w:rsid w:val="00C129E4"/>
    <w:rsid w:val="00C135E1"/>
    <w:rsid w:val="00C20761"/>
    <w:rsid w:val="00C214C0"/>
    <w:rsid w:val="00C24844"/>
    <w:rsid w:val="00C25775"/>
    <w:rsid w:val="00C25D97"/>
    <w:rsid w:val="00C26062"/>
    <w:rsid w:val="00C26120"/>
    <w:rsid w:val="00C2675F"/>
    <w:rsid w:val="00C34E63"/>
    <w:rsid w:val="00C36101"/>
    <w:rsid w:val="00C40268"/>
    <w:rsid w:val="00C40462"/>
    <w:rsid w:val="00C42B28"/>
    <w:rsid w:val="00C44BF9"/>
    <w:rsid w:val="00C45D18"/>
    <w:rsid w:val="00C4749F"/>
    <w:rsid w:val="00C47760"/>
    <w:rsid w:val="00C57385"/>
    <w:rsid w:val="00C611F7"/>
    <w:rsid w:val="00C62986"/>
    <w:rsid w:val="00C63DD9"/>
    <w:rsid w:val="00C63FFB"/>
    <w:rsid w:val="00C65D12"/>
    <w:rsid w:val="00C90397"/>
    <w:rsid w:val="00C91A2F"/>
    <w:rsid w:val="00C92C57"/>
    <w:rsid w:val="00C950BC"/>
    <w:rsid w:val="00C95EFB"/>
    <w:rsid w:val="00C96C29"/>
    <w:rsid w:val="00C96E14"/>
    <w:rsid w:val="00CA0332"/>
    <w:rsid w:val="00CA1093"/>
    <w:rsid w:val="00CA4C51"/>
    <w:rsid w:val="00CA5185"/>
    <w:rsid w:val="00CA7CE8"/>
    <w:rsid w:val="00CB083C"/>
    <w:rsid w:val="00CB0C16"/>
    <w:rsid w:val="00CB28FF"/>
    <w:rsid w:val="00CB29FD"/>
    <w:rsid w:val="00CB4222"/>
    <w:rsid w:val="00CB5A5B"/>
    <w:rsid w:val="00CB62D0"/>
    <w:rsid w:val="00CC024F"/>
    <w:rsid w:val="00CC0621"/>
    <w:rsid w:val="00CC3850"/>
    <w:rsid w:val="00CC465D"/>
    <w:rsid w:val="00CC4A52"/>
    <w:rsid w:val="00CC65F3"/>
    <w:rsid w:val="00CC7D4E"/>
    <w:rsid w:val="00CD0280"/>
    <w:rsid w:val="00CD17FF"/>
    <w:rsid w:val="00CD2B24"/>
    <w:rsid w:val="00CD48F3"/>
    <w:rsid w:val="00CD7610"/>
    <w:rsid w:val="00CD76AE"/>
    <w:rsid w:val="00CD7A6E"/>
    <w:rsid w:val="00CE2B2E"/>
    <w:rsid w:val="00CE3F46"/>
    <w:rsid w:val="00CE4CB6"/>
    <w:rsid w:val="00CE631A"/>
    <w:rsid w:val="00CF2FD7"/>
    <w:rsid w:val="00CF4C54"/>
    <w:rsid w:val="00CF5CAB"/>
    <w:rsid w:val="00D072FF"/>
    <w:rsid w:val="00D1054B"/>
    <w:rsid w:val="00D10A51"/>
    <w:rsid w:val="00D10C1C"/>
    <w:rsid w:val="00D1309E"/>
    <w:rsid w:val="00D217B6"/>
    <w:rsid w:val="00D24EE6"/>
    <w:rsid w:val="00D26D51"/>
    <w:rsid w:val="00D3088E"/>
    <w:rsid w:val="00D31C2D"/>
    <w:rsid w:val="00D337BF"/>
    <w:rsid w:val="00D349B5"/>
    <w:rsid w:val="00D369AF"/>
    <w:rsid w:val="00D402F8"/>
    <w:rsid w:val="00D41AF8"/>
    <w:rsid w:val="00D438B5"/>
    <w:rsid w:val="00D44F84"/>
    <w:rsid w:val="00D47372"/>
    <w:rsid w:val="00D50D6E"/>
    <w:rsid w:val="00D50FB3"/>
    <w:rsid w:val="00D51B85"/>
    <w:rsid w:val="00D52129"/>
    <w:rsid w:val="00D5362B"/>
    <w:rsid w:val="00D559DD"/>
    <w:rsid w:val="00D563F0"/>
    <w:rsid w:val="00D57B49"/>
    <w:rsid w:val="00D63114"/>
    <w:rsid w:val="00D6440F"/>
    <w:rsid w:val="00D64448"/>
    <w:rsid w:val="00D77878"/>
    <w:rsid w:val="00D77F9E"/>
    <w:rsid w:val="00D8016B"/>
    <w:rsid w:val="00D85F07"/>
    <w:rsid w:val="00DA67D4"/>
    <w:rsid w:val="00DB211C"/>
    <w:rsid w:val="00DC26FC"/>
    <w:rsid w:val="00DC302D"/>
    <w:rsid w:val="00DC4B45"/>
    <w:rsid w:val="00DC71FD"/>
    <w:rsid w:val="00DC7694"/>
    <w:rsid w:val="00DD2D1B"/>
    <w:rsid w:val="00DD33E6"/>
    <w:rsid w:val="00DD4930"/>
    <w:rsid w:val="00DD4A25"/>
    <w:rsid w:val="00DD5DDD"/>
    <w:rsid w:val="00DD60FF"/>
    <w:rsid w:val="00DE0A01"/>
    <w:rsid w:val="00DE2BA6"/>
    <w:rsid w:val="00DE37C4"/>
    <w:rsid w:val="00DE71B9"/>
    <w:rsid w:val="00DF1E9C"/>
    <w:rsid w:val="00DF35E4"/>
    <w:rsid w:val="00E0778D"/>
    <w:rsid w:val="00E079FB"/>
    <w:rsid w:val="00E1100F"/>
    <w:rsid w:val="00E15CBA"/>
    <w:rsid w:val="00E16767"/>
    <w:rsid w:val="00E25E01"/>
    <w:rsid w:val="00E34375"/>
    <w:rsid w:val="00E343E8"/>
    <w:rsid w:val="00E3446B"/>
    <w:rsid w:val="00E349C8"/>
    <w:rsid w:val="00E34D41"/>
    <w:rsid w:val="00E40D61"/>
    <w:rsid w:val="00E447CC"/>
    <w:rsid w:val="00E5255E"/>
    <w:rsid w:val="00E57673"/>
    <w:rsid w:val="00E578BC"/>
    <w:rsid w:val="00E61352"/>
    <w:rsid w:val="00E63F0A"/>
    <w:rsid w:val="00E74CEC"/>
    <w:rsid w:val="00E80342"/>
    <w:rsid w:val="00E818A7"/>
    <w:rsid w:val="00E84A45"/>
    <w:rsid w:val="00E93F95"/>
    <w:rsid w:val="00E94744"/>
    <w:rsid w:val="00E97282"/>
    <w:rsid w:val="00EA2B67"/>
    <w:rsid w:val="00EA39F5"/>
    <w:rsid w:val="00EA5A8E"/>
    <w:rsid w:val="00EB0554"/>
    <w:rsid w:val="00EB1104"/>
    <w:rsid w:val="00EB2575"/>
    <w:rsid w:val="00EC1064"/>
    <w:rsid w:val="00EC31AC"/>
    <w:rsid w:val="00EC3DFE"/>
    <w:rsid w:val="00ED011A"/>
    <w:rsid w:val="00ED0411"/>
    <w:rsid w:val="00ED1BA4"/>
    <w:rsid w:val="00ED4D76"/>
    <w:rsid w:val="00ED57AE"/>
    <w:rsid w:val="00EE1B2A"/>
    <w:rsid w:val="00EE2B54"/>
    <w:rsid w:val="00EE42A2"/>
    <w:rsid w:val="00EE4C22"/>
    <w:rsid w:val="00EE678F"/>
    <w:rsid w:val="00EF423C"/>
    <w:rsid w:val="00F0001E"/>
    <w:rsid w:val="00F0423C"/>
    <w:rsid w:val="00F10D56"/>
    <w:rsid w:val="00F12A92"/>
    <w:rsid w:val="00F15E28"/>
    <w:rsid w:val="00F17C93"/>
    <w:rsid w:val="00F17DC9"/>
    <w:rsid w:val="00F2276B"/>
    <w:rsid w:val="00F24F62"/>
    <w:rsid w:val="00F250DE"/>
    <w:rsid w:val="00F26848"/>
    <w:rsid w:val="00F27940"/>
    <w:rsid w:val="00F27EF8"/>
    <w:rsid w:val="00F31310"/>
    <w:rsid w:val="00F31A9A"/>
    <w:rsid w:val="00F37106"/>
    <w:rsid w:val="00F42E5E"/>
    <w:rsid w:val="00F47C33"/>
    <w:rsid w:val="00F518E1"/>
    <w:rsid w:val="00F5285B"/>
    <w:rsid w:val="00F53543"/>
    <w:rsid w:val="00F55BB5"/>
    <w:rsid w:val="00F6002D"/>
    <w:rsid w:val="00F60788"/>
    <w:rsid w:val="00F63606"/>
    <w:rsid w:val="00F6404F"/>
    <w:rsid w:val="00F64814"/>
    <w:rsid w:val="00F709E0"/>
    <w:rsid w:val="00F73FFB"/>
    <w:rsid w:val="00F82E47"/>
    <w:rsid w:val="00F85B74"/>
    <w:rsid w:val="00F93660"/>
    <w:rsid w:val="00F9545F"/>
    <w:rsid w:val="00FB02F3"/>
    <w:rsid w:val="00FB07B9"/>
    <w:rsid w:val="00FB22FF"/>
    <w:rsid w:val="00FB2CDF"/>
    <w:rsid w:val="00FB3594"/>
    <w:rsid w:val="00FB7DE2"/>
    <w:rsid w:val="00FC214F"/>
    <w:rsid w:val="00FC4806"/>
    <w:rsid w:val="00FC58F9"/>
    <w:rsid w:val="00FD027D"/>
    <w:rsid w:val="00FD3634"/>
    <w:rsid w:val="00FD5D9C"/>
    <w:rsid w:val="00FD7AC1"/>
    <w:rsid w:val="00FD7E41"/>
    <w:rsid w:val="00FE1883"/>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4974CD10"/>
  <w15:chartTrackingRefBased/>
  <w15:docId w15:val="{D23A04D0-5C66-4E56-B90F-5C785517B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CA" w:eastAsia="en-US" w:bidi="ar-SA"/>
      </w:rPr>
    </w:rPrDefault>
    <w:pPrDefault>
      <w:pPr>
        <w:spacing w:before="160" w:after="160" w:line="480" w:lineRule="auto"/>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EDC"/>
  </w:style>
  <w:style w:type="paragraph" w:styleId="Heading1">
    <w:name w:val="heading 1"/>
    <w:basedOn w:val="Normal"/>
    <w:next w:val="Normal"/>
    <w:link w:val="Heading1Char"/>
    <w:uiPriority w:val="9"/>
    <w:qFormat/>
    <w:rsid w:val="000D4DF0"/>
    <w:pPr>
      <w:keepNext/>
      <w:keepLines/>
      <w:numPr>
        <w:numId w:val="12"/>
      </w:numPr>
      <w:spacing w:before="360" w:after="240"/>
      <w:outlineLvl w:val="0"/>
    </w:pPr>
    <w:rPr>
      <w:rFonts w:eastAsiaTheme="majorEastAsia" w:cs="Times New Roman"/>
      <w:b/>
      <w:sz w:val="28"/>
      <w:szCs w:val="28"/>
    </w:rPr>
  </w:style>
  <w:style w:type="paragraph" w:styleId="Heading2">
    <w:name w:val="heading 2"/>
    <w:basedOn w:val="ListParagraph"/>
    <w:next w:val="Normal"/>
    <w:link w:val="Heading2Char"/>
    <w:uiPriority w:val="9"/>
    <w:unhideWhenUsed/>
    <w:qFormat/>
    <w:rsid w:val="000D4DF0"/>
    <w:pPr>
      <w:keepNext/>
      <w:keepLines/>
      <w:numPr>
        <w:ilvl w:val="1"/>
        <w:numId w:val="12"/>
      </w:numPr>
      <w:spacing w:before="360" w:after="240"/>
      <w:outlineLvl w:val="1"/>
    </w:pPr>
    <w:rPr>
      <w:rFonts w:cs="Times New Roman"/>
      <w:b/>
    </w:rPr>
  </w:style>
  <w:style w:type="paragraph" w:styleId="Heading3">
    <w:name w:val="heading 3"/>
    <w:basedOn w:val="Normal"/>
    <w:next w:val="Normal"/>
    <w:link w:val="Heading3Char"/>
    <w:uiPriority w:val="9"/>
    <w:unhideWhenUsed/>
    <w:qFormat/>
    <w:rsid w:val="003C3597"/>
    <w:pPr>
      <w:keepNext/>
      <w:keepLines/>
      <w:numPr>
        <w:ilvl w:val="2"/>
        <w:numId w:val="12"/>
      </w:numPr>
      <w:spacing w:before="40" w:after="0" w:line="259" w:lineRule="auto"/>
      <w:jc w:val="left"/>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3C3597"/>
    <w:pPr>
      <w:keepNext/>
      <w:keepLines/>
      <w:numPr>
        <w:ilvl w:val="3"/>
        <w:numId w:val="12"/>
      </w:numPr>
      <w:spacing w:before="40" w:after="0" w:line="259" w:lineRule="auto"/>
      <w:jc w:val="left"/>
      <w:outlineLvl w:val="3"/>
    </w:pPr>
    <w:rPr>
      <w:rFonts w:asciiTheme="majorHAnsi" w:eastAsiaTheme="majorEastAsia" w:hAnsiTheme="majorHAnsi" w:cstheme="majorBidi"/>
      <w:i/>
      <w:iCs/>
      <w:color w:val="2E74B5" w:themeColor="accent1" w:themeShade="BF"/>
      <w:sz w:val="22"/>
      <w:szCs w:val="22"/>
    </w:rPr>
  </w:style>
  <w:style w:type="paragraph" w:styleId="Heading5">
    <w:name w:val="heading 5"/>
    <w:basedOn w:val="Normal"/>
    <w:next w:val="Normal"/>
    <w:link w:val="Heading5Char"/>
    <w:uiPriority w:val="9"/>
    <w:semiHidden/>
    <w:unhideWhenUsed/>
    <w:qFormat/>
    <w:rsid w:val="003C3597"/>
    <w:pPr>
      <w:keepNext/>
      <w:keepLines/>
      <w:numPr>
        <w:ilvl w:val="4"/>
        <w:numId w:val="12"/>
      </w:numPr>
      <w:spacing w:before="40" w:after="0" w:line="259" w:lineRule="auto"/>
      <w:jc w:val="left"/>
      <w:outlineLvl w:val="4"/>
    </w:pPr>
    <w:rPr>
      <w:rFonts w:asciiTheme="majorHAnsi" w:eastAsiaTheme="majorEastAsia" w:hAnsiTheme="majorHAnsi" w:cstheme="majorBidi"/>
      <w:color w:val="2E74B5" w:themeColor="accent1" w:themeShade="BF"/>
      <w:sz w:val="22"/>
      <w:szCs w:val="22"/>
    </w:rPr>
  </w:style>
  <w:style w:type="paragraph" w:styleId="Heading6">
    <w:name w:val="heading 6"/>
    <w:basedOn w:val="Normal"/>
    <w:next w:val="Normal"/>
    <w:link w:val="Heading6Char"/>
    <w:uiPriority w:val="9"/>
    <w:semiHidden/>
    <w:unhideWhenUsed/>
    <w:qFormat/>
    <w:rsid w:val="003C3597"/>
    <w:pPr>
      <w:keepNext/>
      <w:keepLines/>
      <w:numPr>
        <w:ilvl w:val="5"/>
        <w:numId w:val="12"/>
      </w:numPr>
      <w:spacing w:before="40" w:after="0" w:line="259" w:lineRule="auto"/>
      <w:jc w:val="left"/>
      <w:outlineLvl w:val="5"/>
    </w:pPr>
    <w:rPr>
      <w:rFonts w:asciiTheme="majorHAnsi" w:eastAsiaTheme="majorEastAsia" w:hAnsiTheme="majorHAnsi" w:cstheme="majorBidi"/>
      <w:color w:val="1F4D78" w:themeColor="accent1" w:themeShade="7F"/>
      <w:sz w:val="22"/>
      <w:szCs w:val="22"/>
    </w:rPr>
  </w:style>
  <w:style w:type="paragraph" w:styleId="Heading7">
    <w:name w:val="heading 7"/>
    <w:basedOn w:val="Normal"/>
    <w:next w:val="Normal"/>
    <w:link w:val="Heading7Char"/>
    <w:uiPriority w:val="9"/>
    <w:semiHidden/>
    <w:unhideWhenUsed/>
    <w:qFormat/>
    <w:rsid w:val="003C3597"/>
    <w:pPr>
      <w:keepNext/>
      <w:keepLines/>
      <w:numPr>
        <w:ilvl w:val="6"/>
        <w:numId w:val="12"/>
      </w:numPr>
      <w:spacing w:before="40" w:after="0" w:line="259" w:lineRule="auto"/>
      <w:jc w:val="left"/>
      <w:outlineLvl w:val="6"/>
    </w:pPr>
    <w:rPr>
      <w:rFonts w:asciiTheme="majorHAnsi" w:eastAsiaTheme="majorEastAsia" w:hAnsiTheme="majorHAnsi" w:cstheme="majorBidi"/>
      <w:i/>
      <w:iCs/>
      <w:color w:val="1F4D78" w:themeColor="accent1" w:themeShade="7F"/>
      <w:sz w:val="22"/>
      <w:szCs w:val="22"/>
    </w:rPr>
  </w:style>
  <w:style w:type="paragraph" w:styleId="Heading8">
    <w:name w:val="heading 8"/>
    <w:basedOn w:val="Normal"/>
    <w:next w:val="Normal"/>
    <w:link w:val="Heading8Char"/>
    <w:uiPriority w:val="9"/>
    <w:semiHidden/>
    <w:unhideWhenUsed/>
    <w:qFormat/>
    <w:rsid w:val="003C3597"/>
    <w:pPr>
      <w:keepNext/>
      <w:keepLines/>
      <w:numPr>
        <w:ilvl w:val="7"/>
        <w:numId w:val="12"/>
      </w:numPr>
      <w:spacing w:before="40" w:after="0" w:line="259" w:lineRule="auto"/>
      <w:jc w:val="left"/>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C3597"/>
    <w:pPr>
      <w:keepNext/>
      <w:keepLines/>
      <w:numPr>
        <w:ilvl w:val="8"/>
        <w:numId w:val="12"/>
      </w:numPr>
      <w:spacing w:before="40" w:after="0" w:line="259" w:lineRule="auto"/>
      <w:jc w:val="left"/>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4DF0"/>
    <w:rPr>
      <w:rFonts w:eastAsiaTheme="majorEastAsia" w:cs="Times New Roman"/>
      <w:b/>
      <w:sz w:val="28"/>
      <w:szCs w:val="28"/>
    </w:rPr>
  </w:style>
  <w:style w:type="character" w:styleId="CommentReference">
    <w:name w:val="annotation reference"/>
    <w:basedOn w:val="DefaultParagraphFont"/>
    <w:uiPriority w:val="99"/>
    <w:semiHidden/>
    <w:unhideWhenUsed/>
    <w:rsid w:val="003B250B"/>
    <w:rPr>
      <w:sz w:val="16"/>
      <w:szCs w:val="16"/>
    </w:rPr>
  </w:style>
  <w:style w:type="paragraph" w:styleId="CommentText">
    <w:name w:val="annotation text"/>
    <w:basedOn w:val="Normal"/>
    <w:link w:val="CommentTextChar"/>
    <w:uiPriority w:val="99"/>
    <w:unhideWhenUsed/>
    <w:rsid w:val="003B250B"/>
    <w:rPr>
      <w:sz w:val="20"/>
      <w:szCs w:val="20"/>
    </w:rPr>
  </w:style>
  <w:style w:type="character" w:customStyle="1" w:styleId="CommentTextChar">
    <w:name w:val="Comment Text Char"/>
    <w:basedOn w:val="DefaultParagraphFont"/>
    <w:link w:val="CommentText"/>
    <w:uiPriority w:val="99"/>
    <w:rsid w:val="003B250B"/>
    <w:rPr>
      <w:rFonts w:ascii="Times New Roman" w:hAnsi="Times New Roman"/>
      <w:sz w:val="20"/>
      <w:szCs w:val="20"/>
    </w:rPr>
  </w:style>
  <w:style w:type="paragraph" w:styleId="BalloonText">
    <w:name w:val="Balloon Text"/>
    <w:basedOn w:val="Normal"/>
    <w:link w:val="BalloonTextChar"/>
    <w:uiPriority w:val="99"/>
    <w:semiHidden/>
    <w:unhideWhenUsed/>
    <w:rsid w:val="003B25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50B"/>
    <w:rPr>
      <w:rFonts w:ascii="Segoe UI" w:hAnsi="Segoe UI" w:cs="Segoe UI"/>
      <w:sz w:val="18"/>
      <w:szCs w:val="18"/>
    </w:rPr>
  </w:style>
  <w:style w:type="paragraph" w:styleId="Title">
    <w:name w:val="Title"/>
    <w:basedOn w:val="Heading1"/>
    <w:next w:val="Normal"/>
    <w:link w:val="TitleChar"/>
    <w:uiPriority w:val="10"/>
    <w:qFormat/>
    <w:rsid w:val="000D4DF0"/>
    <w:pPr>
      <w:numPr>
        <w:numId w:val="0"/>
      </w:numPr>
      <w:spacing w:before="0" w:after="480"/>
      <w:jc w:val="center"/>
    </w:pPr>
    <w:rPr>
      <w:sz w:val="32"/>
      <w:szCs w:val="32"/>
    </w:rPr>
  </w:style>
  <w:style w:type="character" w:customStyle="1" w:styleId="TitleChar">
    <w:name w:val="Title Char"/>
    <w:basedOn w:val="DefaultParagraphFont"/>
    <w:link w:val="Title"/>
    <w:uiPriority w:val="10"/>
    <w:rsid w:val="000D4DF0"/>
    <w:rPr>
      <w:rFonts w:ascii="Times New Roman" w:eastAsiaTheme="majorEastAsia" w:hAnsi="Times New Roman" w:cs="Times New Roman"/>
      <w:b/>
      <w:sz w:val="32"/>
      <w:szCs w:val="32"/>
    </w:rPr>
  </w:style>
  <w:style w:type="paragraph" w:styleId="ListParagraph">
    <w:name w:val="List Paragraph"/>
    <w:basedOn w:val="Normal"/>
    <w:uiPriority w:val="34"/>
    <w:qFormat/>
    <w:rsid w:val="000D4DF0"/>
    <w:pPr>
      <w:ind w:left="720"/>
      <w:contextualSpacing/>
    </w:pPr>
  </w:style>
  <w:style w:type="table" w:styleId="PlainTable2">
    <w:name w:val="Plain Table 2"/>
    <w:basedOn w:val="TableNormal"/>
    <w:uiPriority w:val="99"/>
    <w:rsid w:val="00D41AF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D41AF8"/>
    <w:pPr>
      <w:spacing w:before="100" w:beforeAutospacing="1" w:after="100" w:afterAutospacing="1"/>
    </w:pPr>
    <w:rPr>
      <w:rFonts w:eastAsia="Times New Roman" w:cs="Times New Roman"/>
      <w:lang w:eastAsia="en-CA"/>
    </w:rPr>
  </w:style>
  <w:style w:type="table" w:styleId="TableGrid">
    <w:name w:val="Table Grid"/>
    <w:basedOn w:val="TableNormal"/>
    <w:uiPriority w:val="39"/>
    <w:rsid w:val="008F7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A31C59"/>
    <w:rPr>
      <w:b/>
      <w:bCs/>
    </w:rPr>
  </w:style>
  <w:style w:type="character" w:customStyle="1" w:styleId="CommentSubjectChar">
    <w:name w:val="Comment Subject Char"/>
    <w:basedOn w:val="CommentTextChar"/>
    <w:link w:val="CommentSubject"/>
    <w:uiPriority w:val="99"/>
    <w:semiHidden/>
    <w:rsid w:val="00A31C59"/>
    <w:rPr>
      <w:rFonts w:ascii="Times New Roman" w:hAnsi="Times New Roman"/>
      <w:b/>
      <w:bCs/>
      <w:sz w:val="20"/>
      <w:szCs w:val="20"/>
    </w:rPr>
  </w:style>
  <w:style w:type="character" w:styleId="Hyperlink">
    <w:name w:val="Hyperlink"/>
    <w:basedOn w:val="DefaultParagraphFont"/>
    <w:uiPriority w:val="99"/>
    <w:unhideWhenUsed/>
    <w:rsid w:val="00CC3850"/>
    <w:rPr>
      <w:color w:val="0563C1" w:themeColor="hyperlink"/>
      <w:u w:val="single"/>
    </w:rPr>
  </w:style>
  <w:style w:type="character" w:styleId="PlaceholderText">
    <w:name w:val="Placeholder Text"/>
    <w:basedOn w:val="DefaultParagraphFont"/>
    <w:uiPriority w:val="99"/>
    <w:semiHidden/>
    <w:rsid w:val="00F24F62"/>
    <w:rPr>
      <w:color w:val="808080"/>
    </w:rPr>
  </w:style>
  <w:style w:type="character" w:styleId="FollowedHyperlink">
    <w:name w:val="FollowedHyperlink"/>
    <w:basedOn w:val="DefaultParagraphFont"/>
    <w:uiPriority w:val="99"/>
    <w:semiHidden/>
    <w:unhideWhenUsed/>
    <w:rsid w:val="001B7214"/>
    <w:rPr>
      <w:color w:val="954F72" w:themeColor="followedHyperlink"/>
      <w:u w:val="single"/>
    </w:rPr>
  </w:style>
  <w:style w:type="paragraph" w:styleId="Header">
    <w:name w:val="header"/>
    <w:basedOn w:val="Normal"/>
    <w:link w:val="HeaderChar"/>
    <w:uiPriority w:val="99"/>
    <w:unhideWhenUsed/>
    <w:rsid w:val="00B167FF"/>
    <w:pPr>
      <w:tabs>
        <w:tab w:val="center" w:pos="4680"/>
        <w:tab w:val="right" w:pos="9360"/>
      </w:tabs>
    </w:pPr>
  </w:style>
  <w:style w:type="character" w:customStyle="1" w:styleId="HeaderChar">
    <w:name w:val="Header Char"/>
    <w:basedOn w:val="DefaultParagraphFont"/>
    <w:link w:val="Header"/>
    <w:uiPriority w:val="99"/>
    <w:rsid w:val="00B167FF"/>
    <w:rPr>
      <w:rFonts w:ascii="Times New Roman" w:hAnsi="Times New Roman"/>
      <w:sz w:val="24"/>
    </w:rPr>
  </w:style>
  <w:style w:type="paragraph" w:styleId="Footer">
    <w:name w:val="footer"/>
    <w:basedOn w:val="Normal"/>
    <w:link w:val="FooterChar"/>
    <w:uiPriority w:val="99"/>
    <w:unhideWhenUsed/>
    <w:rsid w:val="00B167FF"/>
    <w:pPr>
      <w:tabs>
        <w:tab w:val="center" w:pos="4680"/>
        <w:tab w:val="right" w:pos="9360"/>
      </w:tabs>
    </w:pPr>
  </w:style>
  <w:style w:type="character" w:customStyle="1" w:styleId="FooterChar">
    <w:name w:val="Footer Char"/>
    <w:basedOn w:val="DefaultParagraphFont"/>
    <w:link w:val="Footer"/>
    <w:uiPriority w:val="99"/>
    <w:rsid w:val="00B167FF"/>
    <w:rPr>
      <w:rFonts w:ascii="Times New Roman" w:hAnsi="Times New Roman"/>
      <w:sz w:val="24"/>
    </w:rPr>
  </w:style>
  <w:style w:type="paragraph" w:customStyle="1" w:styleId="Paragraph">
    <w:name w:val="Paragraph"/>
    <w:basedOn w:val="Normal"/>
    <w:qFormat/>
    <w:rsid w:val="000D4DF0"/>
    <w:pPr>
      <w:spacing w:after="120" w:line="276" w:lineRule="auto"/>
    </w:pPr>
    <w:rPr>
      <w:rFonts w:cs="Times New Roman"/>
      <w:color w:val="000000" w:themeColor="text1"/>
    </w:rPr>
  </w:style>
  <w:style w:type="character" w:customStyle="1" w:styleId="Heading2Char">
    <w:name w:val="Heading 2 Char"/>
    <w:basedOn w:val="DefaultParagraphFont"/>
    <w:link w:val="Heading2"/>
    <w:uiPriority w:val="9"/>
    <w:rsid w:val="000D4DF0"/>
    <w:rPr>
      <w:rFonts w:cs="Times New Roman"/>
      <w:b/>
    </w:rPr>
  </w:style>
  <w:style w:type="numbering" w:customStyle="1" w:styleId="Style1">
    <w:name w:val="Style1"/>
    <w:uiPriority w:val="99"/>
    <w:rsid w:val="00076EDC"/>
    <w:pPr>
      <w:numPr>
        <w:numId w:val="3"/>
      </w:numPr>
    </w:pPr>
  </w:style>
  <w:style w:type="numbering" w:customStyle="1" w:styleId="Style2">
    <w:name w:val="Style2"/>
    <w:uiPriority w:val="99"/>
    <w:rsid w:val="00076EDC"/>
    <w:pPr>
      <w:numPr>
        <w:numId w:val="4"/>
      </w:numPr>
    </w:pPr>
  </w:style>
  <w:style w:type="numbering" w:customStyle="1" w:styleId="Style3">
    <w:name w:val="Style3"/>
    <w:uiPriority w:val="99"/>
    <w:rsid w:val="00F37106"/>
    <w:pPr>
      <w:numPr>
        <w:numId w:val="5"/>
      </w:numPr>
    </w:pPr>
  </w:style>
  <w:style w:type="character" w:customStyle="1" w:styleId="Heading3Char">
    <w:name w:val="Heading 3 Char"/>
    <w:basedOn w:val="DefaultParagraphFont"/>
    <w:link w:val="Heading3"/>
    <w:uiPriority w:val="9"/>
    <w:rsid w:val="003C3597"/>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semiHidden/>
    <w:rsid w:val="003C3597"/>
    <w:rPr>
      <w:rFonts w:asciiTheme="majorHAnsi" w:eastAsiaTheme="majorEastAsia" w:hAnsiTheme="majorHAnsi" w:cstheme="majorBidi"/>
      <w:i/>
      <w:iCs/>
      <w:color w:val="2E74B5" w:themeColor="accent1" w:themeShade="BF"/>
      <w:sz w:val="22"/>
      <w:szCs w:val="22"/>
    </w:rPr>
  </w:style>
  <w:style w:type="character" w:customStyle="1" w:styleId="Heading5Char">
    <w:name w:val="Heading 5 Char"/>
    <w:basedOn w:val="DefaultParagraphFont"/>
    <w:link w:val="Heading5"/>
    <w:uiPriority w:val="9"/>
    <w:semiHidden/>
    <w:rsid w:val="003C3597"/>
    <w:rPr>
      <w:rFonts w:asciiTheme="majorHAnsi" w:eastAsiaTheme="majorEastAsia" w:hAnsiTheme="majorHAnsi" w:cstheme="majorBidi"/>
      <w:color w:val="2E74B5" w:themeColor="accent1" w:themeShade="BF"/>
      <w:sz w:val="22"/>
      <w:szCs w:val="22"/>
    </w:rPr>
  </w:style>
  <w:style w:type="character" w:customStyle="1" w:styleId="Heading6Char">
    <w:name w:val="Heading 6 Char"/>
    <w:basedOn w:val="DefaultParagraphFont"/>
    <w:link w:val="Heading6"/>
    <w:uiPriority w:val="9"/>
    <w:semiHidden/>
    <w:rsid w:val="003C3597"/>
    <w:rPr>
      <w:rFonts w:asciiTheme="majorHAnsi" w:eastAsiaTheme="majorEastAsia" w:hAnsiTheme="majorHAnsi" w:cstheme="majorBidi"/>
      <w:color w:val="1F4D78" w:themeColor="accent1" w:themeShade="7F"/>
      <w:sz w:val="22"/>
      <w:szCs w:val="22"/>
    </w:rPr>
  </w:style>
  <w:style w:type="character" w:customStyle="1" w:styleId="Heading7Char">
    <w:name w:val="Heading 7 Char"/>
    <w:basedOn w:val="DefaultParagraphFont"/>
    <w:link w:val="Heading7"/>
    <w:uiPriority w:val="9"/>
    <w:semiHidden/>
    <w:rsid w:val="003C3597"/>
    <w:rPr>
      <w:rFonts w:asciiTheme="majorHAnsi" w:eastAsiaTheme="majorEastAsia" w:hAnsiTheme="majorHAnsi" w:cstheme="majorBidi"/>
      <w:i/>
      <w:iCs/>
      <w:color w:val="1F4D78" w:themeColor="accent1" w:themeShade="7F"/>
      <w:sz w:val="22"/>
      <w:szCs w:val="22"/>
    </w:rPr>
  </w:style>
  <w:style w:type="character" w:customStyle="1" w:styleId="Heading8Char">
    <w:name w:val="Heading 8 Char"/>
    <w:basedOn w:val="DefaultParagraphFont"/>
    <w:link w:val="Heading8"/>
    <w:uiPriority w:val="9"/>
    <w:semiHidden/>
    <w:rsid w:val="003C359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C3597"/>
    <w:rPr>
      <w:rFonts w:asciiTheme="majorHAnsi" w:eastAsiaTheme="majorEastAsia" w:hAnsiTheme="majorHAnsi" w:cstheme="majorBidi"/>
      <w:i/>
      <w:iCs/>
      <w:color w:val="272727" w:themeColor="text1" w:themeTint="D8"/>
      <w:sz w:val="21"/>
      <w:szCs w:val="21"/>
    </w:rPr>
  </w:style>
  <w:style w:type="character" w:customStyle="1" w:styleId="Style1Char">
    <w:name w:val="Style1 Char"/>
    <w:basedOn w:val="DefaultParagraphFont"/>
    <w:rsid w:val="003C3597"/>
    <w:rPr>
      <w:rFonts w:ascii="Times New Roman" w:eastAsia="Calibri" w:hAnsi="Times New Roman" w:cs="Times New Roman"/>
      <w:sz w:val="24"/>
      <w:szCs w:val="24"/>
    </w:rPr>
  </w:style>
  <w:style w:type="character" w:styleId="PageNumber">
    <w:name w:val="page number"/>
    <w:basedOn w:val="DefaultParagraphFont"/>
    <w:uiPriority w:val="99"/>
    <w:semiHidden/>
    <w:unhideWhenUsed/>
    <w:rsid w:val="003C3597"/>
  </w:style>
  <w:style w:type="table" w:styleId="LightShading">
    <w:name w:val="Light Shading"/>
    <w:basedOn w:val="TableNormal"/>
    <w:uiPriority w:val="60"/>
    <w:rsid w:val="003C3597"/>
    <w:pPr>
      <w:spacing w:before="0" w:after="0" w:line="240" w:lineRule="auto"/>
      <w:ind w:firstLine="0"/>
      <w:jc w:val="left"/>
    </w:pPr>
    <w:rPr>
      <w:rFonts w:eastAsiaTheme="minorEastAsia"/>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3C3597"/>
    <w:pPr>
      <w:widowControl w:val="0"/>
      <w:autoSpaceDE w:val="0"/>
      <w:autoSpaceDN w:val="0"/>
      <w:adjustRightInd w:val="0"/>
      <w:spacing w:before="0" w:after="0" w:line="240" w:lineRule="auto"/>
      <w:ind w:firstLine="0"/>
      <w:jc w:val="left"/>
    </w:pPr>
    <w:rPr>
      <w:rFonts w:ascii="Roboto Light" w:eastAsiaTheme="minorEastAsia" w:hAnsi="Roboto Light" w:cs="Roboto Light"/>
      <w:color w:val="000000"/>
      <w:lang w:val="en-US"/>
    </w:rPr>
  </w:style>
  <w:style w:type="character" w:styleId="Strong">
    <w:name w:val="Strong"/>
    <w:basedOn w:val="DefaultParagraphFont"/>
    <w:uiPriority w:val="22"/>
    <w:qFormat/>
    <w:rsid w:val="003C3597"/>
    <w:rPr>
      <w:b/>
      <w:bCs/>
    </w:rPr>
  </w:style>
  <w:style w:type="character" w:customStyle="1" w:styleId="apple-converted-space">
    <w:name w:val="apple-converted-space"/>
    <w:basedOn w:val="DefaultParagraphFont"/>
    <w:rsid w:val="003C3597"/>
  </w:style>
  <w:style w:type="table" w:customStyle="1" w:styleId="GridTable1Light1">
    <w:name w:val="Grid Table 1 Light1"/>
    <w:basedOn w:val="TableNormal"/>
    <w:uiPriority w:val="46"/>
    <w:rsid w:val="003C3597"/>
    <w:pPr>
      <w:spacing w:before="0" w:after="0" w:line="240" w:lineRule="auto"/>
      <w:ind w:firstLine="0"/>
      <w:jc w:val="left"/>
    </w:pPr>
    <w:rPr>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3C3597"/>
    <w:pPr>
      <w:spacing w:before="0" w:after="0" w:line="240" w:lineRule="auto"/>
      <w:ind w:firstLine="0"/>
      <w:jc w:val="left"/>
    </w:pPr>
    <w:rPr>
      <w:rFonts w:eastAsiaTheme="minorEastAsia"/>
      <w:sz w:val="20"/>
      <w:szCs w:val="20"/>
    </w:rPr>
  </w:style>
  <w:style w:type="character" w:customStyle="1" w:styleId="FootnoteTextChar">
    <w:name w:val="Footnote Text Char"/>
    <w:basedOn w:val="DefaultParagraphFont"/>
    <w:link w:val="FootnoteText"/>
    <w:uiPriority w:val="99"/>
    <w:semiHidden/>
    <w:rsid w:val="003C3597"/>
    <w:rPr>
      <w:rFonts w:eastAsiaTheme="minorEastAsia"/>
      <w:sz w:val="20"/>
      <w:szCs w:val="20"/>
    </w:rPr>
  </w:style>
  <w:style w:type="character" w:styleId="FootnoteReference">
    <w:name w:val="footnote reference"/>
    <w:basedOn w:val="DefaultParagraphFont"/>
    <w:uiPriority w:val="99"/>
    <w:semiHidden/>
    <w:unhideWhenUsed/>
    <w:rsid w:val="003C3597"/>
    <w:rPr>
      <w:vertAlign w:val="superscript"/>
    </w:rPr>
  </w:style>
  <w:style w:type="paragraph" w:styleId="Revision">
    <w:name w:val="Revision"/>
    <w:hidden/>
    <w:uiPriority w:val="99"/>
    <w:semiHidden/>
    <w:rsid w:val="003C3597"/>
    <w:pPr>
      <w:spacing w:before="0" w:after="0" w:line="240" w:lineRule="auto"/>
      <w:ind w:firstLine="0"/>
      <w:jc w:val="left"/>
    </w:pPr>
    <w:rPr>
      <w:rFonts w:eastAsiaTheme="minorEastAsia"/>
    </w:rPr>
  </w:style>
  <w:style w:type="character" w:styleId="LineNumber">
    <w:name w:val="line number"/>
    <w:basedOn w:val="DefaultParagraphFont"/>
    <w:uiPriority w:val="99"/>
    <w:semiHidden/>
    <w:unhideWhenUsed/>
    <w:rsid w:val="003C3597"/>
  </w:style>
  <w:style w:type="table" w:styleId="TableGridLight">
    <w:name w:val="Grid Table Light"/>
    <w:basedOn w:val="TableNormal"/>
    <w:uiPriority w:val="40"/>
    <w:rsid w:val="003C3597"/>
    <w:pPr>
      <w:spacing w:before="0" w:after="0" w:line="240" w:lineRule="auto"/>
      <w:ind w:firstLine="0"/>
      <w:jc w:val="left"/>
    </w:pPr>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uiPriority w:val="20"/>
    <w:qFormat/>
    <w:rsid w:val="003C3597"/>
    <w:rPr>
      <w:rFonts w:cs="Times New Roman"/>
      <w:sz w:val="16"/>
      <w:szCs w:val="16"/>
    </w:rPr>
  </w:style>
  <w:style w:type="character" w:customStyle="1" w:styleId="nlmstring-name">
    <w:name w:val="nlm_string-name"/>
    <w:basedOn w:val="DefaultParagraphFont"/>
    <w:rsid w:val="003C3597"/>
  </w:style>
  <w:style w:type="paragraph" w:customStyle="1" w:styleId="InsertFigureorTable">
    <w:name w:val="Insert Figure or Table"/>
    <w:basedOn w:val="Normal"/>
    <w:qFormat/>
    <w:rsid w:val="003C3597"/>
    <w:pPr>
      <w:autoSpaceDE w:val="0"/>
      <w:autoSpaceDN w:val="0"/>
      <w:adjustRightInd w:val="0"/>
      <w:spacing w:before="120" w:after="240" w:line="240" w:lineRule="auto"/>
      <w:ind w:firstLine="0"/>
      <w:jc w:val="center"/>
    </w:pPr>
    <w:rPr>
      <w:rFonts w:ascii="Times New Roman" w:eastAsia="Times New Roman" w:hAnsi="Times New Roman" w:cs="Times New Roman"/>
      <w:b/>
      <w:sz w:val="22"/>
      <w:szCs w:val="22"/>
    </w:rPr>
  </w:style>
  <w:style w:type="paragraph" w:customStyle="1" w:styleId="InsertFigureorTableBefore12pt">
    <w:name w:val="Insert Figure or Table + Before:  12 pt"/>
    <w:basedOn w:val="InsertFigureorTable"/>
    <w:qFormat/>
    <w:rsid w:val="003C3597"/>
    <w:pPr>
      <w:spacing w:before="240" w:line="276" w:lineRule="auto"/>
    </w:pPr>
    <w:rPr>
      <w:bCs/>
      <w:szCs w:val="20"/>
    </w:rPr>
  </w:style>
  <w:style w:type="character" w:styleId="EndnoteReference">
    <w:name w:val="endnote reference"/>
    <w:basedOn w:val="DefaultParagraphFont"/>
    <w:uiPriority w:val="99"/>
    <w:semiHidden/>
    <w:unhideWhenUsed/>
    <w:rsid w:val="003C3597"/>
    <w:rPr>
      <w:vertAlign w:val="superscript"/>
    </w:rPr>
  </w:style>
  <w:style w:type="paragraph" w:customStyle="1" w:styleId="paragraph0">
    <w:name w:val="paragraph"/>
    <w:basedOn w:val="Normal"/>
    <w:rsid w:val="003C3597"/>
    <w:pPr>
      <w:spacing w:before="100" w:beforeAutospacing="1" w:after="100" w:afterAutospacing="1" w:line="240" w:lineRule="auto"/>
      <w:ind w:firstLine="0"/>
    </w:pPr>
    <w:rPr>
      <w:rFonts w:ascii="Times New Roman" w:eastAsia="Times New Roman" w:hAnsi="Times New Roman" w:cs="Times New Roman"/>
      <w:lang w:eastAsia="en-CA"/>
    </w:rPr>
  </w:style>
  <w:style w:type="character" w:customStyle="1" w:styleId="normaltextrun">
    <w:name w:val="normaltextrun"/>
    <w:basedOn w:val="DefaultParagraphFont"/>
    <w:rsid w:val="003C3597"/>
  </w:style>
  <w:style w:type="character" w:customStyle="1" w:styleId="eop">
    <w:name w:val="eop"/>
    <w:basedOn w:val="DefaultParagraphFont"/>
    <w:rsid w:val="003C3597"/>
  </w:style>
  <w:style w:type="paragraph" w:customStyle="1" w:styleId="p1">
    <w:name w:val="p1"/>
    <w:basedOn w:val="Normal"/>
    <w:rsid w:val="003C3597"/>
    <w:pPr>
      <w:spacing w:before="0" w:after="0" w:line="240" w:lineRule="auto"/>
      <w:ind w:firstLine="0"/>
    </w:pPr>
    <w:rPr>
      <w:rFonts w:ascii="Times" w:hAnsi="Times" w:cs="Times New Roman"/>
      <w:sz w:val="12"/>
      <w:szCs w:val="12"/>
      <w:lang w:val="en-US"/>
    </w:rPr>
  </w:style>
  <w:style w:type="character" w:customStyle="1" w:styleId="s1">
    <w:name w:val="s1"/>
    <w:basedOn w:val="DefaultParagraphFont"/>
    <w:rsid w:val="003C3597"/>
    <w:rPr>
      <w:rFonts w:ascii="Helvetica" w:hAnsi="Helvetica" w:hint="default"/>
      <w:sz w:val="12"/>
      <w:szCs w:val="12"/>
    </w:rPr>
  </w:style>
  <w:style w:type="paragraph" w:styleId="NoSpacing">
    <w:name w:val="No Spacing"/>
    <w:uiPriority w:val="1"/>
    <w:qFormat/>
    <w:rsid w:val="003C3597"/>
    <w:pPr>
      <w:framePr w:hSpace="180" w:wrap="around" w:vAnchor="text" w:hAnchor="text" w:y="1"/>
      <w:spacing w:before="0" w:after="0" w:line="240" w:lineRule="auto"/>
      <w:ind w:firstLine="0"/>
      <w:suppressOverlap/>
    </w:pPr>
    <w:rPr>
      <w:rFonts w:ascii="Times New Roman" w:eastAsia="Times New Roman" w:hAnsi="Times New Roman" w:cs="Times New Roman"/>
      <w:sz w:val="20"/>
      <w:szCs w:val="20"/>
      <w:lang w:val="en-US"/>
    </w:rPr>
  </w:style>
  <w:style w:type="paragraph" w:customStyle="1" w:styleId="p2">
    <w:name w:val="p2"/>
    <w:basedOn w:val="Normal"/>
    <w:rsid w:val="003C3597"/>
    <w:pPr>
      <w:spacing w:before="0" w:after="0" w:line="240" w:lineRule="auto"/>
      <w:ind w:firstLine="0"/>
      <w:jc w:val="left"/>
    </w:pPr>
    <w:rPr>
      <w:rFonts w:ascii="Times" w:hAnsi="Times" w:cs="Times New Roman"/>
      <w:sz w:val="12"/>
      <w:szCs w:val="12"/>
      <w:lang w:val="en-US"/>
    </w:rPr>
  </w:style>
  <w:style w:type="table" w:customStyle="1" w:styleId="TableGridLight1">
    <w:name w:val="Table Grid Light1"/>
    <w:basedOn w:val="TableNormal"/>
    <w:next w:val="TableGridLight"/>
    <w:uiPriority w:val="40"/>
    <w:rsid w:val="00B00A98"/>
    <w:pPr>
      <w:spacing w:before="0" w:after="0" w:line="240" w:lineRule="auto"/>
      <w:ind w:firstLine="0"/>
      <w:jc w:val="left"/>
    </w:pPr>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
    <w:name w:val="Table Grid Light2"/>
    <w:basedOn w:val="TableNormal"/>
    <w:next w:val="TableGridLight"/>
    <w:uiPriority w:val="40"/>
    <w:rsid w:val="00B00A98"/>
    <w:pPr>
      <w:spacing w:before="0" w:after="0" w:line="240" w:lineRule="auto"/>
      <w:ind w:firstLine="0"/>
      <w:jc w:val="left"/>
    </w:pPr>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3">
    <w:name w:val="Table Grid Light3"/>
    <w:basedOn w:val="TableNormal"/>
    <w:next w:val="TableGridLight"/>
    <w:uiPriority w:val="40"/>
    <w:rsid w:val="00B00A98"/>
    <w:pPr>
      <w:spacing w:before="0" w:after="0" w:line="240" w:lineRule="auto"/>
      <w:ind w:firstLine="0"/>
      <w:jc w:val="left"/>
    </w:pPr>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next w:val="PlainTable2"/>
    <w:uiPriority w:val="99"/>
    <w:rsid w:val="0094260A"/>
    <w:pPr>
      <w:spacing w:before="0" w:after="0" w:line="240" w:lineRule="auto"/>
      <w:ind w:firstLine="0"/>
      <w:jc w:val="left"/>
    </w:pPr>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2">
    <w:name w:val="Plain Table 22"/>
    <w:basedOn w:val="TableNormal"/>
    <w:next w:val="PlainTable2"/>
    <w:uiPriority w:val="99"/>
    <w:rsid w:val="007701DC"/>
    <w:pPr>
      <w:spacing w:before="0" w:after="0" w:line="240" w:lineRule="auto"/>
      <w:ind w:firstLine="0"/>
      <w:jc w:val="left"/>
    </w:pPr>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4">
    <w:name w:val="Table Grid Light4"/>
    <w:basedOn w:val="TableNormal"/>
    <w:next w:val="TableGridLight"/>
    <w:uiPriority w:val="40"/>
    <w:rsid w:val="007701DC"/>
    <w:pPr>
      <w:spacing w:before="0" w:after="0" w:line="240" w:lineRule="auto"/>
      <w:ind w:firstLine="0"/>
      <w:jc w:val="left"/>
    </w:pPr>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3">
    <w:name w:val="Plain Table 23"/>
    <w:basedOn w:val="TableNormal"/>
    <w:next w:val="PlainTable2"/>
    <w:uiPriority w:val="99"/>
    <w:rsid w:val="007701DC"/>
    <w:pPr>
      <w:spacing w:before="0" w:after="0" w:line="240" w:lineRule="auto"/>
      <w:ind w:firstLine="0"/>
      <w:jc w:val="left"/>
    </w:pPr>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4">
    <w:name w:val="Plain Table 24"/>
    <w:basedOn w:val="TableNormal"/>
    <w:next w:val="PlainTable2"/>
    <w:uiPriority w:val="99"/>
    <w:rsid w:val="007701DC"/>
    <w:pPr>
      <w:spacing w:before="0" w:after="0" w:line="240" w:lineRule="auto"/>
      <w:ind w:firstLine="0"/>
      <w:jc w:val="left"/>
    </w:pPr>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5">
    <w:name w:val="Plain Table 25"/>
    <w:basedOn w:val="TableNormal"/>
    <w:next w:val="PlainTable2"/>
    <w:uiPriority w:val="99"/>
    <w:rsid w:val="007701DC"/>
    <w:pPr>
      <w:spacing w:before="0" w:after="0" w:line="240" w:lineRule="auto"/>
      <w:ind w:firstLine="0"/>
      <w:jc w:val="left"/>
    </w:pPr>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6">
    <w:name w:val="Plain Table 26"/>
    <w:basedOn w:val="TableNormal"/>
    <w:next w:val="PlainTable2"/>
    <w:uiPriority w:val="99"/>
    <w:rsid w:val="007701DC"/>
    <w:pPr>
      <w:spacing w:before="0" w:after="0" w:line="240" w:lineRule="auto"/>
      <w:ind w:firstLine="0"/>
      <w:jc w:val="left"/>
    </w:pPr>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7">
    <w:name w:val="Plain Table 27"/>
    <w:basedOn w:val="TableNormal"/>
    <w:next w:val="PlainTable2"/>
    <w:uiPriority w:val="99"/>
    <w:rsid w:val="007701DC"/>
    <w:pPr>
      <w:spacing w:before="0" w:after="0" w:line="240" w:lineRule="auto"/>
      <w:ind w:firstLine="0"/>
      <w:jc w:val="left"/>
    </w:pPr>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8">
    <w:name w:val="Plain Table 28"/>
    <w:basedOn w:val="TableNormal"/>
    <w:next w:val="PlainTable2"/>
    <w:uiPriority w:val="99"/>
    <w:rsid w:val="00D26D51"/>
    <w:pPr>
      <w:spacing w:before="0" w:after="0" w:line="240" w:lineRule="auto"/>
      <w:ind w:firstLine="0"/>
      <w:jc w:val="left"/>
    </w:pPr>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9">
    <w:name w:val="Plain Table 29"/>
    <w:basedOn w:val="TableNormal"/>
    <w:next w:val="PlainTable2"/>
    <w:uiPriority w:val="99"/>
    <w:rsid w:val="00D26D51"/>
    <w:pPr>
      <w:spacing w:before="0" w:after="0" w:line="240" w:lineRule="auto"/>
      <w:ind w:firstLine="0"/>
      <w:jc w:val="left"/>
    </w:pPr>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0">
    <w:name w:val="Plain Table 210"/>
    <w:basedOn w:val="TableNormal"/>
    <w:next w:val="PlainTable2"/>
    <w:uiPriority w:val="99"/>
    <w:rsid w:val="00D26D51"/>
    <w:pPr>
      <w:spacing w:before="0" w:after="0" w:line="240" w:lineRule="auto"/>
      <w:ind w:firstLine="0"/>
      <w:jc w:val="left"/>
    </w:pPr>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1">
    <w:name w:val="Plain Table 211"/>
    <w:basedOn w:val="TableNormal"/>
    <w:next w:val="PlainTable2"/>
    <w:uiPriority w:val="99"/>
    <w:rsid w:val="00D26D51"/>
    <w:pPr>
      <w:spacing w:before="0" w:after="0" w:line="240" w:lineRule="auto"/>
      <w:ind w:firstLine="0"/>
      <w:jc w:val="left"/>
    </w:pPr>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D26D51"/>
    <w:pPr>
      <w:numPr>
        <w:numId w:val="0"/>
      </w:numPr>
      <w:spacing w:before="240" w:after="0" w:line="259" w:lineRule="auto"/>
      <w:jc w:val="left"/>
      <w:outlineLvl w:val="9"/>
    </w:pPr>
    <w:rPr>
      <w:rFonts w:asciiTheme="majorHAnsi"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D26D51"/>
    <w:pPr>
      <w:spacing w:after="100"/>
    </w:pPr>
  </w:style>
  <w:style w:type="paragraph" w:styleId="TOC2">
    <w:name w:val="toc 2"/>
    <w:basedOn w:val="Normal"/>
    <w:next w:val="Normal"/>
    <w:autoRedefine/>
    <w:uiPriority w:val="39"/>
    <w:unhideWhenUsed/>
    <w:rsid w:val="00D26D51"/>
    <w:pPr>
      <w:spacing w:after="100"/>
      <w:ind w:left="240"/>
    </w:pPr>
  </w:style>
  <w:style w:type="paragraph" w:styleId="TOC3">
    <w:name w:val="toc 3"/>
    <w:basedOn w:val="Normal"/>
    <w:next w:val="Normal"/>
    <w:autoRedefine/>
    <w:uiPriority w:val="39"/>
    <w:unhideWhenUsed/>
    <w:rsid w:val="007E62D4"/>
    <w:pPr>
      <w:spacing w:after="100"/>
      <w:ind w:left="480"/>
    </w:pPr>
  </w:style>
  <w:style w:type="paragraph" w:styleId="Caption">
    <w:name w:val="caption"/>
    <w:basedOn w:val="Normal"/>
    <w:next w:val="Normal"/>
    <w:uiPriority w:val="35"/>
    <w:unhideWhenUsed/>
    <w:qFormat/>
    <w:rsid w:val="00A45C1F"/>
    <w:pPr>
      <w:spacing w:before="0" w:after="200" w:line="240" w:lineRule="auto"/>
    </w:pPr>
    <w:rPr>
      <w:i/>
      <w:iCs/>
      <w:color w:val="44546A" w:themeColor="text2"/>
      <w:sz w:val="18"/>
      <w:szCs w:val="18"/>
    </w:rPr>
  </w:style>
  <w:style w:type="paragraph" w:styleId="TableofFigures">
    <w:name w:val="table of figures"/>
    <w:basedOn w:val="Normal"/>
    <w:next w:val="Normal"/>
    <w:uiPriority w:val="99"/>
    <w:unhideWhenUsed/>
    <w:rsid w:val="00A45C1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6914">
      <w:bodyDiv w:val="1"/>
      <w:marLeft w:val="0"/>
      <w:marRight w:val="0"/>
      <w:marTop w:val="0"/>
      <w:marBottom w:val="0"/>
      <w:divBdr>
        <w:top w:val="none" w:sz="0" w:space="0" w:color="auto"/>
        <w:left w:val="none" w:sz="0" w:space="0" w:color="auto"/>
        <w:bottom w:val="none" w:sz="0" w:space="0" w:color="auto"/>
        <w:right w:val="none" w:sz="0" w:space="0" w:color="auto"/>
      </w:divBdr>
    </w:div>
    <w:div w:id="18624271">
      <w:bodyDiv w:val="1"/>
      <w:marLeft w:val="0"/>
      <w:marRight w:val="0"/>
      <w:marTop w:val="0"/>
      <w:marBottom w:val="0"/>
      <w:divBdr>
        <w:top w:val="none" w:sz="0" w:space="0" w:color="auto"/>
        <w:left w:val="none" w:sz="0" w:space="0" w:color="auto"/>
        <w:bottom w:val="none" w:sz="0" w:space="0" w:color="auto"/>
        <w:right w:val="none" w:sz="0" w:space="0" w:color="auto"/>
      </w:divBdr>
    </w:div>
    <w:div w:id="52429521">
      <w:bodyDiv w:val="1"/>
      <w:marLeft w:val="0"/>
      <w:marRight w:val="0"/>
      <w:marTop w:val="0"/>
      <w:marBottom w:val="0"/>
      <w:divBdr>
        <w:top w:val="none" w:sz="0" w:space="0" w:color="auto"/>
        <w:left w:val="none" w:sz="0" w:space="0" w:color="auto"/>
        <w:bottom w:val="none" w:sz="0" w:space="0" w:color="auto"/>
        <w:right w:val="none" w:sz="0" w:space="0" w:color="auto"/>
      </w:divBdr>
    </w:div>
    <w:div w:id="71900566">
      <w:bodyDiv w:val="1"/>
      <w:marLeft w:val="0"/>
      <w:marRight w:val="0"/>
      <w:marTop w:val="0"/>
      <w:marBottom w:val="0"/>
      <w:divBdr>
        <w:top w:val="none" w:sz="0" w:space="0" w:color="auto"/>
        <w:left w:val="none" w:sz="0" w:space="0" w:color="auto"/>
        <w:bottom w:val="none" w:sz="0" w:space="0" w:color="auto"/>
        <w:right w:val="none" w:sz="0" w:space="0" w:color="auto"/>
      </w:divBdr>
    </w:div>
    <w:div w:id="88428107">
      <w:bodyDiv w:val="1"/>
      <w:marLeft w:val="0"/>
      <w:marRight w:val="0"/>
      <w:marTop w:val="0"/>
      <w:marBottom w:val="0"/>
      <w:divBdr>
        <w:top w:val="none" w:sz="0" w:space="0" w:color="auto"/>
        <w:left w:val="none" w:sz="0" w:space="0" w:color="auto"/>
        <w:bottom w:val="none" w:sz="0" w:space="0" w:color="auto"/>
        <w:right w:val="none" w:sz="0" w:space="0" w:color="auto"/>
      </w:divBdr>
    </w:div>
    <w:div w:id="107940102">
      <w:bodyDiv w:val="1"/>
      <w:marLeft w:val="0"/>
      <w:marRight w:val="0"/>
      <w:marTop w:val="0"/>
      <w:marBottom w:val="0"/>
      <w:divBdr>
        <w:top w:val="none" w:sz="0" w:space="0" w:color="auto"/>
        <w:left w:val="none" w:sz="0" w:space="0" w:color="auto"/>
        <w:bottom w:val="none" w:sz="0" w:space="0" w:color="auto"/>
        <w:right w:val="none" w:sz="0" w:space="0" w:color="auto"/>
      </w:divBdr>
    </w:div>
    <w:div w:id="113183978">
      <w:bodyDiv w:val="1"/>
      <w:marLeft w:val="0"/>
      <w:marRight w:val="0"/>
      <w:marTop w:val="0"/>
      <w:marBottom w:val="0"/>
      <w:divBdr>
        <w:top w:val="none" w:sz="0" w:space="0" w:color="auto"/>
        <w:left w:val="none" w:sz="0" w:space="0" w:color="auto"/>
        <w:bottom w:val="none" w:sz="0" w:space="0" w:color="auto"/>
        <w:right w:val="none" w:sz="0" w:space="0" w:color="auto"/>
      </w:divBdr>
    </w:div>
    <w:div w:id="133109784">
      <w:bodyDiv w:val="1"/>
      <w:marLeft w:val="0"/>
      <w:marRight w:val="0"/>
      <w:marTop w:val="0"/>
      <w:marBottom w:val="0"/>
      <w:divBdr>
        <w:top w:val="none" w:sz="0" w:space="0" w:color="auto"/>
        <w:left w:val="none" w:sz="0" w:space="0" w:color="auto"/>
        <w:bottom w:val="none" w:sz="0" w:space="0" w:color="auto"/>
        <w:right w:val="none" w:sz="0" w:space="0" w:color="auto"/>
      </w:divBdr>
    </w:div>
    <w:div w:id="134299388">
      <w:bodyDiv w:val="1"/>
      <w:marLeft w:val="0"/>
      <w:marRight w:val="0"/>
      <w:marTop w:val="0"/>
      <w:marBottom w:val="0"/>
      <w:divBdr>
        <w:top w:val="none" w:sz="0" w:space="0" w:color="auto"/>
        <w:left w:val="none" w:sz="0" w:space="0" w:color="auto"/>
        <w:bottom w:val="none" w:sz="0" w:space="0" w:color="auto"/>
        <w:right w:val="none" w:sz="0" w:space="0" w:color="auto"/>
      </w:divBdr>
    </w:div>
    <w:div w:id="139536908">
      <w:bodyDiv w:val="1"/>
      <w:marLeft w:val="0"/>
      <w:marRight w:val="0"/>
      <w:marTop w:val="0"/>
      <w:marBottom w:val="0"/>
      <w:divBdr>
        <w:top w:val="none" w:sz="0" w:space="0" w:color="auto"/>
        <w:left w:val="none" w:sz="0" w:space="0" w:color="auto"/>
        <w:bottom w:val="none" w:sz="0" w:space="0" w:color="auto"/>
        <w:right w:val="none" w:sz="0" w:space="0" w:color="auto"/>
      </w:divBdr>
    </w:div>
    <w:div w:id="202254387">
      <w:bodyDiv w:val="1"/>
      <w:marLeft w:val="0"/>
      <w:marRight w:val="0"/>
      <w:marTop w:val="0"/>
      <w:marBottom w:val="0"/>
      <w:divBdr>
        <w:top w:val="none" w:sz="0" w:space="0" w:color="auto"/>
        <w:left w:val="none" w:sz="0" w:space="0" w:color="auto"/>
        <w:bottom w:val="none" w:sz="0" w:space="0" w:color="auto"/>
        <w:right w:val="none" w:sz="0" w:space="0" w:color="auto"/>
      </w:divBdr>
    </w:div>
    <w:div w:id="203101585">
      <w:bodyDiv w:val="1"/>
      <w:marLeft w:val="0"/>
      <w:marRight w:val="0"/>
      <w:marTop w:val="0"/>
      <w:marBottom w:val="0"/>
      <w:divBdr>
        <w:top w:val="none" w:sz="0" w:space="0" w:color="auto"/>
        <w:left w:val="none" w:sz="0" w:space="0" w:color="auto"/>
        <w:bottom w:val="none" w:sz="0" w:space="0" w:color="auto"/>
        <w:right w:val="none" w:sz="0" w:space="0" w:color="auto"/>
      </w:divBdr>
    </w:div>
    <w:div w:id="209465643">
      <w:bodyDiv w:val="1"/>
      <w:marLeft w:val="0"/>
      <w:marRight w:val="0"/>
      <w:marTop w:val="0"/>
      <w:marBottom w:val="0"/>
      <w:divBdr>
        <w:top w:val="none" w:sz="0" w:space="0" w:color="auto"/>
        <w:left w:val="none" w:sz="0" w:space="0" w:color="auto"/>
        <w:bottom w:val="none" w:sz="0" w:space="0" w:color="auto"/>
        <w:right w:val="none" w:sz="0" w:space="0" w:color="auto"/>
      </w:divBdr>
    </w:div>
    <w:div w:id="228000152">
      <w:bodyDiv w:val="1"/>
      <w:marLeft w:val="0"/>
      <w:marRight w:val="0"/>
      <w:marTop w:val="0"/>
      <w:marBottom w:val="0"/>
      <w:divBdr>
        <w:top w:val="none" w:sz="0" w:space="0" w:color="auto"/>
        <w:left w:val="none" w:sz="0" w:space="0" w:color="auto"/>
        <w:bottom w:val="none" w:sz="0" w:space="0" w:color="auto"/>
        <w:right w:val="none" w:sz="0" w:space="0" w:color="auto"/>
      </w:divBdr>
    </w:div>
    <w:div w:id="285283536">
      <w:bodyDiv w:val="1"/>
      <w:marLeft w:val="0"/>
      <w:marRight w:val="0"/>
      <w:marTop w:val="0"/>
      <w:marBottom w:val="0"/>
      <w:divBdr>
        <w:top w:val="none" w:sz="0" w:space="0" w:color="auto"/>
        <w:left w:val="none" w:sz="0" w:space="0" w:color="auto"/>
        <w:bottom w:val="none" w:sz="0" w:space="0" w:color="auto"/>
        <w:right w:val="none" w:sz="0" w:space="0" w:color="auto"/>
      </w:divBdr>
    </w:div>
    <w:div w:id="340396887">
      <w:bodyDiv w:val="1"/>
      <w:marLeft w:val="0"/>
      <w:marRight w:val="0"/>
      <w:marTop w:val="0"/>
      <w:marBottom w:val="0"/>
      <w:divBdr>
        <w:top w:val="none" w:sz="0" w:space="0" w:color="auto"/>
        <w:left w:val="none" w:sz="0" w:space="0" w:color="auto"/>
        <w:bottom w:val="none" w:sz="0" w:space="0" w:color="auto"/>
        <w:right w:val="none" w:sz="0" w:space="0" w:color="auto"/>
      </w:divBdr>
    </w:div>
    <w:div w:id="346686203">
      <w:bodyDiv w:val="1"/>
      <w:marLeft w:val="0"/>
      <w:marRight w:val="0"/>
      <w:marTop w:val="0"/>
      <w:marBottom w:val="0"/>
      <w:divBdr>
        <w:top w:val="none" w:sz="0" w:space="0" w:color="auto"/>
        <w:left w:val="none" w:sz="0" w:space="0" w:color="auto"/>
        <w:bottom w:val="none" w:sz="0" w:space="0" w:color="auto"/>
        <w:right w:val="none" w:sz="0" w:space="0" w:color="auto"/>
      </w:divBdr>
    </w:div>
    <w:div w:id="354230822">
      <w:bodyDiv w:val="1"/>
      <w:marLeft w:val="0"/>
      <w:marRight w:val="0"/>
      <w:marTop w:val="0"/>
      <w:marBottom w:val="0"/>
      <w:divBdr>
        <w:top w:val="none" w:sz="0" w:space="0" w:color="auto"/>
        <w:left w:val="none" w:sz="0" w:space="0" w:color="auto"/>
        <w:bottom w:val="none" w:sz="0" w:space="0" w:color="auto"/>
        <w:right w:val="none" w:sz="0" w:space="0" w:color="auto"/>
      </w:divBdr>
    </w:div>
    <w:div w:id="382945262">
      <w:bodyDiv w:val="1"/>
      <w:marLeft w:val="0"/>
      <w:marRight w:val="0"/>
      <w:marTop w:val="0"/>
      <w:marBottom w:val="0"/>
      <w:divBdr>
        <w:top w:val="none" w:sz="0" w:space="0" w:color="auto"/>
        <w:left w:val="none" w:sz="0" w:space="0" w:color="auto"/>
        <w:bottom w:val="none" w:sz="0" w:space="0" w:color="auto"/>
        <w:right w:val="none" w:sz="0" w:space="0" w:color="auto"/>
      </w:divBdr>
    </w:div>
    <w:div w:id="391001663">
      <w:bodyDiv w:val="1"/>
      <w:marLeft w:val="0"/>
      <w:marRight w:val="0"/>
      <w:marTop w:val="0"/>
      <w:marBottom w:val="0"/>
      <w:divBdr>
        <w:top w:val="none" w:sz="0" w:space="0" w:color="auto"/>
        <w:left w:val="none" w:sz="0" w:space="0" w:color="auto"/>
        <w:bottom w:val="none" w:sz="0" w:space="0" w:color="auto"/>
        <w:right w:val="none" w:sz="0" w:space="0" w:color="auto"/>
      </w:divBdr>
    </w:div>
    <w:div w:id="413626789">
      <w:bodyDiv w:val="1"/>
      <w:marLeft w:val="0"/>
      <w:marRight w:val="0"/>
      <w:marTop w:val="0"/>
      <w:marBottom w:val="0"/>
      <w:divBdr>
        <w:top w:val="none" w:sz="0" w:space="0" w:color="auto"/>
        <w:left w:val="none" w:sz="0" w:space="0" w:color="auto"/>
        <w:bottom w:val="none" w:sz="0" w:space="0" w:color="auto"/>
        <w:right w:val="none" w:sz="0" w:space="0" w:color="auto"/>
      </w:divBdr>
    </w:div>
    <w:div w:id="420874284">
      <w:bodyDiv w:val="1"/>
      <w:marLeft w:val="0"/>
      <w:marRight w:val="0"/>
      <w:marTop w:val="0"/>
      <w:marBottom w:val="0"/>
      <w:divBdr>
        <w:top w:val="none" w:sz="0" w:space="0" w:color="auto"/>
        <w:left w:val="none" w:sz="0" w:space="0" w:color="auto"/>
        <w:bottom w:val="none" w:sz="0" w:space="0" w:color="auto"/>
        <w:right w:val="none" w:sz="0" w:space="0" w:color="auto"/>
      </w:divBdr>
    </w:div>
    <w:div w:id="422993760">
      <w:bodyDiv w:val="1"/>
      <w:marLeft w:val="0"/>
      <w:marRight w:val="0"/>
      <w:marTop w:val="0"/>
      <w:marBottom w:val="0"/>
      <w:divBdr>
        <w:top w:val="none" w:sz="0" w:space="0" w:color="auto"/>
        <w:left w:val="none" w:sz="0" w:space="0" w:color="auto"/>
        <w:bottom w:val="none" w:sz="0" w:space="0" w:color="auto"/>
        <w:right w:val="none" w:sz="0" w:space="0" w:color="auto"/>
      </w:divBdr>
    </w:div>
    <w:div w:id="480587206">
      <w:bodyDiv w:val="1"/>
      <w:marLeft w:val="0"/>
      <w:marRight w:val="0"/>
      <w:marTop w:val="0"/>
      <w:marBottom w:val="0"/>
      <w:divBdr>
        <w:top w:val="none" w:sz="0" w:space="0" w:color="auto"/>
        <w:left w:val="none" w:sz="0" w:space="0" w:color="auto"/>
        <w:bottom w:val="none" w:sz="0" w:space="0" w:color="auto"/>
        <w:right w:val="none" w:sz="0" w:space="0" w:color="auto"/>
      </w:divBdr>
    </w:div>
    <w:div w:id="492455419">
      <w:bodyDiv w:val="1"/>
      <w:marLeft w:val="0"/>
      <w:marRight w:val="0"/>
      <w:marTop w:val="0"/>
      <w:marBottom w:val="0"/>
      <w:divBdr>
        <w:top w:val="none" w:sz="0" w:space="0" w:color="auto"/>
        <w:left w:val="none" w:sz="0" w:space="0" w:color="auto"/>
        <w:bottom w:val="none" w:sz="0" w:space="0" w:color="auto"/>
        <w:right w:val="none" w:sz="0" w:space="0" w:color="auto"/>
      </w:divBdr>
    </w:div>
    <w:div w:id="543055256">
      <w:bodyDiv w:val="1"/>
      <w:marLeft w:val="0"/>
      <w:marRight w:val="0"/>
      <w:marTop w:val="0"/>
      <w:marBottom w:val="0"/>
      <w:divBdr>
        <w:top w:val="none" w:sz="0" w:space="0" w:color="auto"/>
        <w:left w:val="none" w:sz="0" w:space="0" w:color="auto"/>
        <w:bottom w:val="none" w:sz="0" w:space="0" w:color="auto"/>
        <w:right w:val="none" w:sz="0" w:space="0" w:color="auto"/>
      </w:divBdr>
    </w:div>
    <w:div w:id="548540902">
      <w:bodyDiv w:val="1"/>
      <w:marLeft w:val="0"/>
      <w:marRight w:val="0"/>
      <w:marTop w:val="0"/>
      <w:marBottom w:val="0"/>
      <w:divBdr>
        <w:top w:val="none" w:sz="0" w:space="0" w:color="auto"/>
        <w:left w:val="none" w:sz="0" w:space="0" w:color="auto"/>
        <w:bottom w:val="none" w:sz="0" w:space="0" w:color="auto"/>
        <w:right w:val="none" w:sz="0" w:space="0" w:color="auto"/>
      </w:divBdr>
    </w:div>
    <w:div w:id="590894265">
      <w:bodyDiv w:val="1"/>
      <w:marLeft w:val="0"/>
      <w:marRight w:val="0"/>
      <w:marTop w:val="0"/>
      <w:marBottom w:val="0"/>
      <w:divBdr>
        <w:top w:val="none" w:sz="0" w:space="0" w:color="auto"/>
        <w:left w:val="none" w:sz="0" w:space="0" w:color="auto"/>
        <w:bottom w:val="none" w:sz="0" w:space="0" w:color="auto"/>
        <w:right w:val="none" w:sz="0" w:space="0" w:color="auto"/>
      </w:divBdr>
    </w:div>
    <w:div w:id="623080226">
      <w:bodyDiv w:val="1"/>
      <w:marLeft w:val="0"/>
      <w:marRight w:val="0"/>
      <w:marTop w:val="0"/>
      <w:marBottom w:val="0"/>
      <w:divBdr>
        <w:top w:val="none" w:sz="0" w:space="0" w:color="auto"/>
        <w:left w:val="none" w:sz="0" w:space="0" w:color="auto"/>
        <w:bottom w:val="none" w:sz="0" w:space="0" w:color="auto"/>
        <w:right w:val="none" w:sz="0" w:space="0" w:color="auto"/>
      </w:divBdr>
    </w:div>
    <w:div w:id="637876229">
      <w:bodyDiv w:val="1"/>
      <w:marLeft w:val="0"/>
      <w:marRight w:val="0"/>
      <w:marTop w:val="0"/>
      <w:marBottom w:val="0"/>
      <w:divBdr>
        <w:top w:val="none" w:sz="0" w:space="0" w:color="auto"/>
        <w:left w:val="none" w:sz="0" w:space="0" w:color="auto"/>
        <w:bottom w:val="none" w:sz="0" w:space="0" w:color="auto"/>
        <w:right w:val="none" w:sz="0" w:space="0" w:color="auto"/>
      </w:divBdr>
    </w:div>
    <w:div w:id="664163390">
      <w:bodyDiv w:val="1"/>
      <w:marLeft w:val="0"/>
      <w:marRight w:val="0"/>
      <w:marTop w:val="0"/>
      <w:marBottom w:val="0"/>
      <w:divBdr>
        <w:top w:val="none" w:sz="0" w:space="0" w:color="auto"/>
        <w:left w:val="none" w:sz="0" w:space="0" w:color="auto"/>
        <w:bottom w:val="none" w:sz="0" w:space="0" w:color="auto"/>
        <w:right w:val="none" w:sz="0" w:space="0" w:color="auto"/>
      </w:divBdr>
    </w:div>
    <w:div w:id="671490041">
      <w:bodyDiv w:val="1"/>
      <w:marLeft w:val="0"/>
      <w:marRight w:val="0"/>
      <w:marTop w:val="0"/>
      <w:marBottom w:val="0"/>
      <w:divBdr>
        <w:top w:val="none" w:sz="0" w:space="0" w:color="auto"/>
        <w:left w:val="none" w:sz="0" w:space="0" w:color="auto"/>
        <w:bottom w:val="none" w:sz="0" w:space="0" w:color="auto"/>
        <w:right w:val="none" w:sz="0" w:space="0" w:color="auto"/>
      </w:divBdr>
    </w:div>
    <w:div w:id="684792707">
      <w:bodyDiv w:val="1"/>
      <w:marLeft w:val="0"/>
      <w:marRight w:val="0"/>
      <w:marTop w:val="0"/>
      <w:marBottom w:val="0"/>
      <w:divBdr>
        <w:top w:val="none" w:sz="0" w:space="0" w:color="auto"/>
        <w:left w:val="none" w:sz="0" w:space="0" w:color="auto"/>
        <w:bottom w:val="none" w:sz="0" w:space="0" w:color="auto"/>
        <w:right w:val="none" w:sz="0" w:space="0" w:color="auto"/>
      </w:divBdr>
    </w:div>
    <w:div w:id="695812580">
      <w:bodyDiv w:val="1"/>
      <w:marLeft w:val="0"/>
      <w:marRight w:val="0"/>
      <w:marTop w:val="0"/>
      <w:marBottom w:val="0"/>
      <w:divBdr>
        <w:top w:val="none" w:sz="0" w:space="0" w:color="auto"/>
        <w:left w:val="none" w:sz="0" w:space="0" w:color="auto"/>
        <w:bottom w:val="none" w:sz="0" w:space="0" w:color="auto"/>
        <w:right w:val="none" w:sz="0" w:space="0" w:color="auto"/>
      </w:divBdr>
    </w:div>
    <w:div w:id="729037658">
      <w:bodyDiv w:val="1"/>
      <w:marLeft w:val="0"/>
      <w:marRight w:val="0"/>
      <w:marTop w:val="0"/>
      <w:marBottom w:val="0"/>
      <w:divBdr>
        <w:top w:val="none" w:sz="0" w:space="0" w:color="auto"/>
        <w:left w:val="none" w:sz="0" w:space="0" w:color="auto"/>
        <w:bottom w:val="none" w:sz="0" w:space="0" w:color="auto"/>
        <w:right w:val="none" w:sz="0" w:space="0" w:color="auto"/>
      </w:divBdr>
    </w:div>
    <w:div w:id="735782126">
      <w:bodyDiv w:val="1"/>
      <w:marLeft w:val="0"/>
      <w:marRight w:val="0"/>
      <w:marTop w:val="0"/>
      <w:marBottom w:val="0"/>
      <w:divBdr>
        <w:top w:val="none" w:sz="0" w:space="0" w:color="auto"/>
        <w:left w:val="none" w:sz="0" w:space="0" w:color="auto"/>
        <w:bottom w:val="none" w:sz="0" w:space="0" w:color="auto"/>
        <w:right w:val="none" w:sz="0" w:space="0" w:color="auto"/>
      </w:divBdr>
    </w:div>
    <w:div w:id="742065984">
      <w:bodyDiv w:val="1"/>
      <w:marLeft w:val="0"/>
      <w:marRight w:val="0"/>
      <w:marTop w:val="0"/>
      <w:marBottom w:val="0"/>
      <w:divBdr>
        <w:top w:val="none" w:sz="0" w:space="0" w:color="auto"/>
        <w:left w:val="none" w:sz="0" w:space="0" w:color="auto"/>
        <w:bottom w:val="none" w:sz="0" w:space="0" w:color="auto"/>
        <w:right w:val="none" w:sz="0" w:space="0" w:color="auto"/>
      </w:divBdr>
    </w:div>
    <w:div w:id="764615514">
      <w:bodyDiv w:val="1"/>
      <w:marLeft w:val="0"/>
      <w:marRight w:val="0"/>
      <w:marTop w:val="0"/>
      <w:marBottom w:val="0"/>
      <w:divBdr>
        <w:top w:val="none" w:sz="0" w:space="0" w:color="auto"/>
        <w:left w:val="none" w:sz="0" w:space="0" w:color="auto"/>
        <w:bottom w:val="none" w:sz="0" w:space="0" w:color="auto"/>
        <w:right w:val="none" w:sz="0" w:space="0" w:color="auto"/>
      </w:divBdr>
    </w:div>
    <w:div w:id="764806694">
      <w:bodyDiv w:val="1"/>
      <w:marLeft w:val="0"/>
      <w:marRight w:val="0"/>
      <w:marTop w:val="0"/>
      <w:marBottom w:val="0"/>
      <w:divBdr>
        <w:top w:val="none" w:sz="0" w:space="0" w:color="auto"/>
        <w:left w:val="none" w:sz="0" w:space="0" w:color="auto"/>
        <w:bottom w:val="none" w:sz="0" w:space="0" w:color="auto"/>
        <w:right w:val="none" w:sz="0" w:space="0" w:color="auto"/>
      </w:divBdr>
    </w:div>
    <w:div w:id="780761654">
      <w:bodyDiv w:val="1"/>
      <w:marLeft w:val="0"/>
      <w:marRight w:val="0"/>
      <w:marTop w:val="0"/>
      <w:marBottom w:val="0"/>
      <w:divBdr>
        <w:top w:val="none" w:sz="0" w:space="0" w:color="auto"/>
        <w:left w:val="none" w:sz="0" w:space="0" w:color="auto"/>
        <w:bottom w:val="none" w:sz="0" w:space="0" w:color="auto"/>
        <w:right w:val="none" w:sz="0" w:space="0" w:color="auto"/>
      </w:divBdr>
    </w:div>
    <w:div w:id="797992044">
      <w:bodyDiv w:val="1"/>
      <w:marLeft w:val="0"/>
      <w:marRight w:val="0"/>
      <w:marTop w:val="0"/>
      <w:marBottom w:val="0"/>
      <w:divBdr>
        <w:top w:val="none" w:sz="0" w:space="0" w:color="auto"/>
        <w:left w:val="none" w:sz="0" w:space="0" w:color="auto"/>
        <w:bottom w:val="none" w:sz="0" w:space="0" w:color="auto"/>
        <w:right w:val="none" w:sz="0" w:space="0" w:color="auto"/>
      </w:divBdr>
    </w:div>
    <w:div w:id="799494279">
      <w:bodyDiv w:val="1"/>
      <w:marLeft w:val="0"/>
      <w:marRight w:val="0"/>
      <w:marTop w:val="0"/>
      <w:marBottom w:val="0"/>
      <w:divBdr>
        <w:top w:val="none" w:sz="0" w:space="0" w:color="auto"/>
        <w:left w:val="none" w:sz="0" w:space="0" w:color="auto"/>
        <w:bottom w:val="none" w:sz="0" w:space="0" w:color="auto"/>
        <w:right w:val="none" w:sz="0" w:space="0" w:color="auto"/>
      </w:divBdr>
    </w:div>
    <w:div w:id="817501050">
      <w:bodyDiv w:val="1"/>
      <w:marLeft w:val="0"/>
      <w:marRight w:val="0"/>
      <w:marTop w:val="0"/>
      <w:marBottom w:val="0"/>
      <w:divBdr>
        <w:top w:val="none" w:sz="0" w:space="0" w:color="auto"/>
        <w:left w:val="none" w:sz="0" w:space="0" w:color="auto"/>
        <w:bottom w:val="none" w:sz="0" w:space="0" w:color="auto"/>
        <w:right w:val="none" w:sz="0" w:space="0" w:color="auto"/>
      </w:divBdr>
    </w:div>
    <w:div w:id="839201699">
      <w:bodyDiv w:val="1"/>
      <w:marLeft w:val="0"/>
      <w:marRight w:val="0"/>
      <w:marTop w:val="0"/>
      <w:marBottom w:val="0"/>
      <w:divBdr>
        <w:top w:val="none" w:sz="0" w:space="0" w:color="auto"/>
        <w:left w:val="none" w:sz="0" w:space="0" w:color="auto"/>
        <w:bottom w:val="none" w:sz="0" w:space="0" w:color="auto"/>
        <w:right w:val="none" w:sz="0" w:space="0" w:color="auto"/>
      </w:divBdr>
    </w:div>
    <w:div w:id="852769273">
      <w:bodyDiv w:val="1"/>
      <w:marLeft w:val="0"/>
      <w:marRight w:val="0"/>
      <w:marTop w:val="0"/>
      <w:marBottom w:val="0"/>
      <w:divBdr>
        <w:top w:val="none" w:sz="0" w:space="0" w:color="auto"/>
        <w:left w:val="none" w:sz="0" w:space="0" w:color="auto"/>
        <w:bottom w:val="none" w:sz="0" w:space="0" w:color="auto"/>
        <w:right w:val="none" w:sz="0" w:space="0" w:color="auto"/>
      </w:divBdr>
    </w:div>
    <w:div w:id="889001248">
      <w:bodyDiv w:val="1"/>
      <w:marLeft w:val="0"/>
      <w:marRight w:val="0"/>
      <w:marTop w:val="0"/>
      <w:marBottom w:val="0"/>
      <w:divBdr>
        <w:top w:val="none" w:sz="0" w:space="0" w:color="auto"/>
        <w:left w:val="none" w:sz="0" w:space="0" w:color="auto"/>
        <w:bottom w:val="none" w:sz="0" w:space="0" w:color="auto"/>
        <w:right w:val="none" w:sz="0" w:space="0" w:color="auto"/>
      </w:divBdr>
    </w:div>
    <w:div w:id="904143044">
      <w:bodyDiv w:val="1"/>
      <w:marLeft w:val="0"/>
      <w:marRight w:val="0"/>
      <w:marTop w:val="0"/>
      <w:marBottom w:val="0"/>
      <w:divBdr>
        <w:top w:val="none" w:sz="0" w:space="0" w:color="auto"/>
        <w:left w:val="none" w:sz="0" w:space="0" w:color="auto"/>
        <w:bottom w:val="none" w:sz="0" w:space="0" w:color="auto"/>
        <w:right w:val="none" w:sz="0" w:space="0" w:color="auto"/>
      </w:divBdr>
    </w:div>
    <w:div w:id="1082871213">
      <w:bodyDiv w:val="1"/>
      <w:marLeft w:val="0"/>
      <w:marRight w:val="0"/>
      <w:marTop w:val="0"/>
      <w:marBottom w:val="0"/>
      <w:divBdr>
        <w:top w:val="none" w:sz="0" w:space="0" w:color="auto"/>
        <w:left w:val="none" w:sz="0" w:space="0" w:color="auto"/>
        <w:bottom w:val="none" w:sz="0" w:space="0" w:color="auto"/>
        <w:right w:val="none" w:sz="0" w:space="0" w:color="auto"/>
      </w:divBdr>
    </w:div>
    <w:div w:id="1109281743">
      <w:bodyDiv w:val="1"/>
      <w:marLeft w:val="0"/>
      <w:marRight w:val="0"/>
      <w:marTop w:val="0"/>
      <w:marBottom w:val="0"/>
      <w:divBdr>
        <w:top w:val="none" w:sz="0" w:space="0" w:color="auto"/>
        <w:left w:val="none" w:sz="0" w:space="0" w:color="auto"/>
        <w:bottom w:val="none" w:sz="0" w:space="0" w:color="auto"/>
        <w:right w:val="none" w:sz="0" w:space="0" w:color="auto"/>
      </w:divBdr>
      <w:divsChild>
        <w:div w:id="650523890">
          <w:marLeft w:val="360"/>
          <w:marRight w:val="0"/>
          <w:marTop w:val="200"/>
          <w:marBottom w:val="0"/>
          <w:divBdr>
            <w:top w:val="none" w:sz="0" w:space="0" w:color="auto"/>
            <w:left w:val="none" w:sz="0" w:space="0" w:color="auto"/>
            <w:bottom w:val="none" w:sz="0" w:space="0" w:color="auto"/>
            <w:right w:val="none" w:sz="0" w:space="0" w:color="auto"/>
          </w:divBdr>
        </w:div>
      </w:divsChild>
    </w:div>
    <w:div w:id="1116026490">
      <w:bodyDiv w:val="1"/>
      <w:marLeft w:val="0"/>
      <w:marRight w:val="0"/>
      <w:marTop w:val="0"/>
      <w:marBottom w:val="0"/>
      <w:divBdr>
        <w:top w:val="none" w:sz="0" w:space="0" w:color="auto"/>
        <w:left w:val="none" w:sz="0" w:space="0" w:color="auto"/>
        <w:bottom w:val="none" w:sz="0" w:space="0" w:color="auto"/>
        <w:right w:val="none" w:sz="0" w:space="0" w:color="auto"/>
      </w:divBdr>
    </w:div>
    <w:div w:id="1146166095">
      <w:bodyDiv w:val="1"/>
      <w:marLeft w:val="0"/>
      <w:marRight w:val="0"/>
      <w:marTop w:val="0"/>
      <w:marBottom w:val="0"/>
      <w:divBdr>
        <w:top w:val="none" w:sz="0" w:space="0" w:color="auto"/>
        <w:left w:val="none" w:sz="0" w:space="0" w:color="auto"/>
        <w:bottom w:val="none" w:sz="0" w:space="0" w:color="auto"/>
        <w:right w:val="none" w:sz="0" w:space="0" w:color="auto"/>
      </w:divBdr>
    </w:div>
    <w:div w:id="1157767804">
      <w:bodyDiv w:val="1"/>
      <w:marLeft w:val="0"/>
      <w:marRight w:val="0"/>
      <w:marTop w:val="0"/>
      <w:marBottom w:val="0"/>
      <w:divBdr>
        <w:top w:val="none" w:sz="0" w:space="0" w:color="auto"/>
        <w:left w:val="none" w:sz="0" w:space="0" w:color="auto"/>
        <w:bottom w:val="none" w:sz="0" w:space="0" w:color="auto"/>
        <w:right w:val="none" w:sz="0" w:space="0" w:color="auto"/>
      </w:divBdr>
    </w:div>
    <w:div w:id="1159881071">
      <w:bodyDiv w:val="1"/>
      <w:marLeft w:val="0"/>
      <w:marRight w:val="0"/>
      <w:marTop w:val="0"/>
      <w:marBottom w:val="0"/>
      <w:divBdr>
        <w:top w:val="none" w:sz="0" w:space="0" w:color="auto"/>
        <w:left w:val="none" w:sz="0" w:space="0" w:color="auto"/>
        <w:bottom w:val="none" w:sz="0" w:space="0" w:color="auto"/>
        <w:right w:val="none" w:sz="0" w:space="0" w:color="auto"/>
      </w:divBdr>
    </w:div>
    <w:div w:id="1169712865">
      <w:bodyDiv w:val="1"/>
      <w:marLeft w:val="0"/>
      <w:marRight w:val="0"/>
      <w:marTop w:val="0"/>
      <w:marBottom w:val="0"/>
      <w:divBdr>
        <w:top w:val="none" w:sz="0" w:space="0" w:color="auto"/>
        <w:left w:val="none" w:sz="0" w:space="0" w:color="auto"/>
        <w:bottom w:val="none" w:sz="0" w:space="0" w:color="auto"/>
        <w:right w:val="none" w:sz="0" w:space="0" w:color="auto"/>
      </w:divBdr>
    </w:div>
    <w:div w:id="1186746920">
      <w:bodyDiv w:val="1"/>
      <w:marLeft w:val="0"/>
      <w:marRight w:val="0"/>
      <w:marTop w:val="0"/>
      <w:marBottom w:val="0"/>
      <w:divBdr>
        <w:top w:val="none" w:sz="0" w:space="0" w:color="auto"/>
        <w:left w:val="none" w:sz="0" w:space="0" w:color="auto"/>
        <w:bottom w:val="none" w:sz="0" w:space="0" w:color="auto"/>
        <w:right w:val="none" w:sz="0" w:space="0" w:color="auto"/>
      </w:divBdr>
    </w:div>
    <w:div w:id="1203706820">
      <w:bodyDiv w:val="1"/>
      <w:marLeft w:val="0"/>
      <w:marRight w:val="0"/>
      <w:marTop w:val="0"/>
      <w:marBottom w:val="0"/>
      <w:divBdr>
        <w:top w:val="none" w:sz="0" w:space="0" w:color="auto"/>
        <w:left w:val="none" w:sz="0" w:space="0" w:color="auto"/>
        <w:bottom w:val="none" w:sz="0" w:space="0" w:color="auto"/>
        <w:right w:val="none" w:sz="0" w:space="0" w:color="auto"/>
      </w:divBdr>
    </w:div>
    <w:div w:id="1224289230">
      <w:bodyDiv w:val="1"/>
      <w:marLeft w:val="0"/>
      <w:marRight w:val="0"/>
      <w:marTop w:val="0"/>
      <w:marBottom w:val="0"/>
      <w:divBdr>
        <w:top w:val="none" w:sz="0" w:space="0" w:color="auto"/>
        <w:left w:val="none" w:sz="0" w:space="0" w:color="auto"/>
        <w:bottom w:val="none" w:sz="0" w:space="0" w:color="auto"/>
        <w:right w:val="none" w:sz="0" w:space="0" w:color="auto"/>
      </w:divBdr>
    </w:div>
    <w:div w:id="1231115233">
      <w:bodyDiv w:val="1"/>
      <w:marLeft w:val="0"/>
      <w:marRight w:val="0"/>
      <w:marTop w:val="0"/>
      <w:marBottom w:val="0"/>
      <w:divBdr>
        <w:top w:val="none" w:sz="0" w:space="0" w:color="auto"/>
        <w:left w:val="none" w:sz="0" w:space="0" w:color="auto"/>
        <w:bottom w:val="none" w:sz="0" w:space="0" w:color="auto"/>
        <w:right w:val="none" w:sz="0" w:space="0" w:color="auto"/>
      </w:divBdr>
    </w:div>
    <w:div w:id="1237320146">
      <w:bodyDiv w:val="1"/>
      <w:marLeft w:val="0"/>
      <w:marRight w:val="0"/>
      <w:marTop w:val="0"/>
      <w:marBottom w:val="0"/>
      <w:divBdr>
        <w:top w:val="none" w:sz="0" w:space="0" w:color="auto"/>
        <w:left w:val="none" w:sz="0" w:space="0" w:color="auto"/>
        <w:bottom w:val="none" w:sz="0" w:space="0" w:color="auto"/>
        <w:right w:val="none" w:sz="0" w:space="0" w:color="auto"/>
      </w:divBdr>
      <w:divsChild>
        <w:div w:id="1079447121">
          <w:marLeft w:val="360"/>
          <w:marRight w:val="0"/>
          <w:marTop w:val="200"/>
          <w:marBottom w:val="0"/>
          <w:divBdr>
            <w:top w:val="none" w:sz="0" w:space="0" w:color="auto"/>
            <w:left w:val="none" w:sz="0" w:space="0" w:color="auto"/>
            <w:bottom w:val="none" w:sz="0" w:space="0" w:color="auto"/>
            <w:right w:val="none" w:sz="0" w:space="0" w:color="auto"/>
          </w:divBdr>
        </w:div>
      </w:divsChild>
    </w:div>
    <w:div w:id="1252592486">
      <w:bodyDiv w:val="1"/>
      <w:marLeft w:val="0"/>
      <w:marRight w:val="0"/>
      <w:marTop w:val="0"/>
      <w:marBottom w:val="0"/>
      <w:divBdr>
        <w:top w:val="none" w:sz="0" w:space="0" w:color="auto"/>
        <w:left w:val="none" w:sz="0" w:space="0" w:color="auto"/>
        <w:bottom w:val="none" w:sz="0" w:space="0" w:color="auto"/>
        <w:right w:val="none" w:sz="0" w:space="0" w:color="auto"/>
      </w:divBdr>
    </w:div>
    <w:div w:id="1264654708">
      <w:bodyDiv w:val="1"/>
      <w:marLeft w:val="0"/>
      <w:marRight w:val="0"/>
      <w:marTop w:val="0"/>
      <w:marBottom w:val="0"/>
      <w:divBdr>
        <w:top w:val="none" w:sz="0" w:space="0" w:color="auto"/>
        <w:left w:val="none" w:sz="0" w:space="0" w:color="auto"/>
        <w:bottom w:val="none" w:sz="0" w:space="0" w:color="auto"/>
        <w:right w:val="none" w:sz="0" w:space="0" w:color="auto"/>
      </w:divBdr>
    </w:div>
    <w:div w:id="1294948223">
      <w:bodyDiv w:val="1"/>
      <w:marLeft w:val="0"/>
      <w:marRight w:val="0"/>
      <w:marTop w:val="0"/>
      <w:marBottom w:val="0"/>
      <w:divBdr>
        <w:top w:val="none" w:sz="0" w:space="0" w:color="auto"/>
        <w:left w:val="none" w:sz="0" w:space="0" w:color="auto"/>
        <w:bottom w:val="none" w:sz="0" w:space="0" w:color="auto"/>
        <w:right w:val="none" w:sz="0" w:space="0" w:color="auto"/>
      </w:divBdr>
    </w:div>
    <w:div w:id="1296329351">
      <w:bodyDiv w:val="1"/>
      <w:marLeft w:val="0"/>
      <w:marRight w:val="0"/>
      <w:marTop w:val="0"/>
      <w:marBottom w:val="0"/>
      <w:divBdr>
        <w:top w:val="none" w:sz="0" w:space="0" w:color="auto"/>
        <w:left w:val="none" w:sz="0" w:space="0" w:color="auto"/>
        <w:bottom w:val="none" w:sz="0" w:space="0" w:color="auto"/>
        <w:right w:val="none" w:sz="0" w:space="0" w:color="auto"/>
      </w:divBdr>
    </w:div>
    <w:div w:id="1305157519">
      <w:bodyDiv w:val="1"/>
      <w:marLeft w:val="0"/>
      <w:marRight w:val="0"/>
      <w:marTop w:val="0"/>
      <w:marBottom w:val="0"/>
      <w:divBdr>
        <w:top w:val="none" w:sz="0" w:space="0" w:color="auto"/>
        <w:left w:val="none" w:sz="0" w:space="0" w:color="auto"/>
        <w:bottom w:val="none" w:sz="0" w:space="0" w:color="auto"/>
        <w:right w:val="none" w:sz="0" w:space="0" w:color="auto"/>
      </w:divBdr>
    </w:div>
    <w:div w:id="1309631713">
      <w:bodyDiv w:val="1"/>
      <w:marLeft w:val="0"/>
      <w:marRight w:val="0"/>
      <w:marTop w:val="0"/>
      <w:marBottom w:val="0"/>
      <w:divBdr>
        <w:top w:val="none" w:sz="0" w:space="0" w:color="auto"/>
        <w:left w:val="none" w:sz="0" w:space="0" w:color="auto"/>
        <w:bottom w:val="none" w:sz="0" w:space="0" w:color="auto"/>
        <w:right w:val="none" w:sz="0" w:space="0" w:color="auto"/>
      </w:divBdr>
    </w:div>
    <w:div w:id="1314140939">
      <w:bodyDiv w:val="1"/>
      <w:marLeft w:val="0"/>
      <w:marRight w:val="0"/>
      <w:marTop w:val="0"/>
      <w:marBottom w:val="0"/>
      <w:divBdr>
        <w:top w:val="none" w:sz="0" w:space="0" w:color="auto"/>
        <w:left w:val="none" w:sz="0" w:space="0" w:color="auto"/>
        <w:bottom w:val="none" w:sz="0" w:space="0" w:color="auto"/>
        <w:right w:val="none" w:sz="0" w:space="0" w:color="auto"/>
      </w:divBdr>
    </w:div>
    <w:div w:id="1317758515">
      <w:bodyDiv w:val="1"/>
      <w:marLeft w:val="0"/>
      <w:marRight w:val="0"/>
      <w:marTop w:val="0"/>
      <w:marBottom w:val="0"/>
      <w:divBdr>
        <w:top w:val="none" w:sz="0" w:space="0" w:color="auto"/>
        <w:left w:val="none" w:sz="0" w:space="0" w:color="auto"/>
        <w:bottom w:val="none" w:sz="0" w:space="0" w:color="auto"/>
        <w:right w:val="none" w:sz="0" w:space="0" w:color="auto"/>
      </w:divBdr>
    </w:div>
    <w:div w:id="1340154436">
      <w:bodyDiv w:val="1"/>
      <w:marLeft w:val="0"/>
      <w:marRight w:val="0"/>
      <w:marTop w:val="0"/>
      <w:marBottom w:val="0"/>
      <w:divBdr>
        <w:top w:val="none" w:sz="0" w:space="0" w:color="auto"/>
        <w:left w:val="none" w:sz="0" w:space="0" w:color="auto"/>
        <w:bottom w:val="none" w:sz="0" w:space="0" w:color="auto"/>
        <w:right w:val="none" w:sz="0" w:space="0" w:color="auto"/>
      </w:divBdr>
    </w:div>
    <w:div w:id="1383402879">
      <w:bodyDiv w:val="1"/>
      <w:marLeft w:val="0"/>
      <w:marRight w:val="0"/>
      <w:marTop w:val="0"/>
      <w:marBottom w:val="0"/>
      <w:divBdr>
        <w:top w:val="none" w:sz="0" w:space="0" w:color="auto"/>
        <w:left w:val="none" w:sz="0" w:space="0" w:color="auto"/>
        <w:bottom w:val="none" w:sz="0" w:space="0" w:color="auto"/>
        <w:right w:val="none" w:sz="0" w:space="0" w:color="auto"/>
      </w:divBdr>
    </w:div>
    <w:div w:id="1399550941">
      <w:bodyDiv w:val="1"/>
      <w:marLeft w:val="0"/>
      <w:marRight w:val="0"/>
      <w:marTop w:val="0"/>
      <w:marBottom w:val="0"/>
      <w:divBdr>
        <w:top w:val="none" w:sz="0" w:space="0" w:color="auto"/>
        <w:left w:val="none" w:sz="0" w:space="0" w:color="auto"/>
        <w:bottom w:val="none" w:sz="0" w:space="0" w:color="auto"/>
        <w:right w:val="none" w:sz="0" w:space="0" w:color="auto"/>
      </w:divBdr>
    </w:div>
    <w:div w:id="1419905826">
      <w:bodyDiv w:val="1"/>
      <w:marLeft w:val="0"/>
      <w:marRight w:val="0"/>
      <w:marTop w:val="0"/>
      <w:marBottom w:val="0"/>
      <w:divBdr>
        <w:top w:val="none" w:sz="0" w:space="0" w:color="auto"/>
        <w:left w:val="none" w:sz="0" w:space="0" w:color="auto"/>
        <w:bottom w:val="none" w:sz="0" w:space="0" w:color="auto"/>
        <w:right w:val="none" w:sz="0" w:space="0" w:color="auto"/>
      </w:divBdr>
    </w:div>
    <w:div w:id="1435134423">
      <w:bodyDiv w:val="1"/>
      <w:marLeft w:val="0"/>
      <w:marRight w:val="0"/>
      <w:marTop w:val="0"/>
      <w:marBottom w:val="0"/>
      <w:divBdr>
        <w:top w:val="none" w:sz="0" w:space="0" w:color="auto"/>
        <w:left w:val="none" w:sz="0" w:space="0" w:color="auto"/>
        <w:bottom w:val="none" w:sz="0" w:space="0" w:color="auto"/>
        <w:right w:val="none" w:sz="0" w:space="0" w:color="auto"/>
      </w:divBdr>
    </w:div>
    <w:div w:id="1439711686">
      <w:bodyDiv w:val="1"/>
      <w:marLeft w:val="0"/>
      <w:marRight w:val="0"/>
      <w:marTop w:val="0"/>
      <w:marBottom w:val="0"/>
      <w:divBdr>
        <w:top w:val="none" w:sz="0" w:space="0" w:color="auto"/>
        <w:left w:val="none" w:sz="0" w:space="0" w:color="auto"/>
        <w:bottom w:val="none" w:sz="0" w:space="0" w:color="auto"/>
        <w:right w:val="none" w:sz="0" w:space="0" w:color="auto"/>
      </w:divBdr>
    </w:div>
    <w:div w:id="1440296493">
      <w:bodyDiv w:val="1"/>
      <w:marLeft w:val="0"/>
      <w:marRight w:val="0"/>
      <w:marTop w:val="0"/>
      <w:marBottom w:val="0"/>
      <w:divBdr>
        <w:top w:val="none" w:sz="0" w:space="0" w:color="auto"/>
        <w:left w:val="none" w:sz="0" w:space="0" w:color="auto"/>
        <w:bottom w:val="none" w:sz="0" w:space="0" w:color="auto"/>
        <w:right w:val="none" w:sz="0" w:space="0" w:color="auto"/>
      </w:divBdr>
    </w:div>
    <w:div w:id="1454444787">
      <w:bodyDiv w:val="1"/>
      <w:marLeft w:val="0"/>
      <w:marRight w:val="0"/>
      <w:marTop w:val="0"/>
      <w:marBottom w:val="0"/>
      <w:divBdr>
        <w:top w:val="none" w:sz="0" w:space="0" w:color="auto"/>
        <w:left w:val="none" w:sz="0" w:space="0" w:color="auto"/>
        <w:bottom w:val="none" w:sz="0" w:space="0" w:color="auto"/>
        <w:right w:val="none" w:sz="0" w:space="0" w:color="auto"/>
      </w:divBdr>
    </w:div>
    <w:div w:id="1473214964">
      <w:bodyDiv w:val="1"/>
      <w:marLeft w:val="0"/>
      <w:marRight w:val="0"/>
      <w:marTop w:val="0"/>
      <w:marBottom w:val="0"/>
      <w:divBdr>
        <w:top w:val="none" w:sz="0" w:space="0" w:color="auto"/>
        <w:left w:val="none" w:sz="0" w:space="0" w:color="auto"/>
        <w:bottom w:val="none" w:sz="0" w:space="0" w:color="auto"/>
        <w:right w:val="none" w:sz="0" w:space="0" w:color="auto"/>
      </w:divBdr>
    </w:div>
    <w:div w:id="1473793692">
      <w:bodyDiv w:val="1"/>
      <w:marLeft w:val="0"/>
      <w:marRight w:val="0"/>
      <w:marTop w:val="0"/>
      <w:marBottom w:val="0"/>
      <w:divBdr>
        <w:top w:val="none" w:sz="0" w:space="0" w:color="auto"/>
        <w:left w:val="none" w:sz="0" w:space="0" w:color="auto"/>
        <w:bottom w:val="none" w:sz="0" w:space="0" w:color="auto"/>
        <w:right w:val="none" w:sz="0" w:space="0" w:color="auto"/>
      </w:divBdr>
    </w:div>
    <w:div w:id="1477604771">
      <w:bodyDiv w:val="1"/>
      <w:marLeft w:val="0"/>
      <w:marRight w:val="0"/>
      <w:marTop w:val="0"/>
      <w:marBottom w:val="0"/>
      <w:divBdr>
        <w:top w:val="none" w:sz="0" w:space="0" w:color="auto"/>
        <w:left w:val="none" w:sz="0" w:space="0" w:color="auto"/>
        <w:bottom w:val="none" w:sz="0" w:space="0" w:color="auto"/>
        <w:right w:val="none" w:sz="0" w:space="0" w:color="auto"/>
      </w:divBdr>
    </w:div>
    <w:div w:id="1485707247">
      <w:bodyDiv w:val="1"/>
      <w:marLeft w:val="0"/>
      <w:marRight w:val="0"/>
      <w:marTop w:val="0"/>
      <w:marBottom w:val="0"/>
      <w:divBdr>
        <w:top w:val="none" w:sz="0" w:space="0" w:color="auto"/>
        <w:left w:val="none" w:sz="0" w:space="0" w:color="auto"/>
        <w:bottom w:val="none" w:sz="0" w:space="0" w:color="auto"/>
        <w:right w:val="none" w:sz="0" w:space="0" w:color="auto"/>
      </w:divBdr>
    </w:div>
    <w:div w:id="1501694784">
      <w:bodyDiv w:val="1"/>
      <w:marLeft w:val="0"/>
      <w:marRight w:val="0"/>
      <w:marTop w:val="0"/>
      <w:marBottom w:val="0"/>
      <w:divBdr>
        <w:top w:val="none" w:sz="0" w:space="0" w:color="auto"/>
        <w:left w:val="none" w:sz="0" w:space="0" w:color="auto"/>
        <w:bottom w:val="none" w:sz="0" w:space="0" w:color="auto"/>
        <w:right w:val="none" w:sz="0" w:space="0" w:color="auto"/>
      </w:divBdr>
      <w:divsChild>
        <w:div w:id="1633248676">
          <w:marLeft w:val="360"/>
          <w:marRight w:val="0"/>
          <w:marTop w:val="200"/>
          <w:marBottom w:val="0"/>
          <w:divBdr>
            <w:top w:val="none" w:sz="0" w:space="0" w:color="auto"/>
            <w:left w:val="none" w:sz="0" w:space="0" w:color="auto"/>
            <w:bottom w:val="none" w:sz="0" w:space="0" w:color="auto"/>
            <w:right w:val="none" w:sz="0" w:space="0" w:color="auto"/>
          </w:divBdr>
        </w:div>
      </w:divsChild>
    </w:div>
    <w:div w:id="1561744300">
      <w:bodyDiv w:val="1"/>
      <w:marLeft w:val="0"/>
      <w:marRight w:val="0"/>
      <w:marTop w:val="0"/>
      <w:marBottom w:val="0"/>
      <w:divBdr>
        <w:top w:val="none" w:sz="0" w:space="0" w:color="auto"/>
        <w:left w:val="none" w:sz="0" w:space="0" w:color="auto"/>
        <w:bottom w:val="none" w:sz="0" w:space="0" w:color="auto"/>
        <w:right w:val="none" w:sz="0" w:space="0" w:color="auto"/>
      </w:divBdr>
    </w:div>
    <w:div w:id="1606186983">
      <w:bodyDiv w:val="1"/>
      <w:marLeft w:val="0"/>
      <w:marRight w:val="0"/>
      <w:marTop w:val="0"/>
      <w:marBottom w:val="0"/>
      <w:divBdr>
        <w:top w:val="none" w:sz="0" w:space="0" w:color="auto"/>
        <w:left w:val="none" w:sz="0" w:space="0" w:color="auto"/>
        <w:bottom w:val="none" w:sz="0" w:space="0" w:color="auto"/>
        <w:right w:val="none" w:sz="0" w:space="0" w:color="auto"/>
      </w:divBdr>
    </w:div>
    <w:div w:id="1613247377">
      <w:bodyDiv w:val="1"/>
      <w:marLeft w:val="0"/>
      <w:marRight w:val="0"/>
      <w:marTop w:val="0"/>
      <w:marBottom w:val="0"/>
      <w:divBdr>
        <w:top w:val="none" w:sz="0" w:space="0" w:color="auto"/>
        <w:left w:val="none" w:sz="0" w:space="0" w:color="auto"/>
        <w:bottom w:val="none" w:sz="0" w:space="0" w:color="auto"/>
        <w:right w:val="none" w:sz="0" w:space="0" w:color="auto"/>
      </w:divBdr>
    </w:div>
    <w:div w:id="1627538560">
      <w:bodyDiv w:val="1"/>
      <w:marLeft w:val="0"/>
      <w:marRight w:val="0"/>
      <w:marTop w:val="0"/>
      <w:marBottom w:val="0"/>
      <w:divBdr>
        <w:top w:val="none" w:sz="0" w:space="0" w:color="auto"/>
        <w:left w:val="none" w:sz="0" w:space="0" w:color="auto"/>
        <w:bottom w:val="none" w:sz="0" w:space="0" w:color="auto"/>
        <w:right w:val="none" w:sz="0" w:space="0" w:color="auto"/>
      </w:divBdr>
    </w:div>
    <w:div w:id="1669989273">
      <w:bodyDiv w:val="1"/>
      <w:marLeft w:val="0"/>
      <w:marRight w:val="0"/>
      <w:marTop w:val="0"/>
      <w:marBottom w:val="0"/>
      <w:divBdr>
        <w:top w:val="none" w:sz="0" w:space="0" w:color="auto"/>
        <w:left w:val="none" w:sz="0" w:space="0" w:color="auto"/>
        <w:bottom w:val="none" w:sz="0" w:space="0" w:color="auto"/>
        <w:right w:val="none" w:sz="0" w:space="0" w:color="auto"/>
      </w:divBdr>
    </w:div>
    <w:div w:id="1676566450">
      <w:bodyDiv w:val="1"/>
      <w:marLeft w:val="0"/>
      <w:marRight w:val="0"/>
      <w:marTop w:val="0"/>
      <w:marBottom w:val="0"/>
      <w:divBdr>
        <w:top w:val="none" w:sz="0" w:space="0" w:color="auto"/>
        <w:left w:val="none" w:sz="0" w:space="0" w:color="auto"/>
        <w:bottom w:val="none" w:sz="0" w:space="0" w:color="auto"/>
        <w:right w:val="none" w:sz="0" w:space="0" w:color="auto"/>
      </w:divBdr>
    </w:div>
    <w:div w:id="1704205324">
      <w:bodyDiv w:val="1"/>
      <w:marLeft w:val="0"/>
      <w:marRight w:val="0"/>
      <w:marTop w:val="0"/>
      <w:marBottom w:val="0"/>
      <w:divBdr>
        <w:top w:val="none" w:sz="0" w:space="0" w:color="auto"/>
        <w:left w:val="none" w:sz="0" w:space="0" w:color="auto"/>
        <w:bottom w:val="none" w:sz="0" w:space="0" w:color="auto"/>
        <w:right w:val="none" w:sz="0" w:space="0" w:color="auto"/>
      </w:divBdr>
    </w:div>
    <w:div w:id="1706295576">
      <w:bodyDiv w:val="1"/>
      <w:marLeft w:val="0"/>
      <w:marRight w:val="0"/>
      <w:marTop w:val="0"/>
      <w:marBottom w:val="0"/>
      <w:divBdr>
        <w:top w:val="none" w:sz="0" w:space="0" w:color="auto"/>
        <w:left w:val="none" w:sz="0" w:space="0" w:color="auto"/>
        <w:bottom w:val="none" w:sz="0" w:space="0" w:color="auto"/>
        <w:right w:val="none" w:sz="0" w:space="0" w:color="auto"/>
      </w:divBdr>
    </w:div>
    <w:div w:id="1708604419">
      <w:bodyDiv w:val="1"/>
      <w:marLeft w:val="0"/>
      <w:marRight w:val="0"/>
      <w:marTop w:val="0"/>
      <w:marBottom w:val="0"/>
      <w:divBdr>
        <w:top w:val="none" w:sz="0" w:space="0" w:color="auto"/>
        <w:left w:val="none" w:sz="0" w:space="0" w:color="auto"/>
        <w:bottom w:val="none" w:sz="0" w:space="0" w:color="auto"/>
        <w:right w:val="none" w:sz="0" w:space="0" w:color="auto"/>
      </w:divBdr>
    </w:div>
    <w:div w:id="1754469188">
      <w:bodyDiv w:val="1"/>
      <w:marLeft w:val="0"/>
      <w:marRight w:val="0"/>
      <w:marTop w:val="0"/>
      <w:marBottom w:val="0"/>
      <w:divBdr>
        <w:top w:val="none" w:sz="0" w:space="0" w:color="auto"/>
        <w:left w:val="none" w:sz="0" w:space="0" w:color="auto"/>
        <w:bottom w:val="none" w:sz="0" w:space="0" w:color="auto"/>
        <w:right w:val="none" w:sz="0" w:space="0" w:color="auto"/>
      </w:divBdr>
    </w:div>
    <w:div w:id="1758474695">
      <w:bodyDiv w:val="1"/>
      <w:marLeft w:val="0"/>
      <w:marRight w:val="0"/>
      <w:marTop w:val="0"/>
      <w:marBottom w:val="0"/>
      <w:divBdr>
        <w:top w:val="none" w:sz="0" w:space="0" w:color="auto"/>
        <w:left w:val="none" w:sz="0" w:space="0" w:color="auto"/>
        <w:bottom w:val="none" w:sz="0" w:space="0" w:color="auto"/>
        <w:right w:val="none" w:sz="0" w:space="0" w:color="auto"/>
      </w:divBdr>
    </w:div>
    <w:div w:id="1767769019">
      <w:bodyDiv w:val="1"/>
      <w:marLeft w:val="0"/>
      <w:marRight w:val="0"/>
      <w:marTop w:val="0"/>
      <w:marBottom w:val="0"/>
      <w:divBdr>
        <w:top w:val="none" w:sz="0" w:space="0" w:color="auto"/>
        <w:left w:val="none" w:sz="0" w:space="0" w:color="auto"/>
        <w:bottom w:val="none" w:sz="0" w:space="0" w:color="auto"/>
        <w:right w:val="none" w:sz="0" w:space="0" w:color="auto"/>
      </w:divBdr>
    </w:div>
    <w:div w:id="1774472771">
      <w:bodyDiv w:val="1"/>
      <w:marLeft w:val="0"/>
      <w:marRight w:val="0"/>
      <w:marTop w:val="0"/>
      <w:marBottom w:val="0"/>
      <w:divBdr>
        <w:top w:val="none" w:sz="0" w:space="0" w:color="auto"/>
        <w:left w:val="none" w:sz="0" w:space="0" w:color="auto"/>
        <w:bottom w:val="none" w:sz="0" w:space="0" w:color="auto"/>
        <w:right w:val="none" w:sz="0" w:space="0" w:color="auto"/>
      </w:divBdr>
    </w:div>
    <w:div w:id="1800687577">
      <w:bodyDiv w:val="1"/>
      <w:marLeft w:val="0"/>
      <w:marRight w:val="0"/>
      <w:marTop w:val="0"/>
      <w:marBottom w:val="0"/>
      <w:divBdr>
        <w:top w:val="none" w:sz="0" w:space="0" w:color="auto"/>
        <w:left w:val="none" w:sz="0" w:space="0" w:color="auto"/>
        <w:bottom w:val="none" w:sz="0" w:space="0" w:color="auto"/>
        <w:right w:val="none" w:sz="0" w:space="0" w:color="auto"/>
      </w:divBdr>
    </w:div>
    <w:div w:id="1808157246">
      <w:bodyDiv w:val="1"/>
      <w:marLeft w:val="0"/>
      <w:marRight w:val="0"/>
      <w:marTop w:val="0"/>
      <w:marBottom w:val="0"/>
      <w:divBdr>
        <w:top w:val="none" w:sz="0" w:space="0" w:color="auto"/>
        <w:left w:val="none" w:sz="0" w:space="0" w:color="auto"/>
        <w:bottom w:val="none" w:sz="0" w:space="0" w:color="auto"/>
        <w:right w:val="none" w:sz="0" w:space="0" w:color="auto"/>
      </w:divBdr>
    </w:div>
    <w:div w:id="1810592885">
      <w:bodyDiv w:val="1"/>
      <w:marLeft w:val="0"/>
      <w:marRight w:val="0"/>
      <w:marTop w:val="0"/>
      <w:marBottom w:val="0"/>
      <w:divBdr>
        <w:top w:val="none" w:sz="0" w:space="0" w:color="auto"/>
        <w:left w:val="none" w:sz="0" w:space="0" w:color="auto"/>
        <w:bottom w:val="none" w:sz="0" w:space="0" w:color="auto"/>
        <w:right w:val="none" w:sz="0" w:space="0" w:color="auto"/>
      </w:divBdr>
    </w:div>
    <w:div w:id="1823157976">
      <w:bodyDiv w:val="1"/>
      <w:marLeft w:val="0"/>
      <w:marRight w:val="0"/>
      <w:marTop w:val="0"/>
      <w:marBottom w:val="0"/>
      <w:divBdr>
        <w:top w:val="none" w:sz="0" w:space="0" w:color="auto"/>
        <w:left w:val="none" w:sz="0" w:space="0" w:color="auto"/>
        <w:bottom w:val="none" w:sz="0" w:space="0" w:color="auto"/>
        <w:right w:val="none" w:sz="0" w:space="0" w:color="auto"/>
      </w:divBdr>
    </w:div>
    <w:div w:id="1831212379">
      <w:bodyDiv w:val="1"/>
      <w:marLeft w:val="0"/>
      <w:marRight w:val="0"/>
      <w:marTop w:val="0"/>
      <w:marBottom w:val="0"/>
      <w:divBdr>
        <w:top w:val="none" w:sz="0" w:space="0" w:color="auto"/>
        <w:left w:val="none" w:sz="0" w:space="0" w:color="auto"/>
        <w:bottom w:val="none" w:sz="0" w:space="0" w:color="auto"/>
        <w:right w:val="none" w:sz="0" w:space="0" w:color="auto"/>
      </w:divBdr>
    </w:div>
    <w:div w:id="1848322390">
      <w:bodyDiv w:val="1"/>
      <w:marLeft w:val="0"/>
      <w:marRight w:val="0"/>
      <w:marTop w:val="0"/>
      <w:marBottom w:val="0"/>
      <w:divBdr>
        <w:top w:val="none" w:sz="0" w:space="0" w:color="auto"/>
        <w:left w:val="none" w:sz="0" w:space="0" w:color="auto"/>
        <w:bottom w:val="none" w:sz="0" w:space="0" w:color="auto"/>
        <w:right w:val="none" w:sz="0" w:space="0" w:color="auto"/>
      </w:divBdr>
    </w:div>
    <w:div w:id="1854683722">
      <w:bodyDiv w:val="1"/>
      <w:marLeft w:val="0"/>
      <w:marRight w:val="0"/>
      <w:marTop w:val="0"/>
      <w:marBottom w:val="0"/>
      <w:divBdr>
        <w:top w:val="none" w:sz="0" w:space="0" w:color="auto"/>
        <w:left w:val="none" w:sz="0" w:space="0" w:color="auto"/>
        <w:bottom w:val="none" w:sz="0" w:space="0" w:color="auto"/>
        <w:right w:val="none" w:sz="0" w:space="0" w:color="auto"/>
      </w:divBdr>
    </w:div>
    <w:div w:id="1862742461">
      <w:bodyDiv w:val="1"/>
      <w:marLeft w:val="0"/>
      <w:marRight w:val="0"/>
      <w:marTop w:val="0"/>
      <w:marBottom w:val="0"/>
      <w:divBdr>
        <w:top w:val="none" w:sz="0" w:space="0" w:color="auto"/>
        <w:left w:val="none" w:sz="0" w:space="0" w:color="auto"/>
        <w:bottom w:val="none" w:sz="0" w:space="0" w:color="auto"/>
        <w:right w:val="none" w:sz="0" w:space="0" w:color="auto"/>
      </w:divBdr>
    </w:div>
    <w:div w:id="1872837625">
      <w:bodyDiv w:val="1"/>
      <w:marLeft w:val="0"/>
      <w:marRight w:val="0"/>
      <w:marTop w:val="0"/>
      <w:marBottom w:val="0"/>
      <w:divBdr>
        <w:top w:val="none" w:sz="0" w:space="0" w:color="auto"/>
        <w:left w:val="none" w:sz="0" w:space="0" w:color="auto"/>
        <w:bottom w:val="none" w:sz="0" w:space="0" w:color="auto"/>
        <w:right w:val="none" w:sz="0" w:space="0" w:color="auto"/>
      </w:divBdr>
    </w:div>
    <w:div w:id="1889219529">
      <w:bodyDiv w:val="1"/>
      <w:marLeft w:val="0"/>
      <w:marRight w:val="0"/>
      <w:marTop w:val="0"/>
      <w:marBottom w:val="0"/>
      <w:divBdr>
        <w:top w:val="none" w:sz="0" w:space="0" w:color="auto"/>
        <w:left w:val="none" w:sz="0" w:space="0" w:color="auto"/>
        <w:bottom w:val="none" w:sz="0" w:space="0" w:color="auto"/>
        <w:right w:val="none" w:sz="0" w:space="0" w:color="auto"/>
      </w:divBdr>
    </w:div>
    <w:div w:id="1901137763">
      <w:bodyDiv w:val="1"/>
      <w:marLeft w:val="0"/>
      <w:marRight w:val="0"/>
      <w:marTop w:val="0"/>
      <w:marBottom w:val="0"/>
      <w:divBdr>
        <w:top w:val="none" w:sz="0" w:space="0" w:color="auto"/>
        <w:left w:val="none" w:sz="0" w:space="0" w:color="auto"/>
        <w:bottom w:val="none" w:sz="0" w:space="0" w:color="auto"/>
        <w:right w:val="none" w:sz="0" w:space="0" w:color="auto"/>
      </w:divBdr>
    </w:div>
    <w:div w:id="1910185589">
      <w:bodyDiv w:val="1"/>
      <w:marLeft w:val="0"/>
      <w:marRight w:val="0"/>
      <w:marTop w:val="0"/>
      <w:marBottom w:val="0"/>
      <w:divBdr>
        <w:top w:val="none" w:sz="0" w:space="0" w:color="auto"/>
        <w:left w:val="none" w:sz="0" w:space="0" w:color="auto"/>
        <w:bottom w:val="none" w:sz="0" w:space="0" w:color="auto"/>
        <w:right w:val="none" w:sz="0" w:space="0" w:color="auto"/>
      </w:divBdr>
      <w:divsChild>
        <w:div w:id="607812365">
          <w:marLeft w:val="0"/>
          <w:marRight w:val="0"/>
          <w:marTop w:val="0"/>
          <w:marBottom w:val="0"/>
          <w:divBdr>
            <w:top w:val="none" w:sz="0" w:space="0" w:color="auto"/>
            <w:left w:val="none" w:sz="0" w:space="0" w:color="auto"/>
            <w:bottom w:val="none" w:sz="0" w:space="0" w:color="auto"/>
            <w:right w:val="none" w:sz="0" w:space="0" w:color="auto"/>
          </w:divBdr>
          <w:divsChild>
            <w:div w:id="168941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3732">
      <w:bodyDiv w:val="1"/>
      <w:marLeft w:val="0"/>
      <w:marRight w:val="0"/>
      <w:marTop w:val="0"/>
      <w:marBottom w:val="0"/>
      <w:divBdr>
        <w:top w:val="none" w:sz="0" w:space="0" w:color="auto"/>
        <w:left w:val="none" w:sz="0" w:space="0" w:color="auto"/>
        <w:bottom w:val="none" w:sz="0" w:space="0" w:color="auto"/>
        <w:right w:val="none" w:sz="0" w:space="0" w:color="auto"/>
      </w:divBdr>
    </w:div>
    <w:div w:id="1925070584">
      <w:bodyDiv w:val="1"/>
      <w:marLeft w:val="0"/>
      <w:marRight w:val="0"/>
      <w:marTop w:val="0"/>
      <w:marBottom w:val="0"/>
      <w:divBdr>
        <w:top w:val="none" w:sz="0" w:space="0" w:color="auto"/>
        <w:left w:val="none" w:sz="0" w:space="0" w:color="auto"/>
        <w:bottom w:val="none" w:sz="0" w:space="0" w:color="auto"/>
        <w:right w:val="none" w:sz="0" w:space="0" w:color="auto"/>
      </w:divBdr>
    </w:div>
    <w:div w:id="1953197069">
      <w:bodyDiv w:val="1"/>
      <w:marLeft w:val="0"/>
      <w:marRight w:val="0"/>
      <w:marTop w:val="0"/>
      <w:marBottom w:val="0"/>
      <w:divBdr>
        <w:top w:val="none" w:sz="0" w:space="0" w:color="auto"/>
        <w:left w:val="none" w:sz="0" w:space="0" w:color="auto"/>
        <w:bottom w:val="none" w:sz="0" w:space="0" w:color="auto"/>
        <w:right w:val="none" w:sz="0" w:space="0" w:color="auto"/>
      </w:divBdr>
    </w:div>
    <w:div w:id="1972055241">
      <w:bodyDiv w:val="1"/>
      <w:marLeft w:val="0"/>
      <w:marRight w:val="0"/>
      <w:marTop w:val="0"/>
      <w:marBottom w:val="0"/>
      <w:divBdr>
        <w:top w:val="none" w:sz="0" w:space="0" w:color="auto"/>
        <w:left w:val="none" w:sz="0" w:space="0" w:color="auto"/>
        <w:bottom w:val="none" w:sz="0" w:space="0" w:color="auto"/>
        <w:right w:val="none" w:sz="0" w:space="0" w:color="auto"/>
      </w:divBdr>
    </w:div>
    <w:div w:id="2002151364">
      <w:bodyDiv w:val="1"/>
      <w:marLeft w:val="0"/>
      <w:marRight w:val="0"/>
      <w:marTop w:val="0"/>
      <w:marBottom w:val="0"/>
      <w:divBdr>
        <w:top w:val="none" w:sz="0" w:space="0" w:color="auto"/>
        <w:left w:val="none" w:sz="0" w:space="0" w:color="auto"/>
        <w:bottom w:val="none" w:sz="0" w:space="0" w:color="auto"/>
        <w:right w:val="none" w:sz="0" w:space="0" w:color="auto"/>
      </w:divBdr>
    </w:div>
    <w:div w:id="2025355074">
      <w:bodyDiv w:val="1"/>
      <w:marLeft w:val="0"/>
      <w:marRight w:val="0"/>
      <w:marTop w:val="0"/>
      <w:marBottom w:val="0"/>
      <w:divBdr>
        <w:top w:val="none" w:sz="0" w:space="0" w:color="auto"/>
        <w:left w:val="none" w:sz="0" w:space="0" w:color="auto"/>
        <w:bottom w:val="none" w:sz="0" w:space="0" w:color="auto"/>
        <w:right w:val="none" w:sz="0" w:space="0" w:color="auto"/>
      </w:divBdr>
    </w:div>
    <w:div w:id="2035498287">
      <w:bodyDiv w:val="1"/>
      <w:marLeft w:val="0"/>
      <w:marRight w:val="0"/>
      <w:marTop w:val="0"/>
      <w:marBottom w:val="0"/>
      <w:divBdr>
        <w:top w:val="none" w:sz="0" w:space="0" w:color="auto"/>
        <w:left w:val="none" w:sz="0" w:space="0" w:color="auto"/>
        <w:bottom w:val="none" w:sz="0" w:space="0" w:color="auto"/>
        <w:right w:val="none" w:sz="0" w:space="0" w:color="auto"/>
      </w:divBdr>
    </w:div>
    <w:div w:id="2036805348">
      <w:bodyDiv w:val="1"/>
      <w:marLeft w:val="0"/>
      <w:marRight w:val="0"/>
      <w:marTop w:val="0"/>
      <w:marBottom w:val="0"/>
      <w:divBdr>
        <w:top w:val="none" w:sz="0" w:space="0" w:color="auto"/>
        <w:left w:val="none" w:sz="0" w:space="0" w:color="auto"/>
        <w:bottom w:val="none" w:sz="0" w:space="0" w:color="auto"/>
        <w:right w:val="none" w:sz="0" w:space="0" w:color="auto"/>
      </w:divBdr>
    </w:div>
    <w:div w:id="2047296143">
      <w:bodyDiv w:val="1"/>
      <w:marLeft w:val="0"/>
      <w:marRight w:val="0"/>
      <w:marTop w:val="0"/>
      <w:marBottom w:val="0"/>
      <w:divBdr>
        <w:top w:val="none" w:sz="0" w:space="0" w:color="auto"/>
        <w:left w:val="none" w:sz="0" w:space="0" w:color="auto"/>
        <w:bottom w:val="none" w:sz="0" w:space="0" w:color="auto"/>
        <w:right w:val="none" w:sz="0" w:space="0" w:color="auto"/>
      </w:divBdr>
    </w:div>
    <w:div w:id="2067683316">
      <w:bodyDiv w:val="1"/>
      <w:marLeft w:val="0"/>
      <w:marRight w:val="0"/>
      <w:marTop w:val="0"/>
      <w:marBottom w:val="0"/>
      <w:divBdr>
        <w:top w:val="none" w:sz="0" w:space="0" w:color="auto"/>
        <w:left w:val="none" w:sz="0" w:space="0" w:color="auto"/>
        <w:bottom w:val="none" w:sz="0" w:space="0" w:color="auto"/>
        <w:right w:val="none" w:sz="0" w:space="0" w:color="auto"/>
      </w:divBdr>
    </w:div>
    <w:div w:id="2068189306">
      <w:bodyDiv w:val="1"/>
      <w:marLeft w:val="0"/>
      <w:marRight w:val="0"/>
      <w:marTop w:val="0"/>
      <w:marBottom w:val="0"/>
      <w:divBdr>
        <w:top w:val="none" w:sz="0" w:space="0" w:color="auto"/>
        <w:left w:val="none" w:sz="0" w:space="0" w:color="auto"/>
        <w:bottom w:val="none" w:sz="0" w:space="0" w:color="auto"/>
        <w:right w:val="none" w:sz="0" w:space="0" w:color="auto"/>
      </w:divBdr>
    </w:div>
    <w:div w:id="2095012118">
      <w:bodyDiv w:val="1"/>
      <w:marLeft w:val="0"/>
      <w:marRight w:val="0"/>
      <w:marTop w:val="0"/>
      <w:marBottom w:val="0"/>
      <w:divBdr>
        <w:top w:val="none" w:sz="0" w:space="0" w:color="auto"/>
        <w:left w:val="none" w:sz="0" w:space="0" w:color="auto"/>
        <w:bottom w:val="none" w:sz="0" w:space="0" w:color="auto"/>
        <w:right w:val="none" w:sz="0" w:space="0" w:color="auto"/>
      </w:divBdr>
    </w:div>
    <w:div w:id="2097898179">
      <w:bodyDiv w:val="1"/>
      <w:marLeft w:val="0"/>
      <w:marRight w:val="0"/>
      <w:marTop w:val="0"/>
      <w:marBottom w:val="0"/>
      <w:divBdr>
        <w:top w:val="none" w:sz="0" w:space="0" w:color="auto"/>
        <w:left w:val="none" w:sz="0" w:space="0" w:color="auto"/>
        <w:bottom w:val="none" w:sz="0" w:space="0" w:color="auto"/>
        <w:right w:val="none" w:sz="0" w:space="0" w:color="auto"/>
      </w:divBdr>
    </w:div>
    <w:div w:id="2103839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26" Type="http://schemas.openxmlformats.org/officeDocument/2006/relationships/hyperlink" Target="https://ideas.repec.org/s/eee/transa.html" TargetMode="External"/><Relationship Id="rId39" Type="http://schemas.openxmlformats.org/officeDocument/2006/relationships/image" Target="media/image9.png"/><Relationship Id="rId21" Type="http://schemas.openxmlformats.org/officeDocument/2006/relationships/image" Target="media/image4.emf"/><Relationship Id="rId34" Type="http://schemas.openxmlformats.org/officeDocument/2006/relationships/chart" Target="charts/chart9.xml"/><Relationship Id="rId42" Type="http://schemas.openxmlformats.org/officeDocument/2006/relationships/image" Target="media/image12.png"/><Relationship Id="rId47" Type="http://schemas.openxmlformats.org/officeDocument/2006/relationships/hyperlink" Target="https://www12.statcan.gc.ca/census-recensement/2016/dp-pd/index-eng.cf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econpapers.repec.org/article/eeetransb/v_3a36_3ay_3a2002_3ai_3a4_3ap_3a361-384.htm" TargetMode="External"/><Relationship Id="rId32" Type="http://schemas.openxmlformats.org/officeDocument/2006/relationships/chart" Target="charts/chart7.xml"/><Relationship Id="rId40" Type="http://schemas.openxmlformats.org/officeDocument/2006/relationships/image" Target="media/image10.png"/><Relationship Id="rId45" Type="http://schemas.openxmlformats.org/officeDocument/2006/relationships/hyperlink" Target="https://ideas.repec.org/a/eee/transa/v64y2014icp14-31.html"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jpg"/><Relationship Id="rId28" Type="http://schemas.openxmlformats.org/officeDocument/2006/relationships/hyperlink" Target="https://www12.statcan.gc.ca/census-recensement/2016/dp-pd/index-eng.cfm" TargetMode="Externa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chart" Target="charts/chart6.xml"/><Relationship Id="rId44"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5.jpeg"/><Relationship Id="rId27" Type="http://schemas.openxmlformats.org/officeDocument/2006/relationships/hyperlink" Target="https://www.fleetcarma.com/electric-vehicles-sales-update-q2-2018-canada/" TargetMode="External"/><Relationship Id="rId30" Type="http://schemas.openxmlformats.org/officeDocument/2006/relationships/chart" Target="charts/chart5.xml"/><Relationship Id="rId35" Type="http://schemas.openxmlformats.org/officeDocument/2006/relationships/image" Target="media/image7.jpg"/><Relationship Id="rId43" Type="http://schemas.openxmlformats.org/officeDocument/2006/relationships/image" Target="media/image13.png"/><Relationship Id="rId48" Type="http://schemas.openxmlformats.org/officeDocument/2006/relationships/fontTable" Target="fontTable.xml"/><Relationship Id="rId8" Type="http://schemas.openxmlformats.org/officeDocument/2006/relationships/hyperlink" Target="https://doi.org/10.1016/j.jtrangeo.2018.12.001"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hyperlink" Target="https://ideas.repec.org/a/eee/transa/v64y2014icp14-31.html" TargetMode="External"/><Relationship Id="rId33" Type="http://schemas.openxmlformats.org/officeDocument/2006/relationships/chart" Target="charts/chart8.xml"/><Relationship Id="rId38" Type="http://schemas.openxmlformats.org/officeDocument/2006/relationships/image" Target="media/image8.png"/><Relationship Id="rId46" Type="http://schemas.openxmlformats.org/officeDocument/2006/relationships/hyperlink" Target="https://ideas.repec.org/s/eee/transa.html" TargetMode="External"/><Relationship Id="rId20" Type="http://schemas.openxmlformats.org/officeDocument/2006/relationships/image" Target="media/image5.png"/><Relationship Id="rId4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elnaz_000\Dropbox\Stated%20Preference%20Literature\Survey%20Data\paper%201%20analysis\screening%20sampl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lnaz_000\Downloads\time%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lnaz_000\Dropbox\Stated%20Preference%20Literature\Survey%20Data\paper%201%20analysis\time%20data%2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lnaz_000\Dropbox\Stated%20Preference%20Literature\Survey%20Data\paper%203%20analysis\new%20paper%20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elnaz_000\Dropbox\Stated%20Preference%20Literature\Survey%20Data\paper%203%20analysis\new%20paper%20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elnaz_000\Dropbox\Stated%20Preference%20Literature\Survey%20Data\paper%203%20analysis\new%20paper%20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elnaz_000\Dropbox\Stated%20Preference%20Literature\Survey%20Data\paper%203%20analysis\new%20paper%20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elnaz_000\Dropbox\Stated%20Preference%20Literature\Survey%20Data\paper%203%20analysis\new%20paper%20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elnaz_000\Dropbox\Stated%20Preference%20Literature\Survey%20Data\paper%203%20analysis\new%20paper%203%20ok.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31354997563416"/>
          <c:y val="6.1862047633776682E-3"/>
          <c:w val="0.4186319218241043"/>
          <c:h val="0.9938137952366225"/>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E77-4FB1-BF0E-1FEBF71FB0B1}"/>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3E77-4FB1-BF0E-1FEBF71FB0B1}"/>
              </c:ext>
            </c:extLst>
          </c:dPt>
          <c:dPt>
            <c:idx val="2"/>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5-3E77-4FB1-BF0E-1FEBF71FB0B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E77-4FB1-BF0E-1FEBF71FB0B1}"/>
              </c:ext>
            </c:extLst>
          </c:dPt>
          <c:dPt>
            <c:idx val="4"/>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3E77-4FB1-BF0E-1FEBF71FB0B1}"/>
              </c:ext>
            </c:extLst>
          </c:dPt>
          <c:dPt>
            <c:idx val="5"/>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B-3E77-4FB1-BF0E-1FEBF71FB0B1}"/>
              </c:ext>
            </c:extLst>
          </c:dPt>
          <c:dLbls>
            <c:dLbl>
              <c:idx val="0"/>
              <c:tx>
                <c:rich>
                  <a:bodyPr/>
                  <a:lstStyle/>
                  <a:p>
                    <a:fld id="{E2C41A63-6B47-4387-B7A5-ECDC116B472D}" type="VALUE">
                      <a:rPr lang="en-US"/>
                      <a:pPr/>
                      <a:t>[VALUE]</a:t>
                    </a:fld>
                    <a:r>
                      <a:rPr lang="en-US"/>
                      <a:t> </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E77-4FB1-BF0E-1FEBF71FB0B1}"/>
                </c:ext>
                <c:ext xmlns:c15="http://schemas.microsoft.com/office/drawing/2012/chart" uri="{CE6537A1-D6FC-4f65-9D91-7224C49458BB}">
                  <c15:dlblFieldTable/>
                  <c15:showDataLabelsRange val="0"/>
                </c:ext>
              </c:extLst>
            </c:dLbl>
            <c:dLbl>
              <c:idx val="1"/>
              <c:layout>
                <c:manualLayout>
                  <c:x val="-4.698381452318455E-2"/>
                  <c:y val="6.657808398950131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E77-4FB1-BF0E-1FEBF71FB0B1}"/>
                </c:ext>
                <c:ext xmlns:c15="http://schemas.microsoft.com/office/drawing/2012/chart" uri="{CE6537A1-D6FC-4f65-9D91-7224C49458BB}"/>
              </c:extLst>
            </c:dLbl>
            <c:dLbl>
              <c:idx val="2"/>
              <c:tx>
                <c:rich>
                  <a:bodyPr/>
                  <a:lstStyle/>
                  <a:p>
                    <a:fld id="{427F7A2A-1237-4373-8F2F-393CC6BF623B}" type="VALUE">
                      <a:rPr lang="en-US"/>
                      <a:pPr/>
                      <a:t>[VALUE]</a:t>
                    </a:fld>
                    <a:endParaRPr lang="en-CA"/>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E77-4FB1-BF0E-1FEBF71FB0B1}"/>
                </c:ext>
                <c:ext xmlns:c15="http://schemas.microsoft.com/office/drawing/2012/chart" uri="{CE6537A1-D6FC-4f65-9D91-7224C49458BB}">
                  <c15:dlblFieldTable/>
                  <c15:showDataLabelsRange val="0"/>
                </c:ext>
              </c:extLst>
            </c:dLbl>
            <c:dLbl>
              <c:idx val="3"/>
              <c:tx>
                <c:rich>
                  <a:bodyPr/>
                  <a:lstStyle/>
                  <a:p>
                    <a:fld id="{57C95717-AB96-4EEC-84AA-EB9C302A24F4}" type="VALUE">
                      <a:rPr lang="en-US"/>
                      <a:pPr/>
                      <a:t>[VALUE]</a:t>
                    </a:fld>
                    <a:endParaRPr lang="en-CA"/>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E77-4FB1-BF0E-1FEBF71FB0B1}"/>
                </c:ext>
                <c:ext xmlns:c15="http://schemas.microsoft.com/office/drawing/2012/chart" uri="{CE6537A1-D6FC-4f65-9D91-7224C49458BB}">
                  <c15:dlblFieldTable/>
                  <c15:showDataLabelsRange val="0"/>
                </c:ext>
              </c:extLst>
            </c:dLbl>
            <c:dLbl>
              <c:idx val="4"/>
              <c:tx>
                <c:rich>
                  <a:bodyPr/>
                  <a:lstStyle/>
                  <a:p>
                    <a:fld id="{683571DE-0AF1-44C0-AD26-80157E4C4FDE}" type="VALUE">
                      <a:rPr lang="en-US"/>
                      <a:pPr/>
                      <a:t>[VALUE]</a:t>
                    </a:fld>
                    <a:r>
                      <a:rPr lang="en-US"/>
                      <a:t> </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E77-4FB1-BF0E-1FEBF71FB0B1}"/>
                </c:ext>
                <c:ext xmlns:c15="http://schemas.microsoft.com/office/drawing/2012/chart" uri="{CE6537A1-D6FC-4f65-9D91-7224C49458BB}">
                  <c15:dlblFieldTable/>
                  <c15:showDataLabelsRange val="0"/>
                </c:ext>
              </c:extLst>
            </c:dLbl>
            <c:dLbl>
              <c:idx val="5"/>
              <c:tx>
                <c:rich>
                  <a:bodyPr/>
                  <a:lstStyle/>
                  <a:p>
                    <a:fld id="{5F471778-0C17-4FF2-8DB0-77FA4F7FD0D4}" type="VALUE">
                      <a:rPr lang="en-US"/>
                      <a:pPr/>
                      <a:t>[VALUE]</a:t>
                    </a:fld>
                    <a:r>
                      <a:rPr lang="en-US"/>
                      <a:t> </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E77-4FB1-BF0E-1FEBF71FB0B1}"/>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Sheet1!$L$2:$L$7</c:f>
              <c:strCache>
                <c:ptCount val="6"/>
                <c:pt idx="0">
                  <c:v>Declined to participate (3,051)</c:v>
                </c:pt>
                <c:pt idx="1">
                  <c:v>Screened; under 18 (52)</c:v>
                </c:pt>
                <c:pt idx="2">
                  <c:v>Screened; not household head (2,129)</c:v>
                </c:pt>
                <c:pt idx="3">
                  <c:v>Screened; not at all likely (4,140)</c:v>
                </c:pt>
                <c:pt idx="4">
                  <c:v>Withdrew from survey (5,903)</c:v>
                </c:pt>
                <c:pt idx="5">
                  <c:v>Final sample (20,520)</c:v>
                </c:pt>
              </c:strCache>
            </c:strRef>
          </c:cat>
          <c:val>
            <c:numRef>
              <c:f>Sheet1!$M$2:$M$7</c:f>
              <c:numCache>
                <c:formatCode>0.0%</c:formatCode>
                <c:ptCount val="6"/>
                <c:pt idx="0">
                  <c:v>8.5999999999999993E-2</c:v>
                </c:pt>
                <c:pt idx="1">
                  <c:v>1E-3</c:v>
                </c:pt>
                <c:pt idx="2">
                  <c:v>5.8999999999999997E-2</c:v>
                </c:pt>
                <c:pt idx="3">
                  <c:v>0.11600000000000001</c:v>
                </c:pt>
                <c:pt idx="4">
                  <c:v>0.16500000000000001</c:v>
                </c:pt>
                <c:pt idx="5">
                  <c:v>0.57299999999999995</c:v>
                </c:pt>
              </c:numCache>
            </c:numRef>
          </c:val>
          <c:extLst xmlns:c16r2="http://schemas.microsoft.com/office/drawing/2015/06/chart">
            <c:ext xmlns:c16="http://schemas.microsoft.com/office/drawing/2014/chart" uri="{C3380CC4-5D6E-409C-BE32-E72D297353CC}">
              <c16:uniqueId val="{0000000C-3E77-4FB1-BF0E-1FEBF71FB0B1}"/>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charset="0"/>
                <a:ea typeface="Times New Roman" charset="0"/>
                <a:cs typeface="Times New Roman" charset="0"/>
              </a:defRPr>
            </a:pPr>
            <a:r>
              <a:rPr lang="en-CA" sz="900">
                <a:solidFill>
                  <a:sysClr val="windowText" lastClr="000000"/>
                </a:solidFill>
                <a:latin typeface="Times New Roman" charset="0"/>
                <a:ea typeface="Times New Roman" charset="0"/>
                <a:cs typeface="Times New Roman" charset="0"/>
              </a:rPr>
              <a:t>Figure</a:t>
            </a:r>
            <a:r>
              <a:rPr lang="en-CA" sz="900" baseline="0">
                <a:solidFill>
                  <a:sysClr val="windowText" lastClr="000000"/>
                </a:solidFill>
                <a:latin typeface="Times New Roman" charset="0"/>
                <a:ea typeface="Times New Roman" charset="0"/>
                <a:cs typeface="Times New Roman" charset="0"/>
              </a:rPr>
              <a:t> 2.5a</a:t>
            </a:r>
            <a:endParaRPr lang="en-CA" sz="900">
              <a:solidFill>
                <a:sysClr val="windowText" lastClr="000000"/>
              </a:solidFill>
              <a:latin typeface="Times New Roman" charset="0"/>
              <a:ea typeface="Times New Roman" charset="0"/>
              <a:cs typeface="Times New Roman" charset="0"/>
            </a:endParaRPr>
          </a:p>
        </c:rich>
      </c:tx>
      <c:layout>
        <c:manualLayout>
          <c:xMode val="edge"/>
          <c:yMode val="edge"/>
          <c:x val="0.13968167409116"/>
          <c:y val="0.13273287508888401"/>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charset="0"/>
              <a:ea typeface="Times New Roman" charset="0"/>
              <a:cs typeface="Times New Roman"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'[time data.xlsx]Sheet1'!$Q$3</c:f>
              <c:strCache>
                <c:ptCount val="1"/>
                <c:pt idx="0">
                  <c:v>1 HH size</c:v>
                </c:pt>
              </c:strCache>
            </c:strRef>
          </c:tx>
          <c:spPr>
            <a:solidFill>
              <a:schemeClr val="accent1"/>
            </a:solidFill>
            <a:ln>
              <a:noFill/>
            </a:ln>
            <a:effectLst/>
            <a:sp3d/>
          </c:spPr>
          <c:invertIfNegative val="0"/>
          <c:cat>
            <c:strRef>
              <c:f>'[time data.xlsx]Sheet1'!$R$2:$V$2</c:f>
              <c:strCache>
                <c:ptCount val="5"/>
                <c:pt idx="0">
                  <c:v>4 vehicles  (1,354 HH)</c:v>
                </c:pt>
                <c:pt idx="1">
                  <c:v>3 vehicles  (1,727 HH)</c:v>
                </c:pt>
                <c:pt idx="2">
                  <c:v>2 vehicles  (8,045 HH)</c:v>
                </c:pt>
                <c:pt idx="3">
                  <c:v>1 vehicle  (9,274 HH)</c:v>
                </c:pt>
                <c:pt idx="4">
                  <c:v>No vehicle  (821 HH)</c:v>
                </c:pt>
              </c:strCache>
            </c:strRef>
          </c:cat>
          <c:val>
            <c:numRef>
              <c:f>'[time data.xlsx]Sheet1'!$R$3:$V$3</c:f>
              <c:numCache>
                <c:formatCode>General</c:formatCode>
                <c:ptCount val="5"/>
                <c:pt idx="0">
                  <c:v>18.465</c:v>
                </c:pt>
                <c:pt idx="1">
                  <c:v>20.99</c:v>
                </c:pt>
                <c:pt idx="2">
                  <c:v>19.399999999999999</c:v>
                </c:pt>
                <c:pt idx="3">
                  <c:v>18.22</c:v>
                </c:pt>
                <c:pt idx="4">
                  <c:v>14.95</c:v>
                </c:pt>
              </c:numCache>
            </c:numRef>
          </c:val>
          <c:extLst xmlns:c16r2="http://schemas.microsoft.com/office/drawing/2015/06/chart">
            <c:ext xmlns:c16="http://schemas.microsoft.com/office/drawing/2014/chart" uri="{C3380CC4-5D6E-409C-BE32-E72D297353CC}">
              <c16:uniqueId val="{00000000-37D2-0842-AA1E-BFC57AD3F734}"/>
            </c:ext>
          </c:extLst>
        </c:ser>
        <c:ser>
          <c:idx val="1"/>
          <c:order val="1"/>
          <c:tx>
            <c:strRef>
              <c:f>'[time data.xlsx]Sheet1'!$Q$4</c:f>
              <c:strCache>
                <c:ptCount val="1"/>
                <c:pt idx="0">
                  <c:v>2 HH size</c:v>
                </c:pt>
              </c:strCache>
            </c:strRef>
          </c:tx>
          <c:spPr>
            <a:solidFill>
              <a:schemeClr val="accent2"/>
            </a:solidFill>
            <a:ln>
              <a:noFill/>
            </a:ln>
            <a:effectLst/>
            <a:sp3d/>
          </c:spPr>
          <c:invertIfNegative val="0"/>
          <c:cat>
            <c:strRef>
              <c:f>'[time data.xlsx]Sheet1'!$R$2:$V$2</c:f>
              <c:strCache>
                <c:ptCount val="5"/>
                <c:pt idx="0">
                  <c:v>4 vehicles  (1,354 HH)</c:v>
                </c:pt>
                <c:pt idx="1">
                  <c:v>3 vehicles  (1,727 HH)</c:v>
                </c:pt>
                <c:pt idx="2">
                  <c:v>2 vehicles  (8,045 HH)</c:v>
                </c:pt>
                <c:pt idx="3">
                  <c:v>1 vehicle  (9,274 HH)</c:v>
                </c:pt>
                <c:pt idx="4">
                  <c:v>No vehicle  (821 HH)</c:v>
                </c:pt>
              </c:strCache>
            </c:strRef>
          </c:cat>
          <c:val>
            <c:numRef>
              <c:f>'[time data.xlsx]Sheet1'!$R$4:$V$4</c:f>
              <c:numCache>
                <c:formatCode>General</c:formatCode>
                <c:ptCount val="5"/>
                <c:pt idx="0">
                  <c:v>22.61</c:v>
                </c:pt>
                <c:pt idx="1">
                  <c:v>22.234999999999999</c:v>
                </c:pt>
                <c:pt idx="2">
                  <c:v>20.67</c:v>
                </c:pt>
                <c:pt idx="3">
                  <c:v>19.100000000000001</c:v>
                </c:pt>
                <c:pt idx="4">
                  <c:v>15.725</c:v>
                </c:pt>
              </c:numCache>
            </c:numRef>
          </c:val>
          <c:extLst xmlns:c16r2="http://schemas.microsoft.com/office/drawing/2015/06/chart">
            <c:ext xmlns:c16="http://schemas.microsoft.com/office/drawing/2014/chart" uri="{C3380CC4-5D6E-409C-BE32-E72D297353CC}">
              <c16:uniqueId val="{00000005-37D2-0842-AA1E-BFC57AD3F734}"/>
            </c:ext>
          </c:extLst>
        </c:ser>
        <c:ser>
          <c:idx val="2"/>
          <c:order val="2"/>
          <c:tx>
            <c:strRef>
              <c:f>'[time data.xlsx]Sheet1'!$Q$5</c:f>
              <c:strCache>
                <c:ptCount val="1"/>
                <c:pt idx="0">
                  <c:v>3 HH size</c:v>
                </c:pt>
              </c:strCache>
            </c:strRef>
          </c:tx>
          <c:spPr>
            <a:solidFill>
              <a:schemeClr val="accent3"/>
            </a:solidFill>
            <a:ln>
              <a:noFill/>
            </a:ln>
            <a:effectLst/>
            <a:sp3d/>
          </c:spPr>
          <c:invertIfNegative val="0"/>
          <c:cat>
            <c:strRef>
              <c:f>'[time data.xlsx]Sheet1'!$R$2:$V$2</c:f>
              <c:strCache>
                <c:ptCount val="5"/>
                <c:pt idx="0">
                  <c:v>4 vehicles  (1,354 HH)</c:v>
                </c:pt>
                <c:pt idx="1">
                  <c:v>3 vehicles  (1,727 HH)</c:v>
                </c:pt>
                <c:pt idx="2">
                  <c:v>2 vehicles  (8,045 HH)</c:v>
                </c:pt>
                <c:pt idx="3">
                  <c:v>1 vehicle  (9,274 HH)</c:v>
                </c:pt>
                <c:pt idx="4">
                  <c:v>No vehicle  (821 HH)</c:v>
                </c:pt>
              </c:strCache>
            </c:strRef>
          </c:cat>
          <c:val>
            <c:numRef>
              <c:f>'[time data.xlsx]Sheet1'!$R$5:$V$5</c:f>
              <c:numCache>
                <c:formatCode>General</c:formatCode>
                <c:ptCount val="5"/>
                <c:pt idx="0">
                  <c:v>22.29</c:v>
                </c:pt>
                <c:pt idx="1">
                  <c:v>22.23</c:v>
                </c:pt>
                <c:pt idx="2">
                  <c:v>19.23</c:v>
                </c:pt>
                <c:pt idx="3">
                  <c:v>17.170000000000009</c:v>
                </c:pt>
                <c:pt idx="4">
                  <c:v>13.16</c:v>
                </c:pt>
              </c:numCache>
            </c:numRef>
          </c:val>
          <c:extLst xmlns:c16r2="http://schemas.microsoft.com/office/drawing/2015/06/chart">
            <c:ext xmlns:c16="http://schemas.microsoft.com/office/drawing/2014/chart" uri="{C3380CC4-5D6E-409C-BE32-E72D297353CC}">
              <c16:uniqueId val="{00000006-37D2-0842-AA1E-BFC57AD3F734}"/>
            </c:ext>
          </c:extLst>
        </c:ser>
        <c:ser>
          <c:idx val="3"/>
          <c:order val="3"/>
          <c:tx>
            <c:strRef>
              <c:f>'[time data.xlsx]Sheet1'!$Q$6</c:f>
              <c:strCache>
                <c:ptCount val="1"/>
                <c:pt idx="0">
                  <c:v>4 HH size</c:v>
                </c:pt>
              </c:strCache>
            </c:strRef>
          </c:tx>
          <c:spPr>
            <a:solidFill>
              <a:schemeClr val="accent4"/>
            </a:solidFill>
            <a:ln>
              <a:noFill/>
            </a:ln>
            <a:effectLst/>
            <a:sp3d/>
          </c:spPr>
          <c:invertIfNegative val="0"/>
          <c:cat>
            <c:strRef>
              <c:f>'[time data.xlsx]Sheet1'!$R$2:$V$2</c:f>
              <c:strCache>
                <c:ptCount val="5"/>
                <c:pt idx="0">
                  <c:v>4 vehicles  (1,354 HH)</c:v>
                </c:pt>
                <c:pt idx="1">
                  <c:v>3 vehicles  (1,727 HH)</c:v>
                </c:pt>
                <c:pt idx="2">
                  <c:v>2 vehicles  (8,045 HH)</c:v>
                </c:pt>
                <c:pt idx="3">
                  <c:v>1 vehicle  (9,274 HH)</c:v>
                </c:pt>
                <c:pt idx="4">
                  <c:v>No vehicle  (821 HH)</c:v>
                </c:pt>
              </c:strCache>
            </c:strRef>
          </c:cat>
          <c:val>
            <c:numRef>
              <c:f>'[time data.xlsx]Sheet1'!$R$6:$V$6</c:f>
              <c:numCache>
                <c:formatCode>General</c:formatCode>
                <c:ptCount val="5"/>
                <c:pt idx="0">
                  <c:v>21.8</c:v>
                </c:pt>
                <c:pt idx="1">
                  <c:v>20.965</c:v>
                </c:pt>
                <c:pt idx="2">
                  <c:v>18.86</c:v>
                </c:pt>
                <c:pt idx="3">
                  <c:v>17</c:v>
                </c:pt>
                <c:pt idx="4">
                  <c:v>13.68</c:v>
                </c:pt>
              </c:numCache>
            </c:numRef>
          </c:val>
          <c:extLst xmlns:c16r2="http://schemas.microsoft.com/office/drawing/2015/06/chart">
            <c:ext xmlns:c16="http://schemas.microsoft.com/office/drawing/2014/chart" uri="{C3380CC4-5D6E-409C-BE32-E72D297353CC}">
              <c16:uniqueId val="{00000007-37D2-0842-AA1E-BFC57AD3F734}"/>
            </c:ext>
          </c:extLst>
        </c:ser>
        <c:ser>
          <c:idx val="4"/>
          <c:order val="4"/>
          <c:tx>
            <c:strRef>
              <c:f>'[time data.xlsx]Sheet1'!$Q$7</c:f>
              <c:strCache>
                <c:ptCount val="1"/>
                <c:pt idx="0">
                  <c:v>5+ HH size</c:v>
                </c:pt>
              </c:strCache>
            </c:strRef>
          </c:tx>
          <c:spPr>
            <a:solidFill>
              <a:schemeClr val="accent5"/>
            </a:solidFill>
            <a:ln>
              <a:noFill/>
            </a:ln>
            <a:effectLst/>
            <a:sp3d/>
          </c:spPr>
          <c:invertIfNegative val="0"/>
          <c:cat>
            <c:strRef>
              <c:f>'[time data.xlsx]Sheet1'!$R$2:$V$2</c:f>
              <c:strCache>
                <c:ptCount val="5"/>
                <c:pt idx="0">
                  <c:v>4 vehicles  (1,354 HH)</c:v>
                </c:pt>
                <c:pt idx="1">
                  <c:v>3 vehicles  (1,727 HH)</c:v>
                </c:pt>
                <c:pt idx="2">
                  <c:v>2 vehicles  (8,045 HH)</c:v>
                </c:pt>
                <c:pt idx="3">
                  <c:v>1 vehicle  (9,274 HH)</c:v>
                </c:pt>
                <c:pt idx="4">
                  <c:v>No vehicle  (821 HH)</c:v>
                </c:pt>
              </c:strCache>
            </c:strRef>
          </c:cat>
          <c:val>
            <c:numRef>
              <c:f>'[time data.xlsx]Sheet1'!$R$7:$V$7</c:f>
              <c:numCache>
                <c:formatCode>General</c:formatCode>
                <c:ptCount val="5"/>
                <c:pt idx="0">
                  <c:v>21.975000000000001</c:v>
                </c:pt>
                <c:pt idx="1">
                  <c:v>22.274999999999999</c:v>
                </c:pt>
                <c:pt idx="2">
                  <c:v>18.63</c:v>
                </c:pt>
                <c:pt idx="3">
                  <c:v>17.600000000000001</c:v>
                </c:pt>
                <c:pt idx="4">
                  <c:v>15.02</c:v>
                </c:pt>
              </c:numCache>
            </c:numRef>
          </c:val>
          <c:extLst xmlns:c16r2="http://schemas.microsoft.com/office/drawing/2015/06/chart">
            <c:ext xmlns:c16="http://schemas.microsoft.com/office/drawing/2014/chart" uri="{C3380CC4-5D6E-409C-BE32-E72D297353CC}">
              <c16:uniqueId val="{00000008-37D2-0842-AA1E-BFC57AD3F734}"/>
            </c:ext>
          </c:extLst>
        </c:ser>
        <c:dLbls>
          <c:showLegendKey val="0"/>
          <c:showVal val="0"/>
          <c:showCatName val="0"/>
          <c:showSerName val="0"/>
          <c:showPercent val="0"/>
          <c:showBubbleSize val="0"/>
        </c:dLbls>
        <c:gapWidth val="90"/>
        <c:gapDepth val="90"/>
        <c:shape val="box"/>
        <c:axId val="-743121200"/>
        <c:axId val="-743126640"/>
        <c:axId val="-492875328"/>
      </c:bar3DChart>
      <c:catAx>
        <c:axId val="-7431212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charset="0"/>
                <a:ea typeface="Times New Roman" charset="0"/>
                <a:cs typeface="Times New Roman" charset="0"/>
              </a:defRPr>
            </a:pPr>
            <a:endParaRPr lang="en-US"/>
          </a:p>
        </c:txPr>
        <c:crossAx val="-743126640"/>
        <c:crossesAt val="13"/>
        <c:auto val="1"/>
        <c:lblAlgn val="ctr"/>
        <c:lblOffset val="100"/>
        <c:noMultiLvlLbl val="0"/>
      </c:catAx>
      <c:valAx>
        <c:axId val="-743126640"/>
        <c:scaling>
          <c:orientation val="minMax"/>
          <c:max val="23"/>
          <c:min val="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charset="0"/>
                    <a:ea typeface="Times New Roman" charset="0"/>
                    <a:cs typeface="Times New Roman" charset="0"/>
                  </a:defRPr>
                </a:pPr>
                <a:r>
                  <a:rPr lang="en-CA" sz="800" b="0" i="0" u="none" strike="noStrike" baseline="0">
                    <a:effectLst/>
                    <a:latin typeface="Times New Roman" charset="0"/>
                    <a:ea typeface="Times New Roman" charset="0"/>
                    <a:cs typeface="Times New Roman" charset="0"/>
                  </a:rPr>
                  <a:t>Median survey completion time (min)</a:t>
                </a:r>
                <a:endParaRPr lang="en-US" sz="800">
                  <a:latin typeface="Times New Roman" charset="0"/>
                  <a:ea typeface="Times New Roman" charset="0"/>
                  <a:cs typeface="Times New Roman"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charset="0"/>
                  <a:ea typeface="Times New Roman" charset="0"/>
                  <a:cs typeface="Times New Roman"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charset="0"/>
                <a:ea typeface="Times New Roman" charset="0"/>
                <a:cs typeface="Times New Roman" charset="0"/>
              </a:defRPr>
            </a:pPr>
            <a:endParaRPr lang="en-US"/>
          </a:p>
        </c:txPr>
        <c:crossAx val="-743121200"/>
        <c:crosses val="autoZero"/>
        <c:crossBetween val="between"/>
        <c:majorUnit val="1"/>
        <c:minorUnit val="0.5"/>
      </c:valAx>
      <c:serAx>
        <c:axId val="-492875328"/>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charset="0"/>
                <a:ea typeface="Times New Roman" charset="0"/>
                <a:cs typeface="Times New Roman" charset="0"/>
              </a:defRPr>
            </a:pPr>
            <a:endParaRPr lang="en-US"/>
          </a:p>
        </c:txPr>
        <c:crossAx val="-743126640"/>
        <c:crossesAt val="13"/>
      </c:ser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900" b="0" i="0" baseline="0">
                <a:solidFill>
                  <a:sysClr val="windowText" lastClr="000000"/>
                </a:solidFill>
                <a:effectLst/>
                <a:latin typeface="Times New Roman" panose="02020603050405020304" pitchFamily="18" charset="0"/>
                <a:cs typeface="Times New Roman" panose="02020603050405020304" pitchFamily="18" charset="0"/>
              </a:rPr>
              <a:t>Figure 2.5b</a:t>
            </a:r>
            <a:endParaRPr lang="en-CA" sz="9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3.4278827553766801E-2"/>
          <c:y val="0.16031611090841399"/>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20"/>
      <c:rotY val="20"/>
      <c:depthPercent val="100"/>
      <c:rAngAx val="1"/>
    </c:view3D>
    <c:floor>
      <c:thickness val="0"/>
      <c:spPr>
        <a:noFill/>
        <a:ln>
          <a:solidFill>
            <a:schemeClr val="bg2">
              <a:lumMod val="90000"/>
            </a:schemeClr>
          </a:solidFill>
        </a:ln>
        <a:effectLst/>
        <a:sp3d>
          <a:contourClr>
            <a:schemeClr val="bg2">
              <a:lumMod val="90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'age-time'!$B$30</c:f>
              <c:strCache>
                <c:ptCount val="1"/>
                <c:pt idx="0">
                  <c:v>No vehicle</c:v>
                </c:pt>
              </c:strCache>
            </c:strRef>
          </c:tx>
          <c:spPr>
            <a:solidFill>
              <a:schemeClr val="accent1"/>
            </a:solidFill>
            <a:ln>
              <a:noFill/>
            </a:ln>
            <a:effectLst/>
            <a:sp3d/>
          </c:spPr>
          <c:invertIfNegative val="0"/>
          <c:cat>
            <c:strRef>
              <c:f>'age-time'!$A$49:$A$54</c:f>
              <c:strCache>
                <c:ptCount val="6"/>
                <c:pt idx="0">
                  <c:v>65+</c:v>
                </c:pt>
                <c:pt idx="1">
                  <c:v>55-64</c:v>
                </c:pt>
                <c:pt idx="2">
                  <c:v>45-54</c:v>
                </c:pt>
                <c:pt idx="3">
                  <c:v>35-44</c:v>
                </c:pt>
                <c:pt idx="4">
                  <c:v>25-34</c:v>
                </c:pt>
                <c:pt idx="5">
                  <c:v>18-24</c:v>
                </c:pt>
              </c:strCache>
            </c:strRef>
          </c:cat>
          <c:val>
            <c:numRef>
              <c:f>'age-time'!$B$49:$B$54</c:f>
              <c:numCache>
                <c:formatCode>General</c:formatCode>
                <c:ptCount val="6"/>
                <c:pt idx="0">
                  <c:v>16.645</c:v>
                </c:pt>
                <c:pt idx="1">
                  <c:v>15.69</c:v>
                </c:pt>
                <c:pt idx="2">
                  <c:v>15.52</c:v>
                </c:pt>
                <c:pt idx="3">
                  <c:v>14.565</c:v>
                </c:pt>
                <c:pt idx="4">
                  <c:v>13.09</c:v>
                </c:pt>
                <c:pt idx="5">
                  <c:v>13.52</c:v>
                </c:pt>
              </c:numCache>
            </c:numRef>
          </c:val>
          <c:extLst xmlns:c16r2="http://schemas.microsoft.com/office/drawing/2015/06/chart">
            <c:ext xmlns:c16="http://schemas.microsoft.com/office/drawing/2014/chart" uri="{C3380CC4-5D6E-409C-BE32-E72D297353CC}">
              <c16:uniqueId val="{00000000-A208-417B-80F5-0E970699C0C2}"/>
            </c:ext>
          </c:extLst>
        </c:ser>
        <c:ser>
          <c:idx val="1"/>
          <c:order val="1"/>
          <c:tx>
            <c:strRef>
              <c:f>'age-time'!$C$30</c:f>
              <c:strCache>
                <c:ptCount val="1"/>
                <c:pt idx="0">
                  <c:v>1 vehicle </c:v>
                </c:pt>
              </c:strCache>
            </c:strRef>
          </c:tx>
          <c:spPr>
            <a:solidFill>
              <a:schemeClr val="accent2"/>
            </a:solidFill>
            <a:ln>
              <a:noFill/>
            </a:ln>
            <a:effectLst/>
            <a:sp3d/>
          </c:spPr>
          <c:invertIfNegative val="0"/>
          <c:cat>
            <c:strRef>
              <c:f>'age-time'!$A$49:$A$54</c:f>
              <c:strCache>
                <c:ptCount val="6"/>
                <c:pt idx="0">
                  <c:v>65+</c:v>
                </c:pt>
                <c:pt idx="1">
                  <c:v>55-64</c:v>
                </c:pt>
                <c:pt idx="2">
                  <c:v>45-54</c:v>
                </c:pt>
                <c:pt idx="3">
                  <c:v>35-44</c:v>
                </c:pt>
                <c:pt idx="4">
                  <c:v>25-34</c:v>
                </c:pt>
                <c:pt idx="5">
                  <c:v>18-24</c:v>
                </c:pt>
              </c:strCache>
            </c:strRef>
          </c:cat>
          <c:val>
            <c:numRef>
              <c:f>'age-time'!$C$49:$C$54</c:f>
              <c:numCache>
                <c:formatCode>General</c:formatCode>
                <c:ptCount val="6"/>
                <c:pt idx="0">
                  <c:v>21.87</c:v>
                </c:pt>
                <c:pt idx="1">
                  <c:v>19.18</c:v>
                </c:pt>
                <c:pt idx="2">
                  <c:v>17.914999999999999</c:v>
                </c:pt>
                <c:pt idx="3">
                  <c:v>16</c:v>
                </c:pt>
                <c:pt idx="4">
                  <c:v>14.86</c:v>
                </c:pt>
                <c:pt idx="5">
                  <c:v>14.515000000000001</c:v>
                </c:pt>
              </c:numCache>
            </c:numRef>
          </c:val>
          <c:extLst xmlns:c16r2="http://schemas.microsoft.com/office/drawing/2015/06/chart">
            <c:ext xmlns:c16="http://schemas.microsoft.com/office/drawing/2014/chart" uri="{C3380CC4-5D6E-409C-BE32-E72D297353CC}">
              <c16:uniqueId val="{00000001-A208-417B-80F5-0E970699C0C2}"/>
            </c:ext>
          </c:extLst>
        </c:ser>
        <c:ser>
          <c:idx val="2"/>
          <c:order val="2"/>
          <c:tx>
            <c:strRef>
              <c:f>'age-time'!$D$30</c:f>
              <c:strCache>
                <c:ptCount val="1"/>
                <c:pt idx="0">
                  <c:v>2 vehicles </c:v>
                </c:pt>
              </c:strCache>
            </c:strRef>
          </c:tx>
          <c:spPr>
            <a:solidFill>
              <a:schemeClr val="accent3"/>
            </a:solidFill>
            <a:ln>
              <a:noFill/>
            </a:ln>
            <a:effectLst/>
            <a:sp3d/>
          </c:spPr>
          <c:invertIfNegative val="0"/>
          <c:cat>
            <c:strRef>
              <c:f>'age-time'!$A$49:$A$54</c:f>
              <c:strCache>
                <c:ptCount val="6"/>
                <c:pt idx="0">
                  <c:v>65+</c:v>
                </c:pt>
                <c:pt idx="1">
                  <c:v>55-64</c:v>
                </c:pt>
                <c:pt idx="2">
                  <c:v>45-54</c:v>
                </c:pt>
                <c:pt idx="3">
                  <c:v>35-44</c:v>
                </c:pt>
                <c:pt idx="4">
                  <c:v>25-34</c:v>
                </c:pt>
                <c:pt idx="5">
                  <c:v>18-24</c:v>
                </c:pt>
              </c:strCache>
            </c:strRef>
          </c:cat>
          <c:val>
            <c:numRef>
              <c:f>'age-time'!$D$49:$D$54</c:f>
              <c:numCache>
                <c:formatCode>General</c:formatCode>
                <c:ptCount val="6"/>
                <c:pt idx="0">
                  <c:v>23.164999999999999</c:v>
                </c:pt>
                <c:pt idx="1">
                  <c:v>21</c:v>
                </c:pt>
                <c:pt idx="2">
                  <c:v>19.3</c:v>
                </c:pt>
                <c:pt idx="3">
                  <c:v>18.12</c:v>
                </c:pt>
                <c:pt idx="4">
                  <c:v>17.515000000000001</c:v>
                </c:pt>
                <c:pt idx="5">
                  <c:v>15.115</c:v>
                </c:pt>
              </c:numCache>
            </c:numRef>
          </c:val>
          <c:extLst xmlns:c16r2="http://schemas.microsoft.com/office/drawing/2015/06/chart">
            <c:ext xmlns:c16="http://schemas.microsoft.com/office/drawing/2014/chart" uri="{C3380CC4-5D6E-409C-BE32-E72D297353CC}">
              <c16:uniqueId val="{00000002-A208-417B-80F5-0E970699C0C2}"/>
            </c:ext>
          </c:extLst>
        </c:ser>
        <c:ser>
          <c:idx val="3"/>
          <c:order val="3"/>
          <c:tx>
            <c:strRef>
              <c:f>'age-time'!$E$30</c:f>
              <c:strCache>
                <c:ptCount val="1"/>
                <c:pt idx="0">
                  <c:v>3+</c:v>
                </c:pt>
              </c:strCache>
            </c:strRef>
          </c:tx>
          <c:spPr>
            <a:solidFill>
              <a:schemeClr val="accent4"/>
            </a:solidFill>
            <a:ln>
              <a:noFill/>
            </a:ln>
            <a:effectLst/>
            <a:sp3d/>
          </c:spPr>
          <c:invertIfNegative val="0"/>
          <c:cat>
            <c:strRef>
              <c:f>'age-time'!$A$49:$A$54</c:f>
              <c:strCache>
                <c:ptCount val="6"/>
                <c:pt idx="0">
                  <c:v>65+</c:v>
                </c:pt>
                <c:pt idx="1">
                  <c:v>55-64</c:v>
                </c:pt>
                <c:pt idx="2">
                  <c:v>45-54</c:v>
                </c:pt>
                <c:pt idx="3">
                  <c:v>35-44</c:v>
                </c:pt>
                <c:pt idx="4">
                  <c:v>25-34</c:v>
                </c:pt>
                <c:pt idx="5">
                  <c:v>18-24</c:v>
                </c:pt>
              </c:strCache>
            </c:strRef>
          </c:cat>
          <c:val>
            <c:numRef>
              <c:f>'age-time'!$E$49:$E$54</c:f>
              <c:numCache>
                <c:formatCode>General</c:formatCode>
                <c:ptCount val="6"/>
                <c:pt idx="0">
                  <c:v>24.305</c:v>
                </c:pt>
                <c:pt idx="1">
                  <c:v>23.37</c:v>
                </c:pt>
                <c:pt idx="2">
                  <c:v>22.215</c:v>
                </c:pt>
                <c:pt idx="3">
                  <c:v>20.009999999999991</c:v>
                </c:pt>
                <c:pt idx="4">
                  <c:v>17.78</c:v>
                </c:pt>
                <c:pt idx="5">
                  <c:v>16.72</c:v>
                </c:pt>
              </c:numCache>
            </c:numRef>
          </c:val>
          <c:extLst xmlns:c16r2="http://schemas.microsoft.com/office/drawing/2015/06/chart">
            <c:ext xmlns:c16="http://schemas.microsoft.com/office/drawing/2014/chart" uri="{C3380CC4-5D6E-409C-BE32-E72D297353CC}">
              <c16:uniqueId val="{00000003-A208-417B-80F5-0E970699C0C2}"/>
            </c:ext>
          </c:extLst>
        </c:ser>
        <c:dLbls>
          <c:showLegendKey val="0"/>
          <c:showVal val="0"/>
          <c:showCatName val="0"/>
          <c:showSerName val="0"/>
          <c:showPercent val="0"/>
          <c:showBubbleSize val="0"/>
        </c:dLbls>
        <c:gapWidth val="80"/>
        <c:gapDepth val="80"/>
        <c:shape val="box"/>
        <c:axId val="-743126096"/>
        <c:axId val="-486436720"/>
        <c:axId val="-492874704"/>
      </c:bar3DChart>
      <c:catAx>
        <c:axId val="-743126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6436720"/>
        <c:crosses val="autoZero"/>
        <c:auto val="1"/>
        <c:lblAlgn val="ctr"/>
        <c:lblOffset val="100"/>
        <c:noMultiLvlLbl val="0"/>
      </c:catAx>
      <c:valAx>
        <c:axId val="-486436720"/>
        <c:scaling>
          <c:orientation val="minMax"/>
          <c:max val="23"/>
          <c:min val="13"/>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43126096"/>
        <c:crosses val="autoZero"/>
        <c:crossBetween val="between"/>
        <c:majorUnit val="1"/>
      </c:valAx>
      <c:serAx>
        <c:axId val="-49287470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6436720"/>
        <c:crosses val="autoZero"/>
      </c:ser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153662610355523"/>
          <c:y val="8.7294604606055759E-2"/>
          <c:w val="0.72290781834088924"/>
          <c:h val="0.87879922115966225"/>
        </c:manualLayout>
      </c:layout>
      <c:lineChart>
        <c:grouping val="standard"/>
        <c:varyColors val="0"/>
        <c:ser>
          <c:idx val="0"/>
          <c:order val="0"/>
          <c:tx>
            <c:strRef>
              <c:f>'incentive scenarios '!$AS$4</c:f>
              <c:strCache>
                <c:ptCount val="1"/>
                <c:pt idx="0">
                  <c:v>Atlantic</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cat>
            <c:numRef>
              <c:f>'incentive scenarios '!$AR$5:$AR$8</c:f>
              <c:numCache>
                <c:formatCode>@</c:formatCode>
                <c:ptCount val="4"/>
                <c:pt idx="0">
                  <c:v>0</c:v>
                </c:pt>
                <c:pt idx="1">
                  <c:v>5000</c:v>
                </c:pt>
                <c:pt idx="2">
                  <c:v>10000</c:v>
                </c:pt>
                <c:pt idx="3">
                  <c:v>15000</c:v>
                </c:pt>
              </c:numCache>
            </c:numRef>
          </c:cat>
          <c:val>
            <c:numRef>
              <c:f>'incentive scenarios '!$AS$5:$AS$8</c:f>
              <c:numCache>
                <c:formatCode>0%</c:formatCode>
                <c:ptCount val="4"/>
                <c:pt idx="0">
                  <c:v>3.4217608612072299E-2</c:v>
                </c:pt>
                <c:pt idx="1">
                  <c:v>6.6512879661668606E-2</c:v>
                </c:pt>
                <c:pt idx="2">
                  <c:v>0.12533640907343299</c:v>
                </c:pt>
                <c:pt idx="3">
                  <c:v>0.163014225297962</c:v>
                </c:pt>
              </c:numCache>
            </c:numRef>
          </c:val>
          <c:smooth val="0"/>
          <c:extLst xmlns:c16r2="http://schemas.microsoft.com/office/drawing/2015/06/chart">
            <c:ext xmlns:c16="http://schemas.microsoft.com/office/drawing/2014/chart" uri="{C3380CC4-5D6E-409C-BE32-E72D297353CC}">
              <c16:uniqueId val="{00000000-2C17-4626-89ED-D3B943330E84}"/>
            </c:ext>
          </c:extLst>
        </c:ser>
        <c:ser>
          <c:idx val="1"/>
          <c:order val="1"/>
          <c:tx>
            <c:strRef>
              <c:f>'incentive scenarios '!$AT$4</c:f>
              <c:strCache>
                <c:ptCount val="1"/>
                <c:pt idx="0">
                  <c:v>QC</c:v>
                </c:pt>
              </c:strCache>
            </c:strRef>
          </c:tx>
          <c:spPr>
            <a:ln w="19050" cap="rnd">
              <a:solidFill>
                <a:schemeClr val="accent2"/>
              </a:solidFill>
              <a:round/>
            </a:ln>
            <a:effectLst/>
          </c:spPr>
          <c:marker>
            <c:symbol val="circle"/>
            <c:size val="5"/>
            <c:spPr>
              <a:solidFill>
                <a:schemeClr val="accent2"/>
              </a:solidFill>
              <a:ln w="9525">
                <a:noFill/>
              </a:ln>
              <a:effectLst/>
            </c:spPr>
          </c:marker>
          <c:cat>
            <c:numRef>
              <c:f>'incentive scenarios '!$AR$5:$AR$8</c:f>
              <c:numCache>
                <c:formatCode>@</c:formatCode>
                <c:ptCount val="4"/>
                <c:pt idx="0">
                  <c:v>0</c:v>
                </c:pt>
                <c:pt idx="1">
                  <c:v>5000</c:v>
                </c:pt>
                <c:pt idx="2">
                  <c:v>10000</c:v>
                </c:pt>
                <c:pt idx="3">
                  <c:v>15000</c:v>
                </c:pt>
              </c:numCache>
            </c:numRef>
          </c:cat>
          <c:val>
            <c:numRef>
              <c:f>'incentive scenarios '!$AT$5:$AT$8</c:f>
              <c:numCache>
                <c:formatCode>0%</c:formatCode>
                <c:ptCount val="4"/>
                <c:pt idx="0">
                  <c:v>4.5843945357721697E-2</c:v>
                </c:pt>
                <c:pt idx="1">
                  <c:v>9.6781662421856901E-2</c:v>
                </c:pt>
                <c:pt idx="2">
                  <c:v>0.181523500810373</c:v>
                </c:pt>
                <c:pt idx="3">
                  <c:v>0.24982634869182699</c:v>
                </c:pt>
              </c:numCache>
            </c:numRef>
          </c:val>
          <c:smooth val="0"/>
          <c:extLst xmlns:c16r2="http://schemas.microsoft.com/office/drawing/2015/06/chart">
            <c:ext xmlns:c16="http://schemas.microsoft.com/office/drawing/2014/chart" uri="{C3380CC4-5D6E-409C-BE32-E72D297353CC}">
              <c16:uniqueId val="{00000001-2C17-4626-89ED-D3B943330E84}"/>
            </c:ext>
          </c:extLst>
        </c:ser>
        <c:ser>
          <c:idx val="2"/>
          <c:order val="2"/>
          <c:tx>
            <c:strRef>
              <c:f>'incentive scenarios '!$AU$4</c:f>
              <c:strCache>
                <c:ptCount val="1"/>
                <c:pt idx="0">
                  <c:v>ON</c:v>
                </c:pt>
              </c:strCache>
            </c:strRef>
          </c:tx>
          <c:spPr>
            <a:ln w="19050" cap="rnd">
              <a:solidFill>
                <a:srgbClr val="7030A0"/>
              </a:solidFill>
              <a:round/>
            </a:ln>
            <a:effectLst/>
          </c:spPr>
          <c:marker>
            <c:symbol val="circle"/>
            <c:size val="5"/>
            <c:spPr>
              <a:solidFill>
                <a:srgbClr val="7030A0"/>
              </a:solidFill>
              <a:ln w="9525">
                <a:solidFill>
                  <a:srgbClr val="7030A0"/>
                </a:solidFill>
              </a:ln>
              <a:effectLst/>
            </c:spPr>
          </c:marker>
          <c:cat>
            <c:numRef>
              <c:f>'incentive scenarios '!$AR$5:$AR$8</c:f>
              <c:numCache>
                <c:formatCode>@</c:formatCode>
                <c:ptCount val="4"/>
                <c:pt idx="0">
                  <c:v>0</c:v>
                </c:pt>
                <c:pt idx="1">
                  <c:v>5000</c:v>
                </c:pt>
                <c:pt idx="2">
                  <c:v>10000</c:v>
                </c:pt>
                <c:pt idx="3">
                  <c:v>15000</c:v>
                </c:pt>
              </c:numCache>
            </c:numRef>
          </c:cat>
          <c:val>
            <c:numRef>
              <c:f>'incentive scenarios '!$AU$5:$AU$8</c:f>
              <c:numCache>
                <c:formatCode>0%</c:formatCode>
                <c:ptCount val="4"/>
                <c:pt idx="0">
                  <c:v>3.3931082981715897E-2</c:v>
                </c:pt>
                <c:pt idx="1">
                  <c:v>6.2763713080168801E-2</c:v>
                </c:pt>
                <c:pt idx="2">
                  <c:v>0.114099859353024</c:v>
                </c:pt>
                <c:pt idx="3">
                  <c:v>0.15611814345991601</c:v>
                </c:pt>
              </c:numCache>
            </c:numRef>
          </c:val>
          <c:smooth val="0"/>
          <c:extLst xmlns:c16r2="http://schemas.microsoft.com/office/drawing/2015/06/chart">
            <c:ext xmlns:c16="http://schemas.microsoft.com/office/drawing/2014/chart" uri="{C3380CC4-5D6E-409C-BE32-E72D297353CC}">
              <c16:uniqueId val="{00000002-2C17-4626-89ED-D3B943330E84}"/>
            </c:ext>
          </c:extLst>
        </c:ser>
        <c:ser>
          <c:idx val="3"/>
          <c:order val="3"/>
          <c:tx>
            <c:strRef>
              <c:f>'incentive scenarios '!$AV$4</c:f>
              <c:strCache>
                <c:ptCount val="1"/>
                <c:pt idx="0">
                  <c:v>Prairies</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cat>
            <c:numRef>
              <c:f>'incentive scenarios '!$AR$5:$AR$8</c:f>
              <c:numCache>
                <c:formatCode>@</c:formatCode>
                <c:ptCount val="4"/>
                <c:pt idx="0">
                  <c:v>0</c:v>
                </c:pt>
                <c:pt idx="1">
                  <c:v>5000</c:v>
                </c:pt>
                <c:pt idx="2">
                  <c:v>10000</c:v>
                </c:pt>
                <c:pt idx="3">
                  <c:v>15000</c:v>
                </c:pt>
              </c:numCache>
            </c:numRef>
          </c:cat>
          <c:val>
            <c:numRef>
              <c:f>'incentive scenarios '!$AV$5:$AV$8</c:f>
              <c:numCache>
                <c:formatCode>0%</c:formatCode>
                <c:ptCount val="4"/>
                <c:pt idx="0">
                  <c:v>2.22598596661021E-2</c:v>
                </c:pt>
                <c:pt idx="1">
                  <c:v>5.0568594241471101E-2</c:v>
                </c:pt>
                <c:pt idx="2">
                  <c:v>9.6298088555528696E-2</c:v>
                </c:pt>
                <c:pt idx="3">
                  <c:v>0.136704572949431</c:v>
                </c:pt>
              </c:numCache>
            </c:numRef>
          </c:val>
          <c:smooth val="0"/>
          <c:extLst xmlns:c16r2="http://schemas.microsoft.com/office/drawing/2015/06/chart">
            <c:ext xmlns:c16="http://schemas.microsoft.com/office/drawing/2014/chart" uri="{C3380CC4-5D6E-409C-BE32-E72D297353CC}">
              <c16:uniqueId val="{00000003-2C17-4626-89ED-D3B943330E84}"/>
            </c:ext>
          </c:extLst>
        </c:ser>
        <c:ser>
          <c:idx val="4"/>
          <c:order val="4"/>
          <c:tx>
            <c:strRef>
              <c:f>'incentive scenarios '!$AW$4</c:f>
              <c:strCache>
                <c:ptCount val="1"/>
                <c:pt idx="0">
                  <c:v>BC</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cat>
            <c:numRef>
              <c:f>'incentive scenarios '!$AR$5:$AR$8</c:f>
              <c:numCache>
                <c:formatCode>@</c:formatCode>
                <c:ptCount val="4"/>
                <c:pt idx="0">
                  <c:v>0</c:v>
                </c:pt>
                <c:pt idx="1">
                  <c:v>5000</c:v>
                </c:pt>
                <c:pt idx="2">
                  <c:v>10000</c:v>
                </c:pt>
                <c:pt idx="3">
                  <c:v>15000</c:v>
                </c:pt>
              </c:numCache>
            </c:numRef>
          </c:cat>
          <c:val>
            <c:numRef>
              <c:f>'incentive scenarios '!$AW$5:$AW$8</c:f>
              <c:numCache>
                <c:formatCode>0%</c:formatCode>
                <c:ptCount val="4"/>
                <c:pt idx="0">
                  <c:v>3.03438975050573E-2</c:v>
                </c:pt>
                <c:pt idx="1">
                  <c:v>6.5745111260957501E-2</c:v>
                </c:pt>
                <c:pt idx="2">
                  <c:v>0.133850303438975</c:v>
                </c:pt>
                <c:pt idx="3">
                  <c:v>0.18779501011463301</c:v>
                </c:pt>
              </c:numCache>
            </c:numRef>
          </c:val>
          <c:smooth val="0"/>
          <c:extLst xmlns:c16r2="http://schemas.microsoft.com/office/drawing/2015/06/chart">
            <c:ext xmlns:c16="http://schemas.microsoft.com/office/drawing/2014/chart" uri="{C3380CC4-5D6E-409C-BE32-E72D297353CC}">
              <c16:uniqueId val="{00000004-2C17-4626-89ED-D3B943330E84}"/>
            </c:ext>
          </c:extLst>
        </c:ser>
        <c:dLbls>
          <c:showLegendKey val="0"/>
          <c:showVal val="0"/>
          <c:showCatName val="0"/>
          <c:showSerName val="0"/>
          <c:showPercent val="0"/>
          <c:showBubbleSize val="0"/>
        </c:dLbls>
        <c:marker val="1"/>
        <c:smooth val="0"/>
        <c:axId val="-486436176"/>
        <c:axId val="-648906608"/>
      </c:lineChart>
      <c:catAx>
        <c:axId val="-48643617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648906608"/>
        <c:crosses val="autoZero"/>
        <c:auto val="1"/>
        <c:lblAlgn val="ctr"/>
        <c:lblOffset val="100"/>
        <c:noMultiLvlLbl val="0"/>
      </c:catAx>
      <c:valAx>
        <c:axId val="-648906608"/>
        <c:scaling>
          <c:orientation val="minMax"/>
          <c:max val="0.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prstClr val="black">
                        <a:lumMod val="65000"/>
                        <a:lumOff val="35000"/>
                      </a:prstClr>
                    </a:solidFill>
                    <a:latin typeface="+mn-lt"/>
                    <a:ea typeface="+mn-ea"/>
                    <a:cs typeface="+mn-cs"/>
                  </a:defRPr>
                </a:pPr>
                <a:r>
                  <a:rPr lang="en-CA" sz="800" b="0" i="0" baseline="0" dirty="0" smtClean="0">
                    <a:effectLst/>
                  </a:rPr>
                  <a:t>% BEV-Suited </a:t>
                </a:r>
                <a:endParaRPr lang="en-CA" sz="800" dirty="0" smtClean="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800">
                    <a:solidFill>
                      <a:prstClr val="black">
                        <a:lumMod val="65000"/>
                        <a:lumOff val="35000"/>
                      </a:prstClr>
                    </a:solidFill>
                  </a:defRPr>
                </a:pPr>
                <a:r>
                  <a:rPr lang="en-CA" sz="800" b="0" i="0" baseline="0" dirty="0" smtClean="0">
                    <a:effectLst/>
                  </a:rPr>
                  <a:t>Economy/Intermediate</a:t>
                </a:r>
                <a:endParaRPr lang="en-CA" sz="800" dirty="0">
                  <a:effectLst/>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prstClr val="black">
                      <a:lumMod val="65000"/>
                      <a:lumOff val="35000"/>
                    </a:prst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86436176"/>
        <c:crosses val="autoZero"/>
        <c:crossBetween val="midCat"/>
        <c:majorUnit val="0.1"/>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44879061569088"/>
          <c:y val="7.6938497667061734E-2"/>
          <c:w val="0.79175162799657395"/>
          <c:h val="0.83213418690822893"/>
        </c:manualLayout>
      </c:layout>
      <c:lineChart>
        <c:grouping val="standard"/>
        <c:varyColors val="0"/>
        <c:ser>
          <c:idx val="0"/>
          <c:order val="0"/>
          <c:tx>
            <c:strRef>
              <c:f>'future scenarios'!$AO$3</c:f>
              <c:strCache>
                <c:ptCount val="1"/>
                <c:pt idx="0">
                  <c:v>Atlantic</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cat>
            <c:strRef>
              <c:f>'future scenarios'!$AN$4:$AN$7</c:f>
              <c:strCache>
                <c:ptCount val="4"/>
                <c:pt idx="0">
                  <c:v>Present</c:v>
                </c:pt>
                <c:pt idx="1">
                  <c:v>2020</c:v>
                </c:pt>
                <c:pt idx="2">
                  <c:v>2025</c:v>
                </c:pt>
                <c:pt idx="3">
                  <c:v>2030</c:v>
                </c:pt>
              </c:strCache>
            </c:strRef>
          </c:cat>
          <c:val>
            <c:numRef>
              <c:f>'future scenarios'!$AO$4:$AO$7</c:f>
              <c:numCache>
                <c:formatCode>0%</c:formatCode>
                <c:ptCount val="4"/>
                <c:pt idx="0">
                  <c:v>3.4217608612072299E-2</c:v>
                </c:pt>
                <c:pt idx="1">
                  <c:v>4.1138023836985803E-2</c:v>
                </c:pt>
                <c:pt idx="2">
                  <c:v>0.104190695886198</c:v>
                </c:pt>
                <c:pt idx="3">
                  <c:v>0.136870434448289</c:v>
                </c:pt>
              </c:numCache>
            </c:numRef>
          </c:val>
          <c:smooth val="0"/>
          <c:extLst xmlns:c16r2="http://schemas.microsoft.com/office/drawing/2015/06/chart">
            <c:ext xmlns:c16="http://schemas.microsoft.com/office/drawing/2014/chart" uri="{C3380CC4-5D6E-409C-BE32-E72D297353CC}">
              <c16:uniqueId val="{00000000-FDC5-4D86-9666-2AF26E87284D}"/>
            </c:ext>
          </c:extLst>
        </c:ser>
        <c:ser>
          <c:idx val="1"/>
          <c:order val="1"/>
          <c:tx>
            <c:strRef>
              <c:f>'future scenarios'!$AP$3</c:f>
              <c:strCache>
                <c:ptCount val="1"/>
                <c:pt idx="0">
                  <c:v>QC</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cat>
            <c:strRef>
              <c:f>'future scenarios'!$AN$4:$AN$7</c:f>
              <c:strCache>
                <c:ptCount val="4"/>
                <c:pt idx="0">
                  <c:v>Present</c:v>
                </c:pt>
                <c:pt idx="1">
                  <c:v>2020</c:v>
                </c:pt>
                <c:pt idx="2">
                  <c:v>2025</c:v>
                </c:pt>
                <c:pt idx="3">
                  <c:v>2030</c:v>
                </c:pt>
              </c:strCache>
            </c:strRef>
          </c:cat>
          <c:val>
            <c:numRef>
              <c:f>'future scenarios'!$AP$4:$AP$7</c:f>
              <c:numCache>
                <c:formatCode>0%</c:formatCode>
                <c:ptCount val="4"/>
                <c:pt idx="0">
                  <c:v>4.5843945357721697E-2</c:v>
                </c:pt>
                <c:pt idx="1">
                  <c:v>5.7883769391062698E-2</c:v>
                </c:pt>
                <c:pt idx="2">
                  <c:v>0.154202361657791</c:v>
                </c:pt>
                <c:pt idx="3">
                  <c:v>0.20629775410974799</c:v>
                </c:pt>
              </c:numCache>
            </c:numRef>
          </c:val>
          <c:smooth val="0"/>
          <c:extLst xmlns:c16r2="http://schemas.microsoft.com/office/drawing/2015/06/chart">
            <c:ext xmlns:c16="http://schemas.microsoft.com/office/drawing/2014/chart" uri="{C3380CC4-5D6E-409C-BE32-E72D297353CC}">
              <c16:uniqueId val="{00000001-FDC5-4D86-9666-2AF26E87284D}"/>
            </c:ext>
          </c:extLst>
        </c:ser>
        <c:ser>
          <c:idx val="2"/>
          <c:order val="2"/>
          <c:tx>
            <c:strRef>
              <c:f>'future scenarios'!$AQ$3</c:f>
              <c:strCache>
                <c:ptCount val="1"/>
                <c:pt idx="0">
                  <c:v>ON</c:v>
                </c:pt>
              </c:strCache>
            </c:strRef>
          </c:tx>
          <c:spPr>
            <a:ln w="19050" cap="rnd">
              <a:solidFill>
                <a:srgbClr val="7030A0"/>
              </a:solidFill>
              <a:round/>
            </a:ln>
            <a:effectLst/>
          </c:spPr>
          <c:marker>
            <c:symbol val="circle"/>
            <c:size val="5"/>
            <c:spPr>
              <a:solidFill>
                <a:srgbClr val="7030A0"/>
              </a:solidFill>
              <a:ln w="9525">
                <a:solidFill>
                  <a:srgbClr val="7030A0"/>
                </a:solidFill>
              </a:ln>
              <a:effectLst/>
            </c:spPr>
          </c:marker>
          <c:cat>
            <c:strRef>
              <c:f>'future scenarios'!$AN$4:$AN$7</c:f>
              <c:strCache>
                <c:ptCount val="4"/>
                <c:pt idx="0">
                  <c:v>Present</c:v>
                </c:pt>
                <c:pt idx="1">
                  <c:v>2020</c:v>
                </c:pt>
                <c:pt idx="2">
                  <c:v>2025</c:v>
                </c:pt>
                <c:pt idx="3">
                  <c:v>2030</c:v>
                </c:pt>
              </c:strCache>
            </c:strRef>
          </c:cat>
          <c:val>
            <c:numRef>
              <c:f>'future scenarios'!$AQ$4:$AQ$7</c:f>
              <c:numCache>
                <c:formatCode>0%</c:formatCode>
                <c:ptCount val="4"/>
                <c:pt idx="0">
                  <c:v>3.3931082981715897E-2</c:v>
                </c:pt>
                <c:pt idx="1">
                  <c:v>4.3248945147679303E-2</c:v>
                </c:pt>
                <c:pt idx="2">
                  <c:v>0.100386779184248</c:v>
                </c:pt>
                <c:pt idx="3">
                  <c:v>0.13062587904360101</c:v>
                </c:pt>
              </c:numCache>
            </c:numRef>
          </c:val>
          <c:smooth val="0"/>
          <c:extLst xmlns:c16r2="http://schemas.microsoft.com/office/drawing/2015/06/chart">
            <c:ext xmlns:c16="http://schemas.microsoft.com/office/drawing/2014/chart" uri="{C3380CC4-5D6E-409C-BE32-E72D297353CC}">
              <c16:uniqueId val="{00000002-FDC5-4D86-9666-2AF26E87284D}"/>
            </c:ext>
          </c:extLst>
        </c:ser>
        <c:ser>
          <c:idx val="3"/>
          <c:order val="3"/>
          <c:tx>
            <c:strRef>
              <c:f>'future scenarios'!$AR$3</c:f>
              <c:strCache>
                <c:ptCount val="1"/>
                <c:pt idx="0">
                  <c:v>Prairies</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cat>
            <c:strRef>
              <c:f>'future scenarios'!$AN$4:$AN$7</c:f>
              <c:strCache>
                <c:ptCount val="4"/>
                <c:pt idx="0">
                  <c:v>Present</c:v>
                </c:pt>
                <c:pt idx="1">
                  <c:v>2020</c:v>
                </c:pt>
                <c:pt idx="2">
                  <c:v>2025</c:v>
                </c:pt>
                <c:pt idx="3">
                  <c:v>2030</c:v>
                </c:pt>
              </c:strCache>
            </c:strRef>
          </c:cat>
          <c:val>
            <c:numRef>
              <c:f>'future scenarios'!$AR$4:$AR$7</c:f>
              <c:numCache>
                <c:formatCode>0%</c:formatCode>
                <c:ptCount val="4"/>
                <c:pt idx="0">
                  <c:v>2.22598596661021E-2</c:v>
                </c:pt>
                <c:pt idx="1">
                  <c:v>3.4115654488265201E-2</c:v>
                </c:pt>
                <c:pt idx="2">
                  <c:v>8.3716428744253599E-2</c:v>
                </c:pt>
                <c:pt idx="3">
                  <c:v>0.118074038228889</c:v>
                </c:pt>
              </c:numCache>
            </c:numRef>
          </c:val>
          <c:smooth val="0"/>
          <c:extLst xmlns:c16r2="http://schemas.microsoft.com/office/drawing/2015/06/chart">
            <c:ext xmlns:c16="http://schemas.microsoft.com/office/drawing/2014/chart" uri="{C3380CC4-5D6E-409C-BE32-E72D297353CC}">
              <c16:uniqueId val="{00000003-FDC5-4D86-9666-2AF26E87284D}"/>
            </c:ext>
          </c:extLst>
        </c:ser>
        <c:ser>
          <c:idx val="4"/>
          <c:order val="4"/>
          <c:tx>
            <c:strRef>
              <c:f>'future scenarios'!$AS$3</c:f>
              <c:strCache>
                <c:ptCount val="1"/>
                <c:pt idx="0">
                  <c:v>BC</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cat>
            <c:strRef>
              <c:f>'future scenarios'!$AN$4:$AN$7</c:f>
              <c:strCache>
                <c:ptCount val="4"/>
                <c:pt idx="0">
                  <c:v>Present</c:v>
                </c:pt>
                <c:pt idx="1">
                  <c:v>2020</c:v>
                </c:pt>
                <c:pt idx="2">
                  <c:v>2025</c:v>
                </c:pt>
                <c:pt idx="3">
                  <c:v>2030</c:v>
                </c:pt>
              </c:strCache>
            </c:strRef>
          </c:cat>
          <c:val>
            <c:numRef>
              <c:f>'future scenarios'!$AS$4:$AS$7</c:f>
              <c:numCache>
                <c:formatCode>0%</c:formatCode>
                <c:ptCount val="4"/>
                <c:pt idx="0">
                  <c:v>3.03438975050573E-2</c:v>
                </c:pt>
                <c:pt idx="1">
                  <c:v>4.6527309507754501E-2</c:v>
                </c:pt>
                <c:pt idx="2">
                  <c:v>0.118678354686446</c:v>
                </c:pt>
                <c:pt idx="3">
                  <c:v>0.16048550236008099</c:v>
                </c:pt>
              </c:numCache>
            </c:numRef>
          </c:val>
          <c:smooth val="0"/>
          <c:extLst xmlns:c16r2="http://schemas.microsoft.com/office/drawing/2015/06/chart">
            <c:ext xmlns:c16="http://schemas.microsoft.com/office/drawing/2014/chart" uri="{C3380CC4-5D6E-409C-BE32-E72D297353CC}">
              <c16:uniqueId val="{00000004-FDC5-4D86-9666-2AF26E87284D}"/>
            </c:ext>
          </c:extLst>
        </c:ser>
        <c:dLbls>
          <c:showLegendKey val="0"/>
          <c:showVal val="0"/>
          <c:showCatName val="0"/>
          <c:showSerName val="0"/>
          <c:showPercent val="0"/>
          <c:showBubbleSize val="0"/>
        </c:dLbls>
        <c:marker val="1"/>
        <c:smooth val="0"/>
        <c:axId val="-648903888"/>
        <c:axId val="-648907696"/>
      </c:lineChart>
      <c:catAx>
        <c:axId val="-64890388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48907696"/>
        <c:crosses val="autoZero"/>
        <c:auto val="1"/>
        <c:lblAlgn val="ctr"/>
        <c:lblOffset val="100"/>
        <c:noMultiLvlLbl val="0"/>
      </c:catAx>
      <c:valAx>
        <c:axId val="-648907696"/>
        <c:scaling>
          <c:orientation val="minMax"/>
          <c:max val="0.3"/>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48903888"/>
        <c:crosses val="autoZero"/>
        <c:crossBetween val="midCat"/>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153662610355523"/>
          <c:y val="0.49125168236877526"/>
          <c:w val="0.72290781834088924"/>
          <c:h val="0.43472409152086133"/>
        </c:manualLayout>
      </c:layout>
      <c:lineChart>
        <c:grouping val="standard"/>
        <c:varyColors val="0"/>
        <c:ser>
          <c:idx val="0"/>
          <c:order val="0"/>
          <c:tx>
            <c:strRef>
              <c:f>'incentive scenarios '!$AS$13</c:f>
              <c:strCache>
                <c:ptCount val="1"/>
                <c:pt idx="0">
                  <c:v>Atlantic</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cat>
            <c:numRef>
              <c:f>'incentive scenarios '!$AR$14:$AR$17</c:f>
              <c:numCache>
                <c:formatCode>#,##0</c:formatCode>
                <c:ptCount val="4"/>
                <c:pt idx="0" formatCode="General">
                  <c:v>0</c:v>
                </c:pt>
                <c:pt idx="1">
                  <c:v>5000</c:v>
                </c:pt>
                <c:pt idx="2">
                  <c:v>10000</c:v>
                </c:pt>
                <c:pt idx="3">
                  <c:v>15000</c:v>
                </c:pt>
              </c:numCache>
            </c:numRef>
          </c:cat>
          <c:val>
            <c:numRef>
              <c:f>'incentive scenarios '!$AS$14:$AS$17</c:f>
              <c:numCache>
                <c:formatCode>0%</c:formatCode>
                <c:ptCount val="4"/>
                <c:pt idx="0">
                  <c:v>1.03806228373702E-2</c:v>
                </c:pt>
                <c:pt idx="1">
                  <c:v>1.03806228373702E-2</c:v>
                </c:pt>
                <c:pt idx="2">
                  <c:v>3.1910803537101101E-2</c:v>
                </c:pt>
                <c:pt idx="3">
                  <c:v>4.26758938869665E-2</c:v>
                </c:pt>
              </c:numCache>
            </c:numRef>
          </c:val>
          <c:smooth val="0"/>
          <c:extLst xmlns:c16r2="http://schemas.microsoft.com/office/drawing/2015/06/chart">
            <c:ext xmlns:c16="http://schemas.microsoft.com/office/drawing/2014/chart" uri="{C3380CC4-5D6E-409C-BE32-E72D297353CC}">
              <c16:uniqueId val="{00000000-2F52-4ABD-8A0C-5DE485DD92C6}"/>
            </c:ext>
          </c:extLst>
        </c:ser>
        <c:ser>
          <c:idx val="1"/>
          <c:order val="1"/>
          <c:tx>
            <c:strRef>
              <c:f>'incentive scenarios '!$AT$13</c:f>
              <c:strCache>
                <c:ptCount val="1"/>
                <c:pt idx="0">
                  <c:v>QC</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cat>
            <c:numRef>
              <c:f>'incentive scenarios '!$AR$14:$AR$17</c:f>
              <c:numCache>
                <c:formatCode>#,##0</c:formatCode>
                <c:ptCount val="4"/>
                <c:pt idx="0" formatCode="General">
                  <c:v>0</c:v>
                </c:pt>
                <c:pt idx="1">
                  <c:v>5000</c:v>
                </c:pt>
                <c:pt idx="2">
                  <c:v>10000</c:v>
                </c:pt>
                <c:pt idx="3">
                  <c:v>15000</c:v>
                </c:pt>
              </c:numCache>
            </c:numRef>
          </c:cat>
          <c:val>
            <c:numRef>
              <c:f>'incentive scenarios '!$AT$14:$AT$17</c:f>
              <c:numCache>
                <c:formatCode>0%</c:formatCode>
                <c:ptCount val="4"/>
                <c:pt idx="0">
                  <c:v>1.1113683723084E-2</c:v>
                </c:pt>
                <c:pt idx="1">
                  <c:v>1.1113683723084E-2</c:v>
                </c:pt>
                <c:pt idx="2">
                  <c:v>2.4079648066682099E-2</c:v>
                </c:pt>
                <c:pt idx="3">
                  <c:v>4.2370919194257901E-2</c:v>
                </c:pt>
              </c:numCache>
            </c:numRef>
          </c:val>
          <c:smooth val="0"/>
          <c:extLst xmlns:c16r2="http://schemas.microsoft.com/office/drawing/2015/06/chart">
            <c:ext xmlns:c16="http://schemas.microsoft.com/office/drawing/2014/chart" uri="{C3380CC4-5D6E-409C-BE32-E72D297353CC}">
              <c16:uniqueId val="{00000001-2F52-4ABD-8A0C-5DE485DD92C6}"/>
            </c:ext>
          </c:extLst>
        </c:ser>
        <c:ser>
          <c:idx val="2"/>
          <c:order val="2"/>
          <c:tx>
            <c:strRef>
              <c:f>'incentive scenarios '!$AU$13</c:f>
              <c:strCache>
                <c:ptCount val="1"/>
                <c:pt idx="0">
                  <c:v>ON</c:v>
                </c:pt>
              </c:strCache>
            </c:strRef>
          </c:tx>
          <c:spPr>
            <a:ln w="19050" cap="rnd">
              <a:solidFill>
                <a:srgbClr val="7030A0"/>
              </a:solidFill>
              <a:round/>
            </a:ln>
            <a:effectLst/>
          </c:spPr>
          <c:marker>
            <c:symbol val="circle"/>
            <c:size val="5"/>
            <c:spPr>
              <a:solidFill>
                <a:srgbClr val="7030A0"/>
              </a:solidFill>
              <a:ln w="9525">
                <a:solidFill>
                  <a:srgbClr val="7030A0"/>
                </a:solidFill>
              </a:ln>
              <a:effectLst/>
            </c:spPr>
          </c:marker>
          <c:cat>
            <c:numRef>
              <c:f>'incentive scenarios '!$AR$14:$AR$17</c:f>
              <c:numCache>
                <c:formatCode>#,##0</c:formatCode>
                <c:ptCount val="4"/>
                <c:pt idx="0" formatCode="General">
                  <c:v>0</c:v>
                </c:pt>
                <c:pt idx="1">
                  <c:v>5000</c:v>
                </c:pt>
                <c:pt idx="2">
                  <c:v>10000</c:v>
                </c:pt>
                <c:pt idx="3">
                  <c:v>15000</c:v>
                </c:pt>
              </c:numCache>
            </c:numRef>
          </c:cat>
          <c:val>
            <c:numRef>
              <c:f>'incentive scenarios '!$AU$14:$AU$17</c:f>
              <c:numCache>
                <c:formatCode>0%</c:formatCode>
                <c:ptCount val="4"/>
                <c:pt idx="0">
                  <c:v>1.4767932489451499E-2</c:v>
                </c:pt>
                <c:pt idx="1">
                  <c:v>1.4767932489451499E-2</c:v>
                </c:pt>
                <c:pt idx="2">
                  <c:v>3.4458509142053402E-2</c:v>
                </c:pt>
                <c:pt idx="3">
                  <c:v>6.4873417721519E-2</c:v>
                </c:pt>
              </c:numCache>
            </c:numRef>
          </c:val>
          <c:smooth val="0"/>
          <c:extLst xmlns:c16r2="http://schemas.microsoft.com/office/drawing/2015/06/chart">
            <c:ext xmlns:c16="http://schemas.microsoft.com/office/drawing/2014/chart" uri="{C3380CC4-5D6E-409C-BE32-E72D297353CC}">
              <c16:uniqueId val="{00000002-2F52-4ABD-8A0C-5DE485DD92C6}"/>
            </c:ext>
          </c:extLst>
        </c:ser>
        <c:ser>
          <c:idx val="3"/>
          <c:order val="3"/>
          <c:tx>
            <c:strRef>
              <c:f>'incentive scenarios '!$AV$13</c:f>
              <c:strCache>
                <c:ptCount val="1"/>
                <c:pt idx="0">
                  <c:v>Prairies</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cat>
            <c:numRef>
              <c:f>'incentive scenarios '!$AR$14:$AR$17</c:f>
              <c:numCache>
                <c:formatCode>#,##0</c:formatCode>
                <c:ptCount val="4"/>
                <c:pt idx="0" formatCode="General">
                  <c:v>0</c:v>
                </c:pt>
                <c:pt idx="1">
                  <c:v>5000</c:v>
                </c:pt>
                <c:pt idx="2">
                  <c:v>10000</c:v>
                </c:pt>
                <c:pt idx="3">
                  <c:v>15000</c:v>
                </c:pt>
              </c:numCache>
            </c:numRef>
          </c:cat>
          <c:val>
            <c:numRef>
              <c:f>'incentive scenarios '!$AV$14:$AV$17</c:f>
              <c:numCache>
                <c:formatCode>0%</c:formatCode>
                <c:ptCount val="4"/>
                <c:pt idx="0">
                  <c:v>1.08879748366804E-2</c:v>
                </c:pt>
                <c:pt idx="1">
                  <c:v>1.08879748366804E-2</c:v>
                </c:pt>
                <c:pt idx="2">
                  <c:v>1.9598354706024699E-2</c:v>
                </c:pt>
                <c:pt idx="3">
                  <c:v>3.8954754415678701E-2</c:v>
                </c:pt>
              </c:numCache>
            </c:numRef>
          </c:val>
          <c:smooth val="0"/>
          <c:extLst xmlns:c16r2="http://schemas.microsoft.com/office/drawing/2015/06/chart">
            <c:ext xmlns:c16="http://schemas.microsoft.com/office/drawing/2014/chart" uri="{C3380CC4-5D6E-409C-BE32-E72D297353CC}">
              <c16:uniqueId val="{00000003-2F52-4ABD-8A0C-5DE485DD92C6}"/>
            </c:ext>
          </c:extLst>
        </c:ser>
        <c:ser>
          <c:idx val="4"/>
          <c:order val="4"/>
          <c:tx>
            <c:strRef>
              <c:f>'incentive scenarios '!$AW$13</c:f>
              <c:strCache>
                <c:ptCount val="1"/>
                <c:pt idx="0">
                  <c:v>BC</c:v>
                </c:pt>
              </c:strCache>
            </c:strRef>
          </c:tx>
          <c:spPr>
            <a:ln w="19050" cap="rnd">
              <a:solidFill>
                <a:schemeClr val="accent6"/>
              </a:solidFill>
              <a:round/>
            </a:ln>
            <a:effectLst/>
          </c:spPr>
          <c:marker>
            <c:symbol val="circle"/>
            <c:size val="5"/>
            <c:spPr>
              <a:solidFill>
                <a:schemeClr val="accent6"/>
              </a:solidFill>
              <a:ln w="9525">
                <a:noFill/>
              </a:ln>
              <a:effectLst/>
            </c:spPr>
          </c:marker>
          <c:cat>
            <c:numRef>
              <c:f>'incentive scenarios '!$AR$14:$AR$17</c:f>
              <c:numCache>
                <c:formatCode>#,##0</c:formatCode>
                <c:ptCount val="4"/>
                <c:pt idx="0" formatCode="General">
                  <c:v>0</c:v>
                </c:pt>
                <c:pt idx="1">
                  <c:v>5000</c:v>
                </c:pt>
                <c:pt idx="2">
                  <c:v>10000</c:v>
                </c:pt>
                <c:pt idx="3">
                  <c:v>15000</c:v>
                </c:pt>
              </c:numCache>
            </c:numRef>
          </c:cat>
          <c:val>
            <c:numRef>
              <c:f>'incentive scenarios '!$AW$14:$AW$17</c:f>
              <c:numCache>
                <c:formatCode>0%</c:formatCode>
                <c:ptCount val="4"/>
                <c:pt idx="0">
                  <c:v>1.21375590020229E-2</c:v>
                </c:pt>
                <c:pt idx="1">
                  <c:v>1.21375590020229E-2</c:v>
                </c:pt>
                <c:pt idx="2">
                  <c:v>2.2252191503708701E-2</c:v>
                </c:pt>
                <c:pt idx="3">
                  <c:v>4.5515846257586E-2</c:v>
                </c:pt>
              </c:numCache>
            </c:numRef>
          </c:val>
          <c:smooth val="0"/>
          <c:extLst xmlns:c16r2="http://schemas.microsoft.com/office/drawing/2015/06/chart">
            <c:ext xmlns:c16="http://schemas.microsoft.com/office/drawing/2014/chart" uri="{C3380CC4-5D6E-409C-BE32-E72D297353CC}">
              <c16:uniqueId val="{00000004-2F52-4ABD-8A0C-5DE485DD92C6}"/>
            </c:ext>
          </c:extLst>
        </c:ser>
        <c:dLbls>
          <c:showLegendKey val="0"/>
          <c:showVal val="0"/>
          <c:showCatName val="0"/>
          <c:showSerName val="0"/>
          <c:showPercent val="0"/>
          <c:showBubbleSize val="0"/>
        </c:dLbls>
        <c:marker val="1"/>
        <c:smooth val="0"/>
        <c:axId val="-648905520"/>
        <c:axId val="-648901712"/>
      </c:lineChart>
      <c:catAx>
        <c:axId val="-64890552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48901712"/>
        <c:crosses val="autoZero"/>
        <c:auto val="1"/>
        <c:lblAlgn val="ctr"/>
        <c:lblOffset val="100"/>
        <c:noMultiLvlLbl val="0"/>
      </c:catAx>
      <c:valAx>
        <c:axId val="-648901712"/>
        <c:scaling>
          <c:orientation val="minMax"/>
          <c:max val="0.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prstClr val="black">
                        <a:lumMod val="65000"/>
                        <a:lumOff val="35000"/>
                      </a:prstClr>
                    </a:solidFill>
                    <a:latin typeface="+mn-lt"/>
                    <a:ea typeface="+mn-ea"/>
                    <a:cs typeface="+mn-cs"/>
                  </a:defRPr>
                </a:pPr>
                <a:r>
                  <a:rPr lang="en-CA" sz="800" b="0" i="0" baseline="0" dirty="0" smtClean="0">
                    <a:effectLst/>
                  </a:rPr>
                  <a:t>% BEV-Suited</a:t>
                </a:r>
                <a:endParaRPr lang="en-CA" sz="800" dirty="0" smtClean="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800">
                    <a:solidFill>
                      <a:prstClr val="black">
                        <a:lumMod val="65000"/>
                        <a:lumOff val="35000"/>
                      </a:prstClr>
                    </a:solidFill>
                  </a:defRPr>
                </a:pPr>
                <a:r>
                  <a:rPr lang="en-CA" sz="800" b="0" i="0" baseline="0" dirty="0" smtClean="0">
                    <a:effectLst/>
                  </a:rPr>
                  <a:t>Full/Luxury Sedan</a:t>
                </a:r>
                <a:endParaRPr lang="en-CA" sz="800" dirty="0">
                  <a:effectLst/>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prstClr val="black">
                      <a:lumMod val="65000"/>
                      <a:lumOff val="35000"/>
                    </a:prst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48905520"/>
        <c:crosses val="autoZero"/>
        <c:crossBetween val="midCat"/>
        <c:majorUnit val="0.0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731197632513005"/>
          <c:y val="5.3380443487699054E-2"/>
          <c:w val="0.65701068455596001"/>
          <c:h val="0.79095491191315859"/>
        </c:manualLayout>
      </c:layout>
      <c:lineChart>
        <c:grouping val="standard"/>
        <c:varyColors val="0"/>
        <c:ser>
          <c:idx val="0"/>
          <c:order val="0"/>
          <c:tx>
            <c:strRef>
              <c:f>'incentive scenarios '!$AS$22</c:f>
              <c:strCache>
                <c:ptCount val="1"/>
                <c:pt idx="0">
                  <c:v>Atlantic</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cat>
            <c:numRef>
              <c:f>'incentive scenarios '!$AR$23:$AR$26</c:f>
              <c:numCache>
                <c:formatCode>#,##0</c:formatCode>
                <c:ptCount val="4"/>
                <c:pt idx="0" formatCode="General">
                  <c:v>0</c:v>
                </c:pt>
                <c:pt idx="1">
                  <c:v>5000</c:v>
                </c:pt>
                <c:pt idx="2">
                  <c:v>10000</c:v>
                </c:pt>
                <c:pt idx="3">
                  <c:v>15000</c:v>
                </c:pt>
              </c:numCache>
            </c:numRef>
          </c:cat>
          <c:val>
            <c:numRef>
              <c:f>'incentive scenarios '!$AS$23:$AS$26</c:f>
              <c:numCache>
                <c:formatCode>0%</c:formatCode>
                <c:ptCount val="4"/>
                <c:pt idx="0">
                  <c:v>0.14263744713571699</c:v>
                </c:pt>
                <c:pt idx="1">
                  <c:v>0.25682429834678999</c:v>
                </c:pt>
                <c:pt idx="2">
                  <c:v>0.43983083429450198</c:v>
                </c:pt>
                <c:pt idx="3">
                  <c:v>0.46212995001922302</c:v>
                </c:pt>
              </c:numCache>
            </c:numRef>
          </c:val>
          <c:smooth val="0"/>
          <c:extLst xmlns:c16r2="http://schemas.microsoft.com/office/drawing/2015/06/chart">
            <c:ext xmlns:c16="http://schemas.microsoft.com/office/drawing/2014/chart" uri="{C3380CC4-5D6E-409C-BE32-E72D297353CC}">
              <c16:uniqueId val="{00000000-577E-4A6A-8435-9F8D14E6E475}"/>
            </c:ext>
          </c:extLst>
        </c:ser>
        <c:ser>
          <c:idx val="1"/>
          <c:order val="1"/>
          <c:tx>
            <c:strRef>
              <c:f>'incentive scenarios '!$AT$22</c:f>
              <c:strCache>
                <c:ptCount val="1"/>
                <c:pt idx="0">
                  <c:v>QC</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cat>
            <c:numRef>
              <c:f>'incentive scenarios '!$AR$23:$AR$26</c:f>
              <c:numCache>
                <c:formatCode>#,##0</c:formatCode>
                <c:ptCount val="4"/>
                <c:pt idx="0" formatCode="General">
                  <c:v>0</c:v>
                </c:pt>
                <c:pt idx="1">
                  <c:v>5000</c:v>
                </c:pt>
                <c:pt idx="2">
                  <c:v>10000</c:v>
                </c:pt>
                <c:pt idx="3">
                  <c:v>15000</c:v>
                </c:pt>
              </c:numCache>
            </c:numRef>
          </c:cat>
          <c:val>
            <c:numRef>
              <c:f>'incentive scenarios '!$AT$23:$AT$26</c:f>
              <c:numCache>
                <c:formatCode>0%</c:formatCode>
                <c:ptCount val="4"/>
                <c:pt idx="0">
                  <c:v>8.0805742069923595E-2</c:v>
                </c:pt>
                <c:pt idx="1">
                  <c:v>0.150497800416763</c:v>
                </c:pt>
                <c:pt idx="2">
                  <c:v>0.26973836536235202</c:v>
                </c:pt>
                <c:pt idx="3">
                  <c:v>0.28131511924056501</c:v>
                </c:pt>
              </c:numCache>
            </c:numRef>
          </c:val>
          <c:smooth val="0"/>
          <c:extLst xmlns:c16r2="http://schemas.microsoft.com/office/drawing/2015/06/chart">
            <c:ext xmlns:c16="http://schemas.microsoft.com/office/drawing/2014/chart" uri="{C3380CC4-5D6E-409C-BE32-E72D297353CC}">
              <c16:uniqueId val="{00000001-577E-4A6A-8435-9F8D14E6E475}"/>
            </c:ext>
          </c:extLst>
        </c:ser>
        <c:ser>
          <c:idx val="2"/>
          <c:order val="2"/>
          <c:tx>
            <c:strRef>
              <c:f>'incentive scenarios '!$AU$22</c:f>
              <c:strCache>
                <c:ptCount val="1"/>
                <c:pt idx="0">
                  <c:v>ON</c:v>
                </c:pt>
              </c:strCache>
            </c:strRef>
          </c:tx>
          <c:spPr>
            <a:ln w="19050" cap="rnd">
              <a:solidFill>
                <a:srgbClr val="7030A0"/>
              </a:solidFill>
              <a:round/>
            </a:ln>
            <a:effectLst/>
          </c:spPr>
          <c:marker>
            <c:symbol val="circle"/>
            <c:size val="5"/>
            <c:spPr>
              <a:solidFill>
                <a:srgbClr val="7030A0"/>
              </a:solidFill>
              <a:ln w="9525">
                <a:solidFill>
                  <a:srgbClr val="7030A0"/>
                </a:solidFill>
              </a:ln>
              <a:effectLst/>
            </c:spPr>
          </c:marker>
          <c:cat>
            <c:numRef>
              <c:f>'incentive scenarios '!$AR$23:$AR$26</c:f>
              <c:numCache>
                <c:formatCode>#,##0</c:formatCode>
                <c:ptCount val="4"/>
                <c:pt idx="0" formatCode="General">
                  <c:v>0</c:v>
                </c:pt>
                <c:pt idx="1">
                  <c:v>5000</c:v>
                </c:pt>
                <c:pt idx="2">
                  <c:v>10000</c:v>
                </c:pt>
                <c:pt idx="3">
                  <c:v>15000</c:v>
                </c:pt>
              </c:numCache>
            </c:numRef>
          </c:cat>
          <c:val>
            <c:numRef>
              <c:f>'incentive scenarios '!$AU$23:$AU$26</c:f>
              <c:numCache>
                <c:formatCode>0%</c:formatCode>
                <c:ptCount val="4"/>
                <c:pt idx="0">
                  <c:v>0.142580872011252</c:v>
                </c:pt>
                <c:pt idx="1">
                  <c:v>0.23980309423347401</c:v>
                </c:pt>
                <c:pt idx="2">
                  <c:v>0.387658227848101</c:v>
                </c:pt>
                <c:pt idx="3">
                  <c:v>0.41016174402250299</c:v>
                </c:pt>
              </c:numCache>
            </c:numRef>
          </c:val>
          <c:smooth val="0"/>
          <c:extLst xmlns:c16r2="http://schemas.microsoft.com/office/drawing/2015/06/chart">
            <c:ext xmlns:c16="http://schemas.microsoft.com/office/drawing/2014/chart" uri="{C3380CC4-5D6E-409C-BE32-E72D297353CC}">
              <c16:uniqueId val="{00000002-577E-4A6A-8435-9F8D14E6E475}"/>
            </c:ext>
          </c:extLst>
        </c:ser>
        <c:ser>
          <c:idx val="3"/>
          <c:order val="3"/>
          <c:tx>
            <c:strRef>
              <c:f>'incentive scenarios '!$AV$22</c:f>
              <c:strCache>
                <c:ptCount val="1"/>
                <c:pt idx="0">
                  <c:v>Prairies</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cat>
            <c:numRef>
              <c:f>'incentive scenarios '!$AR$23:$AR$26</c:f>
              <c:numCache>
                <c:formatCode>#,##0</c:formatCode>
                <c:ptCount val="4"/>
                <c:pt idx="0" formatCode="General">
                  <c:v>0</c:v>
                </c:pt>
                <c:pt idx="1">
                  <c:v>5000</c:v>
                </c:pt>
                <c:pt idx="2">
                  <c:v>10000</c:v>
                </c:pt>
                <c:pt idx="3">
                  <c:v>15000</c:v>
                </c:pt>
              </c:numCache>
            </c:numRef>
          </c:cat>
          <c:val>
            <c:numRef>
              <c:f>'incentive scenarios '!$AV$23:$AV$26</c:f>
              <c:numCache>
                <c:formatCode>0%</c:formatCode>
                <c:ptCount val="4"/>
                <c:pt idx="0">
                  <c:v>0.18582143721267799</c:v>
                </c:pt>
                <c:pt idx="1">
                  <c:v>0.30825066537624002</c:v>
                </c:pt>
                <c:pt idx="2">
                  <c:v>0.51488023227679702</c:v>
                </c:pt>
                <c:pt idx="3">
                  <c:v>0.54246310186305302</c:v>
                </c:pt>
              </c:numCache>
            </c:numRef>
          </c:val>
          <c:smooth val="0"/>
          <c:extLst xmlns:c16r2="http://schemas.microsoft.com/office/drawing/2015/06/chart">
            <c:ext xmlns:c16="http://schemas.microsoft.com/office/drawing/2014/chart" uri="{C3380CC4-5D6E-409C-BE32-E72D297353CC}">
              <c16:uniqueId val="{00000003-577E-4A6A-8435-9F8D14E6E475}"/>
            </c:ext>
          </c:extLst>
        </c:ser>
        <c:ser>
          <c:idx val="4"/>
          <c:order val="4"/>
          <c:tx>
            <c:strRef>
              <c:f>'incentive scenarios '!$AW$22</c:f>
              <c:strCache>
                <c:ptCount val="1"/>
                <c:pt idx="0">
                  <c:v>BC</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cat>
            <c:numRef>
              <c:f>'incentive scenarios '!$AR$23:$AR$26</c:f>
              <c:numCache>
                <c:formatCode>#,##0</c:formatCode>
                <c:ptCount val="4"/>
                <c:pt idx="0" formatCode="General">
                  <c:v>0</c:v>
                </c:pt>
                <c:pt idx="1">
                  <c:v>5000</c:v>
                </c:pt>
                <c:pt idx="2">
                  <c:v>10000</c:v>
                </c:pt>
                <c:pt idx="3">
                  <c:v>15000</c:v>
                </c:pt>
              </c:numCache>
            </c:numRef>
          </c:cat>
          <c:val>
            <c:numRef>
              <c:f>'incentive scenarios '!$AW$23:$AW$26</c:f>
              <c:numCache>
                <c:formatCode>0%</c:formatCode>
                <c:ptCount val="4"/>
                <c:pt idx="0">
                  <c:v>0.12778152393796399</c:v>
                </c:pt>
                <c:pt idx="1">
                  <c:v>0.23533378287255599</c:v>
                </c:pt>
                <c:pt idx="2">
                  <c:v>0.40020229265003399</c:v>
                </c:pt>
                <c:pt idx="3">
                  <c:v>0.42178017532029699</c:v>
                </c:pt>
              </c:numCache>
            </c:numRef>
          </c:val>
          <c:smooth val="0"/>
          <c:extLst xmlns:c16r2="http://schemas.microsoft.com/office/drawing/2015/06/chart">
            <c:ext xmlns:c16="http://schemas.microsoft.com/office/drawing/2014/chart" uri="{C3380CC4-5D6E-409C-BE32-E72D297353CC}">
              <c16:uniqueId val="{00000004-577E-4A6A-8435-9F8D14E6E475}"/>
            </c:ext>
          </c:extLst>
        </c:ser>
        <c:dLbls>
          <c:showLegendKey val="0"/>
          <c:showVal val="0"/>
          <c:showCatName val="0"/>
          <c:showSerName val="0"/>
          <c:showPercent val="0"/>
          <c:showBubbleSize val="0"/>
        </c:dLbls>
        <c:marker val="1"/>
        <c:smooth val="0"/>
        <c:axId val="-648900624"/>
        <c:axId val="-648903344"/>
      </c:lineChart>
      <c:catAx>
        <c:axId val="-6489006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CA" sz="800" b="0" i="0" baseline="0">
                    <a:effectLst/>
                  </a:rPr>
                  <a:t>Incentive ($)</a:t>
                </a:r>
                <a:endParaRPr lang="en-CA" sz="800">
                  <a:effectLst/>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48903344"/>
        <c:crosses val="autoZero"/>
        <c:auto val="1"/>
        <c:lblAlgn val="ctr"/>
        <c:lblOffset val="100"/>
        <c:noMultiLvlLbl val="0"/>
      </c:catAx>
      <c:valAx>
        <c:axId val="-648903344"/>
        <c:scaling>
          <c:orientation val="minMax"/>
          <c:max val="0.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prstClr val="black">
                        <a:lumMod val="65000"/>
                        <a:lumOff val="35000"/>
                      </a:prstClr>
                    </a:solidFill>
                    <a:latin typeface="+mn-lt"/>
                    <a:ea typeface="+mn-ea"/>
                    <a:cs typeface="+mn-cs"/>
                  </a:defRPr>
                </a:pPr>
                <a:r>
                  <a:rPr lang="en-CA" sz="800" b="0" i="0" baseline="0" dirty="0" smtClean="0">
                    <a:effectLst/>
                  </a:rPr>
                  <a:t>% BEV-Suited</a:t>
                </a:r>
                <a:endParaRPr lang="en-CA" sz="800" dirty="0" smtClean="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800">
                    <a:solidFill>
                      <a:prstClr val="black">
                        <a:lumMod val="65000"/>
                        <a:lumOff val="35000"/>
                      </a:prstClr>
                    </a:solidFill>
                  </a:defRPr>
                </a:pPr>
                <a:r>
                  <a:rPr lang="en-CA" sz="800" b="0" i="0" baseline="0" dirty="0" smtClean="0">
                    <a:effectLst/>
                  </a:rPr>
                  <a:t>Van/SUV/Pickup</a:t>
                </a:r>
                <a:endParaRPr lang="en-CA" sz="800" dirty="0">
                  <a:effectLst/>
                </a:endParaRPr>
              </a:p>
            </c:rich>
          </c:tx>
          <c:layout>
            <c:manualLayout>
              <c:xMode val="edge"/>
              <c:yMode val="edge"/>
              <c:x val="4.6115160813006657E-2"/>
              <c:y val="0.26798437579314904"/>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prstClr val="black">
                      <a:lumMod val="65000"/>
                      <a:lumOff val="35000"/>
                    </a:prst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48900624"/>
        <c:crosses val="autoZero"/>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'future scenarios'!$AO$11</c:f>
              <c:strCache>
                <c:ptCount val="1"/>
                <c:pt idx="0">
                  <c:v>Atlantic</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cat>
            <c:strRef>
              <c:f>'future scenarios'!$AN$12:$AN$15</c:f>
              <c:strCache>
                <c:ptCount val="4"/>
                <c:pt idx="0">
                  <c:v>Present</c:v>
                </c:pt>
                <c:pt idx="1">
                  <c:v>2020</c:v>
                </c:pt>
                <c:pt idx="2">
                  <c:v>2025</c:v>
                </c:pt>
                <c:pt idx="3">
                  <c:v>2030</c:v>
                </c:pt>
              </c:strCache>
            </c:strRef>
          </c:cat>
          <c:val>
            <c:numRef>
              <c:f>'future scenarios'!$AO$12:$AO$15</c:f>
              <c:numCache>
                <c:formatCode>0%</c:formatCode>
                <c:ptCount val="4"/>
                <c:pt idx="0">
                  <c:v>1.03806228373702E-2</c:v>
                </c:pt>
                <c:pt idx="1">
                  <c:v>1.53787004998078E-2</c:v>
                </c:pt>
                <c:pt idx="2">
                  <c:v>4.26758938869665E-2</c:v>
                </c:pt>
                <c:pt idx="3">
                  <c:v>0.11380238369857699</c:v>
                </c:pt>
              </c:numCache>
            </c:numRef>
          </c:val>
          <c:smooth val="0"/>
          <c:extLst xmlns:c16r2="http://schemas.microsoft.com/office/drawing/2015/06/chart">
            <c:ext xmlns:c16="http://schemas.microsoft.com/office/drawing/2014/chart" uri="{C3380CC4-5D6E-409C-BE32-E72D297353CC}">
              <c16:uniqueId val="{00000000-2CB7-458D-986A-5470FF9167FC}"/>
            </c:ext>
          </c:extLst>
        </c:ser>
        <c:ser>
          <c:idx val="1"/>
          <c:order val="1"/>
          <c:tx>
            <c:strRef>
              <c:f>'future scenarios'!$AP$11</c:f>
              <c:strCache>
                <c:ptCount val="1"/>
                <c:pt idx="0">
                  <c:v>QC</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cat>
            <c:strRef>
              <c:f>'future scenarios'!$AN$12:$AN$15</c:f>
              <c:strCache>
                <c:ptCount val="4"/>
                <c:pt idx="0">
                  <c:v>Present</c:v>
                </c:pt>
                <c:pt idx="1">
                  <c:v>2020</c:v>
                </c:pt>
                <c:pt idx="2">
                  <c:v>2025</c:v>
                </c:pt>
                <c:pt idx="3">
                  <c:v>2030</c:v>
                </c:pt>
              </c:strCache>
            </c:strRef>
          </c:cat>
          <c:val>
            <c:numRef>
              <c:f>'future scenarios'!$AP$12:$AP$15</c:f>
              <c:numCache>
                <c:formatCode>0%</c:formatCode>
                <c:ptCount val="4"/>
                <c:pt idx="0">
                  <c:v>1.1113683723084E-2</c:v>
                </c:pt>
                <c:pt idx="1">
                  <c:v>1.4355174808983601E-2</c:v>
                </c:pt>
                <c:pt idx="2">
                  <c:v>4.2370919194257901E-2</c:v>
                </c:pt>
                <c:pt idx="3">
                  <c:v>0.12502894188469599</c:v>
                </c:pt>
              </c:numCache>
            </c:numRef>
          </c:val>
          <c:smooth val="0"/>
          <c:extLst xmlns:c16r2="http://schemas.microsoft.com/office/drawing/2015/06/chart">
            <c:ext xmlns:c16="http://schemas.microsoft.com/office/drawing/2014/chart" uri="{C3380CC4-5D6E-409C-BE32-E72D297353CC}">
              <c16:uniqueId val="{00000001-2CB7-458D-986A-5470FF9167FC}"/>
            </c:ext>
          </c:extLst>
        </c:ser>
        <c:ser>
          <c:idx val="2"/>
          <c:order val="2"/>
          <c:tx>
            <c:strRef>
              <c:f>'future scenarios'!$AQ$11</c:f>
              <c:strCache>
                <c:ptCount val="1"/>
                <c:pt idx="0">
                  <c:v>ON</c:v>
                </c:pt>
              </c:strCache>
            </c:strRef>
          </c:tx>
          <c:spPr>
            <a:ln w="19050" cap="rnd">
              <a:solidFill>
                <a:srgbClr val="7030A0"/>
              </a:solidFill>
              <a:round/>
            </a:ln>
            <a:effectLst/>
          </c:spPr>
          <c:marker>
            <c:symbol val="circle"/>
            <c:size val="5"/>
            <c:spPr>
              <a:solidFill>
                <a:srgbClr val="7030A0"/>
              </a:solidFill>
              <a:ln w="9525">
                <a:solidFill>
                  <a:srgbClr val="7030A0"/>
                </a:solidFill>
              </a:ln>
              <a:effectLst/>
            </c:spPr>
          </c:marker>
          <c:cat>
            <c:strRef>
              <c:f>'future scenarios'!$AN$12:$AN$15</c:f>
              <c:strCache>
                <c:ptCount val="4"/>
                <c:pt idx="0">
                  <c:v>Present</c:v>
                </c:pt>
                <c:pt idx="1">
                  <c:v>2020</c:v>
                </c:pt>
                <c:pt idx="2">
                  <c:v>2025</c:v>
                </c:pt>
                <c:pt idx="3">
                  <c:v>2030</c:v>
                </c:pt>
              </c:strCache>
            </c:strRef>
          </c:cat>
          <c:val>
            <c:numRef>
              <c:f>'future scenarios'!$AQ$12:$AQ$15</c:f>
              <c:numCache>
                <c:formatCode>0%</c:formatCode>
                <c:ptCount val="4"/>
                <c:pt idx="0">
                  <c:v>1.4767932489451499E-2</c:v>
                </c:pt>
                <c:pt idx="1">
                  <c:v>1.79324894514768E-2</c:v>
                </c:pt>
                <c:pt idx="2">
                  <c:v>6.4873417721519E-2</c:v>
                </c:pt>
                <c:pt idx="3">
                  <c:v>0.14486638537271401</c:v>
                </c:pt>
              </c:numCache>
            </c:numRef>
          </c:val>
          <c:smooth val="0"/>
          <c:extLst xmlns:c16r2="http://schemas.microsoft.com/office/drawing/2015/06/chart">
            <c:ext xmlns:c16="http://schemas.microsoft.com/office/drawing/2014/chart" uri="{C3380CC4-5D6E-409C-BE32-E72D297353CC}">
              <c16:uniqueId val="{00000002-2CB7-458D-986A-5470FF9167FC}"/>
            </c:ext>
          </c:extLst>
        </c:ser>
        <c:ser>
          <c:idx val="3"/>
          <c:order val="3"/>
          <c:tx>
            <c:strRef>
              <c:f>'future scenarios'!$AR$11</c:f>
              <c:strCache>
                <c:ptCount val="1"/>
                <c:pt idx="0">
                  <c:v>Prairies</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cat>
            <c:strRef>
              <c:f>'future scenarios'!$AN$12:$AN$15</c:f>
              <c:strCache>
                <c:ptCount val="4"/>
                <c:pt idx="0">
                  <c:v>Present</c:v>
                </c:pt>
                <c:pt idx="1">
                  <c:v>2020</c:v>
                </c:pt>
                <c:pt idx="2">
                  <c:v>2025</c:v>
                </c:pt>
                <c:pt idx="3">
                  <c:v>2030</c:v>
                </c:pt>
              </c:strCache>
            </c:strRef>
          </c:cat>
          <c:val>
            <c:numRef>
              <c:f>'future scenarios'!$AR$12:$AR$15</c:f>
              <c:numCache>
                <c:formatCode>0%</c:formatCode>
                <c:ptCount val="4"/>
                <c:pt idx="0">
                  <c:v>1.08879748366804E-2</c:v>
                </c:pt>
                <c:pt idx="1">
                  <c:v>1.59690297604646E-2</c:v>
                </c:pt>
                <c:pt idx="2">
                  <c:v>3.8954754415678701E-2</c:v>
                </c:pt>
                <c:pt idx="3">
                  <c:v>9.19428986208565E-2</c:v>
                </c:pt>
              </c:numCache>
            </c:numRef>
          </c:val>
          <c:smooth val="0"/>
          <c:extLst xmlns:c16r2="http://schemas.microsoft.com/office/drawing/2015/06/chart">
            <c:ext xmlns:c16="http://schemas.microsoft.com/office/drawing/2014/chart" uri="{C3380CC4-5D6E-409C-BE32-E72D297353CC}">
              <c16:uniqueId val="{00000003-2CB7-458D-986A-5470FF9167FC}"/>
            </c:ext>
          </c:extLst>
        </c:ser>
        <c:ser>
          <c:idx val="4"/>
          <c:order val="4"/>
          <c:tx>
            <c:strRef>
              <c:f>'future scenarios'!$AS$11</c:f>
              <c:strCache>
                <c:ptCount val="1"/>
                <c:pt idx="0">
                  <c:v>BC</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cat>
            <c:strRef>
              <c:f>'future scenarios'!$AN$12:$AN$15</c:f>
              <c:strCache>
                <c:ptCount val="4"/>
                <c:pt idx="0">
                  <c:v>Present</c:v>
                </c:pt>
                <c:pt idx="1">
                  <c:v>2020</c:v>
                </c:pt>
                <c:pt idx="2">
                  <c:v>2025</c:v>
                </c:pt>
                <c:pt idx="3">
                  <c:v>2030</c:v>
                </c:pt>
              </c:strCache>
            </c:strRef>
          </c:cat>
          <c:val>
            <c:numRef>
              <c:f>'future scenarios'!$AS$12:$AS$15</c:f>
              <c:numCache>
                <c:formatCode>0%</c:formatCode>
                <c:ptCount val="4"/>
                <c:pt idx="0">
                  <c:v>1.21375590020229E-2</c:v>
                </c:pt>
                <c:pt idx="1">
                  <c:v>1.48347943358058E-2</c:v>
                </c:pt>
                <c:pt idx="2">
                  <c:v>4.8887390424814603E-2</c:v>
                </c:pt>
                <c:pt idx="3">
                  <c:v>0.10788941335131499</c:v>
                </c:pt>
              </c:numCache>
            </c:numRef>
          </c:val>
          <c:smooth val="0"/>
          <c:extLst xmlns:c16r2="http://schemas.microsoft.com/office/drawing/2015/06/chart">
            <c:ext xmlns:c16="http://schemas.microsoft.com/office/drawing/2014/chart" uri="{C3380CC4-5D6E-409C-BE32-E72D297353CC}">
              <c16:uniqueId val="{00000004-2CB7-458D-986A-5470FF9167FC}"/>
            </c:ext>
          </c:extLst>
        </c:ser>
        <c:dLbls>
          <c:showLegendKey val="0"/>
          <c:showVal val="0"/>
          <c:showCatName val="0"/>
          <c:showSerName val="0"/>
          <c:showPercent val="0"/>
          <c:showBubbleSize val="0"/>
        </c:dLbls>
        <c:marker val="1"/>
        <c:smooth val="0"/>
        <c:axId val="-648907152"/>
        <c:axId val="-648902800"/>
      </c:lineChart>
      <c:catAx>
        <c:axId val="-64890715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48902800"/>
        <c:crosses val="autoZero"/>
        <c:auto val="1"/>
        <c:lblAlgn val="ctr"/>
        <c:lblOffset val="100"/>
        <c:noMultiLvlLbl val="0"/>
      </c:catAx>
      <c:valAx>
        <c:axId val="-648902800"/>
        <c:scaling>
          <c:orientation val="minMax"/>
          <c:max val="0.1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48907152"/>
        <c:crosses val="autoZero"/>
        <c:crossBetween val="midCat"/>
        <c:majorUnit val="0.0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18486495647233"/>
          <c:y val="4.5536197691637477E-2"/>
          <c:w val="0.79132784450390847"/>
          <c:h val="0.78937966790845426"/>
        </c:manualLayout>
      </c:layout>
      <c:lineChart>
        <c:grouping val="standard"/>
        <c:varyColors val="0"/>
        <c:ser>
          <c:idx val="0"/>
          <c:order val="0"/>
          <c:tx>
            <c:strRef>
              <c:f>'future scenarios'!$AO$18</c:f>
              <c:strCache>
                <c:ptCount val="1"/>
                <c:pt idx="0">
                  <c:v>Atlantic</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cat>
            <c:numRef>
              <c:f>'future scenarios'!$AN$19:$AN$22</c:f>
              <c:numCache>
                <c:formatCode>General</c:formatCode>
                <c:ptCount val="4"/>
                <c:pt idx="0">
                  <c:v>2018</c:v>
                </c:pt>
                <c:pt idx="1">
                  <c:v>2020</c:v>
                </c:pt>
                <c:pt idx="2">
                  <c:v>2025</c:v>
                </c:pt>
                <c:pt idx="3">
                  <c:v>2030</c:v>
                </c:pt>
              </c:numCache>
            </c:numRef>
          </c:cat>
          <c:val>
            <c:numRef>
              <c:f>'future scenarios'!$AO$19:$AO$22</c:f>
              <c:numCache>
                <c:formatCode>0%</c:formatCode>
                <c:ptCount val="4"/>
                <c:pt idx="0">
                  <c:v>0.14263744713571702</c:v>
                </c:pt>
                <c:pt idx="1">
                  <c:v>0.15955401768550556</c:v>
                </c:pt>
                <c:pt idx="2">
                  <c:v>0.34063821607074202</c:v>
                </c:pt>
                <c:pt idx="3">
                  <c:v>0.40830449826989618</c:v>
                </c:pt>
              </c:numCache>
            </c:numRef>
          </c:val>
          <c:smooth val="0"/>
          <c:extLst xmlns:c16r2="http://schemas.microsoft.com/office/drawing/2015/06/chart">
            <c:ext xmlns:c16="http://schemas.microsoft.com/office/drawing/2014/chart" uri="{C3380CC4-5D6E-409C-BE32-E72D297353CC}">
              <c16:uniqueId val="{00000000-B355-41D3-8483-3A1575BDC3D6}"/>
            </c:ext>
          </c:extLst>
        </c:ser>
        <c:ser>
          <c:idx val="1"/>
          <c:order val="1"/>
          <c:tx>
            <c:strRef>
              <c:f>'future scenarios'!$AP$18</c:f>
              <c:strCache>
                <c:ptCount val="1"/>
                <c:pt idx="0">
                  <c:v>QC</c:v>
                </c:pt>
              </c:strCache>
            </c:strRef>
          </c:tx>
          <c:spPr>
            <a:ln w="19050" cap="rnd">
              <a:solidFill>
                <a:schemeClr val="accent2"/>
              </a:solidFill>
              <a:round/>
            </a:ln>
            <a:effectLst/>
          </c:spPr>
          <c:marker>
            <c:symbol val="circle"/>
            <c:size val="5"/>
            <c:spPr>
              <a:solidFill>
                <a:schemeClr val="accent2"/>
              </a:solidFill>
              <a:ln w="9525">
                <a:noFill/>
              </a:ln>
              <a:effectLst/>
            </c:spPr>
          </c:marker>
          <c:cat>
            <c:numRef>
              <c:f>'future scenarios'!$AN$19:$AN$22</c:f>
              <c:numCache>
                <c:formatCode>General</c:formatCode>
                <c:ptCount val="4"/>
                <c:pt idx="0">
                  <c:v>2018</c:v>
                </c:pt>
                <c:pt idx="1">
                  <c:v>2020</c:v>
                </c:pt>
                <c:pt idx="2">
                  <c:v>2025</c:v>
                </c:pt>
                <c:pt idx="3">
                  <c:v>2030</c:v>
                </c:pt>
              </c:numCache>
            </c:numRef>
          </c:cat>
          <c:val>
            <c:numRef>
              <c:f>'future scenarios'!$AP$19:$AP$22</c:f>
              <c:numCache>
                <c:formatCode>0%</c:formatCode>
                <c:ptCount val="4"/>
                <c:pt idx="0">
                  <c:v>8.0805742069923595E-2</c:v>
                </c:pt>
                <c:pt idx="1">
                  <c:v>9.2150960870571896E-2</c:v>
                </c:pt>
                <c:pt idx="2">
                  <c:v>0.20097244732576985</c:v>
                </c:pt>
                <c:pt idx="3">
                  <c:v>0.23871266496874277</c:v>
                </c:pt>
              </c:numCache>
            </c:numRef>
          </c:val>
          <c:smooth val="0"/>
          <c:extLst xmlns:c16r2="http://schemas.microsoft.com/office/drawing/2015/06/chart">
            <c:ext xmlns:c16="http://schemas.microsoft.com/office/drawing/2014/chart" uri="{C3380CC4-5D6E-409C-BE32-E72D297353CC}">
              <c16:uniqueId val="{00000001-B355-41D3-8483-3A1575BDC3D6}"/>
            </c:ext>
          </c:extLst>
        </c:ser>
        <c:ser>
          <c:idx val="2"/>
          <c:order val="2"/>
          <c:tx>
            <c:strRef>
              <c:f>'future scenarios'!$AQ$18</c:f>
              <c:strCache>
                <c:ptCount val="1"/>
                <c:pt idx="0">
                  <c:v>ON</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cat>
            <c:numRef>
              <c:f>'future scenarios'!$AN$19:$AN$22</c:f>
              <c:numCache>
                <c:formatCode>General</c:formatCode>
                <c:ptCount val="4"/>
                <c:pt idx="0">
                  <c:v>2018</c:v>
                </c:pt>
                <c:pt idx="1">
                  <c:v>2020</c:v>
                </c:pt>
                <c:pt idx="2">
                  <c:v>2025</c:v>
                </c:pt>
                <c:pt idx="3">
                  <c:v>2030</c:v>
                </c:pt>
              </c:numCache>
            </c:numRef>
          </c:cat>
          <c:val>
            <c:numRef>
              <c:f>'future scenarios'!$AQ$19:$AQ$22</c:f>
              <c:numCache>
                <c:formatCode>0%</c:formatCode>
                <c:ptCount val="4"/>
                <c:pt idx="0">
                  <c:v>0.14258087201125175</c:v>
                </c:pt>
                <c:pt idx="1">
                  <c:v>0.15734880450070324</c:v>
                </c:pt>
                <c:pt idx="2">
                  <c:v>0.30291842475386777</c:v>
                </c:pt>
                <c:pt idx="3">
                  <c:v>0.3570675105485232</c:v>
                </c:pt>
              </c:numCache>
            </c:numRef>
          </c:val>
          <c:smooth val="0"/>
          <c:extLst xmlns:c16r2="http://schemas.microsoft.com/office/drawing/2015/06/chart">
            <c:ext xmlns:c16="http://schemas.microsoft.com/office/drawing/2014/chart" uri="{C3380CC4-5D6E-409C-BE32-E72D297353CC}">
              <c16:uniqueId val="{00000002-B355-41D3-8483-3A1575BDC3D6}"/>
            </c:ext>
          </c:extLst>
        </c:ser>
        <c:ser>
          <c:idx val="3"/>
          <c:order val="3"/>
          <c:tx>
            <c:strRef>
              <c:f>'future scenarios'!$AR$18</c:f>
              <c:strCache>
                <c:ptCount val="1"/>
                <c:pt idx="0">
                  <c:v>Prairies</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cat>
            <c:numRef>
              <c:f>'future scenarios'!$AN$19:$AN$22</c:f>
              <c:numCache>
                <c:formatCode>General</c:formatCode>
                <c:ptCount val="4"/>
                <c:pt idx="0">
                  <c:v>2018</c:v>
                </c:pt>
                <c:pt idx="1">
                  <c:v>2020</c:v>
                </c:pt>
                <c:pt idx="2">
                  <c:v>2025</c:v>
                </c:pt>
                <c:pt idx="3">
                  <c:v>2030</c:v>
                </c:pt>
              </c:numCache>
            </c:numRef>
          </c:cat>
          <c:val>
            <c:numRef>
              <c:f>'future scenarios'!$AR$19:$AR$22</c:f>
              <c:numCache>
                <c:formatCode>0%</c:formatCode>
                <c:ptCount val="4"/>
                <c:pt idx="0">
                  <c:v>0.18582143721267844</c:v>
                </c:pt>
                <c:pt idx="1">
                  <c:v>0.19598354706024679</c:v>
                </c:pt>
                <c:pt idx="2">
                  <c:v>0.39704814904427777</c:v>
                </c:pt>
                <c:pt idx="3">
                  <c:v>0.47907089281393661</c:v>
                </c:pt>
              </c:numCache>
            </c:numRef>
          </c:val>
          <c:smooth val="0"/>
          <c:extLst xmlns:c16r2="http://schemas.microsoft.com/office/drawing/2015/06/chart">
            <c:ext xmlns:c16="http://schemas.microsoft.com/office/drawing/2014/chart" uri="{C3380CC4-5D6E-409C-BE32-E72D297353CC}">
              <c16:uniqueId val="{00000003-B355-41D3-8483-3A1575BDC3D6}"/>
            </c:ext>
          </c:extLst>
        </c:ser>
        <c:ser>
          <c:idx val="4"/>
          <c:order val="4"/>
          <c:tx>
            <c:strRef>
              <c:f>'future scenarios'!$AS$18</c:f>
              <c:strCache>
                <c:ptCount val="1"/>
                <c:pt idx="0">
                  <c:v>BC</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cat>
            <c:numRef>
              <c:f>'future scenarios'!$AN$19:$AN$22</c:f>
              <c:numCache>
                <c:formatCode>General</c:formatCode>
                <c:ptCount val="4"/>
                <c:pt idx="0">
                  <c:v>2018</c:v>
                </c:pt>
                <c:pt idx="1">
                  <c:v>2020</c:v>
                </c:pt>
                <c:pt idx="2">
                  <c:v>2025</c:v>
                </c:pt>
                <c:pt idx="3">
                  <c:v>2030</c:v>
                </c:pt>
              </c:numCache>
            </c:numRef>
          </c:cat>
          <c:val>
            <c:numRef>
              <c:f>'future scenarios'!$AS$19:$AS$22</c:f>
              <c:numCache>
                <c:formatCode>0%</c:formatCode>
                <c:ptCount val="4"/>
                <c:pt idx="0">
                  <c:v>0.12778152393796358</c:v>
                </c:pt>
                <c:pt idx="1">
                  <c:v>0.13823331085637222</c:v>
                </c:pt>
                <c:pt idx="2">
                  <c:v>0.30175320296695884</c:v>
                </c:pt>
                <c:pt idx="3">
                  <c:v>0.37053270397842214</c:v>
                </c:pt>
              </c:numCache>
            </c:numRef>
          </c:val>
          <c:smooth val="0"/>
          <c:extLst xmlns:c16r2="http://schemas.microsoft.com/office/drawing/2015/06/chart">
            <c:ext xmlns:c16="http://schemas.microsoft.com/office/drawing/2014/chart" uri="{C3380CC4-5D6E-409C-BE32-E72D297353CC}">
              <c16:uniqueId val="{00000004-B355-41D3-8483-3A1575BDC3D6}"/>
            </c:ext>
          </c:extLst>
        </c:ser>
        <c:dLbls>
          <c:showLegendKey val="0"/>
          <c:showVal val="0"/>
          <c:showCatName val="0"/>
          <c:showSerName val="0"/>
          <c:showPercent val="0"/>
          <c:showBubbleSize val="0"/>
        </c:dLbls>
        <c:marker val="1"/>
        <c:smooth val="0"/>
        <c:axId val="-648906064"/>
        <c:axId val="-648902256"/>
      </c:lineChart>
      <c:catAx>
        <c:axId val="-6489060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dirty="0" smtClean="0"/>
                  <a:t>Year</a:t>
                </a:r>
                <a:r>
                  <a:rPr lang="en-US" sz="800" baseline="0" dirty="0" smtClean="0"/>
                  <a:t> of Purchase</a:t>
                </a:r>
                <a:endParaRPr lang="en-CA" sz="800" dirty="0"/>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48902256"/>
        <c:crosses val="autoZero"/>
        <c:auto val="1"/>
        <c:lblAlgn val="ctr"/>
        <c:lblOffset val="100"/>
        <c:noMultiLvlLbl val="0"/>
      </c:catAx>
      <c:valAx>
        <c:axId val="-648902256"/>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48906064"/>
        <c:crosses val="autoZero"/>
        <c:crossBetween val="midCat"/>
        <c:majorUnit val="0.1"/>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0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10D52CB-EDC6-4AC8-B3B7-258E3BCED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140</Pages>
  <Words>66375</Words>
  <Characters>378340</Characters>
  <Application>Microsoft Office Word</Application>
  <DocSecurity>0</DocSecurity>
  <Lines>3152</Lines>
  <Paragraphs>887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elnaz abotalebi</dc:creator>
  <cp:keywords/>
  <dc:description/>
  <cp:lastModifiedBy>elnaz abotalebi</cp:lastModifiedBy>
  <cp:revision>6</cp:revision>
  <cp:lastPrinted>2019-02-08T16:01:00Z</cp:lastPrinted>
  <dcterms:created xsi:type="dcterms:W3CDTF">2019-02-08T15:46:00Z</dcterms:created>
  <dcterms:modified xsi:type="dcterms:W3CDTF">2019-02-08T16:01:00Z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eb29206b-8fbe-3653-9036-f4eca5bec4b6</vt:lpwstr>
  </property>
  <property fmtid="{D5CDD505-2E9C-101B-9397-08002B2CF9AE}" pid="4" name="Mendeley Citation Style_1">
    <vt:lpwstr>http://www.zotero.org/styles/chicago-author-date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